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position w:val="6"/>
          <w:sz w:val="44"/>
          <w:szCs w:val="44"/>
        </w:rPr>
      </w:pPr>
      <w:r>
        <w:rPr>
          <w:rFonts w:hint="eastAsia" w:ascii="方正小标宋简体" w:hAnsi="方正小标宋简体" w:eastAsia="方正小标宋简体" w:cs="方正小标宋简体"/>
          <w:bCs/>
          <w:position w:val="6"/>
          <w:sz w:val="44"/>
          <w:szCs w:val="44"/>
          <w:lang w:val="en-US" w:eastAsia="zh-CN"/>
        </w:rPr>
        <w:t>关于</w:t>
      </w:r>
      <w:r>
        <w:rPr>
          <w:rFonts w:hint="eastAsia" w:ascii="方正小标宋简体" w:hAnsi="方正小标宋简体" w:eastAsia="方正小标宋简体" w:cs="方正小标宋简体"/>
          <w:bCs/>
          <w:position w:val="6"/>
          <w:sz w:val="44"/>
          <w:szCs w:val="44"/>
        </w:rPr>
        <w:t>《</w:t>
      </w:r>
      <w:r>
        <w:rPr>
          <w:rFonts w:hint="eastAsia" w:ascii="方正小标宋简体" w:hAnsi="方正小标宋简体" w:eastAsia="方正小标宋简体" w:cs="方正小标宋简体"/>
          <w:bCs/>
          <w:position w:val="6"/>
          <w:sz w:val="44"/>
          <w:szCs w:val="44"/>
          <w:lang w:val="en-US" w:eastAsia="zh-CN"/>
        </w:rPr>
        <w:t>闽侯县</w:t>
      </w:r>
      <w:r>
        <w:rPr>
          <w:rFonts w:hint="eastAsia" w:ascii="方正小标宋简体" w:hAnsi="方正小标宋简体" w:eastAsia="方正小标宋简体" w:cs="方正小标宋简体"/>
          <w:bCs/>
          <w:position w:val="6"/>
          <w:sz w:val="44"/>
          <w:szCs w:val="44"/>
        </w:rPr>
        <w:t>白沙镇镇区控制性详细规划》</w:t>
      </w:r>
    </w:p>
    <w:p>
      <w:pPr>
        <w:jc w:val="center"/>
        <w:rPr>
          <w:rFonts w:hint="eastAsia" w:ascii="方正小标宋简体" w:hAnsi="方正小标宋简体" w:eastAsia="方正小标宋简体" w:cs="方正小标宋简体"/>
          <w:bCs/>
          <w:position w:val="6"/>
          <w:sz w:val="44"/>
          <w:szCs w:val="44"/>
        </w:rPr>
      </w:pPr>
      <w:r>
        <w:rPr>
          <w:rFonts w:hint="eastAsia" w:ascii="方正小标宋简体" w:hAnsi="方正小标宋简体" w:eastAsia="方正小标宋简体" w:cs="方正小标宋简体"/>
          <w:bCs/>
          <w:position w:val="6"/>
          <w:sz w:val="44"/>
          <w:szCs w:val="44"/>
          <w:lang w:val="en-US" w:eastAsia="zh-CN"/>
        </w:rPr>
        <w:t>的</w:t>
      </w:r>
      <w:r>
        <w:rPr>
          <w:rFonts w:hint="eastAsia" w:ascii="方正小标宋简体" w:hAnsi="方正小标宋简体" w:eastAsia="方正小标宋简体" w:cs="方正小标宋简体"/>
          <w:bCs/>
          <w:position w:val="6"/>
          <w:sz w:val="44"/>
          <w:szCs w:val="44"/>
        </w:rPr>
        <w:t>公示</w:t>
      </w:r>
    </w:p>
    <w:p>
      <w:pPr>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白沙镇人民政府委托福州市规划设计研究院集团有限公司编制的《闽侯县白沙镇镇区控制性详细规划》,于2019年1月通过我局组织的专家技术审查，根据《城乡规划法》，现将规划草案公示征求公众意见。</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规划主要内容发布在闽侯县政务信息网（www.minhou.gov.cn）</w:t>
      </w:r>
      <w:bookmarkStart w:id="0" w:name="_GoBack"/>
      <w:bookmarkEnd w:id="0"/>
      <w:r>
        <w:rPr>
          <w:rFonts w:hint="eastAsia" w:ascii="仿宋" w:hAnsi="仿宋" w:eastAsia="仿宋" w:cs="仿宋"/>
          <w:sz w:val="32"/>
          <w:szCs w:val="32"/>
          <w:lang w:val="en-US" w:eastAsia="zh-CN"/>
        </w:rPr>
        <w:t>上。公示时间自2021年3月 日至2021年4月 日，公示期间欢迎单位和个人通过信函或电子邮件方式对规划提出意见与建议。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来信邮寄地址：福州市闽侯县甘蔗街道滨江商务中心C栋5楼闽侯县自然资源和规划局，邮政编码：350100，联系电话：0591-22062329，电子邮件：mhcxgh@163.com，并注明“闽侯县白沙镇镇区控制性详细规划意见与建议”。</w:t>
      </w:r>
    </w:p>
    <w:p>
      <w:pPr>
        <w:keepNext w:val="0"/>
        <w:keepLines w:val="0"/>
        <w:widowControl/>
        <w:suppressLineNumbers w:val="0"/>
        <w:ind w:firstLine="640" w:firstLineChars="200"/>
        <w:jc w:val="left"/>
        <w:rPr>
          <w:rFonts w:hint="eastAsia" w:ascii="仿宋" w:hAnsi="仿宋" w:eastAsia="仿宋" w:cs="仿宋"/>
          <w:bCs/>
          <w:position w:val="6"/>
          <w:sz w:val="32"/>
          <w:szCs w:val="32"/>
          <w:lang w:val="en-US" w:eastAsia="zh-CN"/>
        </w:rPr>
      </w:pP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bCs/>
          <w:position w:val="6"/>
          <w:sz w:val="32"/>
          <w:szCs w:val="32"/>
          <w:lang w:val="en-US" w:eastAsia="zh-CN"/>
        </w:rPr>
        <w:t>附件：</w:t>
      </w:r>
      <w:r>
        <w:rPr>
          <w:rFonts w:hint="eastAsia" w:ascii="仿宋" w:hAnsi="仿宋" w:eastAsia="仿宋" w:cs="仿宋"/>
          <w:bCs/>
          <w:position w:val="6"/>
          <w:sz w:val="32"/>
          <w:szCs w:val="32"/>
        </w:rPr>
        <w:t>《</w:t>
      </w:r>
      <w:r>
        <w:rPr>
          <w:rFonts w:hint="eastAsia" w:ascii="仿宋" w:hAnsi="仿宋" w:eastAsia="仿宋" w:cs="仿宋"/>
          <w:bCs/>
          <w:position w:val="6"/>
          <w:sz w:val="32"/>
          <w:szCs w:val="32"/>
          <w:lang w:val="en-US" w:eastAsia="zh-CN"/>
        </w:rPr>
        <w:t>闽侯县</w:t>
      </w:r>
      <w:r>
        <w:rPr>
          <w:rFonts w:hint="eastAsia" w:ascii="仿宋" w:hAnsi="仿宋" w:eastAsia="仿宋" w:cs="仿宋"/>
          <w:bCs/>
          <w:position w:val="6"/>
          <w:sz w:val="32"/>
          <w:szCs w:val="32"/>
        </w:rPr>
        <w:t>白沙镇镇区控制性详细规划》规划简介</w:t>
      </w:r>
    </w:p>
    <w:p>
      <w:pPr>
        <w:keepNext w:val="0"/>
        <w:keepLines w:val="0"/>
        <w:widowControl/>
        <w:suppressLineNumbers w:val="0"/>
        <w:ind w:firstLine="640" w:firstLineChars="200"/>
        <w:jc w:val="left"/>
        <w:rPr>
          <w:rFonts w:hint="eastAsia" w:ascii="仿宋" w:hAnsi="仿宋" w:eastAsia="仿宋" w:cs="仿宋"/>
          <w:bCs/>
          <w:position w:val="6"/>
          <w:sz w:val="32"/>
          <w:szCs w:val="32"/>
        </w:rPr>
      </w:pPr>
      <w:r>
        <w:rPr>
          <w:rFonts w:hint="eastAsia" w:ascii="仿宋" w:hAnsi="仿宋" w:eastAsia="仿宋" w:cs="仿宋"/>
          <w:sz w:val="32"/>
          <w:szCs w:val="32"/>
          <w:lang w:val="en-US" w:eastAsia="zh-CN"/>
        </w:rPr>
        <w:t> </w:t>
      </w:r>
    </w:p>
    <w:p>
      <w:pPr>
        <w:ind w:firstLine="640" w:firstLineChars="200"/>
        <w:jc w:val="both"/>
        <w:rPr>
          <w:rFonts w:hint="eastAsia" w:ascii="仿宋" w:hAnsi="仿宋" w:eastAsia="仿宋" w:cs="仿宋"/>
          <w:bCs/>
          <w:position w:val="6"/>
          <w:sz w:val="32"/>
          <w:szCs w:val="32"/>
        </w:rPr>
      </w:pPr>
    </w:p>
    <w:p>
      <w:pPr>
        <w:ind w:firstLine="4480" w:firstLineChars="1400"/>
        <w:jc w:val="both"/>
        <w:rPr>
          <w:rFonts w:hint="eastAsia" w:ascii="仿宋" w:hAnsi="仿宋" w:eastAsia="仿宋" w:cs="仿宋"/>
          <w:bCs/>
          <w:position w:val="6"/>
          <w:sz w:val="32"/>
          <w:szCs w:val="32"/>
          <w:lang w:val="en-US" w:eastAsia="zh-CN"/>
        </w:rPr>
      </w:pPr>
      <w:r>
        <w:rPr>
          <w:rFonts w:hint="eastAsia" w:ascii="仿宋" w:hAnsi="仿宋" w:eastAsia="仿宋" w:cs="仿宋"/>
          <w:bCs/>
          <w:position w:val="6"/>
          <w:sz w:val="32"/>
          <w:szCs w:val="32"/>
          <w:lang w:val="en-US" w:eastAsia="zh-CN"/>
        </w:rPr>
        <w:t>闽侯县自然资源和规划局</w:t>
      </w:r>
    </w:p>
    <w:p>
      <w:pPr>
        <w:ind w:firstLine="5120" w:firstLineChars="1600"/>
        <w:jc w:val="both"/>
        <w:rPr>
          <w:rFonts w:hint="default" w:ascii="仿宋" w:hAnsi="仿宋" w:eastAsia="仿宋" w:cs="仿宋"/>
          <w:bCs/>
          <w:position w:val="6"/>
          <w:sz w:val="32"/>
          <w:szCs w:val="32"/>
          <w:lang w:val="en-US" w:eastAsia="zh-CN"/>
        </w:rPr>
      </w:pPr>
      <w:r>
        <w:rPr>
          <w:rFonts w:hint="eastAsia" w:ascii="仿宋" w:hAnsi="仿宋" w:eastAsia="仿宋" w:cs="仿宋"/>
          <w:bCs/>
          <w:position w:val="6"/>
          <w:sz w:val="32"/>
          <w:szCs w:val="32"/>
          <w:lang w:val="en-US" w:eastAsia="zh-CN"/>
        </w:rPr>
        <w:t>2021年3月17日</w:t>
      </w:r>
    </w:p>
    <w:p>
      <w:pPr>
        <w:ind w:firstLine="640" w:firstLineChars="200"/>
        <w:jc w:val="both"/>
        <w:rPr>
          <w:rFonts w:hint="eastAsia" w:ascii="仿宋" w:hAnsi="仿宋" w:eastAsia="仿宋" w:cs="仿宋"/>
          <w:bCs/>
          <w:position w:val="6"/>
          <w:sz w:val="32"/>
          <w:szCs w:val="32"/>
        </w:rPr>
      </w:pPr>
    </w:p>
    <w:p>
      <w:pPr>
        <w:jc w:val="both"/>
        <w:rPr>
          <w:rFonts w:hint="eastAsia" w:ascii="仿宋" w:hAnsi="仿宋" w:eastAsia="仿宋" w:cs="仿宋"/>
          <w:bCs/>
          <w:position w:val="6"/>
          <w:sz w:val="32"/>
          <w:szCs w:val="32"/>
          <w:lang w:val="en-US" w:eastAsia="zh-CN"/>
        </w:rPr>
      </w:pPr>
    </w:p>
    <w:p>
      <w:pPr>
        <w:keepNext w:val="0"/>
        <w:keepLines w:val="0"/>
        <w:pageBreakBefore w:val="0"/>
        <w:widowControl w:val="0"/>
        <w:kinsoku/>
        <w:wordWrap/>
        <w:overflowPunct/>
        <w:topLinePunct w:val="0"/>
        <w:autoSpaceDE/>
        <w:autoSpaceDN/>
        <w:bidi w:val="0"/>
        <w:spacing w:line="500" w:lineRule="exact"/>
        <w:jc w:val="both"/>
        <w:rPr>
          <w:rFonts w:hint="eastAsia" w:ascii="仿宋" w:hAnsi="仿宋" w:eastAsia="仿宋" w:cs="仿宋"/>
          <w:bCs/>
          <w:position w:val="6"/>
          <w:sz w:val="32"/>
          <w:szCs w:val="32"/>
          <w:lang w:val="en-US" w:eastAsia="zh-CN"/>
        </w:rPr>
      </w:pPr>
      <w:r>
        <w:rPr>
          <w:rFonts w:hint="eastAsia" w:ascii="仿宋" w:hAnsi="仿宋" w:eastAsia="仿宋" w:cs="仿宋"/>
          <w:bCs/>
          <w:position w:val="6"/>
          <w:sz w:val="32"/>
          <w:szCs w:val="32"/>
          <w:lang w:val="en-US" w:eastAsia="zh-CN"/>
        </w:rPr>
        <w:t>附件：</w:t>
      </w:r>
    </w:p>
    <w:p>
      <w:pPr>
        <w:keepNext w:val="0"/>
        <w:keepLines w:val="0"/>
        <w:pageBreakBefore w:val="0"/>
        <w:widowControl w:val="0"/>
        <w:kinsoku/>
        <w:wordWrap/>
        <w:overflowPunct/>
        <w:topLinePunct w:val="0"/>
        <w:autoSpaceDE/>
        <w:autoSpaceDN/>
        <w:bidi w:val="0"/>
        <w:snapToGrid w:val="0"/>
        <w:spacing w:line="500" w:lineRule="exact"/>
        <w:jc w:val="both"/>
        <w:textAlignment w:val="top"/>
        <w:rPr>
          <w:rFonts w:ascii="方正小标宋简体" w:hAnsi="方正小标宋简体" w:eastAsia="方正小标宋简体" w:cs="方正小标宋简体"/>
          <w:bCs/>
          <w:color w:val="FF0000"/>
          <w:position w:val="6"/>
          <w:szCs w:val="32"/>
        </w:rPr>
      </w:pPr>
      <w:r>
        <w:rPr>
          <w:rFonts w:hint="eastAsia" w:ascii="方正小标宋简体" w:hAnsi="方正小标宋简体" w:eastAsia="方正小标宋简体" w:cs="方正小标宋简体"/>
          <w:bCs/>
          <w:position w:val="6"/>
          <w:sz w:val="40"/>
          <w:szCs w:val="40"/>
        </w:rPr>
        <w:t>《</w:t>
      </w:r>
      <w:r>
        <w:rPr>
          <w:rFonts w:hint="eastAsia" w:ascii="方正小标宋简体" w:hAnsi="方正小标宋简体" w:eastAsia="方正小标宋简体" w:cs="方正小标宋简体"/>
          <w:bCs/>
          <w:position w:val="6"/>
          <w:sz w:val="40"/>
          <w:szCs w:val="40"/>
          <w:lang w:val="en-US" w:eastAsia="zh-CN"/>
        </w:rPr>
        <w:t>闽侯县</w:t>
      </w:r>
      <w:r>
        <w:rPr>
          <w:rFonts w:hint="eastAsia" w:ascii="方正小标宋简体" w:hAnsi="方正小标宋简体" w:eastAsia="方正小标宋简体" w:cs="方正小标宋简体"/>
          <w:bCs/>
          <w:position w:val="6"/>
          <w:sz w:val="40"/>
          <w:szCs w:val="40"/>
        </w:rPr>
        <w:t>白沙镇镇区控制性详细规划》规划简介</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仿宋" w:hAnsi="仿宋" w:eastAsia="仿宋" w:cs="仿宋_GB2312"/>
          <w:b/>
          <w:sz w:val="28"/>
          <w:szCs w:val="28"/>
          <w:lang w:bidi="ar"/>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bidi="ar"/>
        </w:rPr>
        <w:t>一、规划范围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本次控规编制范围为白沙镇集镇区范围，西至规划S308，南以规划长兴路、市政二期路、南山洋工业区为界，东以京台高速公路、可垅路为界，北至新坡村、上寨村、洋中村，规划范围总面积14.54平方公里。</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bidi="ar"/>
        </w:rPr>
        <w:t>二、功能定位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本片区发展定位为福建省历史文化名镇、福州近郊山水人文旅游区、闽侯北部高新产业智造小镇、依山傍水的宜居特色小镇。本片区是全镇的政治、经济、文化中心，承担全镇综合服务职能。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三、规模与开发容量</w:t>
      </w:r>
    </w:p>
    <w:p>
      <w:pPr>
        <w:keepNext w:val="0"/>
        <w:keepLines w:val="0"/>
        <w:pageBreakBefore w:val="0"/>
        <w:widowControl w:val="0"/>
        <w:tabs>
          <w:tab w:val="left" w:pos="720"/>
        </w:tabs>
        <w:kinsoku/>
        <w:wordWrap/>
        <w:overflowPunct/>
        <w:topLinePunct w:val="0"/>
        <w:autoSpaceDE/>
        <w:autoSpaceDN/>
        <w:bidi w:val="0"/>
        <w:adjustRightInd w:val="0"/>
        <w:snapToGrid w:val="0"/>
        <w:spacing w:line="5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规划城市建设用地总面积613.43</w:t>
      </w:r>
      <w:r>
        <w:rPr>
          <w:rFonts w:ascii="仿宋" w:hAnsi="仿宋" w:eastAsia="仿宋" w:cs="仿宋"/>
          <w:sz w:val="32"/>
          <w:szCs w:val="32"/>
          <w:lang w:bidi="ar"/>
        </w:rPr>
        <w:t>公顷</w:t>
      </w:r>
      <w:r>
        <w:rPr>
          <w:rFonts w:hint="eastAsia" w:ascii="仿宋" w:hAnsi="仿宋" w:eastAsia="仿宋" w:cs="仿宋"/>
          <w:sz w:val="32"/>
          <w:szCs w:val="32"/>
          <w:lang w:bidi="ar"/>
        </w:rPr>
        <w:t>，可容纳居住人口规模约6.33万人。规划可开发经营性用地以居住、商业服务、工业功能为主，其中，规划可开发居住用地面积92.23公顷，建筑总面积168.62万平方米，平均容积率约1.83；规划可开发商住综合用地面积11.90公顷，建筑总面积21.77万平方米，平均容积率约1.83；规划可开发商服（含商业、商务、娱乐康体用地）用地面积46.17公顷，建筑总面积68.84万平方米，平均容积率约1.49；规划可开发商住康养综合用地面积15.23公顷，建筑总面积27.41万平方米，平均容积率约1.8；可开发工业用地（含一类、二类工业用地）面积60.68公顷，建筑总面积115.73万平方米，平均容积率约1.91。</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四、规划结构与用地布局</w:t>
      </w:r>
    </w:p>
    <w:p>
      <w:pPr>
        <w:keepNext w:val="0"/>
        <w:keepLines w:val="0"/>
        <w:pageBreakBefore w:val="0"/>
        <w:widowControl w:val="0"/>
        <w:tabs>
          <w:tab w:val="left" w:pos="720"/>
        </w:tabs>
        <w:kinsoku/>
        <w:wordWrap/>
        <w:overflowPunct/>
        <w:topLinePunct w:val="0"/>
        <w:autoSpaceDE/>
        <w:autoSpaceDN/>
        <w:bidi w:val="0"/>
        <w:adjustRightInd w:val="0"/>
        <w:snapToGrid w:val="0"/>
        <w:spacing w:line="5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规划形成“一环、两带、三区”的空间结构。“一环”为依托环镇路形成的整个镇区的发展主轴线，串联起镇区各个功能组团；“两带”为沿闽江形成的滨江发展带和由军博园、新坡、上寨、洋中、孔元串联形成的北部文创旅游特色发展带；“三区”包括老镇区及特色小镇构成的城镇生活发展区，南山洋工业区构成的高新产业发展区；以及新坡、上寨、洋中、孔元构成的北部文创旅游度假区。</w:t>
      </w:r>
    </w:p>
    <w:p>
      <w:pPr>
        <w:keepNext w:val="0"/>
        <w:keepLines w:val="0"/>
        <w:pageBreakBefore w:val="0"/>
        <w:widowControl w:val="0"/>
        <w:tabs>
          <w:tab w:val="left" w:pos="720"/>
        </w:tabs>
        <w:kinsoku/>
        <w:wordWrap/>
        <w:overflowPunct/>
        <w:topLinePunct w:val="0"/>
        <w:autoSpaceDE/>
        <w:autoSpaceDN/>
        <w:bidi w:val="0"/>
        <w:adjustRightInd w:val="0"/>
        <w:snapToGrid w:val="0"/>
        <w:spacing w:line="50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合福高铁以南的老镇区以保留用地为主，适度进行旧城更新，于第二中心小学北侧、沿上寨溪两岸集中布局商业、行政办公、文化、体育等公共服务用地，形成整个镇区的公共服务核心。合福高铁以北围绕海丝时尚居艺特色小镇形成白沙镇新区，打造以居住、商业商务为主的综合生活片区。北部依托优美的自然山水环境以及新坡、上寨的特色文化资源，引入职业学校、文化旅游、度假康养、生态居住等特色功能，打造北部文创旅游度假区。京台高速白沙出口结合孔元花海形成镇区的全域旅游服务中心。南山洋工业区在现有园区范围的基础上，利用低丘缓坡地向山边拓展，促进园区规模化发展，引进工艺品设计、创意研发等无污染的高新产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五、配套设施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根据规划用地功能与开发容量，规划完善了片区相关配套设施的配置。1、公共管理与公共服务设施：保留现状中学2所、小学2所、幼儿园3所、中心医院1座；新增行政办公用地1处，作为行政服务中心和新镇政府；新增文化设施3处，分别为镇文化中心、特色小镇展馆和孔元书院；新增36班特色小镇小学1所、幼儿园5所；新增镇体育馆1座；新增镇养老中心1处。2、交通设施：新增客运站、公交首末站1处（合设），新增社会停车场9处，保留扩建社会停车场2处，共能提供2075个泊位。3、市政基础设施：保留现状变电站2处、垃圾转运站1处，新增110kv变电站1座、燃气站1座、污水处理厂1座、垃圾转运站1座、消防站1座。</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六、交通组织</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依山就势，组团布局，结合地形特征采用“环状+方格网”组团式路网格局。规划构建“一环一联”的城市交通性主干路骨架，环路由环镇路、闽兴大道、现X115拓宽至</w:t>
      </w:r>
      <w:r>
        <w:rPr>
          <w:rFonts w:ascii="仿宋" w:hAnsi="仿宋" w:eastAsia="仿宋" w:cs="仿宋"/>
          <w:sz w:val="32"/>
          <w:szCs w:val="32"/>
          <w:lang w:bidi="ar"/>
        </w:rPr>
        <w:t>24</w:t>
      </w:r>
      <w:r>
        <w:rPr>
          <w:rFonts w:hint="eastAsia" w:ascii="仿宋" w:hAnsi="仿宋" w:eastAsia="仿宋" w:cs="仿宋"/>
          <w:sz w:val="32"/>
          <w:szCs w:val="32"/>
          <w:lang w:bidi="ar"/>
        </w:rPr>
        <w:t>米、外环路构成。“一联”为新城大道。次干路成网格状，均衡分布于各组团。</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七、景观风貌</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规划重点控制山边、水边、重要交通廊道沿线的用地功能与地块开发强度，公共设施集中布局于上寨溪沿线，提高滨水公共空间比例；闽江沿线峰福铁路以南以生态用地为主，新增商住地块高度控制在24米以下；合福高铁、京台高速两侧预留100米生态景观廊道。</w:t>
      </w:r>
    </w:p>
    <w:p>
      <w:pPr>
        <w:keepNext w:val="0"/>
        <w:keepLines w:val="0"/>
        <w:pageBreakBefore w:val="0"/>
        <w:widowControl w:val="0"/>
        <w:kinsoku/>
        <w:wordWrap/>
        <w:overflowPunct/>
        <w:topLinePunct w:val="0"/>
        <w:autoSpaceDE/>
        <w:autoSpaceDN/>
        <w:bidi w:val="0"/>
        <w:snapToGrid w:val="0"/>
        <w:spacing w:line="500" w:lineRule="exact"/>
        <w:ind w:firstLine="640" w:firstLineChars="200"/>
        <w:jc w:val="center"/>
        <w:textAlignment w:val="top"/>
        <w:rPr>
          <w:rFonts w:ascii="仿宋_GB2312" w:hAnsi="仿宋_GB2312" w:cs="仿宋_GB2312"/>
          <w:bCs/>
          <w:position w:val="6"/>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640" w:firstLineChars="200"/>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八、公示图纸</w:t>
      </w:r>
    </w:p>
    <w:p>
      <w:pPr>
        <w:adjustRightInd w:val="0"/>
        <w:snapToGrid w:val="0"/>
        <w:spacing w:line="360" w:lineRule="auto"/>
        <w:ind w:firstLine="643" w:firstLineChars="200"/>
        <w:rPr>
          <w:rFonts w:hint="eastAsia" w:ascii="仿宋" w:hAnsi="仿宋" w:eastAsia="仿宋" w:cs="仿宋_GB2312"/>
          <w:b/>
          <w:sz w:val="32"/>
          <w:szCs w:val="32"/>
          <w:lang w:bidi="ar"/>
        </w:rPr>
      </w:pPr>
      <w:r>
        <w:rPr>
          <w:rFonts w:hint="eastAsia" w:ascii="仿宋" w:hAnsi="仿宋" w:eastAsia="仿宋" w:cs="仿宋_GB2312"/>
          <w:b/>
          <w:sz w:val="32"/>
          <w:szCs w:val="32"/>
          <w:lang w:bidi="ar"/>
        </w:rPr>
        <w:t>1、规划结构图</w:t>
      </w:r>
    </w:p>
    <w:p>
      <w:pPr>
        <w:adjustRightInd w:val="0"/>
        <w:snapToGrid w:val="0"/>
        <w:spacing w:line="360" w:lineRule="auto"/>
        <w:rPr>
          <w:rFonts w:hint="eastAsia" w:ascii="仿宋" w:hAnsi="仿宋" w:eastAsia="仿宋" w:cs="仿宋_GB2312"/>
          <w:b/>
          <w:sz w:val="28"/>
          <w:szCs w:val="28"/>
          <w:lang w:bidi="ar"/>
        </w:rPr>
      </w:pPr>
      <w:r>
        <w:rPr>
          <w:rFonts w:ascii="仿宋" w:hAnsi="仿宋" w:eastAsia="仿宋" w:cs="仿宋_GB2312"/>
          <w:b/>
          <w:sz w:val="28"/>
          <w:szCs w:val="28"/>
        </w:rPr>
        <w:drawing>
          <wp:inline distT="0" distB="0" distL="0" distR="0">
            <wp:extent cx="5276850" cy="3730625"/>
            <wp:effectExtent l="0" t="0" r="0" b="3175"/>
            <wp:docPr id="6" name="图片 6" descr="P:\2020年度\20201102_ 闽侯县五年用地规划\000 白沙借用\底图\13-规划结构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2020年度\20201102_ 闽侯县五年用地规划\000 白沙借用\底图\13-规划结构图.jpg"/>
                    <pic:cNvPicPr>
                      <a:picLocks noChangeAspect="1" noChangeArrowheads="1"/>
                    </pic:cNvPicPr>
                  </pic:nvPicPr>
                  <pic:blipFill>
                    <a:blip r:embed="rId4" cstate="print">
                      <a:extLst>
                        <a:ext uri="{28A0092B-C50C-407E-A947-70E740481C1C}">
                          <a14:useLocalDpi xmlns:a14="http://schemas.microsoft.com/office/drawing/2010/main" val="0"/>
                        </a:ext>
                      </a:extLst>
                    </a:blip>
                    <a:srcRect l="1446" t="1534" r="1642" b="1534"/>
                    <a:stretch>
                      <a:fillRect/>
                    </a:stretch>
                  </pic:blipFill>
                  <pic:spPr>
                    <a:xfrm>
                      <a:off x="0" y="0"/>
                      <a:ext cx="5283035" cy="3735579"/>
                    </a:xfrm>
                    <a:prstGeom prst="rect">
                      <a:avLst/>
                    </a:prstGeom>
                    <a:noFill/>
                    <a:ln>
                      <a:noFill/>
                    </a:ln>
                  </pic:spPr>
                </pic:pic>
              </a:graphicData>
            </a:graphic>
          </wp:inline>
        </w:drawing>
      </w:r>
    </w:p>
    <w:p>
      <w:pPr>
        <w:adjustRightInd w:val="0"/>
        <w:snapToGrid w:val="0"/>
        <w:spacing w:line="360" w:lineRule="auto"/>
        <w:ind w:firstLine="643" w:firstLineChars="200"/>
        <w:rPr>
          <w:rFonts w:ascii="仿宋" w:hAnsi="仿宋" w:eastAsia="仿宋" w:cs="仿宋_GB2312"/>
          <w:b/>
          <w:sz w:val="32"/>
          <w:szCs w:val="32"/>
          <w:lang w:bidi="ar"/>
        </w:rPr>
      </w:pPr>
      <w:r>
        <w:rPr>
          <w:rFonts w:hint="eastAsia" w:ascii="仿宋" w:hAnsi="仿宋" w:eastAsia="仿宋" w:cs="仿宋_GB2312"/>
          <w:b/>
          <w:sz w:val="32"/>
          <w:szCs w:val="32"/>
          <w:lang w:bidi="ar"/>
        </w:rPr>
        <w:t>2、土地利用规划图</w:t>
      </w:r>
    </w:p>
    <w:p>
      <w:pPr>
        <w:snapToGrid w:val="0"/>
        <w:jc w:val="center"/>
        <w:textAlignment w:val="top"/>
        <w:rPr>
          <w:rFonts w:ascii="仿宋_GB2312" w:hAnsi="仿宋_GB2312" w:cs="仿宋_GB2312"/>
          <w:bCs/>
          <w:position w:val="6"/>
          <w:szCs w:val="32"/>
        </w:rPr>
      </w:pPr>
      <w:r>
        <w:rPr>
          <w:rFonts w:ascii="仿宋_GB2312" w:hAnsi="仿宋_GB2312" w:cs="仿宋_GB2312"/>
          <w:bCs/>
          <w:position w:val="6"/>
          <w:szCs w:val="32"/>
        </w:rPr>
        <w:drawing>
          <wp:inline distT="0" distB="0" distL="0" distR="0">
            <wp:extent cx="5281295" cy="3724275"/>
            <wp:effectExtent l="0" t="0" r="146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l="1445" t="1790" r="1708" b="1535"/>
                    <a:stretch>
                      <a:fillRect/>
                    </a:stretch>
                  </pic:blipFill>
                  <pic:spPr>
                    <a:xfrm>
                      <a:off x="0" y="0"/>
                      <a:ext cx="5287596" cy="3728940"/>
                    </a:xfrm>
                    <a:prstGeom prst="rect">
                      <a:avLst/>
                    </a:prstGeom>
                    <a:ln>
                      <a:noFill/>
                    </a:ln>
                  </pic:spPr>
                </pic:pic>
              </a:graphicData>
            </a:graphic>
          </wp:inline>
        </w:drawing>
      </w:r>
    </w:p>
    <w:p>
      <w:pPr>
        <w:adjustRightInd w:val="0"/>
        <w:snapToGrid w:val="0"/>
        <w:spacing w:line="360" w:lineRule="auto"/>
        <w:ind w:firstLine="562" w:firstLineChars="200"/>
        <w:rPr>
          <w:rFonts w:hint="eastAsia" w:ascii="仿宋" w:hAnsi="仿宋" w:eastAsia="仿宋" w:cs="仿宋_GB2312"/>
          <w:b/>
          <w:sz w:val="28"/>
          <w:szCs w:val="28"/>
          <w:lang w:bidi="ar"/>
        </w:rPr>
      </w:pPr>
    </w:p>
    <w:p>
      <w:pPr>
        <w:adjustRightInd w:val="0"/>
        <w:snapToGrid w:val="0"/>
        <w:spacing w:line="360" w:lineRule="auto"/>
        <w:ind w:firstLine="643" w:firstLineChars="200"/>
        <w:rPr>
          <w:rFonts w:ascii="仿宋" w:hAnsi="仿宋" w:eastAsia="仿宋" w:cs="仿宋_GB2312"/>
          <w:b/>
          <w:sz w:val="32"/>
          <w:szCs w:val="32"/>
          <w:lang w:bidi="ar"/>
        </w:rPr>
      </w:pPr>
      <w:r>
        <w:rPr>
          <w:rFonts w:hint="eastAsia" w:ascii="仿宋" w:hAnsi="仿宋" w:eastAsia="仿宋" w:cs="仿宋_GB2312"/>
          <w:b/>
          <w:sz w:val="32"/>
          <w:szCs w:val="32"/>
          <w:lang w:bidi="ar"/>
        </w:rPr>
        <w:t>3、道路交通规划图</w:t>
      </w:r>
    </w:p>
    <w:p>
      <w:pPr>
        <w:snapToGrid w:val="0"/>
        <w:jc w:val="left"/>
        <w:textAlignment w:val="top"/>
        <w:rPr>
          <w:color w:val="FF0000"/>
        </w:rPr>
      </w:pPr>
      <w:r>
        <w:rPr>
          <w:color w:val="FF0000"/>
        </w:rPr>
        <w:drawing>
          <wp:inline distT="0" distB="0" distL="0" distR="0">
            <wp:extent cx="5287645" cy="3727450"/>
            <wp:effectExtent l="0" t="0" r="825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rcRect l="1472" t="1852" r="1552" b="1389"/>
                    <a:stretch>
                      <a:fillRect/>
                    </a:stretch>
                  </pic:blipFill>
                  <pic:spPr>
                    <a:xfrm>
                      <a:off x="0" y="0"/>
                      <a:ext cx="5287381" cy="3727024"/>
                    </a:xfrm>
                    <a:prstGeom prst="rect">
                      <a:avLst/>
                    </a:prstGeom>
                    <a:ln>
                      <a:noFill/>
                    </a:ln>
                  </pic:spPr>
                </pic:pic>
              </a:graphicData>
            </a:graphic>
          </wp:inline>
        </w:drawing>
      </w:r>
    </w:p>
    <w:p>
      <w:pPr>
        <w:ind w:firstLine="640" w:firstLineChars="200"/>
        <w:jc w:val="both"/>
        <w:rPr>
          <w:rFonts w:hint="eastAsia" w:ascii="仿宋" w:hAnsi="仿宋" w:eastAsia="仿宋" w:cs="仿宋"/>
          <w:bCs/>
          <w:position w:val="6"/>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A25AB"/>
    <w:rsid w:val="022C76AB"/>
    <w:rsid w:val="0E9D15B3"/>
    <w:rsid w:val="11B31883"/>
    <w:rsid w:val="14836F0C"/>
    <w:rsid w:val="18746D2F"/>
    <w:rsid w:val="19B81228"/>
    <w:rsid w:val="1B3A25AB"/>
    <w:rsid w:val="1EEA1E56"/>
    <w:rsid w:val="27AE2D23"/>
    <w:rsid w:val="29B55501"/>
    <w:rsid w:val="2E097B54"/>
    <w:rsid w:val="32845E96"/>
    <w:rsid w:val="373F7D7F"/>
    <w:rsid w:val="49296F7A"/>
    <w:rsid w:val="4DF805BD"/>
    <w:rsid w:val="5A712D35"/>
    <w:rsid w:val="5AE658F0"/>
    <w:rsid w:val="5C773D7F"/>
    <w:rsid w:val="6845430A"/>
    <w:rsid w:val="6C69508A"/>
    <w:rsid w:val="71975550"/>
    <w:rsid w:val="79A2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2021-03-17T01:41:00Z</dcterms:created>
  <dc:creator>七言。</dc:creator>
  <cp:lastModifiedBy>七言。</cp:lastModifiedBy>
  <dcterms:modified xsi:type="dcterms:W3CDTF">2021-03-19T00:40:09Z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036401DDA2444741B6CE4B3EC838E27A</vt:lpwstr>
  </property>
</Properties>
</file>