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b w:val="0"/>
          <w:bCs w:val="0"/>
          <w:sz w:val="44"/>
          <w:szCs w:val="44"/>
        </w:rPr>
        <w:t>《青口汽车城控制性详细规划（QK</w:t>
      </w:r>
      <w:r>
        <w:rPr>
          <w:rFonts w:hint="eastAsia" w:ascii="方正小标宋简体" w:hAnsi="方正小标宋简体" w:eastAsia="方正小标宋简体" w:cs="方正小标宋简体"/>
          <w:b w:val="0"/>
          <w:bCs w:val="0"/>
          <w:sz w:val="44"/>
          <w:szCs w:val="44"/>
          <w:lang w:val="en-US" w:eastAsia="zh-CN"/>
        </w:rPr>
        <w:t>11编制</w:t>
      </w:r>
      <w:r>
        <w:rPr>
          <w:rFonts w:hint="eastAsia" w:ascii="方正小标宋简体" w:hAnsi="方正小标宋简体" w:eastAsia="方正小标宋简体" w:cs="方正小标宋简体"/>
          <w:b w:val="0"/>
          <w:bCs w:val="0"/>
          <w:sz w:val="44"/>
          <w:szCs w:val="44"/>
        </w:rPr>
        <w:t>单元）》的公示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880" w:firstLineChars="200"/>
        <w:textAlignment w:val="auto"/>
        <w:rPr>
          <w:rFonts w:ascii="仿宋" w:hAnsi="仿宋" w:eastAsia="仿宋"/>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6"/>
          <w:lang w:val="en-US" w:eastAsia="zh-CN"/>
        </w:rPr>
        <w:t>福州东南汽车城投资发展集团有限公司</w:t>
      </w:r>
      <w:r>
        <w:rPr>
          <w:rFonts w:hint="eastAsia" w:ascii="仿宋_GB2312" w:hAnsi="仿宋_GB2312" w:eastAsia="仿宋_GB2312" w:cs="仿宋_GB2312"/>
          <w:sz w:val="32"/>
          <w:szCs w:val="36"/>
        </w:rPr>
        <w:t>委托福州市规划设计研究院集团有限公司编制的《青口汽车城控制性详细规划（QK11编制单元）》于202</w:t>
      </w:r>
      <w:r>
        <w:rPr>
          <w:rFonts w:hint="eastAsia" w:ascii="仿宋_GB2312" w:hAnsi="仿宋_GB2312" w:eastAsia="仿宋_GB2312" w:cs="仿宋_GB2312"/>
          <w:sz w:val="32"/>
          <w:szCs w:val="36"/>
          <w:lang w:val="en-US" w:eastAsia="zh-CN"/>
        </w:rPr>
        <w:t>3</w:t>
      </w:r>
      <w:r>
        <w:rPr>
          <w:rFonts w:hint="eastAsia" w:ascii="仿宋_GB2312" w:hAnsi="仿宋_GB2312" w:eastAsia="仿宋_GB2312" w:cs="仿宋_GB2312"/>
          <w:sz w:val="32"/>
          <w:szCs w:val="36"/>
        </w:rPr>
        <w:t>年</w:t>
      </w:r>
      <w:r>
        <w:rPr>
          <w:rFonts w:hint="eastAsia" w:ascii="仿宋_GB2312" w:hAnsi="仿宋_GB2312" w:eastAsia="仿宋_GB2312" w:cs="仿宋_GB2312"/>
          <w:sz w:val="32"/>
          <w:szCs w:val="36"/>
          <w:lang w:val="en-US" w:eastAsia="zh-CN"/>
        </w:rPr>
        <w:t>10</w:t>
      </w:r>
      <w:r>
        <w:rPr>
          <w:rFonts w:hint="eastAsia" w:ascii="仿宋_GB2312" w:hAnsi="仿宋_GB2312" w:eastAsia="仿宋_GB2312" w:cs="仿宋_GB2312"/>
          <w:sz w:val="32"/>
          <w:szCs w:val="36"/>
        </w:rPr>
        <w:t>月</w:t>
      </w:r>
      <w:r>
        <w:rPr>
          <w:rFonts w:hint="eastAsia" w:ascii="仿宋_GB2312" w:hAnsi="仿宋_GB2312" w:eastAsia="仿宋_GB2312" w:cs="仿宋_GB2312"/>
          <w:sz w:val="32"/>
          <w:szCs w:val="36"/>
          <w:lang w:val="en-US" w:eastAsia="zh-CN"/>
        </w:rPr>
        <w:t>23</w:t>
      </w:r>
      <w:r>
        <w:rPr>
          <w:rFonts w:hint="eastAsia" w:ascii="仿宋_GB2312" w:hAnsi="仿宋_GB2312" w:eastAsia="仿宋_GB2312" w:cs="仿宋_GB2312"/>
          <w:sz w:val="32"/>
          <w:szCs w:val="36"/>
        </w:rPr>
        <w:t>日通过我局组织的专家技术审查</w:t>
      </w:r>
      <w:r>
        <w:rPr>
          <w:rFonts w:hint="eastAsia" w:ascii="仿宋_GB2312" w:hAnsi="仿宋_GB2312" w:eastAsia="仿宋_GB2312" w:cs="仿宋_GB2312"/>
          <w:sz w:val="32"/>
          <w:szCs w:val="36"/>
          <w:lang w:eastAsia="zh-CN"/>
        </w:rPr>
        <w:t>。</w:t>
      </w:r>
      <w:r>
        <w:rPr>
          <w:rFonts w:hint="eastAsia" w:ascii="仿宋_GB2312" w:hAnsi="仿宋_GB2312" w:eastAsia="仿宋_GB2312" w:cs="仿宋_GB2312"/>
          <w:color w:val="000000"/>
          <w:sz w:val="32"/>
          <w:szCs w:val="32"/>
        </w:rPr>
        <w:t>根据《城乡规划法》中“</w:t>
      </w:r>
      <w:r>
        <w:rPr>
          <w:rFonts w:hint="eastAsia" w:ascii="仿宋_GB2312" w:hAnsi="仿宋_GB2312" w:eastAsia="仿宋_GB2312" w:cs="仿宋_GB2312"/>
          <w:color w:val="000000"/>
          <w:sz w:val="32"/>
          <w:szCs w:val="32"/>
        </w:rPr>
        <w:fldChar w:fldCharType="begin"/>
      </w:r>
      <w:r>
        <w:rPr>
          <w:rFonts w:hint="eastAsia" w:ascii="仿宋_GB2312" w:hAnsi="仿宋_GB2312" w:eastAsia="仿宋_GB2312" w:cs="仿宋_GB2312"/>
          <w:color w:val="000000"/>
          <w:sz w:val="32"/>
          <w:szCs w:val="32"/>
        </w:rPr>
        <w:instrText xml:space="preserve"> HYPERLINK "https://law.lawtime.cn/lifadongtai/21378.html" \t "https://www.lawtime.cn/faguizt/_blank" \o "城乡规划法释义：第26条" </w:instrText>
      </w:r>
      <w:r>
        <w:rPr>
          <w:rFonts w:hint="eastAsia" w:ascii="仿宋_GB2312" w:hAnsi="仿宋_GB2312" w:eastAsia="仿宋_GB2312" w:cs="仿宋_GB2312"/>
          <w:color w:val="000000"/>
          <w:sz w:val="32"/>
          <w:szCs w:val="32"/>
        </w:rPr>
        <w:fldChar w:fldCharType="separate"/>
      </w:r>
      <w:r>
        <w:rPr>
          <w:rFonts w:hint="eastAsia" w:ascii="仿宋_GB2312" w:hAnsi="仿宋_GB2312" w:eastAsia="仿宋_GB2312" w:cs="仿宋_GB2312"/>
          <w:color w:val="000000"/>
          <w:sz w:val="32"/>
          <w:szCs w:val="32"/>
        </w:rPr>
        <w:t>第二十六条</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rPr>
        <w:t>城乡规划报送审批前，组织编制机关应当依法将城乡规划草案予以公告，并采取论证会、听证会或者其他方式征求专家和公众的意见。公告的时间不得少于三十日。”的要求，现将修改完善后的规划草案公示征求公众意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sz w:val="32"/>
          <w:szCs w:val="36"/>
        </w:rPr>
      </w:pPr>
      <w:r>
        <w:rPr>
          <w:rFonts w:hint="eastAsia" w:ascii="仿宋_GB2312" w:hAnsi="仿宋_GB2312" w:eastAsia="仿宋_GB2312" w:cs="仿宋_GB2312"/>
          <w:sz w:val="32"/>
          <w:szCs w:val="36"/>
        </w:rPr>
        <w:t>规划主要内容发布在闽侯县政务信息网（www.minhou.gov.cn）上。公示时间自2023年</w:t>
      </w:r>
      <w:r>
        <w:rPr>
          <w:rFonts w:hint="default" w:ascii="仿宋_GB2312" w:hAnsi="仿宋_GB2312" w:eastAsia="仿宋_GB2312" w:cs="仿宋_GB2312"/>
          <w:sz w:val="32"/>
          <w:szCs w:val="36"/>
          <w:lang w:val="en-US"/>
        </w:rPr>
        <w:t>11</w:t>
      </w:r>
      <w:r>
        <w:rPr>
          <w:rFonts w:hint="eastAsia" w:ascii="仿宋_GB2312" w:hAnsi="仿宋_GB2312" w:eastAsia="仿宋_GB2312" w:cs="仿宋_GB2312"/>
          <w:sz w:val="32"/>
          <w:szCs w:val="36"/>
        </w:rPr>
        <w:t xml:space="preserve"> 月</w:t>
      </w:r>
      <w:r>
        <w:rPr>
          <w:rFonts w:hint="eastAsia" w:ascii="仿宋_GB2312" w:hAnsi="仿宋_GB2312" w:eastAsia="仿宋_GB2312" w:cs="仿宋_GB2312"/>
          <w:sz w:val="32"/>
          <w:szCs w:val="36"/>
          <w:lang w:val="en-US" w:eastAsia="zh-CN"/>
        </w:rPr>
        <w:t>22</w:t>
      </w:r>
      <w:r>
        <w:rPr>
          <w:rFonts w:hint="eastAsia" w:ascii="仿宋_GB2312" w:hAnsi="仿宋_GB2312" w:eastAsia="仿宋_GB2312" w:cs="仿宋_GB2312"/>
          <w:sz w:val="32"/>
          <w:szCs w:val="36"/>
        </w:rPr>
        <w:t>日至2023年</w:t>
      </w:r>
      <w:r>
        <w:rPr>
          <w:rFonts w:hint="default" w:ascii="仿宋_GB2312" w:hAnsi="仿宋_GB2312" w:eastAsia="仿宋_GB2312" w:cs="仿宋_GB2312"/>
          <w:sz w:val="32"/>
          <w:szCs w:val="36"/>
          <w:lang w:val="en-US"/>
        </w:rPr>
        <w:t>12</w:t>
      </w:r>
      <w:r>
        <w:rPr>
          <w:rFonts w:hint="eastAsia" w:ascii="仿宋_GB2312" w:hAnsi="仿宋_GB2312" w:eastAsia="仿宋_GB2312" w:cs="仿宋_GB2312"/>
          <w:sz w:val="32"/>
          <w:szCs w:val="36"/>
        </w:rPr>
        <w:t>月</w:t>
      </w:r>
      <w:r>
        <w:rPr>
          <w:rFonts w:hint="eastAsia" w:ascii="仿宋_GB2312" w:hAnsi="仿宋_GB2312" w:eastAsia="仿宋_GB2312" w:cs="仿宋_GB2312"/>
          <w:sz w:val="32"/>
          <w:szCs w:val="36"/>
          <w:lang w:val="en-US" w:eastAsia="zh-CN"/>
        </w:rPr>
        <w:t>21</w:t>
      </w:r>
      <w:r>
        <w:rPr>
          <w:rFonts w:hint="eastAsia" w:ascii="仿宋_GB2312" w:hAnsi="仿宋_GB2312" w:eastAsia="仿宋_GB2312" w:cs="仿宋_GB2312"/>
          <w:sz w:val="32"/>
          <w:szCs w:val="36"/>
        </w:rPr>
        <w:t>日，公示期间欢迎各单位和个人通过信函或电子邮件方式对规划提出意见与建议。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sz w:val="32"/>
          <w:szCs w:val="36"/>
        </w:rPr>
      </w:pPr>
      <w:r>
        <w:rPr>
          <w:rFonts w:hint="eastAsia" w:ascii="仿宋_GB2312" w:hAnsi="仿宋_GB2312" w:eastAsia="仿宋_GB2312" w:cs="仿宋_GB2312"/>
          <w:sz w:val="32"/>
          <w:szCs w:val="36"/>
        </w:rPr>
        <w:t>来信邮寄地址：福州市闽侯县甘蔗街道滨江商务中心C栋5楼（闽侯县自然资源和规划局），邮政编码：350100，</w:t>
      </w:r>
      <w:r>
        <w:rPr>
          <w:rFonts w:hint="default" w:ascii="仿宋_GB2312" w:hAnsi="仿宋_GB2312" w:eastAsia="仿宋_GB2312" w:cs="仿宋_GB2312"/>
          <w:sz w:val="32"/>
          <w:szCs w:val="36"/>
          <w:lang w:val="en-US"/>
        </w:rPr>
        <w:t>联系电话：0591-22982504或0591-22062329，</w:t>
      </w:r>
      <w:r>
        <w:rPr>
          <w:rFonts w:hint="eastAsia" w:ascii="仿宋_GB2312" w:hAnsi="仿宋_GB2312" w:eastAsia="仿宋_GB2312" w:cs="仿宋_GB2312"/>
          <w:sz w:val="32"/>
          <w:szCs w:val="36"/>
        </w:rPr>
        <w:t>电子邮件：mhcxgh@163.com，并注明《青口汽车城控制性详细规划（QK11编制单元）》规划意见与建议”。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6"/>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3840" w:firstLineChars="1200"/>
        <w:textAlignment w:val="auto"/>
        <w:rPr>
          <w:rFonts w:ascii="仿宋_GB2312" w:hAnsi="仿宋_GB2312" w:eastAsia="仿宋_GB2312" w:cs="仿宋_GB2312"/>
          <w:sz w:val="32"/>
          <w:szCs w:val="36"/>
        </w:rPr>
      </w:pPr>
      <w:r>
        <w:rPr>
          <w:rFonts w:hint="eastAsia" w:ascii="仿宋_GB2312" w:hAnsi="仿宋_GB2312" w:eastAsia="仿宋_GB2312" w:cs="仿宋_GB2312"/>
          <w:sz w:val="32"/>
          <w:szCs w:val="36"/>
        </w:rPr>
        <w:t>闽侯县自然资源和规划局</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ascii="仿宋_GB2312" w:hAnsi="仿宋_GB2312" w:eastAsia="仿宋_GB2312" w:cs="仿宋_GB2312"/>
          <w:sz w:val="32"/>
          <w:szCs w:val="36"/>
        </w:rPr>
      </w:pPr>
      <w:r>
        <w:rPr>
          <w:rFonts w:hint="eastAsia" w:ascii="仿宋_GB2312" w:hAnsi="仿宋_GB2312" w:eastAsia="仿宋_GB2312" w:cs="仿宋_GB2312"/>
          <w:sz w:val="32"/>
          <w:szCs w:val="36"/>
        </w:rPr>
        <w:t>2023年</w:t>
      </w:r>
      <w:r>
        <w:rPr>
          <w:rFonts w:hint="default" w:ascii="仿宋_GB2312" w:hAnsi="仿宋_GB2312" w:eastAsia="仿宋_GB2312" w:cs="仿宋_GB2312"/>
          <w:sz w:val="32"/>
          <w:szCs w:val="36"/>
          <w:lang w:val="en-US"/>
        </w:rPr>
        <w:t>11</w:t>
      </w:r>
      <w:r>
        <w:rPr>
          <w:rFonts w:hint="eastAsia" w:ascii="仿宋_GB2312" w:hAnsi="仿宋_GB2312" w:eastAsia="仿宋_GB2312" w:cs="仿宋_GB2312"/>
          <w:sz w:val="32"/>
          <w:szCs w:val="36"/>
        </w:rPr>
        <w:t>月</w:t>
      </w:r>
      <w:r>
        <w:rPr>
          <w:rFonts w:hint="default" w:ascii="仿宋_GB2312" w:hAnsi="仿宋_GB2312" w:eastAsia="仿宋_GB2312" w:cs="仿宋_GB2312"/>
          <w:sz w:val="32"/>
          <w:szCs w:val="36"/>
          <w:lang w:val="en-US"/>
        </w:rPr>
        <w:t>21</w:t>
      </w:r>
      <w:r>
        <w:rPr>
          <w:rFonts w:hint="eastAsia" w:ascii="仿宋_GB2312" w:hAnsi="仿宋_GB2312" w:eastAsia="仿宋_GB2312" w:cs="仿宋_GB2312"/>
          <w:sz w:val="32"/>
          <w:szCs w:val="36"/>
        </w:rPr>
        <w:t>日</w:t>
      </w:r>
    </w:p>
    <w:p>
      <w:pPr>
        <w:rPr>
          <w:rFonts w:hint="eastAsia" w:ascii="黑体" w:hAnsi="黑体" w:eastAsia="黑体"/>
          <w:sz w:val="32"/>
          <w:szCs w:val="32"/>
        </w:rPr>
      </w:pPr>
    </w:p>
    <w:p>
      <w:pPr>
        <w:rPr>
          <w:rFonts w:hint="eastAsia" w:ascii="黑体" w:hAnsi="黑体" w:eastAsia="黑体"/>
          <w:sz w:val="32"/>
          <w:szCs w:val="32"/>
          <w:lang w:eastAsia="zh-CN"/>
        </w:rPr>
      </w:pPr>
      <w:r>
        <w:rPr>
          <w:rFonts w:hint="eastAsia" w:ascii="黑体" w:hAnsi="黑体" w:eastAsia="黑体"/>
          <w:sz w:val="32"/>
          <w:szCs w:val="32"/>
        </w:rPr>
        <w:t>附件</w:t>
      </w:r>
      <w:r>
        <w:rPr>
          <w:rFonts w:hint="eastAsia" w:ascii="黑体" w:hAnsi="黑体" w:eastAsia="黑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sz w:val="44"/>
          <w:szCs w:val="44"/>
        </w:rPr>
      </w:pPr>
      <w:r>
        <w:rPr>
          <w:rFonts w:hint="eastAsia" w:ascii="黑体" w:hAnsi="黑体" w:eastAsia="黑体"/>
          <w:sz w:val="44"/>
          <w:szCs w:val="44"/>
        </w:rPr>
        <w:t>《青口汽车城控制性详细规</w:t>
      </w:r>
      <w:r>
        <w:rPr>
          <w:rFonts w:hint="default" w:ascii="黑体" w:hAnsi="黑体" w:eastAsia="黑体"/>
          <w:sz w:val="44"/>
          <w:szCs w:val="44"/>
          <w:lang w:val="en-US"/>
        </w:rPr>
        <w:t>划</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sz w:val="44"/>
          <w:szCs w:val="44"/>
        </w:rPr>
      </w:pPr>
      <w:r>
        <w:rPr>
          <w:rFonts w:hint="eastAsia" w:ascii="黑体" w:hAnsi="黑体" w:eastAsia="黑体"/>
          <w:sz w:val="44"/>
          <w:szCs w:val="44"/>
        </w:rPr>
        <w:t>（QK</w:t>
      </w:r>
      <w:r>
        <w:rPr>
          <w:rFonts w:hint="default" w:ascii="黑体" w:hAnsi="黑体" w:eastAsia="黑体"/>
          <w:sz w:val="44"/>
          <w:szCs w:val="44"/>
          <w:lang w:val="en-US"/>
        </w:rPr>
        <w:t>11编制</w:t>
      </w:r>
      <w:r>
        <w:rPr>
          <w:rFonts w:hint="eastAsia" w:ascii="黑体" w:hAnsi="黑体" w:eastAsia="黑体"/>
          <w:sz w:val="44"/>
          <w:szCs w:val="44"/>
        </w:rPr>
        <w:t>单元）》规划简介</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黑体" w:hAnsi="黑体" w:eastAsia="黑体"/>
          <w:sz w:val="28"/>
          <w:szCs w:val="28"/>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一、规划范围</w:t>
      </w:r>
    </w:p>
    <w:p>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本次规划范围为北至澜澄河南侧，西至福州南连接线，南至凤头山北侧，东至祥三线，规划范围24.90公顷。</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二、人口与用地规模</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sz w:val="32"/>
          <w:szCs w:val="48"/>
        </w:rPr>
      </w:pPr>
      <w:r>
        <w:rPr>
          <w:rFonts w:hint="eastAsia" w:ascii="仿宋" w:hAnsi="仿宋" w:eastAsia="仿宋" w:cs="仿宋"/>
          <w:sz w:val="32"/>
          <w:szCs w:val="48"/>
        </w:rPr>
        <w:t>规划区总用地面积约24.90公顷，其中城市建设用地22.</w:t>
      </w:r>
      <w:r>
        <w:rPr>
          <w:rFonts w:hint="eastAsia" w:ascii="仿宋" w:hAnsi="仿宋" w:eastAsia="仿宋" w:cs="仿宋"/>
          <w:sz w:val="32"/>
          <w:szCs w:val="48"/>
          <w:lang w:val="en-US" w:eastAsia="zh-CN"/>
        </w:rPr>
        <w:t>3</w:t>
      </w:r>
      <w:r>
        <w:rPr>
          <w:rFonts w:hint="eastAsia" w:ascii="仿宋" w:hAnsi="仿宋" w:eastAsia="仿宋" w:cs="仿宋"/>
          <w:sz w:val="32"/>
          <w:szCs w:val="48"/>
        </w:rPr>
        <w:t>3公顷。本区内为典型的工业发展区，涉及辅翼村部分村民人口，现状人口0.04万人，规划新增居住人口0.02万人，规划产业人口0.06万人，本规划区范围内共规划服务人口0.12万人。</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三、功能定位</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sz w:val="32"/>
          <w:szCs w:val="48"/>
        </w:rPr>
      </w:pPr>
      <w:r>
        <w:rPr>
          <w:rFonts w:hint="eastAsia" w:ascii="仿宋" w:hAnsi="仿宋" w:eastAsia="仿宋" w:cs="仿宋"/>
          <w:sz w:val="32"/>
          <w:szCs w:val="48"/>
        </w:rPr>
        <w:t>结合东南汽车城整体建设目标，本片区功能定位为：东南汽车城西翼产业区的地区产业开发引擎，形成以汽车配套产业为主，生态休闲、生活居住、公共服务配套为辅的产业融合功能区。</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四、用地布局内容</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sz w:val="32"/>
          <w:szCs w:val="48"/>
        </w:rPr>
      </w:pPr>
      <w:r>
        <w:rPr>
          <w:rFonts w:hint="eastAsia" w:ascii="仿宋" w:hAnsi="仿宋" w:eastAsia="仿宋" w:cs="仿宋"/>
          <w:sz w:val="32"/>
          <w:szCs w:val="48"/>
        </w:rPr>
        <w:t>根据规划区的功能定位以及现状用地情况，在已有的工业基础上，对可开发用地的土地开发价值、开发诱导因素进行分析、评估，确定用地布局方案。</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五、道路交通优化</w:t>
      </w:r>
    </w:p>
    <w:p>
      <w:pPr>
        <w:spacing w:line="5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福州南连接线由片区东侧南北向穿越。</w:t>
      </w:r>
    </w:p>
    <w:p>
      <w:pPr>
        <w:spacing w:line="5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片区次干路红线宽度为24.0</w:t>
      </w:r>
      <w:r>
        <w:rPr>
          <w:rFonts w:hint="eastAsia" w:ascii="仿宋_GB2312" w:hAnsi="仿宋_GB2312" w:cs="仿宋_GB2312"/>
          <w:sz w:val="32"/>
          <w:szCs w:val="32"/>
          <w:lang w:val="en-US" w:eastAsia="zh-CN"/>
        </w:rPr>
        <w:t>米</w:t>
      </w:r>
      <w:r>
        <w:rPr>
          <w:rFonts w:hint="eastAsia" w:ascii="仿宋_GB2312" w:hAnsi="仿宋_GB2312" w:eastAsia="仿宋_GB2312" w:cs="仿宋_GB2312"/>
          <w:sz w:val="32"/>
          <w:szCs w:val="32"/>
          <w:lang w:val="en-US" w:eastAsia="zh-CN"/>
        </w:rPr>
        <w:t>，断面形式单幅路。</w:t>
      </w:r>
    </w:p>
    <w:p>
      <w:pPr>
        <w:spacing w:line="5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片区支路红线宽度为20.0</w:t>
      </w:r>
      <w:r>
        <w:rPr>
          <w:rFonts w:hint="eastAsia" w:ascii="仿宋_GB2312" w:hAnsi="仿宋_GB2312" w:cs="仿宋_GB2312"/>
          <w:sz w:val="32"/>
          <w:szCs w:val="32"/>
          <w:lang w:val="en-US" w:eastAsia="zh-CN"/>
        </w:rPr>
        <w:t>米</w:t>
      </w:r>
      <w:r>
        <w:rPr>
          <w:rFonts w:hint="eastAsia" w:ascii="仿宋_GB2312" w:hAnsi="仿宋_GB2312" w:eastAsia="仿宋_GB2312" w:cs="仿宋_GB2312"/>
          <w:sz w:val="32"/>
          <w:szCs w:val="32"/>
          <w:lang w:val="en-US" w:eastAsia="zh-CN"/>
        </w:rPr>
        <w:t>，断面形式单幅路。</w:t>
      </w:r>
    </w:p>
    <w:p>
      <w:pPr>
        <w:spacing w:line="5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规划布设用地控规类社会公共停车场1处，规划控制150个泊位。具有充电设施的停车位应不少于总停车位的20%。鼓励建设立体式停车充电一体化设施。</w:t>
      </w:r>
    </w:p>
    <w:p>
      <w:pPr>
        <w:spacing w:line="5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规划打造“点、线、面”多元连续地慢行网络，形成连续完整、舒适宜人的慢行空间。日常慢行通道多依托道路网络，规划基于安全、效率的原则，实施“快慢分离”，从路权上保障日常慢行需求，为构建优质慢行交通提供基础条件。</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六、空间景观管控</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sz w:val="32"/>
          <w:szCs w:val="48"/>
        </w:rPr>
      </w:pPr>
      <w:r>
        <w:rPr>
          <w:rFonts w:hint="eastAsia" w:ascii="仿宋" w:hAnsi="仿宋" w:eastAsia="仿宋" w:cs="仿宋"/>
          <w:sz w:val="32"/>
          <w:szCs w:val="48"/>
        </w:rPr>
        <w:t>基于片区生态山水环境本底，沿新城西路、祥三路等重要城市界面，打造城市产业、生活景观带和节点空间。</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七、规模指标</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sz w:val="32"/>
          <w:szCs w:val="48"/>
        </w:rPr>
      </w:pPr>
      <w:r>
        <w:rPr>
          <w:rFonts w:hint="eastAsia" w:ascii="仿宋" w:hAnsi="仿宋" w:eastAsia="仿宋" w:cs="仿宋"/>
          <w:sz w:val="32"/>
          <w:szCs w:val="48"/>
        </w:rPr>
        <w:t>该控规单元内城市建设用地面积约22.33公顷，其中可开发经营性用地面积约7.31公顷，主要为工业与居住商业混合用地，平均容积率1.99。</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八、公示图纸</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rPr>
          <w:rFonts w:hint="eastAsia" w:ascii="仿宋" w:hAnsi="仿宋" w:eastAsia="仿宋"/>
          <w:sz w:val="36"/>
          <w:szCs w:val="36"/>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rPr>
          <w:rFonts w:hint="eastAsia" w:ascii="仿宋" w:hAnsi="仿宋" w:eastAsia="仿宋"/>
          <w:sz w:val="36"/>
          <w:szCs w:val="36"/>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rPr>
          <w:rFonts w:hint="eastAsia" w:ascii="仿宋" w:hAnsi="仿宋" w:eastAsia="仿宋"/>
          <w:sz w:val="36"/>
          <w:szCs w:val="36"/>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rPr>
          <w:rFonts w:hint="eastAsia" w:ascii="仿宋" w:hAnsi="仿宋" w:eastAsia="仿宋"/>
          <w:sz w:val="36"/>
          <w:szCs w:val="36"/>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rPr>
          <w:rFonts w:hint="eastAsia" w:ascii="仿宋" w:hAnsi="仿宋" w:eastAsia="仿宋"/>
          <w:sz w:val="36"/>
          <w:szCs w:val="36"/>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rPr>
          <w:rFonts w:hint="eastAsia" w:ascii="仿宋" w:hAnsi="仿宋" w:eastAsia="仿宋"/>
          <w:sz w:val="36"/>
          <w:szCs w:val="36"/>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rPr>
          <w:rFonts w:hint="eastAsia" w:ascii="仿宋" w:hAnsi="仿宋" w:eastAsia="仿宋"/>
          <w:sz w:val="36"/>
          <w:szCs w:val="36"/>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rPr>
          <w:rFonts w:hint="eastAsia" w:ascii="仿宋" w:hAnsi="仿宋" w:eastAsia="仿宋"/>
          <w:sz w:val="36"/>
          <w:szCs w:val="36"/>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rPr>
          <w:rFonts w:hint="eastAsia" w:ascii="仿宋" w:hAnsi="仿宋" w:eastAsia="仿宋"/>
          <w:sz w:val="36"/>
          <w:szCs w:val="36"/>
          <w:lang w:val="en-US" w:eastAsia="zh-CN"/>
        </w:rPr>
      </w:pPr>
      <w:r>
        <w:rPr>
          <w:rFonts w:hint="eastAsia" w:ascii="仿宋" w:hAnsi="仿宋" w:eastAsia="仿宋"/>
          <w:sz w:val="36"/>
          <w:szCs w:val="36"/>
        </w:rPr>
        <w:t>土地利用规划</w:t>
      </w:r>
      <w:r>
        <w:rPr>
          <w:rFonts w:hint="eastAsia" w:ascii="仿宋" w:hAnsi="仿宋" w:eastAsia="仿宋"/>
          <w:sz w:val="36"/>
          <w:szCs w:val="36"/>
          <w:lang w:val="en-US" w:eastAsia="zh-CN"/>
        </w:rPr>
        <w:t>图</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仿宋" w:hAnsi="仿宋" w:eastAsia="仿宋"/>
          <w:sz w:val="36"/>
          <w:szCs w:val="36"/>
          <w:lang w:val="en-US" w:eastAsia="zh-CN"/>
        </w:rPr>
      </w:pPr>
      <w:r>
        <w:rPr>
          <w:rFonts w:hint="eastAsia" w:ascii="仿宋" w:hAnsi="仿宋" w:eastAsia="仿宋"/>
          <w:sz w:val="36"/>
          <w:szCs w:val="36"/>
          <w:lang w:val="en-US" w:eastAsia="zh-CN"/>
        </w:rPr>
        <w:drawing>
          <wp:inline distT="0" distB="0" distL="0" distR="0">
            <wp:extent cx="4055745" cy="5735320"/>
            <wp:effectExtent l="0" t="0" r="1270" b="17780"/>
            <wp:docPr id="1026" name="图片 2" descr="QK11公示土地利用 "/>
            <wp:cNvGraphicFramePr/>
            <a:graphic xmlns:a="http://schemas.openxmlformats.org/drawingml/2006/main">
              <a:graphicData uri="http://schemas.openxmlformats.org/drawingml/2006/picture">
                <pic:pic xmlns:pic="http://schemas.openxmlformats.org/drawingml/2006/picture">
                  <pic:nvPicPr>
                    <pic:cNvPr id="1026" name="图片 2" descr="QK11公示土地利用 "/>
                    <pic:cNvPicPr/>
                  </pic:nvPicPr>
                  <pic:blipFill>
                    <a:blip r:embed="rId5" cstate="print"/>
                    <a:srcRect/>
                    <a:stretch>
                      <a:fillRect/>
                    </a:stretch>
                  </pic:blipFill>
                  <pic:spPr>
                    <a:xfrm>
                      <a:off x="0" y="0"/>
                      <a:ext cx="4056379" cy="5735320"/>
                    </a:xfrm>
                    <a:prstGeom prst="rect">
                      <a:avLst/>
                    </a:prstGeom>
                  </pic:spPr>
                </pic:pic>
              </a:graphicData>
            </a:graphic>
          </wp:inline>
        </w:drawing>
      </w:r>
    </w:p>
    <w:p>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仿宋" w:hAnsi="仿宋" w:eastAsia="仿宋"/>
          <w:sz w:val="36"/>
          <w:szCs w:val="36"/>
          <w:lang w:val="en-US" w:eastAsia="zh-CN"/>
        </w:rPr>
        <w:sectPr>
          <w:footerReference r:id="rId3" w:type="default"/>
          <w:pgSz w:w="11906" w:h="16838"/>
          <w:pgMar w:top="1984" w:right="1587" w:bottom="1440" w:left="1803" w:header="851" w:footer="992" w:gutter="0"/>
          <w:cols w:space="0" w:num="1"/>
          <w:docGrid w:type="lines" w:linePitch="312" w:charSpace="0"/>
        </w:sectPr>
      </w:pPr>
    </w:p>
    <w:p>
      <w:pPr>
        <w:jc w:val="both"/>
        <w:rPr>
          <w:rFonts w:hint="eastAsia" w:eastAsia="宋体"/>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E3B83A0-833F-4292-83A6-DDF8F288F55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1F417DED-ECB9-498E-BDF6-703002F54DB4}"/>
  </w:font>
  <w:font w:name="方正小标宋简体">
    <w:panose1 w:val="03000509000000000000"/>
    <w:charset w:val="86"/>
    <w:family w:val="script"/>
    <w:pitch w:val="default"/>
    <w:sig w:usb0="00000001" w:usb1="080E0000" w:usb2="00000000" w:usb3="00000000" w:csb0="00040000" w:csb1="00000000"/>
    <w:embedRegular r:id="rId3" w:fontKey="{CDB27AEF-6C51-41EA-B36F-43BCE14A98F7}"/>
  </w:font>
  <w:font w:name="仿宋">
    <w:panose1 w:val="02010609060101010101"/>
    <w:charset w:val="86"/>
    <w:family w:val="modern"/>
    <w:pitch w:val="default"/>
    <w:sig w:usb0="800002BF" w:usb1="38CF7CFA" w:usb2="00000016" w:usb3="00000000" w:csb0="00040001" w:csb1="00000000"/>
    <w:embedRegular r:id="rId4" w:fontKey="{2FDEBD3D-E200-4A5B-B174-9876EECE3FDF}"/>
  </w:font>
  <w:font w:name="仿宋_GB2312">
    <w:panose1 w:val="02010609030101010101"/>
    <w:charset w:val="86"/>
    <w:family w:val="auto"/>
    <w:pitch w:val="default"/>
    <w:sig w:usb0="00000001" w:usb1="080E0000" w:usb2="00000000" w:usb3="00000000" w:csb0="00040000" w:csb1="00000000"/>
    <w:embedRegular r:id="rId5" w:fontKey="{388D96F9-DE57-4289-BBBC-D1C75D3EC5EC}"/>
  </w:font>
  <w:font w:name="微软雅黑">
    <w:panose1 w:val="020B0503020204020204"/>
    <w:charset w:val="86"/>
    <w:family w:val="auto"/>
    <w:pitch w:val="default"/>
    <w:sig w:usb0="80000287" w:usb1="280F3C52" w:usb2="00000016" w:usb3="00000000" w:csb0="0004001F" w:csb1="00000000"/>
    <w:embedRegular r:id="rId6" w:fontKey="{8B2E156B-A278-4F1C-9C92-1790974CD70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JYnrPJAQAAk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Alies8kBAACSAwAADgAAAAAAAAABACAAAAAfAQAAZHJzL2Uyb0Rv&#10;Yy54bWxQSwUGAAAAAAYABgBZAQAAWgUAAAAA&#10;">
              <v:fill on="f" focussize="0,0"/>
              <v:stroke on="f"/>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3OTE0YzJiZGRiZWNkODRkYThlYTk4MzEwNGFhOTMifQ=="/>
  </w:docVars>
  <w:rsids>
    <w:rsidRoot w:val="00000000"/>
    <w:rsid w:val="26845460"/>
    <w:rsid w:val="4E593A09"/>
    <w:rsid w:val="4EE57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6">
    <w:name w:val="Default Paragraph Font"/>
    <w:qFormat/>
    <w:uiPriority w:val="0"/>
  </w:style>
  <w:style w:type="table" w:default="1" w:styleId="5">
    <w:name w:val="Normal Table"/>
    <w:qFormat/>
    <w:uiPriority w:val="0"/>
    <w:tblPr>
      <w:tblCellMar>
        <w:top w:w="0" w:type="dxa"/>
        <w:left w:w="108" w:type="dxa"/>
        <w:bottom w:w="0" w:type="dxa"/>
        <w:right w:w="108" w:type="dxa"/>
      </w:tblCellMar>
    </w:tblPr>
  </w:style>
  <w:style w:type="paragraph" w:styleId="2">
    <w:name w:val="Balloon Text"/>
    <w:basedOn w:val="1"/>
    <w:qFormat/>
    <w:uiPriority w:val="99"/>
    <w:rPr>
      <w:sz w:val="18"/>
      <w:szCs w:val="18"/>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Title"/>
    <w:basedOn w:val="1"/>
    <w:qFormat/>
    <w:uiPriority w:val="10"/>
    <w:pPr>
      <w:spacing w:before="240" w:beforeAutospacing="0" w:after="60" w:afterAutospacing="0"/>
      <w:jc w:val="center"/>
      <w:outlineLvl w:val="0"/>
    </w:pPr>
    <w:rPr>
      <w:rFonts w:ascii="Arial" w:hAnsi="Arial" w:cs="Times New Roman"/>
      <w:b/>
    </w:rPr>
  </w:style>
  <w:style w:type="paragraph" w:customStyle="1" w:styleId="7">
    <w:name w:val="List Paragraph_210ac49c-2fc0-4b54-9a0c-2002cf31ff6f"/>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1131</Words>
  <Characters>1268</Characters>
  <Paragraphs>48</Paragraphs>
  <TotalTime>16</TotalTime>
  <ScaleCrop>false</ScaleCrop>
  <LinksUpToDate>false</LinksUpToDate>
  <CharactersWithSpaces>1271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2023-06-01T23:59:00Z</dcterms:created>
  <dc:creator>对方正在输入中...</dc:creator>
  <cp:lastModifiedBy>Administrator</cp:lastModifiedBy>
  <dcterms:modified xsi:type="dcterms:W3CDTF">2023-11-22T01:09:22Z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F420792720BB41CBB6FC1888610E5C05_13</vt:lpwstr>
  </property>
</Properties>
</file>