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0"/>
        <w:rPr>
          <w:rFonts w:hint="eastAsia" w:ascii="方正小标宋简体" w:hAnsi="宋体" w:eastAsia="方正小标宋简体" w:cs="Times New Roman"/>
          <w:color w:val="auto"/>
          <w:sz w:val="44"/>
          <w:szCs w:val="44"/>
          <w:u w:val="none"/>
          <w:lang w:val="en-US" w:eastAsia="zh-CN"/>
        </w:rPr>
      </w:pPr>
    </w:p>
    <w:p>
      <w:pPr>
        <w:jc w:val="center"/>
        <w:rPr>
          <w:rFonts w:hint="eastAsia" w:ascii="方正小标宋简体" w:hAnsi="宋体" w:eastAsia="方正小标宋简体" w:cs="Times New Roman"/>
          <w:color w:val="auto"/>
          <w:sz w:val="44"/>
          <w:szCs w:val="44"/>
          <w:u w:val="none"/>
          <w:lang w:val="en-US" w:eastAsia="zh-CN"/>
        </w:rPr>
      </w:pPr>
      <w:r>
        <w:rPr>
          <w:rFonts w:hint="eastAsia" w:ascii="方正小标宋简体" w:hAnsi="宋体" w:eastAsia="方正小标宋简体" w:cs="Times New Roman"/>
          <w:color w:val="auto"/>
          <w:sz w:val="44"/>
          <w:szCs w:val="44"/>
          <w:u w:val="none"/>
          <w:lang w:val="en-US" w:eastAsia="zh-CN"/>
        </w:rPr>
        <w:t>闽侯县人民政府关于义务教育优质均衡</w:t>
      </w:r>
    </w:p>
    <w:p>
      <w:pPr>
        <w:jc w:val="center"/>
        <w:rPr>
          <w:rFonts w:hint="eastAsia" w:ascii="方正小标宋简体" w:hAnsi="宋体" w:eastAsia="方正小标宋简体" w:cs="Times New Roman"/>
          <w:color w:val="auto"/>
          <w:sz w:val="44"/>
          <w:szCs w:val="44"/>
          <w:u w:val="none"/>
          <w:lang w:val="en-US" w:eastAsia="zh-CN"/>
        </w:rPr>
      </w:pPr>
      <w:r>
        <w:rPr>
          <w:rFonts w:hint="eastAsia" w:ascii="方正小标宋简体" w:hAnsi="宋体" w:eastAsia="方正小标宋简体" w:cs="Times New Roman"/>
          <w:color w:val="auto"/>
          <w:sz w:val="44"/>
          <w:szCs w:val="44"/>
          <w:u w:val="none"/>
          <w:lang w:val="en-US" w:eastAsia="zh-CN"/>
        </w:rPr>
        <w:t>省级督导评估反馈意见整改情况报告</w:t>
      </w:r>
    </w:p>
    <w:p>
      <w:pPr>
        <w:pStyle w:val="3"/>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按照《福建省人民政府教育督导办公室关于反馈</w:t>
      </w:r>
      <w:r>
        <w:rPr>
          <w:rFonts w:hint="eastAsia" w:ascii="仿宋_GB2312" w:hAnsi="仿宋_GB2312" w:eastAsia="仿宋_GB2312" w:cs="仿宋_GB2312"/>
          <w:sz w:val="32"/>
          <w:szCs w:val="32"/>
          <w:lang w:eastAsia="zh-CN"/>
        </w:rPr>
        <w:t>闽侯</w:t>
      </w:r>
      <w:r>
        <w:rPr>
          <w:rFonts w:hint="eastAsia" w:ascii="仿宋_GB2312" w:hAnsi="仿宋_GB2312" w:eastAsia="仿宋_GB2312" w:cs="仿宋_GB2312"/>
          <w:sz w:val="32"/>
          <w:szCs w:val="32"/>
        </w:rPr>
        <w:t>县义务教育优质均衡发展省级督导评估意见的通知》</w:t>
      </w:r>
      <w:bookmarkStart w:id="0" w:name="OLE_LINK1"/>
      <w:r>
        <w:rPr>
          <w:rFonts w:hint="eastAsia" w:ascii="仿宋_GB2312" w:hAnsi="仿宋_GB2312" w:eastAsia="仿宋_GB2312" w:cs="仿宋_GB2312"/>
          <w:sz w:val="32"/>
          <w:szCs w:val="32"/>
        </w:rPr>
        <w:t>（闽政教督办〔2024〕</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号）</w:t>
      </w:r>
      <w:bookmarkEnd w:id="0"/>
      <w:r>
        <w:rPr>
          <w:rFonts w:hint="eastAsia" w:ascii="仿宋_GB2312" w:hAnsi="仿宋_GB2312" w:eastAsia="仿宋_GB2312" w:cs="仿宋_GB2312"/>
          <w:sz w:val="32"/>
          <w:szCs w:val="32"/>
        </w:rPr>
        <w:t>要求，我县</w:t>
      </w:r>
      <w:r>
        <w:rPr>
          <w:rFonts w:hint="eastAsia" w:ascii="仿宋_GB2312" w:hAnsi="仿宋_GB2312" w:eastAsia="仿宋_GB2312" w:cs="仿宋_GB2312"/>
          <w:sz w:val="32"/>
          <w:szCs w:val="32"/>
          <w:lang w:eastAsia="zh-CN"/>
        </w:rPr>
        <w:t>明确整改目标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细化整改措施，加强整改督办，</w:t>
      </w:r>
      <w:r>
        <w:rPr>
          <w:rFonts w:hint="eastAsia" w:ascii="仿宋_GB2312" w:hAnsi="仿宋_GB2312" w:eastAsia="仿宋_GB2312" w:cs="仿宋_GB2312"/>
          <w:sz w:val="32"/>
          <w:szCs w:val="32"/>
        </w:rPr>
        <w:t>确保整改工作</w:t>
      </w:r>
      <w:r>
        <w:rPr>
          <w:rFonts w:hint="eastAsia" w:ascii="仿宋_GB2312" w:hAnsi="仿宋_GB2312" w:eastAsia="仿宋_GB2312" w:cs="仿宋_GB2312"/>
          <w:sz w:val="32"/>
          <w:szCs w:val="32"/>
          <w:lang w:eastAsia="zh-CN"/>
        </w:rPr>
        <w:t>落地见效</w:t>
      </w: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eastAsia="zh-CN"/>
        </w:rPr>
        <w:t>闽侯</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人民政府关于</w:t>
      </w:r>
      <w:bookmarkStart w:id="1" w:name="_GoBack"/>
      <w:bookmarkEnd w:id="1"/>
      <w:r>
        <w:rPr>
          <w:rFonts w:hint="eastAsia" w:ascii="仿宋_GB2312" w:hAnsi="仿宋_GB2312" w:eastAsia="仿宋_GB2312" w:cs="仿宋_GB2312"/>
          <w:sz w:val="32"/>
          <w:szCs w:val="32"/>
        </w:rPr>
        <w:t>义务教育优质均衡发展省级督导评估反馈意见整改</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0" w:firstLine="0" w:firstLineChars="0"/>
        <w:textAlignment w:val="auto"/>
        <w:rPr>
          <w:rFonts w:hint="eastAsia"/>
          <w:sz w:val="32"/>
          <w:szCs w:val="32"/>
          <w:lang w:val="en-US" w:eastAsia="zh-CN"/>
        </w:rPr>
      </w:pPr>
      <w:r>
        <w:rPr>
          <w:rFonts w:hint="eastAsia" w:ascii="黑体" w:hAnsi="黑体" w:eastAsia="黑体" w:cs="黑体"/>
          <w:sz w:val="32"/>
          <w:szCs w:val="32"/>
          <w:lang w:val="en-US" w:eastAsia="zh-CN"/>
        </w:rPr>
        <w:t>整改目标</w:t>
      </w:r>
    </w:p>
    <w:p>
      <w:pPr>
        <w:pStyle w:val="3"/>
        <w:ind w:left="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针对督导评估组意见，我县以反馈意见为依据，制定整改方案，聚焦问题短板，采取切实措施，确保应改尽改；对于制约教育发展的关键问题，建立长效机制，明确阶段目标，确保存在问题尽快得到有效整改，持续提升全县义务教育优质均衡发展水平，确保2025年顺利达到国家评估认定标准。</w:t>
      </w:r>
    </w:p>
    <w:p>
      <w:pPr>
        <w:numPr>
          <w:ilvl w:val="0"/>
          <w:numId w:val="1"/>
        </w:numPr>
        <w:ind w:left="63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整改内容</w:t>
      </w:r>
    </w:p>
    <w:p>
      <w:pPr>
        <w:pStyle w:val="3"/>
        <w:numPr>
          <w:ilvl w:val="0"/>
          <w:numId w:val="0"/>
        </w:numPr>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（一）资源配置指标方面。</w:t>
      </w:r>
      <w:r>
        <w:rPr>
          <w:rFonts w:hint="eastAsia" w:ascii="仿宋_GB2312" w:hAnsi="仿宋_GB2312" w:eastAsia="仿宋_GB2312" w:cs="仿宋_GB2312"/>
          <w:sz w:val="32"/>
          <w:szCs w:val="32"/>
          <w:lang w:val="en-US" w:eastAsia="zh-CN"/>
        </w:rPr>
        <w:t>生均教学及辅助用房、体育运动场馆面积未全部达标，个别学校音乐、美术专用教室面积偏小、设备配置水平较低。教师结构性缺编，教师兼任多学科教学现象较普遍。教师交流轮岗的保障与激励机制不够健全。</w:t>
      </w:r>
    </w:p>
    <w:p>
      <w:pPr>
        <w:pStyle w:val="3"/>
        <w:ind w:left="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情况：全面开展不达标学校逐校摸排，结合学校实际，加强内部挖潜，合理调整布局，增加音美教室配置数量，满足课程开设需求，8所生均教辅面积不达标学校已制定详实“一校一案”，确保开齐、开足、上好课程。11所生均运动场地不达标学校已与步行半径约10分钟路程范围内的运动场地签订租赁协议，着力解决中小学校运动场地不足的问题，切实增强中小学生体质，提升师生健康水平。</w:t>
      </w:r>
    </w:p>
    <w:p>
      <w:pPr>
        <w:pStyle w:val="3"/>
        <w:ind w:left="0" w:leftChars="0"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学校实际需要，教师编制不足的学校采用人员控制数核定参聘教师数，近两年已招聘507人。2025年度拟计划招聘中小学教师181人。针对教师兼任多学科教学现象，已通知学校新学年课程安排原则上每位教师兼课不得超过3门。并采取“跨年段、跨班级”的方式安排课程。鼓励教师参加福建省教育学院举办的四门主要课程进修，2024年已培训258人，其中通过培训取得转岗结业证书的有250人。进一步优化教师队伍，推进教师交流轮岗，完善交流轮岗机制，严格执行《闽侯县义务教育学校教师校际交流实施方案》侯委办【2011】56号文件规定，切实推进教师交流轮岗政策实施。</w:t>
      </w:r>
    </w:p>
    <w:p>
      <w:pPr>
        <w:numPr>
          <w:ilvl w:val="0"/>
          <w:numId w:val="2"/>
        </w:numPr>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color w:val="auto"/>
          <w:sz w:val="32"/>
          <w:szCs w:val="32"/>
        </w:rPr>
        <w:t>政府保障指标方面。</w:t>
      </w:r>
      <w:r>
        <w:rPr>
          <w:rFonts w:hint="eastAsia" w:ascii="仿宋_GB2312" w:hAnsi="仿宋_GB2312" w:eastAsia="仿宋_GB2312" w:cs="仿宋_GB2312"/>
          <w:color w:val="auto"/>
          <w:sz w:val="32"/>
          <w:szCs w:val="32"/>
        </w:rPr>
        <w:t>县域内仍存在大校额、大班额现象，大校额</w:t>
      </w:r>
      <w:r>
        <w:rPr>
          <w:rFonts w:hint="eastAsia" w:ascii="仿宋_GB2312" w:hAnsi="仿宋_GB2312" w:eastAsia="仿宋_GB2312" w:cs="仿宋_GB2312"/>
          <w:sz w:val="32"/>
          <w:szCs w:val="32"/>
        </w:rPr>
        <w:t>学校共7所，其中小学3所、初中2所、九年一贯制学校2所。小学非起始年级班额超过50人的班级有53个，占比4.8%；初中起始年级班额超过50人的有48个，占比25.8%。</w:t>
      </w:r>
    </w:p>
    <w:p>
      <w:pPr>
        <w:pStyle w:val="3"/>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情况：围绕《闽侯县教育事业发展“十四五”规划》和《闽侯县加快教育高质量发展三年攻坚行动方案（2023-2025年）》，继续实施“补短扩容”行动，加快推进项目建设，增加义务教育学位。闽侯县首邑实验学校计划2025年5月投用，可新增学位小学2160个，初中1200个。上街岐安小学教学综合楼项目计划2025年6月竣工，可新增小学学位270个，逐步化解大班额、大校额问题。2024年12月20日向社会发布《闽侯县义务教育学校入学学位预警通告》，合理引导招生入学，整合优化荆溪片区教育资源，成立官源实验学校（九年一贯制）。从2025年秋季起科学合理调整部分学校招生片区，严把“计划关”，科学确定每所义务教育阶段学校的具体招生计划。严把“转学关”，加大对学校转学管控力度、严控校际间非正常学生流动，对已存在的大校额、大班额学校采取“只减不增”的措施，坚决遏制借转学变相择校的行为。加强学校内涵发展，缩小办学差距。推进学校“一校一品”建设。坚持“减负”与“提质”并重，大力实施五育并举。发挥好教育集团办学作用，通过结对帮扶、强校带弱校等方式，扩大优质教育资源覆盖面，缩小城乡、区域之间在办学条件、师资力量、管理水平、教育质量等方面的差距，杜绝“择校热”现象，助推义务教育优质均衡。</w:t>
      </w:r>
    </w:p>
    <w:p>
      <w:pPr>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（三）教育质量指标方面。</w:t>
      </w:r>
      <w:r>
        <w:rPr>
          <w:rFonts w:hint="eastAsia" w:ascii="仿宋_GB2312" w:hAnsi="仿宋_GB2312" w:eastAsia="仿宋_GB2312" w:cs="仿宋_GB2312"/>
          <w:sz w:val="32"/>
          <w:szCs w:val="32"/>
          <w:lang w:val="en-US" w:eastAsia="zh-CN"/>
        </w:rPr>
        <w:t>个别学校未能规范落实新课程方案，跨学科主题学习不够深入，教师培训经费未能达到当年度学校公用经费预算总额的5%。</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完成情况：2024年4月5日组织开展新课程方案解读专题培训活动，邀请专家开设《义务教育阶段学校课程设置与实施》专题讲座</w:t>
      </w:r>
      <w:r>
        <w:rPr>
          <w:rFonts w:hint="eastAsia" w:ascii="仿宋_GB2312" w:eastAsia="仿宋_GB2312"/>
          <w:color w:val="000000" w:themeColor="text1"/>
          <w:sz w:val="32"/>
          <w:szCs w:val="32"/>
          <w14:textFill>
            <w14:solidFill>
              <w14:schemeClr w14:val="tx1"/>
            </w14:solidFill>
          </w14:textFill>
        </w:rPr>
        <w:t>，全县聚焦“学习新课标，构建素养立意下以‘学’为中心的课堂”研训主题（2023—2026年），采用“1+1+N”方式组织开展片区、学校的学科研训活动，横向以“教科研训导”五位一体为主线开展各项教师业务提升工作，纵向以“五线同频”推动进修校、教研片、集团校、基地校和基层学校研训工作的开展，推进学科教研组建设。2024年春季和秋季学期先后组织各教研片开展中小学教师新课程方案和新课程标准的全员研修，研修后组织2轮分学科义教阶段新课标测评，99.8%教师测评合格。</w:t>
      </w:r>
      <w:r>
        <w:rPr>
          <w:rFonts w:hint="eastAsia" w:ascii="仿宋_GB2312" w:eastAsia="仿宋_GB2312"/>
          <w:color w:val="000000" w:themeColor="text1"/>
          <w:sz w:val="32"/>
          <w:szCs w:val="32"/>
          <w:lang w:eastAsia="zh-CN"/>
          <w14:textFill>
            <w14:solidFill>
              <w14:schemeClr w14:val="tx1"/>
            </w14:solidFill>
          </w14:textFill>
        </w:rPr>
        <w:t>县教育局联合教师进修学校</w:t>
      </w:r>
      <w:r>
        <w:rPr>
          <w:rFonts w:hint="eastAsia" w:ascii="仿宋_GB2312" w:eastAsia="仿宋_GB2312"/>
          <w:b w:val="0"/>
          <w:bCs/>
          <w:color w:val="000000" w:themeColor="text1"/>
          <w:sz w:val="32"/>
          <w:szCs w:val="32"/>
          <w14:textFill>
            <w14:solidFill>
              <w14:schemeClr w14:val="tx1"/>
            </w14:solidFill>
          </w14:textFill>
        </w:rPr>
        <w:t>开展教学视导与常规检查</w:t>
      </w:r>
      <w:r>
        <w:rPr>
          <w:rFonts w:hint="eastAsia" w:ascii="仿宋_GB2312" w:eastAsia="仿宋_GB2312"/>
          <w:b w:val="0"/>
          <w:bCs/>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2024年秋季组织开展体育、音乐、美术、劳动和心理健康教育等学科的学情调研和质量抽测，并反馈相关学校。</w:t>
      </w:r>
      <w:r>
        <w:rPr>
          <w:rFonts w:hint="eastAsia" w:ascii="仿宋_GB2312" w:hAnsi="仿宋_GB2312" w:eastAsia="仿宋_GB2312" w:cs="仿宋_GB2312"/>
          <w:sz w:val="32"/>
          <w:szCs w:val="32"/>
          <w:lang w:val="en-US" w:eastAsia="zh-CN"/>
        </w:rPr>
        <w:t xml:space="preserve">下一步将加强日常监督，县教育局会同进修校教研员、责任督学经常性入校指导，提高课堂教学实效性，确保新课程实施落地。    </w:t>
      </w:r>
    </w:p>
    <w:p>
      <w:pPr>
        <w:ind w:firstLine="672" w:firstLineChars="200"/>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2024年11月以来，共组织中小学教师372人次赴武夷山、厦门、泉州、成都、深圳等地学习培训，全县所有学校培训经费均已达到公用经费预算总额的5%。</w:t>
      </w:r>
    </w:p>
    <w:p>
      <w:pPr>
        <w:pStyle w:val="2"/>
        <w:rPr>
          <w:rFonts w:hint="eastAsia" w:ascii="仿宋_GB2312" w:hAnsi="仿宋_GB2312" w:eastAsia="仿宋_GB2312" w:cs="仿宋_GB2312"/>
          <w:i w:val="0"/>
          <w:iCs w:val="0"/>
          <w:caps w:val="0"/>
          <w:spacing w:val="8"/>
          <w:sz w:val="32"/>
          <w:szCs w:val="32"/>
          <w:shd w:val="clear" w:fill="FFFFFF"/>
          <w:lang w:val="en-US" w:eastAsia="zh-CN"/>
        </w:rPr>
      </w:pPr>
    </w:p>
    <w:p>
      <w:pPr>
        <w:pStyle w:val="2"/>
        <w:ind w:firstLine="4704" w:firstLineChars="1400"/>
        <w:rPr>
          <w:rFonts w:hint="eastAsia" w:ascii="仿宋_GB2312" w:hAnsi="仿宋_GB2312" w:eastAsia="仿宋_GB2312" w:cs="仿宋_GB2312"/>
          <w:i w:val="0"/>
          <w:iCs w:val="0"/>
          <w:caps w:val="0"/>
          <w:spacing w:val="8"/>
          <w:sz w:val="32"/>
          <w:szCs w:val="32"/>
          <w:shd w:val="clear" w:fill="FFFFFF"/>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闽侯县人民政府</w:t>
      </w:r>
    </w:p>
    <w:p>
      <w:pPr>
        <w:pStyle w:val="2"/>
        <w:ind w:firstLine="4704" w:firstLineChars="1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spacing w:val="8"/>
          <w:sz w:val="32"/>
          <w:szCs w:val="32"/>
          <w:shd w:val="clear" w:fill="FFFFFF"/>
          <w:lang w:val="en-US" w:eastAsia="zh-CN"/>
        </w:rPr>
        <w:t>2025年1月26日</w:t>
      </w:r>
    </w:p>
    <w:sectPr>
      <w:footerReference r:id="rId3" w:type="default"/>
      <w:pgSz w:w="11906" w:h="16838"/>
      <w:pgMar w:top="2041"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EAB95"/>
    <w:multiLevelType w:val="singleLevel"/>
    <w:tmpl w:val="B4EEAB95"/>
    <w:lvl w:ilvl="0" w:tentative="0">
      <w:start w:val="1"/>
      <w:numFmt w:val="chineseCounting"/>
      <w:suff w:val="nothing"/>
      <w:lvlText w:val="%1、"/>
      <w:lvlJc w:val="left"/>
      <w:pPr>
        <w:ind w:left="630" w:leftChars="0" w:firstLine="0" w:firstLineChars="0"/>
      </w:pPr>
      <w:rPr>
        <w:rFonts w:hint="eastAsia"/>
      </w:rPr>
    </w:lvl>
  </w:abstractNum>
  <w:abstractNum w:abstractNumId="1">
    <w:nsid w:val="F7294FEE"/>
    <w:multiLevelType w:val="singleLevel"/>
    <w:tmpl w:val="F7294FE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93A15"/>
    <w:rsid w:val="13E16B24"/>
    <w:rsid w:val="216875D3"/>
    <w:rsid w:val="21F914FB"/>
    <w:rsid w:val="2E086B8A"/>
    <w:rsid w:val="39A14EA8"/>
    <w:rsid w:val="44635737"/>
    <w:rsid w:val="48CB47A6"/>
    <w:rsid w:val="4D553A73"/>
    <w:rsid w:val="542A126A"/>
    <w:rsid w:val="5DDE7792"/>
    <w:rsid w:val="6CFF811D"/>
    <w:rsid w:val="78DFA5B5"/>
    <w:rsid w:val="7B457065"/>
    <w:rsid w:val="7E8695FB"/>
    <w:rsid w:val="B6FEAD43"/>
    <w:rsid w:val="BFFD2A4D"/>
    <w:rsid w:val="FC7F729B"/>
    <w:rsid w:val="FDBEE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szCs w:val="20"/>
    </w:rPr>
  </w:style>
  <w:style w:type="paragraph" w:styleId="3">
    <w:name w:val="Normal Indent"/>
    <w:basedOn w:val="1"/>
    <w:next w:val="1"/>
    <w:qFormat/>
    <w:uiPriority w:val="0"/>
    <w:pPr>
      <w:ind w:firstLine="420" w:firstLineChars="200"/>
    </w:pPr>
    <w:rPr>
      <w:rFonts w:cs="Times New Roman"/>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2025-01-22T22:49:00Z</dcterms:created>
  <dc:creator>acz</dc:creator>
  <cp:lastModifiedBy>大觉。</cp:lastModifiedBy>
  <cp:lastPrinted>2025-01-26T01:13:00Z</cp:lastPrinted>
  <dcterms:modified xsi:type="dcterms:W3CDTF">2025-01-26T01:47:10Z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334CA0DE578B428BBA7A1D23844A4F89</vt:lpwstr>
  </property>
</Properties>
</file>