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gif" ContentType="image/gif"/>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964"/>
        <w:jc w:val="center"/>
        <w:rPr>
          <w:b/>
          <w:kern w:val="16"/>
          <w:sz w:val="48"/>
        </w:rPr>
      </w:pPr>
    </w:p>
    <w:p/>
    <w:p>
      <w:pPr>
        <w:spacing w:line="360" w:lineRule="auto"/>
        <w:jc w:val="center"/>
        <w:outlineLvl w:val="0"/>
        <w:rPr>
          <w:b/>
          <w:kern w:val="16"/>
          <w:sz w:val="48"/>
        </w:rPr>
      </w:pPr>
      <w:r>
        <w:rPr>
          <w:b/>
          <w:kern w:val="16"/>
          <w:sz w:val="48"/>
        </w:rPr>
        <w:t>福建省建设项目环境影响</w:t>
      </w:r>
    </w:p>
    <w:p>
      <w:pPr>
        <w:spacing w:line="360" w:lineRule="auto"/>
        <w:jc w:val="center"/>
        <w:outlineLvl w:val="0"/>
        <w:rPr>
          <w:b/>
          <w:kern w:val="16"/>
          <w:sz w:val="48"/>
        </w:rPr>
      </w:pPr>
      <w:r>
        <w:rPr>
          <w:b/>
          <w:kern w:val="16"/>
          <w:sz w:val="48"/>
        </w:rPr>
        <w:t>报  告  表</w:t>
      </w:r>
    </w:p>
    <w:p>
      <w:pPr>
        <w:spacing w:line="360" w:lineRule="auto"/>
        <w:jc w:val="center"/>
        <w:rPr>
          <w:sz w:val="30"/>
          <w:szCs w:val="30"/>
          <w:lang w:val="zh-CN"/>
        </w:rPr>
      </w:pPr>
      <w:r>
        <w:rPr>
          <w:b/>
          <w:sz w:val="30"/>
        </w:rPr>
        <w:t>（适用于第三产业建设项目）</w:t>
      </w:r>
    </w:p>
    <w:p>
      <w:pPr>
        <w:autoSpaceDE w:val="0"/>
        <w:autoSpaceDN w:val="0"/>
        <w:adjustRightInd w:val="0"/>
        <w:rPr>
          <w:sz w:val="30"/>
          <w:szCs w:val="30"/>
          <w:lang w:val="zh-CN"/>
        </w:rPr>
      </w:pPr>
    </w:p>
    <w:p>
      <w:pPr>
        <w:pStyle w:val="6"/>
        <w:ind w:firstLine="0"/>
        <w:rPr>
          <w:lang w:val="zh-CN"/>
        </w:rPr>
      </w:pPr>
    </w:p>
    <w:p>
      <w:pPr>
        <w:rPr>
          <w:lang w:val="zh-CN"/>
        </w:rPr>
      </w:pPr>
    </w:p>
    <w:tbl>
      <w:tblPr>
        <w:tblStyle w:val="24"/>
        <w:tblW w:w="0" w:type="auto"/>
        <w:jc w:val="center"/>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450"/>
        <w:gridCol w:w="5596"/>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72" w:hRule="atLeast"/>
          <w:jc w:val="center"/>
        </w:trPr>
        <w:tc>
          <w:tcPr>
            <w:tcW w:w="2450" w:type="dxa"/>
            <w:tcBorders>
              <w:top w:val="nil"/>
              <w:bottom w:val="nil"/>
            </w:tcBorders>
            <w:vAlign w:val="center"/>
          </w:tcPr>
          <w:p>
            <w:pPr>
              <w:autoSpaceDE w:val="0"/>
              <w:autoSpaceDN w:val="0"/>
              <w:adjustRightInd w:val="0"/>
              <w:jc w:val="center"/>
              <w:rPr>
                <w:sz w:val="30"/>
                <w:szCs w:val="30"/>
              </w:rPr>
            </w:pPr>
            <w:r>
              <w:rPr>
                <w:sz w:val="30"/>
                <w:szCs w:val="30"/>
                <w:lang w:val="zh-CN"/>
              </w:rPr>
              <w:t>项</w:t>
            </w:r>
            <w:r>
              <w:rPr>
                <w:sz w:val="30"/>
                <w:szCs w:val="30"/>
              </w:rPr>
              <w:t xml:space="preserve">  </w:t>
            </w:r>
            <w:r>
              <w:rPr>
                <w:sz w:val="30"/>
                <w:szCs w:val="30"/>
                <w:lang w:val="zh-CN"/>
              </w:rPr>
              <w:t>目</w:t>
            </w:r>
            <w:r>
              <w:rPr>
                <w:sz w:val="30"/>
                <w:szCs w:val="30"/>
              </w:rPr>
              <w:t xml:space="preserve">  </w:t>
            </w:r>
            <w:r>
              <w:rPr>
                <w:sz w:val="30"/>
                <w:szCs w:val="30"/>
                <w:lang w:val="zh-CN"/>
              </w:rPr>
              <w:t>名</w:t>
            </w:r>
            <w:r>
              <w:rPr>
                <w:sz w:val="30"/>
                <w:szCs w:val="30"/>
              </w:rPr>
              <w:t xml:space="preserve">  </w:t>
            </w:r>
            <w:r>
              <w:rPr>
                <w:sz w:val="30"/>
                <w:szCs w:val="30"/>
                <w:lang w:val="zh-CN"/>
              </w:rPr>
              <w:t>称</w:t>
            </w:r>
          </w:p>
        </w:tc>
        <w:tc>
          <w:tcPr>
            <w:tcW w:w="5596" w:type="dxa"/>
            <w:vAlign w:val="center"/>
          </w:tcPr>
          <w:p>
            <w:pPr>
              <w:autoSpaceDE w:val="0"/>
              <w:autoSpaceDN w:val="0"/>
              <w:spacing w:line="360" w:lineRule="auto"/>
              <w:jc w:val="center"/>
              <w:rPr>
                <w:b/>
                <w:bCs/>
                <w:sz w:val="28"/>
                <w:szCs w:val="28"/>
              </w:rPr>
            </w:pPr>
            <w:r>
              <w:rPr>
                <w:b/>
                <w:bCs/>
                <w:sz w:val="28"/>
                <w:szCs w:val="28"/>
                <w:lang w:val="zh-CN"/>
              </w:rPr>
              <w:t>闽侯六中校园扩建项目</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73" w:hRule="atLeast"/>
          <w:jc w:val="center"/>
        </w:trPr>
        <w:tc>
          <w:tcPr>
            <w:tcW w:w="2450" w:type="dxa"/>
            <w:tcBorders>
              <w:top w:val="nil"/>
              <w:bottom w:val="nil"/>
            </w:tcBorders>
            <w:vAlign w:val="center"/>
          </w:tcPr>
          <w:p>
            <w:pPr>
              <w:autoSpaceDE w:val="0"/>
              <w:autoSpaceDN w:val="0"/>
              <w:adjustRightInd w:val="0"/>
              <w:jc w:val="center"/>
              <w:rPr>
                <w:sz w:val="30"/>
                <w:szCs w:val="30"/>
              </w:rPr>
            </w:pPr>
            <w:r>
              <w:rPr>
                <w:sz w:val="30"/>
                <w:szCs w:val="30"/>
                <w:lang w:val="zh-CN"/>
              </w:rPr>
              <w:t>建设单位</w:t>
            </w:r>
            <w:r>
              <w:rPr>
                <w:sz w:val="30"/>
                <w:szCs w:val="30"/>
              </w:rPr>
              <w:t>(</w:t>
            </w:r>
            <w:r>
              <w:rPr>
                <w:sz w:val="30"/>
                <w:szCs w:val="30"/>
                <w:lang w:val="zh-CN"/>
              </w:rPr>
              <w:t>盖章</w:t>
            </w:r>
            <w:r>
              <w:rPr>
                <w:sz w:val="30"/>
                <w:szCs w:val="30"/>
              </w:rPr>
              <w:t>)</w:t>
            </w:r>
          </w:p>
        </w:tc>
        <w:tc>
          <w:tcPr>
            <w:tcW w:w="5596" w:type="dxa"/>
            <w:vAlign w:val="center"/>
          </w:tcPr>
          <w:p>
            <w:pPr>
              <w:autoSpaceDE w:val="0"/>
              <w:autoSpaceDN w:val="0"/>
              <w:spacing w:line="360" w:lineRule="auto"/>
              <w:jc w:val="center"/>
              <w:rPr>
                <w:b/>
                <w:bCs/>
                <w:sz w:val="28"/>
                <w:szCs w:val="28"/>
              </w:rPr>
            </w:pPr>
            <w:r>
              <w:rPr>
                <w:b/>
                <w:bCs/>
                <w:sz w:val="28"/>
                <w:szCs w:val="28"/>
                <w:lang w:val="zh-CN"/>
              </w:rPr>
              <w:t>闽侯县第六中学</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73" w:hRule="atLeast"/>
          <w:jc w:val="center"/>
        </w:trPr>
        <w:tc>
          <w:tcPr>
            <w:tcW w:w="2450" w:type="dxa"/>
            <w:tcBorders>
              <w:top w:val="nil"/>
              <w:bottom w:val="nil"/>
            </w:tcBorders>
            <w:vAlign w:val="center"/>
          </w:tcPr>
          <w:p>
            <w:pPr>
              <w:autoSpaceDE w:val="0"/>
              <w:autoSpaceDN w:val="0"/>
              <w:adjustRightInd w:val="0"/>
              <w:jc w:val="center"/>
              <w:rPr>
                <w:sz w:val="30"/>
                <w:szCs w:val="30"/>
              </w:rPr>
            </w:pPr>
            <w:r>
              <w:rPr>
                <w:sz w:val="30"/>
                <w:szCs w:val="30"/>
                <w:lang w:val="zh-CN"/>
              </w:rPr>
              <w:t>法</w:t>
            </w:r>
            <w:r>
              <w:rPr>
                <w:sz w:val="30"/>
                <w:szCs w:val="30"/>
              </w:rPr>
              <w:t xml:space="preserve">  </w:t>
            </w:r>
            <w:r>
              <w:rPr>
                <w:sz w:val="30"/>
                <w:szCs w:val="30"/>
                <w:lang w:val="zh-CN"/>
              </w:rPr>
              <w:t>人</w:t>
            </w:r>
            <w:r>
              <w:rPr>
                <w:sz w:val="30"/>
                <w:szCs w:val="30"/>
              </w:rPr>
              <w:t xml:space="preserve">  </w:t>
            </w:r>
            <w:r>
              <w:rPr>
                <w:sz w:val="30"/>
                <w:szCs w:val="30"/>
                <w:lang w:val="zh-CN"/>
              </w:rPr>
              <w:t>代</w:t>
            </w:r>
            <w:r>
              <w:rPr>
                <w:sz w:val="30"/>
                <w:szCs w:val="30"/>
              </w:rPr>
              <w:t xml:space="preserve">  </w:t>
            </w:r>
            <w:r>
              <w:rPr>
                <w:sz w:val="30"/>
                <w:szCs w:val="30"/>
                <w:lang w:val="zh-CN"/>
              </w:rPr>
              <w:t>表</w:t>
            </w:r>
          </w:p>
        </w:tc>
        <w:tc>
          <w:tcPr>
            <w:tcW w:w="5596" w:type="dxa"/>
            <w:vAlign w:val="center"/>
          </w:tcPr>
          <w:p>
            <w:pPr>
              <w:tabs>
                <w:tab w:val="left" w:pos="366"/>
              </w:tabs>
              <w:autoSpaceDE w:val="0"/>
              <w:autoSpaceDN w:val="0"/>
              <w:spacing w:line="360" w:lineRule="auto"/>
              <w:jc w:val="center"/>
              <w:rPr>
                <w:b/>
                <w:bCs/>
                <w:sz w:val="28"/>
                <w:szCs w:val="28"/>
              </w:rPr>
            </w:pPr>
            <w:r>
              <w:rPr>
                <w:rFonts w:hint="eastAsia"/>
                <w:b/>
                <w:bCs/>
                <w:sz w:val="28"/>
                <w:szCs w:val="28"/>
                <w:lang w:val="zh-CN"/>
              </w:rPr>
              <w:t>林志伟</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02" w:hRule="atLeast"/>
          <w:jc w:val="center"/>
        </w:trPr>
        <w:tc>
          <w:tcPr>
            <w:tcW w:w="2450" w:type="dxa"/>
            <w:tcBorders>
              <w:top w:val="nil"/>
              <w:bottom w:val="nil"/>
            </w:tcBorders>
            <w:vAlign w:val="center"/>
          </w:tcPr>
          <w:p>
            <w:pPr>
              <w:autoSpaceDE w:val="0"/>
              <w:autoSpaceDN w:val="0"/>
              <w:adjustRightInd w:val="0"/>
              <w:jc w:val="center"/>
              <w:rPr>
                <w:sz w:val="30"/>
                <w:szCs w:val="30"/>
              </w:rPr>
            </w:pPr>
            <w:r>
              <w:rPr>
                <w:sz w:val="30"/>
                <w:szCs w:val="30"/>
              </w:rPr>
              <w:t>(</w:t>
            </w:r>
            <w:r>
              <w:rPr>
                <w:sz w:val="30"/>
                <w:szCs w:val="30"/>
                <w:lang w:val="zh-CN"/>
              </w:rPr>
              <w:t>盖章或签字</w:t>
            </w:r>
            <w:r>
              <w:rPr>
                <w:sz w:val="30"/>
                <w:szCs w:val="30"/>
              </w:rPr>
              <w:t>)</w:t>
            </w:r>
          </w:p>
        </w:tc>
        <w:tc>
          <w:tcPr>
            <w:tcW w:w="5596" w:type="dxa"/>
            <w:vAlign w:val="center"/>
          </w:tcPr>
          <w:p>
            <w:pPr>
              <w:tabs>
                <w:tab w:val="left" w:pos="366"/>
              </w:tabs>
              <w:autoSpaceDE w:val="0"/>
              <w:autoSpaceDN w:val="0"/>
              <w:spacing w:line="360" w:lineRule="auto"/>
              <w:jc w:val="center"/>
              <w:rPr>
                <w:b/>
                <w:bCs/>
                <w:sz w:val="28"/>
                <w:szCs w:val="28"/>
                <w:lang w:val="zh-CN"/>
              </w:rPr>
            </w:pP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10" w:hRule="atLeast"/>
          <w:jc w:val="center"/>
        </w:trPr>
        <w:tc>
          <w:tcPr>
            <w:tcW w:w="2450" w:type="dxa"/>
            <w:tcBorders>
              <w:top w:val="nil"/>
              <w:bottom w:val="nil"/>
            </w:tcBorders>
            <w:vAlign w:val="center"/>
          </w:tcPr>
          <w:p>
            <w:pPr>
              <w:autoSpaceDE w:val="0"/>
              <w:autoSpaceDN w:val="0"/>
              <w:adjustRightInd w:val="0"/>
              <w:jc w:val="center"/>
              <w:rPr>
                <w:sz w:val="30"/>
                <w:szCs w:val="30"/>
              </w:rPr>
            </w:pPr>
            <w:r>
              <w:rPr>
                <w:sz w:val="30"/>
                <w:szCs w:val="30"/>
                <w:lang w:val="zh-CN"/>
              </w:rPr>
              <w:t>联</w:t>
            </w:r>
            <w:r>
              <w:rPr>
                <w:sz w:val="30"/>
                <w:szCs w:val="30"/>
              </w:rPr>
              <w:t xml:space="preserve">    </w:t>
            </w:r>
            <w:r>
              <w:rPr>
                <w:sz w:val="30"/>
                <w:szCs w:val="30"/>
                <w:lang w:val="zh-CN"/>
              </w:rPr>
              <w:t>系</w:t>
            </w:r>
            <w:r>
              <w:rPr>
                <w:sz w:val="30"/>
                <w:szCs w:val="30"/>
              </w:rPr>
              <w:t xml:space="preserve">    </w:t>
            </w:r>
            <w:r>
              <w:rPr>
                <w:sz w:val="30"/>
                <w:szCs w:val="30"/>
                <w:lang w:val="zh-CN"/>
              </w:rPr>
              <w:t>人</w:t>
            </w:r>
          </w:p>
        </w:tc>
        <w:tc>
          <w:tcPr>
            <w:tcW w:w="5596" w:type="dxa"/>
            <w:vAlign w:val="center"/>
          </w:tcPr>
          <w:p>
            <w:pPr>
              <w:tabs>
                <w:tab w:val="left" w:pos="366"/>
              </w:tabs>
              <w:autoSpaceDE w:val="0"/>
              <w:autoSpaceDN w:val="0"/>
              <w:spacing w:line="360" w:lineRule="auto"/>
              <w:jc w:val="center"/>
              <w:rPr>
                <w:b/>
                <w:bCs/>
                <w:sz w:val="28"/>
                <w:szCs w:val="28"/>
              </w:rPr>
            </w:pPr>
            <w:r>
              <w:rPr>
                <w:rFonts w:hint="eastAsia"/>
                <w:b/>
                <w:bCs/>
                <w:sz w:val="28"/>
                <w:szCs w:val="28"/>
                <w:lang w:val="zh-CN"/>
              </w:rPr>
              <w:t>洪鼎进</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10" w:hRule="atLeast"/>
          <w:jc w:val="center"/>
        </w:trPr>
        <w:tc>
          <w:tcPr>
            <w:tcW w:w="2450" w:type="dxa"/>
            <w:tcBorders>
              <w:top w:val="nil"/>
              <w:bottom w:val="nil"/>
            </w:tcBorders>
            <w:vAlign w:val="center"/>
          </w:tcPr>
          <w:p>
            <w:pPr>
              <w:autoSpaceDE w:val="0"/>
              <w:autoSpaceDN w:val="0"/>
              <w:adjustRightInd w:val="0"/>
              <w:jc w:val="center"/>
              <w:rPr>
                <w:sz w:val="30"/>
                <w:szCs w:val="30"/>
              </w:rPr>
            </w:pPr>
            <w:r>
              <w:rPr>
                <w:sz w:val="30"/>
                <w:szCs w:val="30"/>
                <w:lang w:val="zh-CN"/>
              </w:rPr>
              <w:t>联</w:t>
            </w:r>
            <w:r>
              <w:rPr>
                <w:sz w:val="30"/>
                <w:szCs w:val="30"/>
              </w:rPr>
              <w:t xml:space="preserve">  </w:t>
            </w:r>
            <w:r>
              <w:rPr>
                <w:sz w:val="30"/>
                <w:szCs w:val="30"/>
                <w:lang w:val="zh-CN"/>
              </w:rPr>
              <w:t>系</w:t>
            </w:r>
            <w:r>
              <w:rPr>
                <w:sz w:val="30"/>
                <w:szCs w:val="30"/>
              </w:rPr>
              <w:t xml:space="preserve">  </w:t>
            </w:r>
            <w:r>
              <w:rPr>
                <w:sz w:val="30"/>
                <w:szCs w:val="30"/>
                <w:lang w:val="zh-CN"/>
              </w:rPr>
              <w:t>电</w:t>
            </w:r>
            <w:r>
              <w:rPr>
                <w:sz w:val="30"/>
                <w:szCs w:val="30"/>
              </w:rPr>
              <w:t xml:space="preserve">  </w:t>
            </w:r>
            <w:r>
              <w:rPr>
                <w:sz w:val="30"/>
                <w:szCs w:val="30"/>
                <w:lang w:val="zh-CN"/>
              </w:rPr>
              <w:t>话</w:t>
            </w:r>
          </w:p>
        </w:tc>
        <w:tc>
          <w:tcPr>
            <w:tcW w:w="5596" w:type="dxa"/>
            <w:vAlign w:val="center"/>
          </w:tcPr>
          <w:p>
            <w:pPr>
              <w:tabs>
                <w:tab w:val="left" w:pos="366"/>
              </w:tabs>
              <w:autoSpaceDE w:val="0"/>
              <w:autoSpaceDN w:val="0"/>
              <w:spacing w:line="360" w:lineRule="auto"/>
              <w:jc w:val="center"/>
              <w:rPr>
                <w:b/>
                <w:bCs/>
                <w:sz w:val="28"/>
                <w:szCs w:val="28"/>
              </w:rPr>
            </w:pPr>
            <w:r>
              <w:rPr>
                <w:b/>
                <w:bCs/>
                <w:sz w:val="28"/>
                <w:szCs w:val="28"/>
                <w:lang w:val="zh-CN"/>
              </w:rPr>
              <w:t>13</w:t>
            </w:r>
            <w:r>
              <w:rPr>
                <w:rFonts w:hint="eastAsia"/>
                <w:b/>
                <w:bCs/>
                <w:sz w:val="28"/>
                <w:szCs w:val="28"/>
                <w:lang w:val="zh-CN"/>
              </w:rPr>
              <w:t>805089745</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10" w:hRule="atLeast"/>
          <w:jc w:val="center"/>
        </w:trPr>
        <w:tc>
          <w:tcPr>
            <w:tcW w:w="2450" w:type="dxa"/>
            <w:tcBorders>
              <w:top w:val="nil"/>
              <w:bottom w:val="nil"/>
            </w:tcBorders>
            <w:vAlign w:val="center"/>
          </w:tcPr>
          <w:p>
            <w:pPr>
              <w:autoSpaceDE w:val="0"/>
              <w:autoSpaceDN w:val="0"/>
              <w:adjustRightInd w:val="0"/>
              <w:jc w:val="center"/>
              <w:rPr>
                <w:sz w:val="30"/>
                <w:szCs w:val="30"/>
              </w:rPr>
            </w:pPr>
            <w:r>
              <w:rPr>
                <w:sz w:val="30"/>
                <w:szCs w:val="30"/>
                <w:lang w:val="zh-CN"/>
              </w:rPr>
              <w:t>邮</w:t>
            </w:r>
            <w:r>
              <w:rPr>
                <w:sz w:val="30"/>
                <w:szCs w:val="30"/>
              </w:rPr>
              <w:t xml:space="preserve">  </w:t>
            </w:r>
            <w:r>
              <w:rPr>
                <w:sz w:val="30"/>
                <w:szCs w:val="30"/>
                <w:lang w:val="zh-CN"/>
              </w:rPr>
              <w:t>政</w:t>
            </w:r>
            <w:r>
              <w:rPr>
                <w:sz w:val="30"/>
                <w:szCs w:val="30"/>
              </w:rPr>
              <w:t xml:space="preserve">  </w:t>
            </w:r>
            <w:r>
              <w:rPr>
                <w:sz w:val="30"/>
                <w:szCs w:val="30"/>
                <w:lang w:val="zh-CN"/>
              </w:rPr>
              <w:t>编</w:t>
            </w:r>
            <w:r>
              <w:rPr>
                <w:sz w:val="30"/>
                <w:szCs w:val="30"/>
              </w:rPr>
              <w:t xml:space="preserve">  </w:t>
            </w:r>
            <w:r>
              <w:rPr>
                <w:sz w:val="30"/>
                <w:szCs w:val="30"/>
                <w:lang w:val="zh-CN"/>
              </w:rPr>
              <w:t>码</w:t>
            </w:r>
          </w:p>
        </w:tc>
        <w:tc>
          <w:tcPr>
            <w:tcW w:w="5596" w:type="dxa"/>
            <w:vAlign w:val="center"/>
          </w:tcPr>
          <w:p>
            <w:pPr>
              <w:tabs>
                <w:tab w:val="left" w:pos="366"/>
              </w:tabs>
              <w:autoSpaceDE w:val="0"/>
              <w:autoSpaceDN w:val="0"/>
              <w:spacing w:line="360" w:lineRule="auto"/>
              <w:jc w:val="center"/>
              <w:rPr>
                <w:b/>
                <w:bCs/>
                <w:sz w:val="28"/>
                <w:szCs w:val="28"/>
              </w:rPr>
            </w:pPr>
            <w:r>
              <w:rPr>
                <w:b/>
                <w:bCs/>
                <w:sz w:val="28"/>
                <w:szCs w:val="28"/>
                <w:lang w:val="zh-CN"/>
              </w:rPr>
              <w:t>350108</w:t>
            </w:r>
          </w:p>
        </w:tc>
      </w:tr>
    </w:tbl>
    <w:p>
      <w:pPr>
        <w:autoSpaceDE w:val="0"/>
        <w:autoSpaceDN w:val="0"/>
        <w:adjustRightInd w:val="0"/>
        <w:rPr>
          <w:b/>
          <w:bCs/>
          <w:sz w:val="32"/>
          <w:szCs w:val="32"/>
          <w:lang w:val="zh-CN"/>
        </w:rPr>
      </w:pPr>
    </w:p>
    <w:p>
      <w:pPr>
        <w:pStyle w:val="6"/>
        <w:rPr>
          <w:lang w:val="zh-CN"/>
        </w:rPr>
      </w:pPr>
    </w:p>
    <w:tbl>
      <w:tblPr>
        <w:tblStyle w:val="24"/>
        <w:tblW w:w="0" w:type="auto"/>
        <w:jc w:val="center"/>
        <w:tblLayout w:type="fixed"/>
        <w:tblCellMar>
          <w:top w:w="0" w:type="dxa"/>
          <w:left w:w="108" w:type="dxa"/>
          <w:bottom w:w="0" w:type="dxa"/>
          <w:right w:w="108" w:type="dxa"/>
        </w:tblCellMar>
      </w:tblPr>
      <w:tblGrid>
        <w:gridCol w:w="2735"/>
        <w:gridCol w:w="3138"/>
        <w:gridCol w:w="2160"/>
      </w:tblGrid>
      <w:tr>
        <w:tblPrEx>
          <w:tblCellMar>
            <w:top w:w="0" w:type="dxa"/>
            <w:left w:w="108" w:type="dxa"/>
            <w:bottom w:w="0" w:type="dxa"/>
            <w:right w:w="108" w:type="dxa"/>
          </w:tblCellMar>
        </w:tblPrEx>
        <w:trPr>
          <w:cantSplit/>
          <w:trHeight w:val="90" w:hRule="atLeast"/>
          <w:jc w:val="center"/>
        </w:trPr>
        <w:tc>
          <w:tcPr>
            <w:tcW w:w="2735"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sz w:val="32"/>
                <w:szCs w:val="32"/>
                <w:lang w:val="zh-CN"/>
              </w:rPr>
            </w:pPr>
            <w:r>
              <w:rPr>
                <w:sz w:val="32"/>
                <w:szCs w:val="32"/>
                <w:lang w:val="zh-CN"/>
              </w:rPr>
              <w:t>环保部门填写</w:t>
            </w:r>
          </w:p>
        </w:tc>
        <w:tc>
          <w:tcPr>
            <w:tcW w:w="313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sz w:val="32"/>
                <w:szCs w:val="32"/>
                <w:lang w:val="zh-CN"/>
              </w:rPr>
            </w:pPr>
            <w:r>
              <w:rPr>
                <w:sz w:val="32"/>
                <w:szCs w:val="32"/>
                <w:lang w:val="zh-CN"/>
              </w:rPr>
              <w:t>收到报告表日期</w:t>
            </w:r>
          </w:p>
        </w:tc>
        <w:tc>
          <w:tcPr>
            <w:tcW w:w="21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sz w:val="32"/>
                <w:szCs w:val="32"/>
                <w:lang w:val="zh-CN"/>
              </w:rPr>
            </w:pPr>
          </w:p>
        </w:tc>
      </w:tr>
      <w:tr>
        <w:tblPrEx>
          <w:tblCellMar>
            <w:top w:w="0" w:type="dxa"/>
            <w:left w:w="108" w:type="dxa"/>
            <w:bottom w:w="0" w:type="dxa"/>
            <w:right w:w="108" w:type="dxa"/>
          </w:tblCellMar>
        </w:tblPrEx>
        <w:trPr>
          <w:cantSplit/>
          <w:jc w:val="center"/>
        </w:trPr>
        <w:tc>
          <w:tcPr>
            <w:tcW w:w="2735"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sz w:val="32"/>
                <w:szCs w:val="32"/>
                <w:lang w:val="zh-CN"/>
              </w:rPr>
            </w:pPr>
          </w:p>
        </w:tc>
        <w:tc>
          <w:tcPr>
            <w:tcW w:w="313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sz w:val="32"/>
                <w:szCs w:val="32"/>
                <w:lang w:val="zh-CN"/>
              </w:rPr>
            </w:pPr>
            <w:r>
              <w:rPr>
                <w:sz w:val="32"/>
                <w:szCs w:val="32"/>
                <w:lang w:val="zh-CN"/>
              </w:rPr>
              <w:t>编    号</w:t>
            </w:r>
          </w:p>
        </w:tc>
        <w:tc>
          <w:tcPr>
            <w:tcW w:w="21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sz w:val="32"/>
                <w:szCs w:val="32"/>
                <w:lang w:val="zh-CN"/>
              </w:rPr>
            </w:pPr>
          </w:p>
        </w:tc>
      </w:tr>
    </w:tbl>
    <w:p>
      <w:pPr>
        <w:autoSpaceDE w:val="0"/>
        <w:autoSpaceDN w:val="0"/>
        <w:adjustRightInd w:val="0"/>
        <w:rPr>
          <w:b/>
          <w:bCs/>
          <w:sz w:val="32"/>
          <w:szCs w:val="32"/>
          <w:lang w:val="zh-CN"/>
        </w:rPr>
      </w:pPr>
    </w:p>
    <w:p>
      <w:pPr>
        <w:pStyle w:val="6"/>
        <w:adjustRightInd w:val="0"/>
        <w:ind w:firstLine="0"/>
        <w:rPr>
          <w:b/>
          <w:bCs/>
          <w:sz w:val="36"/>
          <w:szCs w:val="36"/>
          <w:lang w:val="zh-CN"/>
        </w:rPr>
      </w:pPr>
    </w:p>
    <w:p>
      <w:pPr>
        <w:pStyle w:val="6"/>
        <w:adjustRightInd w:val="0"/>
        <w:ind w:firstLine="0"/>
        <w:jc w:val="center"/>
        <w:rPr>
          <w:b/>
          <w:bCs/>
          <w:sz w:val="36"/>
          <w:szCs w:val="36"/>
          <w:lang w:val="zh-CN"/>
        </w:rPr>
      </w:pPr>
    </w:p>
    <w:p>
      <w:pPr>
        <w:pStyle w:val="6"/>
        <w:adjustRightInd w:val="0"/>
        <w:ind w:firstLine="0"/>
        <w:jc w:val="center"/>
        <w:rPr>
          <w:rFonts w:ascii="黑体" w:hAnsi="黑体" w:eastAsia="黑体" w:cs="黑体"/>
          <w:b/>
          <w:bCs/>
          <w:spacing w:val="6"/>
          <w:sz w:val="36"/>
          <w:szCs w:val="36"/>
        </w:rPr>
      </w:pPr>
      <w:r>
        <w:rPr>
          <w:b/>
          <w:bCs/>
          <w:sz w:val="36"/>
          <w:szCs w:val="36"/>
          <w:lang w:val="zh-CN"/>
        </w:rPr>
        <w:t>福 建 省 环 境 保 护 局 制</w:t>
      </w:r>
    </w:p>
    <w:p>
      <w:pPr>
        <w:tabs>
          <w:tab w:val="left" w:pos="3300"/>
        </w:tabs>
        <w:spacing w:before="300" w:beforeLines="125" w:after="240" w:afterLines="100" w:line="360" w:lineRule="auto"/>
        <w:jc w:val="center"/>
        <w:rPr>
          <w:rFonts w:ascii="黑体" w:hAnsi="黑体" w:eastAsia="黑体" w:cs="黑体"/>
          <w:b/>
          <w:bCs/>
          <w:spacing w:val="6"/>
          <w:sz w:val="36"/>
          <w:szCs w:val="36"/>
        </w:rPr>
      </w:pPr>
    </w:p>
    <w:p>
      <w:pPr>
        <w:tabs>
          <w:tab w:val="left" w:pos="3300"/>
        </w:tabs>
        <w:spacing w:before="300" w:beforeLines="125" w:after="240" w:afterLines="100" w:line="360" w:lineRule="auto"/>
        <w:jc w:val="center"/>
        <w:outlineLvl w:val="0"/>
        <w:rPr>
          <w:rFonts w:ascii="黑体" w:hAnsi="黑体" w:eastAsia="黑体" w:cs="黑体"/>
          <w:b/>
          <w:bCs/>
          <w:spacing w:val="6"/>
          <w:sz w:val="36"/>
          <w:szCs w:val="36"/>
        </w:rPr>
        <w:sectPr>
          <w:footerReference r:id="rId3" w:type="default"/>
          <w:type w:val="nextColumn"/>
          <w:pgSz w:w="11907" w:h="16840"/>
          <w:pgMar w:top="1417" w:right="1417" w:bottom="1417" w:left="1417" w:header="720" w:footer="720" w:gutter="0"/>
          <w:pgNumType w:start="1"/>
          <w:cols w:space="720" w:num="1"/>
          <w:docGrid w:linePitch="286" w:charSpace="0"/>
        </w:sectPr>
      </w:pPr>
    </w:p>
    <w:p>
      <w:pPr>
        <w:tabs>
          <w:tab w:val="left" w:pos="3300"/>
        </w:tabs>
        <w:spacing w:before="300" w:beforeLines="125" w:after="240" w:afterLines="100" w:line="360" w:lineRule="auto"/>
        <w:jc w:val="center"/>
        <w:outlineLvl w:val="0"/>
        <w:rPr>
          <w:rFonts w:ascii="宋体" w:hAnsi="宋体" w:cs="宋体"/>
          <w:sz w:val="30"/>
          <w:szCs w:val="30"/>
        </w:rPr>
      </w:pPr>
      <w:bookmarkStart w:id="0" w:name="_Toc32718"/>
      <w:r>
        <w:rPr>
          <w:rFonts w:ascii="宋体" w:hAnsi="宋体" w:cs="宋体"/>
          <w:sz w:val="30"/>
          <w:szCs w:val="30"/>
        </w:rPr>
        <w:t>填 表 说 明</w:t>
      </w:r>
      <w:bookmarkEnd w:id="0"/>
    </w:p>
    <w:p>
      <w:pPr>
        <w:numPr>
          <w:ilvl w:val="0"/>
          <w:numId w:val="1"/>
        </w:numPr>
        <w:tabs>
          <w:tab w:val="left" w:pos="3300"/>
        </w:tabs>
        <w:spacing w:line="520" w:lineRule="exact"/>
        <w:ind w:firstLine="480" w:firstLineChars="200"/>
        <w:rPr>
          <w:rFonts w:ascii="宋体" w:hAnsi="宋体" w:cs="宋体"/>
          <w:sz w:val="24"/>
          <w:szCs w:val="24"/>
        </w:rPr>
      </w:pPr>
      <w:r>
        <w:rPr>
          <w:rFonts w:ascii="宋体" w:hAnsi="宋体" w:cs="宋体"/>
          <w:sz w:val="24"/>
          <w:szCs w:val="24"/>
        </w:rPr>
        <w:t>本表适用于可能对环境造成轻度影响的第三产业的建设项目。</w:t>
      </w:r>
      <w:r>
        <w:rPr>
          <w:rFonts w:ascii="宋体" w:hAnsi="宋体" w:cs="宋体"/>
          <w:sz w:val="24"/>
          <w:szCs w:val="24"/>
        </w:rPr>
        <w:br w:type="textWrapping"/>
      </w:r>
      <w:r>
        <w:rPr>
          <w:rFonts w:hint="eastAsia" w:ascii="宋体" w:hAnsi="宋体" w:cs="宋体"/>
          <w:sz w:val="24"/>
          <w:szCs w:val="24"/>
        </w:rPr>
        <w:t xml:space="preserve">    </w:t>
      </w:r>
      <w:r>
        <w:rPr>
          <w:rFonts w:ascii="TimesNewRomanPSMT" w:hAnsi="TimesNewRomanPSMT" w:eastAsia="TimesNewRomanPSMT" w:cs="TimesNewRomanPSMT"/>
          <w:sz w:val="24"/>
          <w:szCs w:val="24"/>
        </w:rPr>
        <w:t>2</w:t>
      </w:r>
      <w:r>
        <w:rPr>
          <w:rFonts w:ascii="宋体" w:hAnsi="宋体" w:cs="宋体"/>
          <w:sz w:val="24"/>
          <w:szCs w:val="24"/>
        </w:rPr>
        <w:t xml:space="preserve">、本表应附以下附件、附图 </w:t>
      </w:r>
    </w:p>
    <w:p>
      <w:pPr>
        <w:tabs>
          <w:tab w:val="left" w:pos="3300"/>
        </w:tabs>
        <w:spacing w:line="520" w:lineRule="exact"/>
        <w:ind w:firstLine="480" w:firstLineChars="200"/>
        <w:rPr>
          <w:sz w:val="24"/>
          <w:szCs w:val="24"/>
        </w:rPr>
      </w:pPr>
      <w:r>
        <w:rPr>
          <w:sz w:val="24"/>
          <w:szCs w:val="24"/>
        </w:rPr>
        <w:t>附件</w:t>
      </w:r>
      <w:r>
        <w:rPr>
          <w:rFonts w:eastAsia="TimesNewRomanPSMT"/>
          <w:sz w:val="24"/>
          <w:szCs w:val="24"/>
        </w:rPr>
        <w:t xml:space="preserve">1 </w:t>
      </w:r>
      <w:r>
        <w:rPr>
          <w:sz w:val="24"/>
          <w:szCs w:val="24"/>
        </w:rPr>
        <w:t>环境影响评价委托</w:t>
      </w:r>
      <w:r>
        <w:rPr>
          <w:rFonts w:hint="eastAsia"/>
          <w:sz w:val="24"/>
          <w:szCs w:val="24"/>
        </w:rPr>
        <w:t>书</w:t>
      </w:r>
    </w:p>
    <w:p>
      <w:pPr>
        <w:tabs>
          <w:tab w:val="left" w:pos="3300"/>
        </w:tabs>
        <w:spacing w:line="520" w:lineRule="exact"/>
        <w:ind w:firstLine="480" w:firstLineChars="200"/>
        <w:rPr>
          <w:sz w:val="24"/>
          <w:szCs w:val="24"/>
        </w:rPr>
      </w:pPr>
      <w:r>
        <w:rPr>
          <w:sz w:val="24"/>
          <w:szCs w:val="24"/>
        </w:rPr>
        <w:t>附件2</w:t>
      </w:r>
      <w:r>
        <w:rPr>
          <w:rFonts w:hint="eastAsia"/>
          <w:sz w:val="24"/>
          <w:szCs w:val="24"/>
        </w:rPr>
        <w:t>项目</w:t>
      </w:r>
      <w:r>
        <w:rPr>
          <w:sz w:val="24"/>
          <w:szCs w:val="24"/>
        </w:rPr>
        <w:t>选址意见的函</w:t>
      </w:r>
    </w:p>
    <w:p>
      <w:pPr>
        <w:tabs>
          <w:tab w:val="left" w:pos="3300"/>
        </w:tabs>
        <w:spacing w:line="520" w:lineRule="exact"/>
        <w:ind w:firstLine="480" w:firstLineChars="200"/>
        <w:rPr>
          <w:sz w:val="24"/>
          <w:szCs w:val="24"/>
        </w:rPr>
      </w:pPr>
      <w:r>
        <w:rPr>
          <w:sz w:val="24"/>
          <w:szCs w:val="24"/>
        </w:rPr>
        <w:t xml:space="preserve">附件3 </w:t>
      </w:r>
      <w:r>
        <w:rPr>
          <w:rFonts w:hint="eastAsia"/>
          <w:sz w:val="24"/>
          <w:szCs w:val="24"/>
        </w:rPr>
        <w:t>闽侯县</w:t>
      </w:r>
      <w:r>
        <w:rPr>
          <w:sz w:val="24"/>
          <w:szCs w:val="24"/>
        </w:rPr>
        <w:t>人民政府专题会议纪要</w:t>
      </w:r>
    </w:p>
    <w:p>
      <w:pPr>
        <w:tabs>
          <w:tab w:val="left" w:pos="3300"/>
        </w:tabs>
        <w:spacing w:line="520" w:lineRule="exact"/>
        <w:ind w:firstLine="480" w:firstLineChars="200"/>
        <w:rPr>
          <w:sz w:val="24"/>
          <w:szCs w:val="24"/>
        </w:rPr>
      </w:pPr>
      <w:r>
        <w:rPr>
          <w:sz w:val="24"/>
          <w:szCs w:val="24"/>
        </w:rPr>
        <w:t>附件4建设项目用地预审意见书</w:t>
      </w:r>
    </w:p>
    <w:p>
      <w:pPr>
        <w:tabs>
          <w:tab w:val="left" w:pos="3300"/>
        </w:tabs>
        <w:spacing w:line="520" w:lineRule="exact"/>
        <w:ind w:firstLine="480" w:firstLineChars="200"/>
        <w:rPr>
          <w:sz w:val="24"/>
          <w:szCs w:val="24"/>
        </w:rPr>
      </w:pPr>
      <w:r>
        <w:rPr>
          <w:sz w:val="24"/>
          <w:szCs w:val="24"/>
        </w:rPr>
        <w:t xml:space="preserve">附件5 </w:t>
      </w:r>
      <w:r>
        <w:rPr>
          <w:rFonts w:hint="eastAsia"/>
          <w:sz w:val="24"/>
          <w:szCs w:val="24"/>
        </w:rPr>
        <w:t>闽侯县人民政府办公室会审纪要</w:t>
      </w:r>
    </w:p>
    <w:p>
      <w:pPr>
        <w:tabs>
          <w:tab w:val="left" w:pos="3300"/>
        </w:tabs>
        <w:spacing w:line="520" w:lineRule="exact"/>
        <w:ind w:firstLine="480" w:firstLineChars="200"/>
        <w:rPr>
          <w:sz w:val="24"/>
          <w:szCs w:val="24"/>
        </w:rPr>
      </w:pPr>
      <w:r>
        <w:rPr>
          <w:sz w:val="24"/>
          <w:szCs w:val="24"/>
        </w:rPr>
        <w:t>附件6</w:t>
      </w:r>
      <w:r>
        <w:rPr>
          <w:rFonts w:hint="eastAsia"/>
          <w:sz w:val="24"/>
          <w:szCs w:val="24"/>
        </w:rPr>
        <w:t>闽侯县发展和改革局关于可行性研究报告的复函</w:t>
      </w:r>
    </w:p>
    <w:p>
      <w:pPr>
        <w:tabs>
          <w:tab w:val="left" w:pos="3300"/>
        </w:tabs>
        <w:spacing w:line="520" w:lineRule="exact"/>
        <w:ind w:firstLine="480" w:firstLineChars="200"/>
        <w:rPr>
          <w:sz w:val="24"/>
          <w:szCs w:val="24"/>
        </w:rPr>
      </w:pPr>
      <w:r>
        <w:rPr>
          <w:rFonts w:hint="eastAsia" w:ascii="宋体" w:hAnsi="宋体" w:cs="宋体"/>
          <w:sz w:val="24"/>
          <w:szCs w:val="24"/>
        </w:rPr>
        <w:t>附图</w:t>
      </w:r>
      <w:r>
        <w:rPr>
          <w:sz w:val="24"/>
          <w:szCs w:val="24"/>
        </w:rPr>
        <w:t>1</w:t>
      </w:r>
      <w:r>
        <w:rPr>
          <w:rFonts w:hint="eastAsia"/>
          <w:sz w:val="24"/>
          <w:szCs w:val="24"/>
        </w:rPr>
        <w:t>高中部综合楼</w:t>
      </w:r>
      <w:r>
        <w:rPr>
          <w:sz w:val="24"/>
          <w:szCs w:val="24"/>
        </w:rPr>
        <w:t>实验楼（</w:t>
      </w:r>
      <w:r>
        <w:rPr>
          <w:rFonts w:hint="eastAsia"/>
          <w:sz w:val="24"/>
          <w:szCs w:val="24"/>
        </w:rPr>
        <w:t>1</w:t>
      </w:r>
      <w:r>
        <w:rPr>
          <w:sz w:val="24"/>
          <w:szCs w:val="24"/>
        </w:rPr>
        <w:t>~</w:t>
      </w:r>
      <w:r>
        <w:rPr>
          <w:rFonts w:hint="eastAsia"/>
          <w:sz w:val="24"/>
          <w:szCs w:val="24"/>
        </w:rPr>
        <w:t>3</w:t>
      </w:r>
      <w:r>
        <w:rPr>
          <w:sz w:val="24"/>
          <w:szCs w:val="24"/>
        </w:rPr>
        <w:t>F平面图）</w:t>
      </w:r>
    </w:p>
    <w:p>
      <w:pPr>
        <w:tabs>
          <w:tab w:val="left" w:pos="3300"/>
        </w:tabs>
        <w:spacing w:line="520" w:lineRule="exact"/>
        <w:ind w:firstLine="480" w:firstLineChars="200"/>
        <w:rPr>
          <w:sz w:val="24"/>
          <w:szCs w:val="24"/>
        </w:rPr>
      </w:pPr>
      <w:r>
        <w:rPr>
          <w:sz w:val="24"/>
          <w:szCs w:val="24"/>
        </w:rPr>
        <w:t>附图2</w:t>
      </w:r>
      <w:r>
        <w:rPr>
          <w:sz w:val="24"/>
        </w:rPr>
        <w:t>地下室平面图</w:t>
      </w:r>
      <w:r>
        <w:rPr>
          <w:sz w:val="24"/>
          <w:szCs w:val="24"/>
        </w:rPr>
        <w:t>（</w:t>
      </w:r>
      <w:r>
        <w:rPr>
          <w:rFonts w:hint="eastAsia"/>
          <w:sz w:val="24"/>
          <w:szCs w:val="24"/>
        </w:rPr>
        <w:t>-1</w:t>
      </w:r>
      <w:r>
        <w:rPr>
          <w:sz w:val="24"/>
          <w:szCs w:val="24"/>
        </w:rPr>
        <w:t>~</w:t>
      </w:r>
      <w:r>
        <w:rPr>
          <w:rFonts w:hint="eastAsia"/>
          <w:sz w:val="24"/>
          <w:szCs w:val="24"/>
        </w:rPr>
        <w:t>-2</w:t>
      </w:r>
      <w:r>
        <w:rPr>
          <w:sz w:val="24"/>
          <w:szCs w:val="24"/>
        </w:rPr>
        <w:t>F平面图）</w:t>
      </w:r>
    </w:p>
    <w:p>
      <w:pPr>
        <w:tabs>
          <w:tab w:val="left" w:pos="3300"/>
        </w:tabs>
        <w:spacing w:line="520" w:lineRule="exact"/>
        <w:ind w:left="420" w:leftChars="200"/>
        <w:rPr>
          <w:sz w:val="24"/>
          <w:szCs w:val="24"/>
        </w:rPr>
      </w:pPr>
      <w:r>
        <w:rPr>
          <w:sz w:val="24"/>
          <w:szCs w:val="24"/>
        </w:rPr>
        <w:t>3、如果本报告表不能说明项目产生的污染对环境造成的影响，应进行专项评价。</w:t>
      </w:r>
    </w:p>
    <w:p>
      <w:pPr>
        <w:tabs>
          <w:tab w:val="left" w:pos="3300"/>
        </w:tabs>
        <w:spacing w:line="520" w:lineRule="exact"/>
        <w:ind w:left="420" w:leftChars="200"/>
        <w:sectPr>
          <w:headerReference r:id="rId4" w:type="default"/>
          <w:pgSz w:w="11907" w:h="16840"/>
          <w:pgMar w:top="1417" w:right="1418" w:bottom="1417" w:left="1418" w:header="720" w:footer="720" w:gutter="0"/>
          <w:pgNumType w:start="1"/>
          <w:cols w:space="720" w:num="1"/>
          <w:docGrid w:linePitch="286" w:charSpace="0"/>
        </w:sectPr>
      </w:pPr>
      <w:r>
        <w:rPr>
          <w:sz w:val="24"/>
          <w:szCs w:val="24"/>
        </w:rPr>
        <w:t xml:space="preserve">由环境保护行政主管部门根据建设项目特点和当地环境特征，确定选择下列 </w:t>
      </w:r>
      <w:r>
        <w:rPr>
          <w:rFonts w:eastAsia="TimesNewRomanPSMT"/>
          <w:sz w:val="24"/>
          <w:szCs w:val="24"/>
        </w:rPr>
        <w:t xml:space="preserve">1-2 </w:t>
      </w:r>
      <w:r>
        <w:rPr>
          <w:sz w:val="24"/>
          <w:szCs w:val="24"/>
        </w:rPr>
        <w:t>项进行专项评价。</w:t>
      </w:r>
      <w:r>
        <w:rPr>
          <w:sz w:val="24"/>
          <w:szCs w:val="24"/>
        </w:rPr>
        <w:br w:type="textWrapping"/>
      </w:r>
      <w:r>
        <w:rPr>
          <w:rFonts w:eastAsia="TimesNewRomanPSMT"/>
          <w:sz w:val="24"/>
          <w:szCs w:val="24"/>
        </w:rPr>
        <w:t>(1)</w:t>
      </w:r>
      <w:r>
        <w:rPr>
          <w:sz w:val="24"/>
          <w:szCs w:val="24"/>
        </w:rPr>
        <w:t>大气环境影响专项评</w:t>
      </w:r>
      <w:r>
        <w:rPr>
          <w:rFonts w:ascii="宋体" w:hAnsi="宋体" w:cs="宋体"/>
          <w:sz w:val="24"/>
          <w:szCs w:val="24"/>
        </w:rPr>
        <w:t>价</w:t>
      </w:r>
      <w:r>
        <w:rPr>
          <w:rFonts w:ascii="宋体" w:hAnsi="宋体" w:cs="宋体"/>
          <w:sz w:val="24"/>
          <w:szCs w:val="24"/>
        </w:rPr>
        <w:br w:type="textWrapping"/>
      </w:r>
      <w:r>
        <w:rPr>
          <w:rFonts w:ascii="TimesNewRomanPSMT" w:hAnsi="TimesNewRomanPSMT" w:eastAsia="TimesNewRomanPSMT" w:cs="TimesNewRomanPSMT"/>
          <w:sz w:val="24"/>
          <w:szCs w:val="24"/>
        </w:rPr>
        <w:t>(2)</w:t>
      </w:r>
      <w:r>
        <w:rPr>
          <w:rFonts w:ascii="宋体" w:hAnsi="宋体" w:cs="宋体"/>
          <w:sz w:val="24"/>
          <w:szCs w:val="24"/>
        </w:rPr>
        <w:t>水环境影响专项评价（包括地表水和地下水）</w:t>
      </w:r>
      <w:r>
        <w:rPr>
          <w:rFonts w:ascii="宋体" w:hAnsi="宋体" w:cs="宋体"/>
          <w:sz w:val="24"/>
          <w:szCs w:val="24"/>
        </w:rPr>
        <w:br w:type="textWrapping"/>
      </w:r>
      <w:r>
        <w:rPr>
          <w:rFonts w:ascii="TimesNewRomanPSMT" w:hAnsi="TimesNewRomanPSMT" w:eastAsia="TimesNewRomanPSMT" w:cs="TimesNewRomanPSMT"/>
          <w:sz w:val="24"/>
          <w:szCs w:val="24"/>
        </w:rPr>
        <w:t>(3)</w:t>
      </w:r>
      <w:r>
        <w:rPr>
          <w:rFonts w:ascii="宋体" w:hAnsi="宋体" w:cs="宋体"/>
          <w:sz w:val="24"/>
          <w:szCs w:val="24"/>
        </w:rPr>
        <w:t>噪声环境影响专项评价</w:t>
      </w:r>
      <w:r>
        <w:rPr>
          <w:rFonts w:ascii="宋体" w:hAnsi="宋体" w:cs="宋体"/>
          <w:sz w:val="24"/>
          <w:szCs w:val="24"/>
        </w:rPr>
        <w:br w:type="textWrapping"/>
      </w:r>
      <w:r>
        <w:rPr>
          <w:rFonts w:ascii="TimesNewRomanPSMT" w:hAnsi="TimesNewRomanPSMT" w:eastAsia="TimesNewRomanPSMT" w:cs="TimesNewRomanPSMT"/>
          <w:sz w:val="24"/>
          <w:szCs w:val="24"/>
        </w:rPr>
        <w:t>(4)</w:t>
      </w:r>
      <w:r>
        <w:rPr>
          <w:rFonts w:ascii="宋体" w:hAnsi="宋体" w:cs="宋体"/>
          <w:sz w:val="24"/>
          <w:szCs w:val="24"/>
        </w:rPr>
        <w:t>固体废物环境影响专项评价 专项评价工作应按照《环境影响评价技术导则》中的要求进行。</w:t>
      </w:r>
    </w:p>
    <w:p>
      <w:pPr>
        <w:jc w:val="center"/>
        <w:rPr>
          <w:b/>
          <w:sz w:val="28"/>
          <w:szCs w:val="28"/>
        </w:rPr>
      </w:pPr>
      <w:r>
        <w:rPr>
          <w:b/>
          <w:sz w:val="28"/>
          <w:szCs w:val="28"/>
        </w:rPr>
        <w:t>目  录</w:t>
      </w:r>
    </w:p>
    <w:p>
      <w:pPr>
        <w:pStyle w:val="18"/>
        <w:rPr>
          <w:rStyle w:val="29"/>
        </w:rPr>
      </w:pPr>
      <w:r>
        <w:fldChar w:fldCharType="begin"/>
      </w:r>
      <w:r>
        <w:instrText xml:space="preserve"> TOC \o "1-3" \h \z \u </w:instrText>
      </w:r>
      <w:r>
        <w:fldChar w:fldCharType="separate"/>
      </w:r>
      <w:r>
        <w:fldChar w:fldCharType="begin"/>
      </w:r>
      <w:r>
        <w:instrText xml:space="preserve"> HYPERLINK \l "_Toc486070502" </w:instrText>
      </w:r>
      <w:r>
        <w:fldChar w:fldCharType="separate"/>
      </w:r>
      <w:r>
        <w:rPr>
          <w:rStyle w:val="29"/>
          <w:rFonts w:hint="eastAsia"/>
        </w:rPr>
        <w:t>一</w:t>
      </w:r>
      <w:r>
        <w:rPr>
          <w:rStyle w:val="29"/>
        </w:rPr>
        <w:t>、项目基本情况</w:t>
      </w:r>
      <w:r>
        <w:rPr>
          <w:rStyle w:val="29"/>
        </w:rPr>
        <w:fldChar w:fldCharType="end"/>
      </w:r>
    </w:p>
    <w:p>
      <w:pPr>
        <w:pStyle w:val="18"/>
        <w:rPr>
          <w:rStyle w:val="29"/>
          <w:b w:val="0"/>
        </w:rPr>
      </w:pPr>
      <w:r>
        <w:fldChar w:fldCharType="begin"/>
      </w:r>
      <w:r>
        <w:instrText xml:space="preserve"> HYPERLINK \l "_Toc486070503" </w:instrText>
      </w:r>
      <w:r>
        <w:fldChar w:fldCharType="separate"/>
      </w:r>
      <w:r>
        <w:rPr>
          <w:rStyle w:val="29"/>
          <w:b w:val="0"/>
        </w:rPr>
        <w:t>1.1项目建设</w:t>
      </w:r>
      <w:r>
        <w:rPr>
          <w:rStyle w:val="29"/>
          <w:rFonts w:hint="eastAsia"/>
          <w:b w:val="0"/>
        </w:rPr>
        <w:t>基本概况</w:t>
      </w:r>
      <w:r>
        <w:rPr>
          <w:rStyle w:val="29"/>
          <w:b w:val="0"/>
        </w:rPr>
        <w:tab/>
      </w:r>
      <w:r>
        <w:rPr>
          <w:rStyle w:val="29"/>
          <w:rFonts w:hint="eastAsia"/>
          <w:b w:val="0"/>
        </w:rPr>
        <w:t>3</w:t>
      </w:r>
      <w:r>
        <w:rPr>
          <w:rStyle w:val="29"/>
          <w:rFonts w:hint="eastAsia"/>
          <w:b w:val="0"/>
        </w:rPr>
        <w:fldChar w:fldCharType="end"/>
      </w:r>
    </w:p>
    <w:p>
      <w:pPr>
        <w:pStyle w:val="18"/>
        <w:rPr>
          <w:rStyle w:val="29"/>
          <w:b w:val="0"/>
        </w:rPr>
      </w:pPr>
      <w:r>
        <w:fldChar w:fldCharType="begin"/>
      </w:r>
      <w:r>
        <w:instrText xml:space="preserve"> HYPERLINK \l "_Toc486070504" </w:instrText>
      </w:r>
      <w:r>
        <w:fldChar w:fldCharType="separate"/>
      </w:r>
      <w:r>
        <w:rPr>
          <w:rStyle w:val="29"/>
          <w:b w:val="0"/>
        </w:rPr>
        <w:t>1.2 项目建设</w:t>
      </w:r>
      <w:r>
        <w:rPr>
          <w:rStyle w:val="29"/>
          <w:rFonts w:hint="eastAsia"/>
          <w:b w:val="0"/>
        </w:rPr>
        <w:t>背景</w:t>
      </w:r>
      <w:r>
        <w:rPr>
          <w:rStyle w:val="29"/>
          <w:b w:val="0"/>
        </w:rPr>
        <w:tab/>
      </w:r>
      <w:r>
        <w:rPr>
          <w:rStyle w:val="29"/>
          <w:rFonts w:hint="eastAsia"/>
          <w:b w:val="0"/>
        </w:rPr>
        <w:t>3</w:t>
      </w:r>
      <w:r>
        <w:rPr>
          <w:rStyle w:val="29"/>
          <w:rFonts w:hint="eastAsia"/>
          <w:b w:val="0"/>
        </w:rPr>
        <w:fldChar w:fldCharType="end"/>
      </w:r>
    </w:p>
    <w:p>
      <w:pPr>
        <w:pStyle w:val="18"/>
        <w:rPr>
          <w:rStyle w:val="29"/>
        </w:rPr>
      </w:pPr>
      <w:r>
        <w:fldChar w:fldCharType="begin"/>
      </w:r>
      <w:r>
        <w:instrText xml:space="preserve"> HYPERLINK \l "_Toc486070505" </w:instrText>
      </w:r>
      <w:r>
        <w:fldChar w:fldCharType="separate"/>
      </w:r>
      <w:r>
        <w:rPr>
          <w:rStyle w:val="29"/>
          <w:rFonts w:hint="eastAsia"/>
        </w:rPr>
        <w:t>二</w:t>
      </w:r>
      <w:r>
        <w:rPr>
          <w:rStyle w:val="29"/>
        </w:rPr>
        <w:t>、</w:t>
      </w:r>
      <w:r>
        <w:rPr>
          <w:rStyle w:val="29"/>
          <w:rFonts w:hint="eastAsia"/>
        </w:rPr>
        <w:t>当地社会、经济、环境简况</w:t>
      </w:r>
      <w:r>
        <w:rPr>
          <w:rStyle w:val="29"/>
          <w:rFonts w:hint="eastAsia"/>
        </w:rPr>
        <w:fldChar w:fldCharType="end"/>
      </w:r>
    </w:p>
    <w:p>
      <w:pPr>
        <w:pStyle w:val="18"/>
        <w:rPr>
          <w:rStyle w:val="29"/>
          <w:b w:val="0"/>
        </w:rPr>
      </w:pPr>
      <w:r>
        <w:fldChar w:fldCharType="begin"/>
      </w:r>
      <w:r>
        <w:instrText xml:space="preserve"> HYPERLINK \l "_Toc486070506" </w:instrText>
      </w:r>
      <w:r>
        <w:fldChar w:fldCharType="separate"/>
      </w:r>
      <w:r>
        <w:rPr>
          <w:rStyle w:val="29"/>
          <w:b w:val="0"/>
        </w:rPr>
        <w:t>2.1 自然环境概况</w:t>
      </w:r>
      <w:r>
        <w:rPr>
          <w:rStyle w:val="29"/>
          <w:b w:val="0"/>
        </w:rPr>
        <w:tab/>
      </w:r>
      <w:r>
        <w:rPr>
          <w:rStyle w:val="29"/>
          <w:rFonts w:hint="eastAsia"/>
          <w:b w:val="0"/>
        </w:rPr>
        <w:t>5</w:t>
      </w:r>
      <w:r>
        <w:rPr>
          <w:rStyle w:val="29"/>
          <w:rFonts w:hint="eastAsia"/>
          <w:b w:val="0"/>
        </w:rPr>
        <w:fldChar w:fldCharType="end"/>
      </w:r>
    </w:p>
    <w:p>
      <w:pPr>
        <w:pStyle w:val="18"/>
        <w:rPr>
          <w:rStyle w:val="29"/>
          <w:b w:val="0"/>
        </w:rPr>
      </w:pPr>
      <w:r>
        <w:fldChar w:fldCharType="begin"/>
      </w:r>
      <w:r>
        <w:instrText xml:space="preserve"> HYPERLINK \l "_Toc486070513" </w:instrText>
      </w:r>
      <w:r>
        <w:fldChar w:fldCharType="separate"/>
      </w:r>
      <w:r>
        <w:rPr>
          <w:rStyle w:val="29"/>
          <w:b w:val="0"/>
        </w:rPr>
        <w:t>2.2环境功能区划及评价标准</w:t>
      </w:r>
      <w:r>
        <w:rPr>
          <w:rStyle w:val="29"/>
          <w:b w:val="0"/>
        </w:rPr>
        <w:tab/>
      </w:r>
      <w:r>
        <w:rPr>
          <w:rStyle w:val="29"/>
          <w:b w:val="0"/>
        </w:rPr>
        <w:fldChar w:fldCharType="begin"/>
      </w:r>
      <w:r>
        <w:rPr>
          <w:rStyle w:val="29"/>
          <w:b w:val="0"/>
        </w:rPr>
        <w:instrText xml:space="preserve"> PAGEREF _Toc486070513 \h </w:instrText>
      </w:r>
      <w:r>
        <w:rPr>
          <w:rStyle w:val="29"/>
          <w:b w:val="0"/>
        </w:rPr>
        <w:fldChar w:fldCharType="separate"/>
      </w:r>
      <w:r>
        <w:rPr>
          <w:rStyle w:val="29"/>
          <w:b w:val="0"/>
        </w:rPr>
        <w:t>1</w:t>
      </w:r>
      <w:r>
        <w:rPr>
          <w:rStyle w:val="29"/>
          <w:rFonts w:hint="eastAsia"/>
          <w:b w:val="0"/>
        </w:rPr>
        <w:t>0</w:t>
      </w:r>
      <w:r>
        <w:rPr>
          <w:rStyle w:val="29"/>
          <w:b w:val="0"/>
        </w:rPr>
        <w:fldChar w:fldCharType="end"/>
      </w:r>
      <w:r>
        <w:rPr>
          <w:rStyle w:val="29"/>
          <w:b w:val="0"/>
        </w:rPr>
        <w:fldChar w:fldCharType="end"/>
      </w:r>
    </w:p>
    <w:p>
      <w:pPr>
        <w:pStyle w:val="18"/>
        <w:rPr>
          <w:rStyle w:val="29"/>
          <w:b w:val="0"/>
        </w:rPr>
      </w:pPr>
      <w:r>
        <w:fldChar w:fldCharType="begin"/>
      </w:r>
      <w:r>
        <w:instrText xml:space="preserve"> HYPERLINK \l "_Toc486070525" </w:instrText>
      </w:r>
      <w:r>
        <w:fldChar w:fldCharType="separate"/>
      </w:r>
      <w:r>
        <w:rPr>
          <w:rStyle w:val="29"/>
          <w:b w:val="0"/>
        </w:rPr>
        <w:t>2.3 环境质量现状</w:t>
      </w:r>
      <w:r>
        <w:rPr>
          <w:rStyle w:val="29"/>
          <w:b w:val="0"/>
        </w:rPr>
        <w:tab/>
      </w:r>
      <w:r>
        <w:rPr>
          <w:rStyle w:val="29"/>
          <w:b w:val="0"/>
        </w:rPr>
        <w:fldChar w:fldCharType="begin"/>
      </w:r>
      <w:r>
        <w:rPr>
          <w:rStyle w:val="29"/>
          <w:b w:val="0"/>
        </w:rPr>
        <w:instrText xml:space="preserve"> PAGEREF _Toc486070525 \h </w:instrText>
      </w:r>
      <w:r>
        <w:rPr>
          <w:rStyle w:val="29"/>
          <w:b w:val="0"/>
        </w:rPr>
        <w:fldChar w:fldCharType="separate"/>
      </w:r>
      <w:r>
        <w:rPr>
          <w:rStyle w:val="29"/>
          <w:b w:val="0"/>
        </w:rPr>
        <w:t>1</w:t>
      </w:r>
      <w:r>
        <w:rPr>
          <w:rStyle w:val="29"/>
          <w:rFonts w:hint="eastAsia"/>
          <w:b w:val="0"/>
        </w:rPr>
        <w:t>3</w:t>
      </w:r>
      <w:r>
        <w:rPr>
          <w:rStyle w:val="29"/>
          <w:b w:val="0"/>
        </w:rPr>
        <w:fldChar w:fldCharType="end"/>
      </w:r>
      <w:r>
        <w:rPr>
          <w:rStyle w:val="29"/>
          <w:b w:val="0"/>
        </w:rPr>
        <w:fldChar w:fldCharType="end"/>
      </w:r>
    </w:p>
    <w:p>
      <w:pPr>
        <w:pStyle w:val="18"/>
        <w:rPr>
          <w:rStyle w:val="29"/>
          <w:b w:val="0"/>
        </w:rPr>
      </w:pPr>
      <w:r>
        <w:fldChar w:fldCharType="begin"/>
      </w:r>
      <w:r>
        <w:instrText xml:space="preserve"> HYPERLINK \l "_Toc486070529" </w:instrText>
      </w:r>
      <w:r>
        <w:fldChar w:fldCharType="separate"/>
      </w:r>
      <w:r>
        <w:rPr>
          <w:rStyle w:val="29"/>
          <w:b w:val="0"/>
        </w:rPr>
        <w:t>2.4 环境敏感目标</w:t>
      </w:r>
      <w:r>
        <w:rPr>
          <w:rStyle w:val="29"/>
          <w:b w:val="0"/>
        </w:rPr>
        <w:tab/>
      </w:r>
      <w:r>
        <w:rPr>
          <w:rStyle w:val="29"/>
          <w:b w:val="0"/>
        </w:rPr>
        <w:fldChar w:fldCharType="begin"/>
      </w:r>
      <w:r>
        <w:rPr>
          <w:rStyle w:val="29"/>
          <w:b w:val="0"/>
        </w:rPr>
        <w:instrText xml:space="preserve"> PAGEREF _Toc486070529 \h </w:instrText>
      </w:r>
      <w:r>
        <w:rPr>
          <w:rStyle w:val="29"/>
          <w:b w:val="0"/>
        </w:rPr>
        <w:fldChar w:fldCharType="separate"/>
      </w:r>
      <w:r>
        <w:rPr>
          <w:rStyle w:val="29"/>
          <w:b w:val="0"/>
        </w:rPr>
        <w:t>1</w:t>
      </w:r>
      <w:r>
        <w:rPr>
          <w:rStyle w:val="29"/>
          <w:rFonts w:hint="eastAsia"/>
          <w:b w:val="0"/>
        </w:rPr>
        <w:t>5</w:t>
      </w:r>
      <w:r>
        <w:rPr>
          <w:rStyle w:val="29"/>
          <w:b w:val="0"/>
        </w:rPr>
        <w:fldChar w:fldCharType="end"/>
      </w:r>
      <w:r>
        <w:rPr>
          <w:rStyle w:val="29"/>
          <w:b w:val="0"/>
        </w:rPr>
        <w:fldChar w:fldCharType="end"/>
      </w:r>
    </w:p>
    <w:p>
      <w:pPr>
        <w:pStyle w:val="18"/>
        <w:rPr>
          <w:rStyle w:val="29"/>
        </w:rPr>
      </w:pPr>
      <w:r>
        <w:fldChar w:fldCharType="begin"/>
      </w:r>
      <w:r>
        <w:instrText xml:space="preserve"> HYPERLINK \l "_Toc486070530" </w:instrText>
      </w:r>
      <w:r>
        <w:fldChar w:fldCharType="separate"/>
      </w:r>
      <w:r>
        <w:rPr>
          <w:rStyle w:val="29"/>
          <w:rFonts w:hint="eastAsia"/>
        </w:rPr>
        <w:t>三</w:t>
      </w:r>
      <w:r>
        <w:rPr>
          <w:rStyle w:val="29"/>
        </w:rPr>
        <w:t>、工程概况及工程分析</w:t>
      </w:r>
      <w:r>
        <w:rPr>
          <w:rStyle w:val="29"/>
        </w:rPr>
        <w:fldChar w:fldCharType="end"/>
      </w:r>
    </w:p>
    <w:p>
      <w:pPr>
        <w:pStyle w:val="18"/>
        <w:rPr>
          <w:rStyle w:val="29"/>
          <w:b w:val="0"/>
        </w:rPr>
      </w:pPr>
      <w:r>
        <w:fldChar w:fldCharType="begin"/>
      </w:r>
      <w:r>
        <w:instrText xml:space="preserve"> HYPERLINK \l "_Toc486070531" </w:instrText>
      </w:r>
      <w:r>
        <w:fldChar w:fldCharType="separate"/>
      </w:r>
      <w:r>
        <w:rPr>
          <w:rStyle w:val="29"/>
          <w:b w:val="0"/>
        </w:rPr>
        <w:t>3.1</w:t>
      </w:r>
      <w:r>
        <w:rPr>
          <w:rStyle w:val="29"/>
          <w:rFonts w:hint="eastAsia"/>
          <w:b w:val="0"/>
        </w:rPr>
        <w:t>现有</w:t>
      </w:r>
      <w:r>
        <w:rPr>
          <w:rStyle w:val="29"/>
          <w:b w:val="0"/>
        </w:rPr>
        <w:t>项目概况</w:t>
      </w:r>
      <w:r>
        <w:rPr>
          <w:rStyle w:val="29"/>
          <w:b w:val="0"/>
        </w:rPr>
        <w:tab/>
      </w:r>
      <w:r>
        <w:rPr>
          <w:rStyle w:val="29"/>
          <w:b w:val="0"/>
        </w:rPr>
        <w:fldChar w:fldCharType="begin"/>
      </w:r>
      <w:r>
        <w:rPr>
          <w:rStyle w:val="29"/>
          <w:b w:val="0"/>
        </w:rPr>
        <w:instrText xml:space="preserve"> PAGEREF _Toc486070531 \h </w:instrText>
      </w:r>
      <w:r>
        <w:rPr>
          <w:rStyle w:val="29"/>
          <w:b w:val="0"/>
        </w:rPr>
        <w:fldChar w:fldCharType="separate"/>
      </w:r>
      <w:r>
        <w:rPr>
          <w:rStyle w:val="29"/>
          <w:b w:val="0"/>
        </w:rPr>
        <w:t>1</w:t>
      </w:r>
      <w:r>
        <w:rPr>
          <w:rStyle w:val="29"/>
          <w:rFonts w:hint="eastAsia"/>
          <w:b w:val="0"/>
        </w:rPr>
        <w:t>6</w:t>
      </w:r>
      <w:r>
        <w:rPr>
          <w:rStyle w:val="29"/>
          <w:b w:val="0"/>
        </w:rPr>
        <w:fldChar w:fldCharType="end"/>
      </w:r>
      <w:r>
        <w:rPr>
          <w:rStyle w:val="29"/>
          <w:b w:val="0"/>
        </w:rPr>
        <w:fldChar w:fldCharType="end"/>
      </w:r>
    </w:p>
    <w:p>
      <w:pPr>
        <w:pStyle w:val="18"/>
        <w:rPr>
          <w:rStyle w:val="29"/>
          <w:b w:val="0"/>
        </w:rPr>
      </w:pPr>
      <w:r>
        <w:fldChar w:fldCharType="begin"/>
      </w:r>
      <w:r>
        <w:instrText xml:space="preserve"> HYPERLINK \l "_Toc486070536" </w:instrText>
      </w:r>
      <w:r>
        <w:fldChar w:fldCharType="separate"/>
      </w:r>
      <w:r>
        <w:rPr>
          <w:rStyle w:val="29"/>
          <w:b w:val="0"/>
        </w:rPr>
        <w:t>3.2改扩建项目概况</w:t>
      </w:r>
      <w:r>
        <w:rPr>
          <w:rStyle w:val="29"/>
          <w:b w:val="0"/>
        </w:rPr>
        <w:tab/>
      </w:r>
      <w:r>
        <w:rPr>
          <w:rStyle w:val="29"/>
          <w:b w:val="0"/>
        </w:rPr>
        <w:fldChar w:fldCharType="begin"/>
      </w:r>
      <w:r>
        <w:rPr>
          <w:rStyle w:val="29"/>
          <w:b w:val="0"/>
        </w:rPr>
        <w:instrText xml:space="preserve"> PAGEREF _Toc486070536 \h </w:instrText>
      </w:r>
      <w:r>
        <w:rPr>
          <w:rStyle w:val="29"/>
          <w:b w:val="0"/>
        </w:rPr>
        <w:fldChar w:fldCharType="separate"/>
      </w:r>
      <w:r>
        <w:rPr>
          <w:rStyle w:val="29"/>
          <w:b w:val="0"/>
        </w:rPr>
        <w:t>2</w:t>
      </w:r>
      <w:r>
        <w:rPr>
          <w:rStyle w:val="29"/>
          <w:rFonts w:hint="eastAsia"/>
          <w:b w:val="0"/>
        </w:rPr>
        <w:t>2</w:t>
      </w:r>
      <w:r>
        <w:rPr>
          <w:rStyle w:val="29"/>
          <w:b w:val="0"/>
        </w:rPr>
        <w:fldChar w:fldCharType="end"/>
      </w:r>
      <w:r>
        <w:rPr>
          <w:rStyle w:val="29"/>
          <w:b w:val="0"/>
        </w:rPr>
        <w:fldChar w:fldCharType="end"/>
      </w:r>
    </w:p>
    <w:p>
      <w:pPr>
        <w:pStyle w:val="18"/>
        <w:rPr>
          <w:rStyle w:val="29"/>
          <w:b w:val="0"/>
        </w:rPr>
      </w:pPr>
      <w:r>
        <w:fldChar w:fldCharType="begin"/>
      </w:r>
      <w:r>
        <w:instrText xml:space="preserve"> HYPERLINK \l "_Toc486070542" </w:instrText>
      </w:r>
      <w:r>
        <w:fldChar w:fldCharType="separate"/>
      </w:r>
      <w:r>
        <w:rPr>
          <w:rStyle w:val="29"/>
          <w:b w:val="0"/>
        </w:rPr>
        <w:t>3.3工程施工方案</w:t>
      </w:r>
      <w:r>
        <w:rPr>
          <w:rStyle w:val="29"/>
          <w:b w:val="0"/>
        </w:rPr>
        <w:tab/>
      </w:r>
      <w:r>
        <w:rPr>
          <w:rStyle w:val="29"/>
          <w:b w:val="0"/>
        </w:rPr>
        <w:fldChar w:fldCharType="begin"/>
      </w:r>
      <w:r>
        <w:rPr>
          <w:rStyle w:val="29"/>
          <w:b w:val="0"/>
        </w:rPr>
        <w:instrText xml:space="preserve"> PAGEREF _Toc486070542 \h </w:instrText>
      </w:r>
      <w:r>
        <w:rPr>
          <w:rStyle w:val="29"/>
          <w:b w:val="0"/>
        </w:rPr>
        <w:fldChar w:fldCharType="separate"/>
      </w:r>
      <w:r>
        <w:rPr>
          <w:rStyle w:val="29"/>
          <w:b w:val="0"/>
        </w:rPr>
        <w:t>31</w:t>
      </w:r>
      <w:r>
        <w:rPr>
          <w:rStyle w:val="29"/>
          <w:b w:val="0"/>
        </w:rPr>
        <w:fldChar w:fldCharType="end"/>
      </w:r>
      <w:r>
        <w:rPr>
          <w:rStyle w:val="29"/>
          <w:b w:val="0"/>
        </w:rPr>
        <w:fldChar w:fldCharType="end"/>
      </w:r>
    </w:p>
    <w:p>
      <w:pPr>
        <w:pStyle w:val="18"/>
        <w:rPr>
          <w:rStyle w:val="29"/>
          <w:b w:val="0"/>
        </w:rPr>
      </w:pPr>
      <w:r>
        <w:fldChar w:fldCharType="begin"/>
      </w:r>
      <w:r>
        <w:instrText xml:space="preserve"> HYPERLINK \l "_Toc486070546" </w:instrText>
      </w:r>
      <w:r>
        <w:fldChar w:fldCharType="separate"/>
      </w:r>
      <w:r>
        <w:rPr>
          <w:rStyle w:val="29"/>
          <w:b w:val="0"/>
        </w:rPr>
        <w:t>3.4产业政策符合性分析</w:t>
      </w:r>
      <w:r>
        <w:rPr>
          <w:rStyle w:val="29"/>
          <w:b w:val="0"/>
        </w:rPr>
        <w:tab/>
      </w:r>
      <w:r>
        <w:rPr>
          <w:rStyle w:val="29"/>
          <w:b w:val="0"/>
        </w:rPr>
        <w:fldChar w:fldCharType="begin"/>
      </w:r>
      <w:r>
        <w:rPr>
          <w:rStyle w:val="29"/>
          <w:b w:val="0"/>
        </w:rPr>
        <w:instrText xml:space="preserve"> PAGEREF _Toc486070546 \h </w:instrText>
      </w:r>
      <w:r>
        <w:rPr>
          <w:rStyle w:val="29"/>
          <w:b w:val="0"/>
        </w:rPr>
        <w:fldChar w:fldCharType="separate"/>
      </w:r>
      <w:r>
        <w:rPr>
          <w:rStyle w:val="29"/>
          <w:b w:val="0"/>
        </w:rPr>
        <w:t>3</w:t>
      </w:r>
      <w:r>
        <w:rPr>
          <w:rStyle w:val="29"/>
          <w:rFonts w:hint="eastAsia"/>
          <w:b w:val="0"/>
        </w:rPr>
        <w:t>1</w:t>
      </w:r>
      <w:r>
        <w:rPr>
          <w:rStyle w:val="29"/>
          <w:b w:val="0"/>
        </w:rPr>
        <w:fldChar w:fldCharType="end"/>
      </w:r>
      <w:r>
        <w:rPr>
          <w:rStyle w:val="29"/>
          <w:b w:val="0"/>
        </w:rPr>
        <w:fldChar w:fldCharType="end"/>
      </w:r>
    </w:p>
    <w:p>
      <w:pPr>
        <w:pStyle w:val="18"/>
        <w:rPr>
          <w:rStyle w:val="29"/>
          <w:b w:val="0"/>
        </w:rPr>
      </w:pPr>
      <w:r>
        <w:fldChar w:fldCharType="begin"/>
      </w:r>
      <w:r>
        <w:instrText xml:space="preserve"> HYPERLINK \l "_Toc486070547" </w:instrText>
      </w:r>
      <w:r>
        <w:fldChar w:fldCharType="separate"/>
      </w:r>
      <w:r>
        <w:rPr>
          <w:rStyle w:val="29"/>
          <w:b w:val="0"/>
        </w:rPr>
        <w:t>3.5选址合理性分析</w:t>
      </w:r>
      <w:r>
        <w:rPr>
          <w:rStyle w:val="29"/>
          <w:b w:val="0"/>
        </w:rPr>
        <w:tab/>
      </w:r>
      <w:r>
        <w:rPr>
          <w:rStyle w:val="29"/>
          <w:b w:val="0"/>
        </w:rPr>
        <w:fldChar w:fldCharType="begin"/>
      </w:r>
      <w:r>
        <w:rPr>
          <w:rStyle w:val="29"/>
          <w:b w:val="0"/>
        </w:rPr>
        <w:instrText xml:space="preserve"> PAGEREF _Toc486070547 \h </w:instrText>
      </w:r>
      <w:r>
        <w:rPr>
          <w:rStyle w:val="29"/>
          <w:b w:val="0"/>
        </w:rPr>
        <w:fldChar w:fldCharType="separate"/>
      </w:r>
      <w:r>
        <w:rPr>
          <w:rStyle w:val="29"/>
          <w:b w:val="0"/>
        </w:rPr>
        <w:t>32</w:t>
      </w:r>
      <w:r>
        <w:rPr>
          <w:rStyle w:val="29"/>
          <w:b w:val="0"/>
        </w:rPr>
        <w:fldChar w:fldCharType="end"/>
      </w:r>
      <w:r>
        <w:rPr>
          <w:rStyle w:val="29"/>
          <w:b w:val="0"/>
        </w:rPr>
        <w:fldChar w:fldCharType="end"/>
      </w:r>
    </w:p>
    <w:p>
      <w:pPr>
        <w:pStyle w:val="18"/>
        <w:rPr>
          <w:rStyle w:val="29"/>
          <w:b w:val="0"/>
        </w:rPr>
      </w:pPr>
      <w:r>
        <w:fldChar w:fldCharType="begin"/>
      </w:r>
      <w:r>
        <w:instrText xml:space="preserve"> HYPERLINK \l "_Toc486070548" </w:instrText>
      </w:r>
      <w:r>
        <w:fldChar w:fldCharType="separate"/>
      </w:r>
      <w:r>
        <w:rPr>
          <w:rStyle w:val="29"/>
          <w:b w:val="0"/>
        </w:rPr>
        <w:t>3.6平面布置合理性分析</w:t>
      </w:r>
      <w:r>
        <w:rPr>
          <w:rStyle w:val="29"/>
          <w:b w:val="0"/>
        </w:rPr>
        <w:tab/>
      </w:r>
      <w:r>
        <w:rPr>
          <w:rStyle w:val="29"/>
          <w:b w:val="0"/>
        </w:rPr>
        <w:fldChar w:fldCharType="begin"/>
      </w:r>
      <w:r>
        <w:rPr>
          <w:rStyle w:val="29"/>
          <w:b w:val="0"/>
        </w:rPr>
        <w:instrText xml:space="preserve"> PAGEREF _Toc486070548 \h </w:instrText>
      </w:r>
      <w:r>
        <w:rPr>
          <w:rStyle w:val="29"/>
          <w:b w:val="0"/>
        </w:rPr>
        <w:fldChar w:fldCharType="separate"/>
      </w:r>
      <w:r>
        <w:rPr>
          <w:rStyle w:val="29"/>
          <w:b w:val="0"/>
        </w:rPr>
        <w:t>32</w:t>
      </w:r>
      <w:r>
        <w:rPr>
          <w:rStyle w:val="29"/>
          <w:b w:val="0"/>
        </w:rPr>
        <w:fldChar w:fldCharType="end"/>
      </w:r>
      <w:r>
        <w:rPr>
          <w:rStyle w:val="29"/>
          <w:b w:val="0"/>
        </w:rPr>
        <w:fldChar w:fldCharType="end"/>
      </w:r>
    </w:p>
    <w:p>
      <w:pPr>
        <w:pStyle w:val="18"/>
        <w:rPr>
          <w:rStyle w:val="29"/>
          <w:b w:val="0"/>
        </w:rPr>
      </w:pPr>
      <w:r>
        <w:fldChar w:fldCharType="begin"/>
      </w:r>
      <w:r>
        <w:instrText xml:space="preserve"> HYPERLINK \l "_Toc486070549" </w:instrText>
      </w:r>
      <w:r>
        <w:fldChar w:fldCharType="separate"/>
      </w:r>
      <w:r>
        <w:rPr>
          <w:rStyle w:val="29"/>
          <w:b w:val="0"/>
        </w:rPr>
        <w:t>3.7施工期污染源分析</w:t>
      </w:r>
      <w:r>
        <w:rPr>
          <w:rStyle w:val="29"/>
          <w:b w:val="0"/>
        </w:rPr>
        <w:tab/>
      </w:r>
      <w:r>
        <w:rPr>
          <w:rStyle w:val="29"/>
          <w:b w:val="0"/>
        </w:rPr>
        <w:fldChar w:fldCharType="begin"/>
      </w:r>
      <w:r>
        <w:rPr>
          <w:rStyle w:val="29"/>
          <w:b w:val="0"/>
        </w:rPr>
        <w:instrText xml:space="preserve"> PAGEREF _Toc486070549 \h </w:instrText>
      </w:r>
      <w:r>
        <w:rPr>
          <w:rStyle w:val="29"/>
          <w:b w:val="0"/>
        </w:rPr>
        <w:fldChar w:fldCharType="separate"/>
      </w:r>
      <w:r>
        <w:rPr>
          <w:rStyle w:val="29"/>
          <w:b w:val="0"/>
        </w:rPr>
        <w:t>3</w:t>
      </w:r>
      <w:r>
        <w:rPr>
          <w:rStyle w:val="29"/>
          <w:rFonts w:hint="eastAsia"/>
          <w:b w:val="0"/>
        </w:rPr>
        <w:t>3</w:t>
      </w:r>
      <w:r>
        <w:rPr>
          <w:rStyle w:val="29"/>
          <w:b w:val="0"/>
        </w:rPr>
        <w:fldChar w:fldCharType="end"/>
      </w:r>
      <w:r>
        <w:rPr>
          <w:rStyle w:val="29"/>
          <w:b w:val="0"/>
        </w:rPr>
        <w:fldChar w:fldCharType="end"/>
      </w:r>
    </w:p>
    <w:p>
      <w:pPr>
        <w:pStyle w:val="18"/>
        <w:rPr>
          <w:rStyle w:val="29"/>
          <w:b w:val="0"/>
        </w:rPr>
      </w:pPr>
      <w:r>
        <w:fldChar w:fldCharType="begin"/>
      </w:r>
      <w:r>
        <w:instrText xml:space="preserve"> HYPERLINK \l "_Toc486070555" </w:instrText>
      </w:r>
      <w:r>
        <w:fldChar w:fldCharType="separate"/>
      </w:r>
      <w:r>
        <w:rPr>
          <w:rStyle w:val="29"/>
          <w:b w:val="0"/>
        </w:rPr>
        <w:t>3.8运营期污染源分析</w:t>
      </w:r>
      <w:r>
        <w:rPr>
          <w:rStyle w:val="29"/>
          <w:b w:val="0"/>
        </w:rPr>
        <w:tab/>
      </w:r>
      <w:r>
        <w:rPr>
          <w:rStyle w:val="29"/>
          <w:b w:val="0"/>
        </w:rPr>
        <w:fldChar w:fldCharType="begin"/>
      </w:r>
      <w:r>
        <w:rPr>
          <w:rStyle w:val="29"/>
          <w:b w:val="0"/>
        </w:rPr>
        <w:instrText xml:space="preserve"> PAGEREF _Toc486070555 \h </w:instrText>
      </w:r>
      <w:r>
        <w:rPr>
          <w:rStyle w:val="29"/>
          <w:b w:val="0"/>
        </w:rPr>
        <w:fldChar w:fldCharType="separate"/>
      </w:r>
      <w:r>
        <w:rPr>
          <w:rStyle w:val="29"/>
          <w:b w:val="0"/>
        </w:rPr>
        <w:t>3</w:t>
      </w:r>
      <w:r>
        <w:rPr>
          <w:rStyle w:val="29"/>
          <w:rFonts w:hint="eastAsia"/>
          <w:b w:val="0"/>
        </w:rPr>
        <w:t>6</w:t>
      </w:r>
      <w:r>
        <w:rPr>
          <w:rStyle w:val="29"/>
          <w:b w:val="0"/>
        </w:rPr>
        <w:fldChar w:fldCharType="end"/>
      </w:r>
      <w:r>
        <w:rPr>
          <w:rStyle w:val="29"/>
          <w:b w:val="0"/>
        </w:rPr>
        <w:fldChar w:fldCharType="end"/>
      </w:r>
    </w:p>
    <w:p>
      <w:pPr>
        <w:pStyle w:val="18"/>
        <w:rPr>
          <w:rStyle w:val="29"/>
        </w:rPr>
      </w:pPr>
      <w:r>
        <w:fldChar w:fldCharType="begin"/>
      </w:r>
      <w:r>
        <w:instrText xml:space="preserve"> HYPERLINK \l "_Toc486070556" </w:instrText>
      </w:r>
      <w:r>
        <w:fldChar w:fldCharType="separate"/>
      </w:r>
      <w:r>
        <w:rPr>
          <w:rStyle w:val="29"/>
          <w:rFonts w:hint="eastAsia"/>
        </w:rPr>
        <w:t>四</w:t>
      </w:r>
      <w:r>
        <w:rPr>
          <w:rStyle w:val="29"/>
        </w:rPr>
        <w:t>、工程环境影响分析与评价</w:t>
      </w:r>
      <w:r>
        <w:rPr>
          <w:rStyle w:val="29"/>
        </w:rPr>
        <w:fldChar w:fldCharType="end"/>
      </w:r>
    </w:p>
    <w:p>
      <w:pPr>
        <w:pStyle w:val="18"/>
        <w:rPr>
          <w:rStyle w:val="29"/>
          <w:b w:val="0"/>
        </w:rPr>
      </w:pPr>
      <w:r>
        <w:fldChar w:fldCharType="begin"/>
      </w:r>
      <w:r>
        <w:instrText xml:space="preserve"> HYPERLINK \l "_Toc486070557" </w:instrText>
      </w:r>
      <w:r>
        <w:fldChar w:fldCharType="separate"/>
      </w:r>
      <w:r>
        <w:rPr>
          <w:rStyle w:val="29"/>
          <w:b w:val="0"/>
        </w:rPr>
        <w:t>4.1施工期环境影响分析</w:t>
      </w:r>
      <w:r>
        <w:rPr>
          <w:rStyle w:val="29"/>
          <w:b w:val="0"/>
        </w:rPr>
        <w:tab/>
      </w:r>
      <w:r>
        <w:rPr>
          <w:rStyle w:val="29"/>
          <w:b w:val="0"/>
        </w:rPr>
        <w:fldChar w:fldCharType="begin"/>
      </w:r>
      <w:r>
        <w:rPr>
          <w:rStyle w:val="29"/>
          <w:b w:val="0"/>
        </w:rPr>
        <w:instrText xml:space="preserve"> PAGEREF _Toc486070557 \h </w:instrText>
      </w:r>
      <w:r>
        <w:rPr>
          <w:rStyle w:val="29"/>
          <w:b w:val="0"/>
        </w:rPr>
        <w:fldChar w:fldCharType="separate"/>
      </w:r>
      <w:r>
        <w:rPr>
          <w:rStyle w:val="29"/>
          <w:b w:val="0"/>
        </w:rPr>
        <w:t>4</w:t>
      </w:r>
      <w:r>
        <w:rPr>
          <w:rStyle w:val="29"/>
          <w:rFonts w:hint="eastAsia"/>
          <w:b w:val="0"/>
        </w:rPr>
        <w:t>2</w:t>
      </w:r>
      <w:r>
        <w:rPr>
          <w:rStyle w:val="29"/>
          <w:b w:val="0"/>
        </w:rPr>
        <w:fldChar w:fldCharType="end"/>
      </w:r>
      <w:r>
        <w:rPr>
          <w:rStyle w:val="29"/>
          <w:b w:val="0"/>
        </w:rPr>
        <w:fldChar w:fldCharType="end"/>
      </w:r>
    </w:p>
    <w:p>
      <w:pPr>
        <w:pStyle w:val="18"/>
        <w:rPr>
          <w:rStyle w:val="29"/>
          <w:b w:val="0"/>
        </w:rPr>
      </w:pPr>
      <w:r>
        <w:fldChar w:fldCharType="begin"/>
      </w:r>
      <w:r>
        <w:instrText xml:space="preserve"> HYPERLINK \l "_Toc486070563" </w:instrText>
      </w:r>
      <w:r>
        <w:fldChar w:fldCharType="separate"/>
      </w:r>
      <w:r>
        <w:rPr>
          <w:rStyle w:val="29"/>
          <w:b w:val="0"/>
        </w:rPr>
        <w:t>4.2运营期环境影响分析</w:t>
      </w:r>
      <w:r>
        <w:rPr>
          <w:rStyle w:val="29"/>
          <w:b w:val="0"/>
        </w:rPr>
        <w:tab/>
      </w:r>
      <w:r>
        <w:rPr>
          <w:rStyle w:val="29"/>
          <w:b w:val="0"/>
        </w:rPr>
        <w:fldChar w:fldCharType="begin"/>
      </w:r>
      <w:r>
        <w:rPr>
          <w:rStyle w:val="29"/>
          <w:b w:val="0"/>
        </w:rPr>
        <w:instrText xml:space="preserve"> PAGEREF _Toc486070563 \h </w:instrText>
      </w:r>
      <w:r>
        <w:rPr>
          <w:rStyle w:val="29"/>
          <w:b w:val="0"/>
        </w:rPr>
        <w:fldChar w:fldCharType="separate"/>
      </w:r>
      <w:r>
        <w:rPr>
          <w:rStyle w:val="29"/>
          <w:b w:val="0"/>
        </w:rPr>
        <w:t>4</w:t>
      </w:r>
      <w:r>
        <w:rPr>
          <w:rStyle w:val="29"/>
          <w:rFonts w:hint="eastAsia"/>
          <w:b w:val="0"/>
        </w:rPr>
        <w:t>6</w:t>
      </w:r>
      <w:r>
        <w:rPr>
          <w:rStyle w:val="29"/>
          <w:b w:val="0"/>
        </w:rPr>
        <w:fldChar w:fldCharType="end"/>
      </w:r>
      <w:r>
        <w:rPr>
          <w:rStyle w:val="29"/>
          <w:b w:val="0"/>
        </w:rPr>
        <w:fldChar w:fldCharType="end"/>
      </w:r>
    </w:p>
    <w:p>
      <w:pPr>
        <w:pStyle w:val="18"/>
        <w:rPr>
          <w:rStyle w:val="29"/>
        </w:rPr>
      </w:pPr>
      <w:r>
        <w:fldChar w:fldCharType="begin"/>
      </w:r>
      <w:r>
        <w:instrText xml:space="preserve"> HYPERLINK \l "_Toc486070570" </w:instrText>
      </w:r>
      <w:r>
        <w:fldChar w:fldCharType="separate"/>
      </w:r>
      <w:r>
        <w:rPr>
          <w:rStyle w:val="29"/>
          <w:rFonts w:hint="eastAsia"/>
        </w:rPr>
        <w:t>五</w:t>
      </w:r>
      <w:r>
        <w:rPr>
          <w:rStyle w:val="29"/>
        </w:rPr>
        <w:t>、</w:t>
      </w:r>
      <w:r>
        <w:rPr>
          <w:rStyle w:val="29"/>
          <w:rFonts w:hint="eastAsia"/>
        </w:rPr>
        <w:t>环境保护</w:t>
      </w:r>
      <w:r>
        <w:rPr>
          <w:rStyle w:val="29"/>
        </w:rPr>
        <w:t>措施</w:t>
      </w:r>
      <w:r>
        <w:rPr>
          <w:rStyle w:val="29"/>
        </w:rPr>
        <w:fldChar w:fldCharType="end"/>
      </w:r>
      <w:r>
        <w:rPr>
          <w:rStyle w:val="29"/>
          <w:rFonts w:hint="eastAsia"/>
          <w:color w:val="auto"/>
          <w:u w:val="none"/>
        </w:rPr>
        <w:t>评述</w:t>
      </w:r>
    </w:p>
    <w:p>
      <w:pPr>
        <w:pStyle w:val="18"/>
        <w:rPr>
          <w:rStyle w:val="29"/>
          <w:b w:val="0"/>
        </w:rPr>
      </w:pPr>
      <w:r>
        <w:fldChar w:fldCharType="begin"/>
      </w:r>
      <w:r>
        <w:instrText xml:space="preserve"> HYPERLINK \l "_Toc486070571" </w:instrText>
      </w:r>
      <w:r>
        <w:fldChar w:fldCharType="separate"/>
      </w:r>
      <w:r>
        <w:rPr>
          <w:rStyle w:val="29"/>
          <w:b w:val="0"/>
        </w:rPr>
        <w:t>5.1施工期环境保护措施及建议</w:t>
      </w:r>
      <w:r>
        <w:rPr>
          <w:rStyle w:val="29"/>
          <w:b w:val="0"/>
        </w:rPr>
        <w:tab/>
      </w:r>
      <w:r>
        <w:rPr>
          <w:rStyle w:val="29"/>
          <w:rFonts w:hint="eastAsia"/>
          <w:b w:val="0"/>
        </w:rPr>
        <w:t>54</w:t>
      </w:r>
      <w:r>
        <w:rPr>
          <w:rStyle w:val="29"/>
          <w:rFonts w:hint="eastAsia"/>
          <w:b w:val="0"/>
        </w:rPr>
        <w:fldChar w:fldCharType="end"/>
      </w:r>
    </w:p>
    <w:p>
      <w:pPr>
        <w:pStyle w:val="18"/>
        <w:rPr>
          <w:rStyle w:val="29"/>
          <w:b w:val="0"/>
        </w:rPr>
      </w:pPr>
      <w:r>
        <w:fldChar w:fldCharType="begin"/>
      </w:r>
      <w:r>
        <w:instrText xml:space="preserve"> HYPERLINK \l "_Toc486070576" </w:instrText>
      </w:r>
      <w:r>
        <w:fldChar w:fldCharType="separate"/>
      </w:r>
      <w:r>
        <w:rPr>
          <w:rStyle w:val="29"/>
          <w:b w:val="0"/>
        </w:rPr>
        <w:t>5.2运营期环境保护措施及建议</w:t>
      </w:r>
      <w:r>
        <w:rPr>
          <w:rStyle w:val="29"/>
          <w:b w:val="0"/>
        </w:rPr>
        <w:tab/>
      </w:r>
      <w:r>
        <w:rPr>
          <w:rStyle w:val="29"/>
          <w:b w:val="0"/>
        </w:rPr>
        <w:fldChar w:fldCharType="begin"/>
      </w:r>
      <w:r>
        <w:rPr>
          <w:rStyle w:val="29"/>
          <w:b w:val="0"/>
        </w:rPr>
        <w:instrText xml:space="preserve"> PAGEREF _Toc486070576 \h </w:instrText>
      </w:r>
      <w:r>
        <w:rPr>
          <w:rStyle w:val="29"/>
          <w:b w:val="0"/>
        </w:rPr>
        <w:fldChar w:fldCharType="separate"/>
      </w:r>
      <w:r>
        <w:rPr>
          <w:rStyle w:val="29"/>
          <w:b w:val="0"/>
        </w:rPr>
        <w:t>5</w:t>
      </w:r>
      <w:r>
        <w:rPr>
          <w:rStyle w:val="29"/>
          <w:rFonts w:hint="eastAsia"/>
          <w:b w:val="0"/>
        </w:rPr>
        <w:t>6</w:t>
      </w:r>
      <w:r>
        <w:rPr>
          <w:rStyle w:val="29"/>
          <w:b w:val="0"/>
        </w:rPr>
        <w:fldChar w:fldCharType="end"/>
      </w:r>
      <w:r>
        <w:rPr>
          <w:rStyle w:val="29"/>
          <w:b w:val="0"/>
        </w:rPr>
        <w:fldChar w:fldCharType="end"/>
      </w:r>
    </w:p>
    <w:p>
      <w:pPr>
        <w:pStyle w:val="18"/>
        <w:rPr>
          <w:rStyle w:val="29"/>
        </w:rPr>
      </w:pPr>
      <w:r>
        <w:fldChar w:fldCharType="begin"/>
      </w:r>
      <w:r>
        <w:instrText xml:space="preserve"> HYPERLINK \l "_Toc486070581" </w:instrText>
      </w:r>
      <w:r>
        <w:fldChar w:fldCharType="separate"/>
      </w:r>
      <w:r>
        <w:rPr>
          <w:rStyle w:val="29"/>
          <w:rFonts w:hint="eastAsia"/>
        </w:rPr>
        <w:t>六</w:t>
      </w:r>
      <w:r>
        <w:rPr>
          <w:rStyle w:val="29"/>
        </w:rPr>
        <w:t>、扩建前后“三本账”</w:t>
      </w:r>
      <w:r>
        <w:rPr>
          <w:rStyle w:val="29"/>
        </w:rPr>
        <w:fldChar w:fldCharType="end"/>
      </w:r>
    </w:p>
    <w:p>
      <w:pPr>
        <w:pStyle w:val="18"/>
        <w:rPr>
          <w:rStyle w:val="29"/>
        </w:rPr>
      </w:pPr>
      <w:r>
        <w:fldChar w:fldCharType="begin"/>
      </w:r>
      <w:r>
        <w:instrText xml:space="preserve"> HYPERLINK \l "_Toc486070582" </w:instrText>
      </w:r>
      <w:r>
        <w:fldChar w:fldCharType="separate"/>
      </w:r>
      <w:r>
        <w:rPr>
          <w:rStyle w:val="29"/>
          <w:rFonts w:hint="eastAsia"/>
        </w:rPr>
        <w:t>七</w:t>
      </w:r>
      <w:r>
        <w:rPr>
          <w:rStyle w:val="29"/>
        </w:rPr>
        <w:t>、环保投资估算及环境经济损益分析</w:t>
      </w:r>
      <w:r>
        <w:rPr>
          <w:rStyle w:val="29"/>
        </w:rPr>
        <w:fldChar w:fldCharType="end"/>
      </w:r>
    </w:p>
    <w:p>
      <w:pPr>
        <w:pStyle w:val="18"/>
        <w:rPr>
          <w:rStyle w:val="29"/>
          <w:b w:val="0"/>
        </w:rPr>
      </w:pPr>
      <w:r>
        <w:fldChar w:fldCharType="begin"/>
      </w:r>
      <w:r>
        <w:instrText xml:space="preserve"> HYPERLINK \l "_Toc486070583" </w:instrText>
      </w:r>
      <w:r>
        <w:fldChar w:fldCharType="separate"/>
      </w:r>
      <w:r>
        <w:rPr>
          <w:rStyle w:val="29"/>
          <w:b w:val="0"/>
        </w:rPr>
        <w:t>7.1 环保投资估算</w:t>
      </w:r>
      <w:r>
        <w:rPr>
          <w:rStyle w:val="29"/>
          <w:b w:val="0"/>
        </w:rPr>
        <w:tab/>
      </w:r>
      <w:r>
        <w:rPr>
          <w:rStyle w:val="29"/>
          <w:b w:val="0"/>
        </w:rPr>
        <w:fldChar w:fldCharType="begin"/>
      </w:r>
      <w:r>
        <w:rPr>
          <w:rStyle w:val="29"/>
          <w:b w:val="0"/>
        </w:rPr>
        <w:instrText xml:space="preserve"> PAGEREF _Toc486070583 \h </w:instrText>
      </w:r>
      <w:r>
        <w:rPr>
          <w:rStyle w:val="29"/>
          <w:b w:val="0"/>
        </w:rPr>
        <w:fldChar w:fldCharType="separate"/>
      </w:r>
      <w:r>
        <w:rPr>
          <w:rStyle w:val="29"/>
          <w:b w:val="0"/>
        </w:rPr>
        <w:t>5</w:t>
      </w:r>
      <w:r>
        <w:rPr>
          <w:rStyle w:val="29"/>
          <w:rFonts w:hint="eastAsia"/>
          <w:b w:val="0"/>
        </w:rPr>
        <w:t>8</w:t>
      </w:r>
      <w:r>
        <w:rPr>
          <w:rStyle w:val="29"/>
          <w:b w:val="0"/>
        </w:rPr>
        <w:fldChar w:fldCharType="end"/>
      </w:r>
      <w:r>
        <w:rPr>
          <w:rStyle w:val="29"/>
          <w:b w:val="0"/>
        </w:rPr>
        <w:fldChar w:fldCharType="end"/>
      </w:r>
    </w:p>
    <w:p>
      <w:pPr>
        <w:pStyle w:val="18"/>
        <w:rPr>
          <w:rStyle w:val="29"/>
          <w:b w:val="0"/>
        </w:rPr>
      </w:pPr>
      <w:r>
        <w:fldChar w:fldCharType="begin"/>
      </w:r>
      <w:r>
        <w:instrText xml:space="preserve"> HYPERLINK \l "_Toc486070584" </w:instrText>
      </w:r>
      <w:r>
        <w:fldChar w:fldCharType="separate"/>
      </w:r>
      <w:r>
        <w:rPr>
          <w:rStyle w:val="29"/>
          <w:b w:val="0"/>
        </w:rPr>
        <w:t>7.2 环境经济损益分析</w:t>
      </w:r>
      <w:r>
        <w:rPr>
          <w:rStyle w:val="29"/>
          <w:b w:val="0"/>
        </w:rPr>
        <w:tab/>
      </w:r>
      <w:r>
        <w:rPr>
          <w:rStyle w:val="29"/>
          <w:b w:val="0"/>
        </w:rPr>
        <w:fldChar w:fldCharType="begin"/>
      </w:r>
      <w:r>
        <w:rPr>
          <w:rStyle w:val="29"/>
          <w:b w:val="0"/>
        </w:rPr>
        <w:instrText xml:space="preserve"> PAGEREF _Toc486070584 \h </w:instrText>
      </w:r>
      <w:r>
        <w:rPr>
          <w:rStyle w:val="29"/>
          <w:b w:val="0"/>
        </w:rPr>
        <w:fldChar w:fldCharType="separate"/>
      </w:r>
      <w:r>
        <w:rPr>
          <w:rStyle w:val="29"/>
          <w:b w:val="0"/>
        </w:rPr>
        <w:t>5</w:t>
      </w:r>
      <w:r>
        <w:rPr>
          <w:rStyle w:val="29"/>
          <w:rFonts w:hint="eastAsia"/>
          <w:b w:val="0"/>
        </w:rPr>
        <w:t>9</w:t>
      </w:r>
      <w:r>
        <w:rPr>
          <w:rStyle w:val="29"/>
          <w:b w:val="0"/>
        </w:rPr>
        <w:fldChar w:fldCharType="end"/>
      </w:r>
      <w:r>
        <w:rPr>
          <w:rStyle w:val="29"/>
          <w:b w:val="0"/>
        </w:rPr>
        <w:fldChar w:fldCharType="end"/>
      </w:r>
    </w:p>
    <w:p>
      <w:pPr>
        <w:pStyle w:val="18"/>
        <w:rPr>
          <w:rStyle w:val="29"/>
        </w:rPr>
      </w:pPr>
      <w:r>
        <w:fldChar w:fldCharType="begin"/>
      </w:r>
      <w:r>
        <w:instrText xml:space="preserve"> HYPERLINK \l "_Toc486070585" </w:instrText>
      </w:r>
      <w:r>
        <w:fldChar w:fldCharType="separate"/>
      </w:r>
      <w:r>
        <w:rPr>
          <w:rStyle w:val="29"/>
          <w:rFonts w:hint="eastAsia"/>
        </w:rPr>
        <w:t>八</w:t>
      </w:r>
      <w:r>
        <w:rPr>
          <w:rStyle w:val="29"/>
        </w:rPr>
        <w:t>、</w:t>
      </w:r>
      <w:r>
        <w:rPr>
          <w:rStyle w:val="29"/>
          <w:rFonts w:hint="eastAsia"/>
        </w:rPr>
        <w:t>排污口规范化和总量控制</w:t>
      </w:r>
      <w:r>
        <w:rPr>
          <w:rStyle w:val="29"/>
          <w:rFonts w:hint="eastAsia"/>
        </w:rPr>
        <w:fldChar w:fldCharType="end"/>
      </w:r>
    </w:p>
    <w:p>
      <w:pPr>
        <w:pStyle w:val="18"/>
        <w:rPr>
          <w:rStyle w:val="29"/>
          <w:b w:val="0"/>
        </w:rPr>
      </w:pPr>
      <w:r>
        <w:fldChar w:fldCharType="begin"/>
      </w:r>
      <w:r>
        <w:instrText xml:space="preserve"> HYPERLINK \l "_Toc486070586" </w:instrText>
      </w:r>
      <w:r>
        <w:fldChar w:fldCharType="separate"/>
      </w:r>
      <w:r>
        <w:rPr>
          <w:rStyle w:val="29"/>
          <w:b w:val="0"/>
        </w:rPr>
        <w:t xml:space="preserve">8.1 </w:t>
      </w:r>
      <w:r>
        <w:rPr>
          <w:rStyle w:val="29"/>
          <w:rFonts w:hint="eastAsia"/>
          <w:b w:val="0"/>
        </w:rPr>
        <w:t>总量控制</w:t>
      </w:r>
      <w:r>
        <w:rPr>
          <w:rStyle w:val="29"/>
          <w:b w:val="0"/>
        </w:rPr>
        <w:tab/>
      </w:r>
      <w:r>
        <w:rPr>
          <w:rStyle w:val="29"/>
          <w:b w:val="0"/>
        </w:rPr>
        <w:fldChar w:fldCharType="begin"/>
      </w:r>
      <w:r>
        <w:rPr>
          <w:rStyle w:val="29"/>
          <w:b w:val="0"/>
        </w:rPr>
        <w:instrText xml:space="preserve"> PAGEREF _Toc486070586 \h </w:instrText>
      </w:r>
      <w:r>
        <w:rPr>
          <w:rStyle w:val="29"/>
          <w:b w:val="0"/>
        </w:rPr>
        <w:fldChar w:fldCharType="separate"/>
      </w:r>
      <w:r>
        <w:rPr>
          <w:rStyle w:val="29"/>
          <w:b w:val="0"/>
        </w:rPr>
        <w:t>5</w:t>
      </w:r>
      <w:r>
        <w:rPr>
          <w:rStyle w:val="29"/>
          <w:rFonts w:hint="eastAsia"/>
          <w:b w:val="0"/>
        </w:rPr>
        <w:t>9</w:t>
      </w:r>
      <w:r>
        <w:rPr>
          <w:rStyle w:val="29"/>
          <w:b w:val="0"/>
        </w:rPr>
        <w:fldChar w:fldCharType="end"/>
      </w:r>
      <w:r>
        <w:rPr>
          <w:rStyle w:val="29"/>
          <w:b w:val="0"/>
        </w:rPr>
        <w:fldChar w:fldCharType="end"/>
      </w:r>
    </w:p>
    <w:p>
      <w:pPr>
        <w:pStyle w:val="18"/>
        <w:rPr>
          <w:rStyle w:val="29"/>
          <w:b w:val="0"/>
        </w:rPr>
      </w:pPr>
      <w:r>
        <w:fldChar w:fldCharType="begin"/>
      </w:r>
      <w:r>
        <w:instrText xml:space="preserve"> HYPERLINK \l "_Toc486070591" </w:instrText>
      </w:r>
      <w:r>
        <w:fldChar w:fldCharType="separate"/>
      </w:r>
      <w:r>
        <w:rPr>
          <w:rStyle w:val="29"/>
          <w:b w:val="0"/>
        </w:rPr>
        <w:t xml:space="preserve">8.2 </w:t>
      </w:r>
      <w:r>
        <w:rPr>
          <w:rStyle w:val="29"/>
          <w:rFonts w:hint="eastAsia"/>
          <w:b w:val="0"/>
        </w:rPr>
        <w:t>排污口规范化</w:t>
      </w:r>
      <w:r>
        <w:rPr>
          <w:rStyle w:val="29"/>
          <w:b w:val="0"/>
        </w:rPr>
        <w:tab/>
      </w:r>
      <w:r>
        <w:rPr>
          <w:rStyle w:val="29"/>
          <w:rFonts w:hint="eastAsia"/>
          <w:b w:val="0"/>
        </w:rPr>
        <w:t>60</w:t>
      </w:r>
      <w:r>
        <w:rPr>
          <w:rStyle w:val="29"/>
          <w:rFonts w:hint="eastAsia"/>
          <w:b w:val="0"/>
        </w:rPr>
        <w:fldChar w:fldCharType="end"/>
      </w:r>
    </w:p>
    <w:p>
      <w:pPr>
        <w:pStyle w:val="18"/>
        <w:rPr>
          <w:rStyle w:val="29"/>
        </w:rPr>
      </w:pPr>
      <w:r>
        <w:fldChar w:fldCharType="begin"/>
      </w:r>
      <w:r>
        <w:instrText xml:space="preserve"> HYPERLINK \l "_Toc486070594" </w:instrText>
      </w:r>
      <w:r>
        <w:fldChar w:fldCharType="separate"/>
      </w:r>
      <w:r>
        <w:rPr>
          <w:rStyle w:val="29"/>
          <w:rFonts w:hint="eastAsia"/>
        </w:rPr>
        <w:t>九</w:t>
      </w:r>
      <w:r>
        <w:rPr>
          <w:rStyle w:val="29"/>
        </w:rPr>
        <w:t>、环境管理和环境监测</w:t>
      </w:r>
      <w:r>
        <w:rPr>
          <w:rStyle w:val="29"/>
        </w:rPr>
        <w:fldChar w:fldCharType="end"/>
      </w:r>
    </w:p>
    <w:p>
      <w:pPr>
        <w:pStyle w:val="18"/>
        <w:rPr>
          <w:rStyle w:val="29"/>
          <w:b w:val="0"/>
        </w:rPr>
      </w:pPr>
      <w:r>
        <w:fldChar w:fldCharType="begin"/>
      </w:r>
      <w:r>
        <w:instrText xml:space="preserve"> HYPERLINK \l "_Toc486070595" </w:instrText>
      </w:r>
      <w:r>
        <w:fldChar w:fldCharType="separate"/>
      </w:r>
      <w:r>
        <w:rPr>
          <w:rStyle w:val="29"/>
          <w:b w:val="0"/>
        </w:rPr>
        <w:t>9.1 环境管理</w:t>
      </w:r>
      <w:r>
        <w:rPr>
          <w:rStyle w:val="29"/>
          <w:b w:val="0"/>
        </w:rPr>
        <w:tab/>
      </w:r>
      <w:r>
        <w:rPr>
          <w:rStyle w:val="29"/>
          <w:rFonts w:hint="eastAsia"/>
          <w:b w:val="0"/>
        </w:rPr>
        <w:t>61</w:t>
      </w:r>
      <w:r>
        <w:rPr>
          <w:rStyle w:val="29"/>
          <w:rFonts w:hint="eastAsia"/>
          <w:b w:val="0"/>
        </w:rPr>
        <w:fldChar w:fldCharType="end"/>
      </w:r>
    </w:p>
    <w:p>
      <w:pPr>
        <w:pStyle w:val="18"/>
        <w:rPr>
          <w:rStyle w:val="29"/>
          <w:b w:val="0"/>
        </w:rPr>
      </w:pPr>
      <w:r>
        <w:fldChar w:fldCharType="begin"/>
      </w:r>
      <w:r>
        <w:instrText xml:space="preserve"> HYPERLINK \l "_Toc486070596" </w:instrText>
      </w:r>
      <w:r>
        <w:fldChar w:fldCharType="separate"/>
      </w:r>
      <w:r>
        <w:rPr>
          <w:rStyle w:val="29"/>
          <w:b w:val="0"/>
        </w:rPr>
        <w:t xml:space="preserve">9.2 </w:t>
      </w:r>
      <w:r>
        <w:rPr>
          <w:rStyle w:val="29"/>
          <w:rFonts w:hint="eastAsia"/>
          <w:b w:val="0"/>
        </w:rPr>
        <w:t>环境监测计划</w:t>
      </w:r>
      <w:r>
        <w:rPr>
          <w:rStyle w:val="29"/>
          <w:b w:val="0"/>
        </w:rPr>
        <w:tab/>
      </w:r>
      <w:r>
        <w:rPr>
          <w:rStyle w:val="29"/>
          <w:rFonts w:hint="eastAsia"/>
          <w:b w:val="0"/>
        </w:rPr>
        <w:t>61</w:t>
      </w:r>
      <w:r>
        <w:rPr>
          <w:rStyle w:val="29"/>
          <w:rFonts w:hint="eastAsia"/>
          <w:b w:val="0"/>
        </w:rPr>
        <w:fldChar w:fldCharType="end"/>
      </w:r>
    </w:p>
    <w:p>
      <w:pPr>
        <w:pStyle w:val="18"/>
        <w:rPr>
          <w:rStyle w:val="29"/>
        </w:rPr>
      </w:pPr>
      <w:r>
        <w:fldChar w:fldCharType="begin"/>
      </w:r>
      <w:r>
        <w:instrText xml:space="preserve"> HYPERLINK \l "_Toc486070601" </w:instrText>
      </w:r>
      <w:r>
        <w:fldChar w:fldCharType="separate"/>
      </w:r>
      <w:r>
        <w:rPr>
          <w:rStyle w:val="29"/>
        </w:rPr>
        <w:t>10、评价结论与建议</w:t>
      </w:r>
      <w:r>
        <w:rPr>
          <w:rStyle w:val="29"/>
        </w:rPr>
        <w:fldChar w:fldCharType="end"/>
      </w:r>
    </w:p>
    <w:p>
      <w:pPr>
        <w:pStyle w:val="18"/>
        <w:rPr>
          <w:rStyle w:val="29"/>
          <w:b w:val="0"/>
        </w:rPr>
      </w:pPr>
      <w:r>
        <w:fldChar w:fldCharType="begin"/>
      </w:r>
      <w:r>
        <w:instrText xml:space="preserve"> HYPERLINK \l "_Toc486070602" </w:instrText>
      </w:r>
      <w:r>
        <w:fldChar w:fldCharType="separate"/>
      </w:r>
      <w:r>
        <w:rPr>
          <w:rStyle w:val="29"/>
          <w:b w:val="0"/>
        </w:rPr>
        <w:t>10.1 工程概况</w:t>
      </w:r>
      <w:r>
        <w:rPr>
          <w:rStyle w:val="29"/>
          <w:b w:val="0"/>
        </w:rPr>
        <w:tab/>
      </w:r>
      <w:r>
        <w:rPr>
          <w:rStyle w:val="29"/>
          <w:rFonts w:hint="eastAsia"/>
          <w:b w:val="0"/>
        </w:rPr>
        <w:t>62</w:t>
      </w:r>
      <w:r>
        <w:rPr>
          <w:rStyle w:val="29"/>
          <w:rFonts w:hint="eastAsia"/>
          <w:b w:val="0"/>
        </w:rPr>
        <w:fldChar w:fldCharType="end"/>
      </w:r>
    </w:p>
    <w:p>
      <w:pPr>
        <w:pStyle w:val="18"/>
        <w:rPr>
          <w:rStyle w:val="29"/>
          <w:b w:val="0"/>
        </w:rPr>
      </w:pPr>
      <w:r>
        <w:fldChar w:fldCharType="begin"/>
      </w:r>
      <w:r>
        <w:instrText xml:space="preserve"> HYPERLINK \l "_Toc486070603" </w:instrText>
      </w:r>
      <w:r>
        <w:fldChar w:fldCharType="separate"/>
      </w:r>
      <w:r>
        <w:rPr>
          <w:rStyle w:val="29"/>
          <w:b w:val="0"/>
        </w:rPr>
        <w:t>10.2</w:t>
      </w:r>
      <w:r>
        <w:rPr>
          <w:rStyle w:val="29"/>
          <w:rFonts w:hint="eastAsia"/>
          <w:b w:val="0"/>
        </w:rPr>
        <w:t>环境影响评价结论</w:t>
      </w:r>
      <w:r>
        <w:rPr>
          <w:rStyle w:val="29"/>
          <w:b w:val="0"/>
        </w:rPr>
        <w:tab/>
      </w:r>
      <w:r>
        <w:rPr>
          <w:rStyle w:val="29"/>
          <w:rFonts w:hint="eastAsia"/>
          <w:b w:val="0"/>
        </w:rPr>
        <w:t>62</w:t>
      </w:r>
      <w:r>
        <w:rPr>
          <w:rStyle w:val="29"/>
          <w:rFonts w:hint="eastAsia"/>
          <w:b w:val="0"/>
        </w:rPr>
        <w:fldChar w:fldCharType="end"/>
      </w:r>
    </w:p>
    <w:p>
      <w:pPr>
        <w:pStyle w:val="18"/>
        <w:rPr>
          <w:rStyle w:val="29"/>
          <w:b w:val="0"/>
        </w:rPr>
      </w:pPr>
      <w:r>
        <w:fldChar w:fldCharType="begin"/>
      </w:r>
      <w:r>
        <w:instrText xml:space="preserve"> HYPERLINK \l "_Toc486070604" </w:instrText>
      </w:r>
      <w:r>
        <w:fldChar w:fldCharType="separate"/>
      </w:r>
      <w:r>
        <w:rPr>
          <w:rStyle w:val="29"/>
          <w:b w:val="0"/>
        </w:rPr>
        <w:t xml:space="preserve">10.3 </w:t>
      </w:r>
      <w:r>
        <w:rPr>
          <w:rStyle w:val="29"/>
          <w:rFonts w:hint="eastAsia"/>
          <w:b w:val="0"/>
        </w:rPr>
        <w:t>环保措施及</w:t>
      </w:r>
      <w:r>
        <w:rPr>
          <w:rStyle w:val="29"/>
          <w:b w:val="0"/>
        </w:rPr>
        <w:t>建议</w:t>
      </w:r>
      <w:r>
        <w:rPr>
          <w:rStyle w:val="29"/>
          <w:b w:val="0"/>
        </w:rPr>
        <w:tab/>
      </w:r>
      <w:r>
        <w:rPr>
          <w:rStyle w:val="29"/>
          <w:rFonts w:hint="eastAsia"/>
          <w:b w:val="0"/>
        </w:rPr>
        <w:t>65</w:t>
      </w:r>
      <w:r>
        <w:rPr>
          <w:rStyle w:val="29"/>
          <w:rFonts w:hint="eastAsia"/>
          <w:b w:val="0"/>
        </w:rPr>
        <w:fldChar w:fldCharType="end"/>
      </w:r>
    </w:p>
    <w:p>
      <w:pPr>
        <w:pStyle w:val="18"/>
        <w:rPr>
          <w:rFonts w:eastAsiaTheme="minorEastAsia"/>
          <w:bCs/>
        </w:rPr>
      </w:pPr>
      <w:r>
        <w:fldChar w:fldCharType="begin"/>
      </w:r>
      <w:r>
        <w:instrText xml:space="preserve"> HYPERLINK \l "_Toc486070607" </w:instrText>
      </w:r>
      <w:r>
        <w:fldChar w:fldCharType="separate"/>
      </w:r>
      <w:r>
        <w:rPr>
          <w:rStyle w:val="29"/>
          <w:b w:val="0"/>
        </w:rPr>
        <w:t>10.4 总结论</w:t>
      </w:r>
      <w:r>
        <w:rPr>
          <w:rStyle w:val="29"/>
          <w:b w:val="0"/>
        </w:rPr>
        <w:tab/>
      </w:r>
      <w:r>
        <w:rPr>
          <w:rStyle w:val="29"/>
          <w:b w:val="0"/>
        </w:rPr>
        <w:fldChar w:fldCharType="begin"/>
      </w:r>
      <w:r>
        <w:rPr>
          <w:rStyle w:val="29"/>
          <w:b w:val="0"/>
        </w:rPr>
        <w:instrText xml:space="preserve"> PAGEREF _Toc486070607 \h </w:instrText>
      </w:r>
      <w:r>
        <w:rPr>
          <w:rStyle w:val="29"/>
          <w:b w:val="0"/>
        </w:rPr>
        <w:fldChar w:fldCharType="separate"/>
      </w:r>
      <w:r>
        <w:rPr>
          <w:rStyle w:val="29"/>
          <w:b w:val="0"/>
        </w:rPr>
        <w:t>63</w:t>
      </w:r>
      <w:r>
        <w:rPr>
          <w:rStyle w:val="29"/>
          <w:b w:val="0"/>
        </w:rPr>
        <w:fldChar w:fldCharType="end"/>
      </w:r>
      <w:r>
        <w:rPr>
          <w:rStyle w:val="29"/>
          <w:b w:val="0"/>
        </w:rPr>
        <w:fldChar w:fldCharType="end"/>
      </w:r>
    </w:p>
    <w:p>
      <w:pPr>
        <w:tabs>
          <w:tab w:val="left" w:pos="3300"/>
        </w:tabs>
        <w:spacing w:line="520" w:lineRule="exact"/>
        <w:rPr>
          <w:b/>
          <w:bCs/>
          <w:sz w:val="24"/>
          <w:szCs w:val="24"/>
          <w:lang w:val="zh-CN"/>
        </w:rPr>
      </w:pPr>
      <w:r>
        <w:rPr>
          <w:bCs/>
          <w:sz w:val="24"/>
          <w:szCs w:val="24"/>
          <w:lang w:val="zh-CN"/>
        </w:rPr>
        <w:fldChar w:fldCharType="end"/>
      </w:r>
      <w:bookmarkStart w:id="1" w:name="_Toc24854"/>
      <w:bookmarkStart w:id="2" w:name="_Toc3575"/>
      <w:bookmarkStart w:id="3" w:name="_Toc26198"/>
      <w:bookmarkStart w:id="4" w:name="_Toc16326"/>
      <w:bookmarkStart w:id="5" w:name="_Toc29651"/>
      <w:bookmarkStart w:id="6" w:name="_Toc402445207"/>
      <w:bookmarkStart w:id="7" w:name="_Toc381722806"/>
      <w:bookmarkStart w:id="8" w:name="_Toc416992930"/>
      <w:bookmarkStart w:id="9" w:name="_Toc416192235"/>
      <w:bookmarkStart w:id="10" w:name="_Toc486070502"/>
      <w:r>
        <w:rPr>
          <w:rFonts w:hint="eastAsia"/>
          <w:b/>
          <w:bCs/>
          <w:sz w:val="24"/>
          <w:szCs w:val="24"/>
          <w:lang w:val="zh-CN"/>
        </w:rPr>
        <w:t>附件：</w:t>
      </w:r>
    </w:p>
    <w:p>
      <w:pPr>
        <w:tabs>
          <w:tab w:val="left" w:pos="3300"/>
        </w:tabs>
        <w:spacing w:line="520" w:lineRule="exact"/>
        <w:rPr>
          <w:sz w:val="24"/>
          <w:szCs w:val="24"/>
        </w:rPr>
      </w:pPr>
      <w:r>
        <w:rPr>
          <w:sz w:val="24"/>
          <w:szCs w:val="24"/>
        </w:rPr>
        <w:t>附件</w:t>
      </w:r>
      <w:r>
        <w:rPr>
          <w:rFonts w:eastAsia="TimesNewRomanPSMT"/>
          <w:sz w:val="24"/>
          <w:szCs w:val="24"/>
        </w:rPr>
        <w:t xml:space="preserve">1 </w:t>
      </w:r>
      <w:r>
        <w:rPr>
          <w:sz w:val="24"/>
          <w:szCs w:val="24"/>
        </w:rPr>
        <w:t>环境影响评价委托</w:t>
      </w:r>
      <w:r>
        <w:rPr>
          <w:rFonts w:hint="eastAsia"/>
          <w:sz w:val="24"/>
          <w:szCs w:val="24"/>
        </w:rPr>
        <w:t>书</w:t>
      </w:r>
    </w:p>
    <w:p>
      <w:pPr>
        <w:tabs>
          <w:tab w:val="left" w:pos="3300"/>
        </w:tabs>
        <w:spacing w:line="520" w:lineRule="exact"/>
        <w:rPr>
          <w:sz w:val="24"/>
          <w:szCs w:val="24"/>
        </w:rPr>
      </w:pPr>
      <w:r>
        <w:rPr>
          <w:sz w:val="24"/>
          <w:szCs w:val="24"/>
        </w:rPr>
        <w:t>附件2</w:t>
      </w:r>
      <w:r>
        <w:rPr>
          <w:rFonts w:hint="eastAsia"/>
          <w:sz w:val="24"/>
          <w:szCs w:val="24"/>
        </w:rPr>
        <w:t>项目</w:t>
      </w:r>
      <w:r>
        <w:rPr>
          <w:sz w:val="24"/>
          <w:szCs w:val="24"/>
        </w:rPr>
        <w:t>选址意见</w:t>
      </w:r>
      <w:r>
        <w:rPr>
          <w:rFonts w:hint="eastAsia"/>
          <w:sz w:val="24"/>
          <w:szCs w:val="24"/>
        </w:rPr>
        <w:t>书</w:t>
      </w:r>
    </w:p>
    <w:p>
      <w:pPr>
        <w:tabs>
          <w:tab w:val="left" w:pos="3300"/>
        </w:tabs>
        <w:spacing w:line="520" w:lineRule="exact"/>
        <w:rPr>
          <w:sz w:val="24"/>
          <w:szCs w:val="24"/>
        </w:rPr>
      </w:pPr>
      <w:r>
        <w:rPr>
          <w:sz w:val="24"/>
          <w:szCs w:val="24"/>
        </w:rPr>
        <w:t xml:space="preserve">附件3 </w:t>
      </w:r>
      <w:r>
        <w:rPr>
          <w:rFonts w:hint="eastAsia"/>
          <w:sz w:val="24"/>
          <w:szCs w:val="24"/>
        </w:rPr>
        <w:t>闽侯县</w:t>
      </w:r>
      <w:r>
        <w:rPr>
          <w:sz w:val="24"/>
          <w:szCs w:val="24"/>
        </w:rPr>
        <w:t>人民政府专题会议纪要</w:t>
      </w:r>
    </w:p>
    <w:p>
      <w:pPr>
        <w:tabs>
          <w:tab w:val="left" w:pos="3300"/>
        </w:tabs>
        <w:spacing w:line="520" w:lineRule="exact"/>
        <w:rPr>
          <w:sz w:val="24"/>
          <w:szCs w:val="24"/>
        </w:rPr>
      </w:pPr>
      <w:r>
        <w:rPr>
          <w:sz w:val="24"/>
          <w:szCs w:val="24"/>
        </w:rPr>
        <w:t>附件4建设项目用地预审意见书</w:t>
      </w:r>
    </w:p>
    <w:p>
      <w:pPr>
        <w:tabs>
          <w:tab w:val="left" w:pos="3300"/>
        </w:tabs>
        <w:spacing w:line="520" w:lineRule="exact"/>
        <w:rPr>
          <w:sz w:val="24"/>
          <w:szCs w:val="24"/>
        </w:rPr>
      </w:pPr>
      <w:r>
        <w:rPr>
          <w:sz w:val="24"/>
          <w:szCs w:val="24"/>
        </w:rPr>
        <w:t xml:space="preserve">附件5 </w:t>
      </w:r>
      <w:r>
        <w:rPr>
          <w:rFonts w:hint="eastAsia"/>
          <w:sz w:val="24"/>
          <w:szCs w:val="24"/>
        </w:rPr>
        <w:t>闽侯县人民政府办公室会审纪要</w:t>
      </w:r>
    </w:p>
    <w:p>
      <w:pPr>
        <w:tabs>
          <w:tab w:val="left" w:pos="3300"/>
        </w:tabs>
        <w:spacing w:line="520" w:lineRule="exact"/>
        <w:rPr>
          <w:sz w:val="24"/>
          <w:szCs w:val="24"/>
        </w:rPr>
      </w:pPr>
      <w:r>
        <w:rPr>
          <w:sz w:val="24"/>
          <w:szCs w:val="24"/>
        </w:rPr>
        <w:t>附件6</w:t>
      </w:r>
      <w:r>
        <w:rPr>
          <w:rFonts w:hint="eastAsia"/>
          <w:sz w:val="24"/>
          <w:szCs w:val="24"/>
        </w:rPr>
        <w:t>闽侯县发展和改革局关于可行性研究报告的复函</w:t>
      </w:r>
    </w:p>
    <w:p>
      <w:pPr>
        <w:tabs>
          <w:tab w:val="left" w:pos="3300"/>
        </w:tabs>
        <w:spacing w:line="520" w:lineRule="exact"/>
        <w:rPr>
          <w:sz w:val="24"/>
          <w:szCs w:val="24"/>
        </w:rPr>
      </w:pPr>
      <w:r>
        <w:rPr>
          <w:rFonts w:hint="eastAsia" w:ascii="宋体" w:hAnsi="宋体" w:cs="宋体"/>
          <w:sz w:val="24"/>
          <w:szCs w:val="24"/>
        </w:rPr>
        <w:t>附图</w:t>
      </w:r>
      <w:r>
        <w:rPr>
          <w:sz w:val="24"/>
          <w:szCs w:val="24"/>
        </w:rPr>
        <w:t>1</w:t>
      </w:r>
      <w:r>
        <w:rPr>
          <w:rFonts w:hint="eastAsia"/>
          <w:sz w:val="24"/>
          <w:szCs w:val="24"/>
        </w:rPr>
        <w:t>高中部综合楼</w:t>
      </w:r>
      <w:r>
        <w:rPr>
          <w:sz w:val="24"/>
          <w:szCs w:val="24"/>
        </w:rPr>
        <w:t>实验楼（</w:t>
      </w:r>
      <w:r>
        <w:rPr>
          <w:rFonts w:hint="eastAsia"/>
          <w:sz w:val="24"/>
          <w:szCs w:val="24"/>
        </w:rPr>
        <w:t>1</w:t>
      </w:r>
      <w:r>
        <w:rPr>
          <w:sz w:val="24"/>
          <w:szCs w:val="24"/>
        </w:rPr>
        <w:t>~</w:t>
      </w:r>
      <w:r>
        <w:rPr>
          <w:rFonts w:hint="eastAsia"/>
          <w:sz w:val="24"/>
          <w:szCs w:val="24"/>
        </w:rPr>
        <w:t>3</w:t>
      </w:r>
      <w:r>
        <w:rPr>
          <w:sz w:val="24"/>
          <w:szCs w:val="24"/>
        </w:rPr>
        <w:t>F平面图）</w:t>
      </w:r>
    </w:p>
    <w:p>
      <w:pPr>
        <w:tabs>
          <w:tab w:val="left" w:pos="3300"/>
        </w:tabs>
        <w:spacing w:line="520" w:lineRule="exact"/>
        <w:rPr>
          <w:sz w:val="24"/>
          <w:szCs w:val="24"/>
        </w:rPr>
      </w:pPr>
      <w:r>
        <w:rPr>
          <w:sz w:val="24"/>
          <w:szCs w:val="24"/>
        </w:rPr>
        <w:t>附图2</w:t>
      </w:r>
      <w:r>
        <w:rPr>
          <w:sz w:val="24"/>
        </w:rPr>
        <w:t>地下室平面图</w:t>
      </w:r>
      <w:r>
        <w:rPr>
          <w:sz w:val="24"/>
          <w:szCs w:val="24"/>
        </w:rPr>
        <w:t>（</w:t>
      </w:r>
      <w:r>
        <w:rPr>
          <w:rFonts w:hint="eastAsia"/>
          <w:sz w:val="24"/>
          <w:szCs w:val="24"/>
        </w:rPr>
        <w:t>-1</w:t>
      </w:r>
      <w:r>
        <w:rPr>
          <w:sz w:val="24"/>
          <w:szCs w:val="24"/>
        </w:rPr>
        <w:t>~</w:t>
      </w:r>
      <w:r>
        <w:rPr>
          <w:rFonts w:hint="eastAsia"/>
          <w:sz w:val="24"/>
          <w:szCs w:val="24"/>
        </w:rPr>
        <w:t>-2</w:t>
      </w:r>
      <w:r>
        <w:rPr>
          <w:sz w:val="24"/>
          <w:szCs w:val="24"/>
        </w:rPr>
        <w:t>F平面图）</w:t>
      </w:r>
    </w:p>
    <w:p>
      <w:pPr>
        <w:pageBreakBefore/>
        <w:tabs>
          <w:tab w:val="left" w:pos="3300"/>
        </w:tabs>
        <w:spacing w:line="520" w:lineRule="exact"/>
        <w:rPr>
          <w:b/>
          <w:spacing w:val="6"/>
          <w:sz w:val="30"/>
          <w:szCs w:val="30"/>
        </w:rPr>
      </w:pPr>
      <w:r>
        <w:rPr>
          <w:rFonts w:hint="eastAsia"/>
          <w:b/>
          <w:spacing w:val="6"/>
          <w:sz w:val="30"/>
          <w:szCs w:val="30"/>
        </w:rPr>
        <w:t>一、</w:t>
      </w:r>
      <w:r>
        <w:rPr>
          <w:b/>
          <w:spacing w:val="6"/>
          <w:sz w:val="30"/>
          <w:szCs w:val="30"/>
        </w:rPr>
        <w:t>项目基本情况</w:t>
      </w:r>
      <w:bookmarkEnd w:id="1"/>
      <w:bookmarkEnd w:id="2"/>
      <w:bookmarkEnd w:id="3"/>
      <w:bookmarkEnd w:id="4"/>
      <w:bookmarkEnd w:id="5"/>
    </w:p>
    <w:p>
      <w:pPr>
        <w:tabs>
          <w:tab w:val="left" w:pos="3300"/>
        </w:tabs>
        <w:spacing w:before="60" w:beforeLines="25" w:after="60" w:afterLines="25" w:line="360" w:lineRule="auto"/>
        <w:outlineLvl w:val="0"/>
        <w:rPr>
          <w:rStyle w:val="43"/>
          <w:rFonts w:eastAsia="宋体"/>
          <w:szCs w:val="28"/>
        </w:rPr>
      </w:pPr>
      <w:bookmarkStart w:id="11" w:name="_Toc416992932"/>
      <w:bookmarkStart w:id="12" w:name="_Toc416192237"/>
      <w:bookmarkStart w:id="13" w:name="_Toc472321469"/>
      <w:bookmarkStart w:id="14" w:name="_Toc381722808"/>
      <w:bookmarkStart w:id="15" w:name="_Toc402445209"/>
      <w:r>
        <w:rPr>
          <w:rStyle w:val="43"/>
          <w:rFonts w:eastAsia="宋体"/>
          <w:b/>
          <w:szCs w:val="28"/>
        </w:rPr>
        <w:t>1.</w:t>
      </w:r>
      <w:r>
        <w:rPr>
          <w:rStyle w:val="43"/>
          <w:rFonts w:hint="eastAsia" w:eastAsia="宋体"/>
          <w:b/>
          <w:szCs w:val="28"/>
        </w:rPr>
        <w:t>1</w:t>
      </w:r>
      <w:r>
        <w:rPr>
          <w:rStyle w:val="43"/>
          <w:rFonts w:eastAsia="宋体"/>
          <w:b/>
          <w:szCs w:val="28"/>
        </w:rPr>
        <w:t xml:space="preserve"> 项目建设基本概况</w:t>
      </w:r>
      <w:bookmarkEnd w:id="11"/>
      <w:bookmarkEnd w:id="12"/>
      <w:bookmarkEnd w:id="13"/>
      <w:bookmarkEnd w:id="14"/>
      <w:bookmarkEnd w:id="15"/>
    </w:p>
    <w:tbl>
      <w:tblPr>
        <w:tblStyle w:val="24"/>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577"/>
        <w:gridCol w:w="2765"/>
        <w:gridCol w:w="1293"/>
        <w:gridCol w:w="481"/>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614" w:type="dxa"/>
            <w:vAlign w:val="center"/>
          </w:tcPr>
          <w:p>
            <w:pPr>
              <w:pStyle w:val="92"/>
              <w:rPr>
                <w:sz w:val="24"/>
              </w:rPr>
            </w:pPr>
            <w:r>
              <w:rPr>
                <w:sz w:val="24"/>
              </w:rPr>
              <w:t>项目名称</w:t>
            </w:r>
          </w:p>
        </w:tc>
        <w:tc>
          <w:tcPr>
            <w:tcW w:w="7560" w:type="dxa"/>
            <w:gridSpan w:val="5"/>
            <w:vAlign w:val="center"/>
          </w:tcPr>
          <w:p>
            <w:pPr>
              <w:pStyle w:val="92"/>
              <w:rPr>
                <w:sz w:val="24"/>
              </w:rPr>
            </w:pPr>
            <w:r>
              <w:rPr>
                <w:sz w:val="24"/>
              </w:rPr>
              <w:t>闽侯六中校园扩建项目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614" w:type="dxa"/>
            <w:vAlign w:val="center"/>
          </w:tcPr>
          <w:p>
            <w:pPr>
              <w:pStyle w:val="92"/>
              <w:rPr>
                <w:sz w:val="24"/>
              </w:rPr>
            </w:pPr>
            <w:r>
              <w:rPr>
                <w:sz w:val="24"/>
              </w:rPr>
              <w:t>建设单位</w:t>
            </w:r>
          </w:p>
        </w:tc>
        <w:tc>
          <w:tcPr>
            <w:tcW w:w="7560" w:type="dxa"/>
            <w:gridSpan w:val="5"/>
            <w:vAlign w:val="center"/>
          </w:tcPr>
          <w:p>
            <w:pPr>
              <w:pStyle w:val="92"/>
              <w:rPr>
                <w:sz w:val="24"/>
              </w:rPr>
            </w:pPr>
            <w:r>
              <w:rPr>
                <w:sz w:val="24"/>
              </w:rPr>
              <w:t>闽侯县第六中学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14" w:type="dxa"/>
            <w:vAlign w:val="center"/>
          </w:tcPr>
          <w:p>
            <w:pPr>
              <w:pStyle w:val="92"/>
              <w:rPr>
                <w:sz w:val="24"/>
              </w:rPr>
            </w:pPr>
            <w:r>
              <w:rPr>
                <w:sz w:val="24"/>
              </w:rPr>
              <w:t>建设地点</w:t>
            </w:r>
          </w:p>
        </w:tc>
        <w:tc>
          <w:tcPr>
            <w:tcW w:w="7560" w:type="dxa"/>
            <w:gridSpan w:val="5"/>
            <w:vAlign w:val="center"/>
          </w:tcPr>
          <w:p>
            <w:pPr>
              <w:pStyle w:val="92"/>
              <w:rPr>
                <w:sz w:val="24"/>
              </w:rPr>
            </w:pPr>
            <w:r>
              <w:rPr>
                <w:sz w:val="24"/>
              </w:rPr>
              <w:t>闽侯县上街镇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14" w:type="dxa"/>
            <w:vAlign w:val="center"/>
          </w:tcPr>
          <w:p>
            <w:pPr>
              <w:pStyle w:val="92"/>
              <w:rPr>
                <w:sz w:val="24"/>
              </w:rPr>
            </w:pPr>
            <w:r>
              <w:rPr>
                <w:sz w:val="24"/>
              </w:rPr>
              <w:t>建设依据</w:t>
            </w:r>
          </w:p>
        </w:tc>
        <w:tc>
          <w:tcPr>
            <w:tcW w:w="3342" w:type="dxa"/>
            <w:gridSpan w:val="2"/>
            <w:vAlign w:val="center"/>
          </w:tcPr>
          <w:p>
            <w:pPr>
              <w:pStyle w:val="92"/>
              <w:rPr>
                <w:sz w:val="24"/>
              </w:rPr>
            </w:pPr>
            <w:r>
              <w:rPr>
                <w:sz w:val="24"/>
              </w:rPr>
              <w:t>侯发改审批[201</w:t>
            </w:r>
            <w:r>
              <w:rPr>
                <w:rFonts w:hint="eastAsia"/>
                <w:sz w:val="24"/>
              </w:rPr>
              <w:t>8</w:t>
            </w:r>
            <w:r>
              <w:rPr>
                <w:sz w:val="24"/>
              </w:rPr>
              <w:t>]3</w:t>
            </w:r>
            <w:r>
              <w:rPr>
                <w:rFonts w:hint="eastAsia"/>
                <w:sz w:val="24"/>
              </w:rPr>
              <w:t>1</w:t>
            </w:r>
            <w:r>
              <w:rPr>
                <w:sz w:val="24"/>
              </w:rPr>
              <w:t>号</w:t>
            </w:r>
          </w:p>
        </w:tc>
        <w:tc>
          <w:tcPr>
            <w:tcW w:w="1293" w:type="dxa"/>
            <w:vAlign w:val="center"/>
          </w:tcPr>
          <w:p>
            <w:pPr>
              <w:pStyle w:val="92"/>
              <w:rPr>
                <w:sz w:val="24"/>
              </w:rPr>
            </w:pPr>
            <w:r>
              <w:rPr>
                <w:sz w:val="24"/>
              </w:rPr>
              <w:t>主管部门</w:t>
            </w:r>
          </w:p>
        </w:tc>
        <w:tc>
          <w:tcPr>
            <w:tcW w:w="2925" w:type="dxa"/>
            <w:gridSpan w:val="2"/>
            <w:vAlign w:val="center"/>
          </w:tcPr>
          <w:p>
            <w:pPr>
              <w:pStyle w:val="92"/>
              <w:rPr>
                <w:sz w:val="24"/>
              </w:rPr>
            </w:pPr>
            <w:r>
              <w:rPr>
                <w:sz w:val="24"/>
              </w:rPr>
              <w:t>闽侯县</w:t>
            </w:r>
            <w:r>
              <w:rPr>
                <w:rFonts w:hint="eastAsia"/>
                <w:sz w:val="24"/>
              </w:rPr>
              <w:t>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614" w:type="dxa"/>
            <w:vAlign w:val="center"/>
          </w:tcPr>
          <w:p>
            <w:pPr>
              <w:pStyle w:val="92"/>
              <w:rPr>
                <w:sz w:val="24"/>
              </w:rPr>
            </w:pPr>
            <w:r>
              <w:rPr>
                <w:sz w:val="24"/>
              </w:rPr>
              <w:t>建设性质</w:t>
            </w:r>
          </w:p>
        </w:tc>
        <w:tc>
          <w:tcPr>
            <w:tcW w:w="3342" w:type="dxa"/>
            <w:gridSpan w:val="2"/>
            <w:vAlign w:val="center"/>
          </w:tcPr>
          <w:p>
            <w:pPr>
              <w:pStyle w:val="92"/>
              <w:rPr>
                <w:sz w:val="24"/>
              </w:rPr>
            </w:pPr>
            <w:r>
              <w:rPr>
                <w:rFonts w:hint="eastAsia"/>
                <w:sz w:val="24"/>
              </w:rPr>
              <w:t>改</w:t>
            </w:r>
            <w:r>
              <w:rPr>
                <w:sz w:val="24"/>
              </w:rPr>
              <w:t>扩建</w:t>
            </w:r>
          </w:p>
        </w:tc>
        <w:tc>
          <w:tcPr>
            <w:tcW w:w="1293" w:type="dxa"/>
            <w:vAlign w:val="center"/>
          </w:tcPr>
          <w:p>
            <w:pPr>
              <w:pStyle w:val="92"/>
              <w:rPr>
                <w:sz w:val="24"/>
              </w:rPr>
            </w:pPr>
            <w:r>
              <w:rPr>
                <w:sz w:val="24"/>
              </w:rPr>
              <w:t>行业代码</w:t>
            </w:r>
          </w:p>
        </w:tc>
        <w:tc>
          <w:tcPr>
            <w:tcW w:w="2925" w:type="dxa"/>
            <w:gridSpan w:val="2"/>
            <w:vAlign w:val="center"/>
          </w:tcPr>
          <w:p>
            <w:pPr>
              <w:pStyle w:val="92"/>
              <w:rPr>
                <w:sz w:val="24"/>
              </w:rPr>
            </w:pPr>
            <w:r>
              <w:rPr>
                <w:sz w:val="24"/>
              </w:rPr>
              <w:t>教育[P84]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1614" w:type="dxa"/>
            <w:vAlign w:val="center"/>
          </w:tcPr>
          <w:p>
            <w:pPr>
              <w:pStyle w:val="92"/>
              <w:rPr>
                <w:sz w:val="24"/>
              </w:rPr>
            </w:pPr>
            <w:r>
              <w:rPr>
                <w:sz w:val="24"/>
              </w:rPr>
              <w:t>建设规模</w:t>
            </w:r>
          </w:p>
        </w:tc>
        <w:tc>
          <w:tcPr>
            <w:tcW w:w="3342" w:type="dxa"/>
            <w:gridSpan w:val="2"/>
            <w:vAlign w:val="center"/>
          </w:tcPr>
          <w:p>
            <w:pPr>
              <w:pStyle w:val="92"/>
              <w:rPr>
                <w:sz w:val="24"/>
              </w:rPr>
            </w:pPr>
            <w:r>
              <w:rPr>
                <w:rFonts w:hint="eastAsia"/>
                <w:sz w:val="24"/>
              </w:rPr>
              <w:t>新增用地</w:t>
            </w:r>
            <w:r>
              <w:rPr>
                <w:sz w:val="24"/>
              </w:rPr>
              <w:t>面积</w:t>
            </w:r>
            <w:r>
              <w:rPr>
                <w:rFonts w:hint="eastAsia"/>
                <w:sz w:val="24"/>
              </w:rPr>
              <w:t>41002.4m</w:t>
            </w:r>
            <w:r>
              <w:rPr>
                <w:rFonts w:hint="eastAsia"/>
                <w:sz w:val="24"/>
                <w:vertAlign w:val="superscript"/>
              </w:rPr>
              <w:t>2</w:t>
            </w:r>
            <w:r>
              <w:rPr>
                <w:sz w:val="24"/>
              </w:rPr>
              <w:t>，</w:t>
            </w:r>
            <w:r>
              <w:rPr>
                <w:rFonts w:hint="eastAsia"/>
                <w:sz w:val="24"/>
              </w:rPr>
              <w:t>总建筑面积24725m</w:t>
            </w:r>
            <w:r>
              <w:rPr>
                <w:rFonts w:hint="eastAsia"/>
                <w:sz w:val="24"/>
                <w:vertAlign w:val="superscript"/>
              </w:rPr>
              <w:t>2</w:t>
            </w:r>
            <w:r>
              <w:rPr>
                <w:rFonts w:hint="eastAsia"/>
                <w:sz w:val="24"/>
              </w:rPr>
              <w:t>，新建1栋高中部综合楼、1栋食堂并学生宿舍楼和教师周转房、1栋体院馆，以及室外运动场、学校大门、室外管网、挡墙等附属设施。</w:t>
            </w:r>
          </w:p>
        </w:tc>
        <w:tc>
          <w:tcPr>
            <w:tcW w:w="1293" w:type="dxa"/>
            <w:vAlign w:val="center"/>
          </w:tcPr>
          <w:p>
            <w:pPr>
              <w:pStyle w:val="92"/>
              <w:rPr>
                <w:sz w:val="24"/>
              </w:rPr>
            </w:pPr>
            <w:r>
              <w:rPr>
                <w:sz w:val="24"/>
              </w:rPr>
              <w:t>总规模</w:t>
            </w:r>
          </w:p>
        </w:tc>
        <w:tc>
          <w:tcPr>
            <w:tcW w:w="2925" w:type="dxa"/>
            <w:gridSpan w:val="2"/>
            <w:vAlign w:val="center"/>
          </w:tcPr>
          <w:p>
            <w:pPr>
              <w:pStyle w:val="92"/>
              <w:rPr>
                <w:sz w:val="24"/>
              </w:rPr>
            </w:pPr>
            <w:r>
              <w:rPr>
                <w:rFonts w:hint="eastAsia"/>
                <w:sz w:val="24"/>
              </w:rPr>
              <w:t>扩建后校园总用地面积79712.45m</w:t>
            </w:r>
            <w:r>
              <w:rPr>
                <w:rFonts w:hint="eastAsia"/>
                <w:sz w:val="24"/>
                <w:vertAlign w:val="superscript"/>
              </w:rPr>
              <w:t>2</w:t>
            </w:r>
            <w:r>
              <w:rPr>
                <w:rFonts w:hint="eastAsia"/>
                <w:sz w:val="24"/>
              </w:rPr>
              <w:t>，总建筑面积42516m</w:t>
            </w:r>
            <w:r>
              <w:rPr>
                <w:rFonts w:hint="eastAsia"/>
                <w:sz w:val="24"/>
                <w:vertAlign w:val="superscript"/>
              </w:rPr>
              <w:t>2</w:t>
            </w:r>
            <w:r>
              <w:rPr>
                <w:rFonts w:hint="eastAsia"/>
                <w:sz w:val="24"/>
              </w:rPr>
              <w:t>，初中48个班，高中30个班，学生人数3900人。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614" w:type="dxa"/>
            <w:vAlign w:val="center"/>
          </w:tcPr>
          <w:p>
            <w:pPr>
              <w:pStyle w:val="92"/>
              <w:rPr>
                <w:sz w:val="24"/>
              </w:rPr>
            </w:pPr>
            <w:r>
              <w:rPr>
                <w:sz w:val="24"/>
              </w:rPr>
              <w:t>总投资</w:t>
            </w:r>
          </w:p>
        </w:tc>
        <w:tc>
          <w:tcPr>
            <w:tcW w:w="3342" w:type="dxa"/>
            <w:gridSpan w:val="2"/>
            <w:vAlign w:val="center"/>
          </w:tcPr>
          <w:p>
            <w:pPr>
              <w:pStyle w:val="92"/>
              <w:rPr>
                <w:sz w:val="24"/>
              </w:rPr>
            </w:pPr>
            <w:r>
              <w:rPr>
                <w:sz w:val="24"/>
              </w:rPr>
              <w:t>13</w:t>
            </w:r>
            <w:r>
              <w:rPr>
                <w:rFonts w:hint="eastAsia"/>
                <w:sz w:val="24"/>
              </w:rPr>
              <w:t>041</w:t>
            </w:r>
            <w:r>
              <w:rPr>
                <w:sz w:val="24"/>
              </w:rPr>
              <w:t>.</w:t>
            </w:r>
            <w:r>
              <w:rPr>
                <w:rFonts w:hint="eastAsia"/>
                <w:sz w:val="24"/>
              </w:rPr>
              <w:t>3</w:t>
            </w:r>
            <w:r>
              <w:rPr>
                <w:sz w:val="24"/>
              </w:rPr>
              <w:t>8万元</w:t>
            </w:r>
          </w:p>
        </w:tc>
        <w:tc>
          <w:tcPr>
            <w:tcW w:w="1293" w:type="dxa"/>
            <w:vAlign w:val="center"/>
          </w:tcPr>
          <w:p>
            <w:pPr>
              <w:pStyle w:val="92"/>
              <w:rPr>
                <w:sz w:val="24"/>
              </w:rPr>
            </w:pPr>
            <w:r>
              <w:rPr>
                <w:sz w:val="24"/>
              </w:rPr>
              <w:t>环保投资</w:t>
            </w:r>
          </w:p>
        </w:tc>
        <w:tc>
          <w:tcPr>
            <w:tcW w:w="2925" w:type="dxa"/>
            <w:gridSpan w:val="2"/>
            <w:vAlign w:val="center"/>
          </w:tcPr>
          <w:p>
            <w:pPr>
              <w:pStyle w:val="92"/>
              <w:rPr>
                <w:sz w:val="24"/>
              </w:rPr>
            </w:pPr>
            <w:r>
              <w:rPr>
                <w:rFonts w:hint="eastAsia"/>
                <w:sz w:val="24"/>
              </w:rPr>
              <w:t>230</w:t>
            </w:r>
            <w:r>
              <w:rPr>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174" w:type="dxa"/>
            <w:gridSpan w:val="6"/>
            <w:vAlign w:val="center"/>
          </w:tcPr>
          <w:p>
            <w:pPr>
              <w:pStyle w:val="92"/>
              <w:rPr>
                <w:sz w:val="24"/>
              </w:rPr>
            </w:pPr>
            <w:r>
              <w:rPr>
                <w:sz w:val="24"/>
              </w:rPr>
              <w:t>主要能源及水资源消耗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191" w:type="dxa"/>
            <w:gridSpan w:val="2"/>
            <w:vAlign w:val="center"/>
          </w:tcPr>
          <w:p>
            <w:pPr>
              <w:pStyle w:val="92"/>
              <w:rPr>
                <w:sz w:val="24"/>
              </w:rPr>
            </w:pPr>
            <w:r>
              <w:rPr>
                <w:sz w:val="24"/>
              </w:rPr>
              <w:t>名称</w:t>
            </w:r>
          </w:p>
        </w:tc>
        <w:tc>
          <w:tcPr>
            <w:tcW w:w="2765" w:type="dxa"/>
            <w:vAlign w:val="center"/>
          </w:tcPr>
          <w:p>
            <w:pPr>
              <w:pStyle w:val="92"/>
              <w:rPr>
                <w:sz w:val="24"/>
              </w:rPr>
            </w:pPr>
            <w:r>
              <w:rPr>
                <w:sz w:val="24"/>
              </w:rPr>
              <w:t>现状用量</w:t>
            </w:r>
          </w:p>
        </w:tc>
        <w:tc>
          <w:tcPr>
            <w:tcW w:w="1774" w:type="dxa"/>
            <w:gridSpan w:val="2"/>
            <w:vAlign w:val="center"/>
          </w:tcPr>
          <w:p>
            <w:pPr>
              <w:pStyle w:val="92"/>
              <w:rPr>
                <w:sz w:val="24"/>
              </w:rPr>
            </w:pPr>
            <w:r>
              <w:rPr>
                <w:rFonts w:hint="eastAsia"/>
                <w:sz w:val="24"/>
              </w:rPr>
              <w:t>新</w:t>
            </w:r>
            <w:r>
              <w:rPr>
                <w:sz w:val="24"/>
              </w:rPr>
              <w:t>增用量</w:t>
            </w:r>
          </w:p>
        </w:tc>
        <w:tc>
          <w:tcPr>
            <w:tcW w:w="2444" w:type="dxa"/>
            <w:vAlign w:val="center"/>
          </w:tcPr>
          <w:p>
            <w:pPr>
              <w:pStyle w:val="92"/>
              <w:rPr>
                <w:sz w:val="24"/>
              </w:rPr>
            </w:pPr>
            <w:r>
              <w:rPr>
                <w:rFonts w:hint="eastAsia"/>
                <w:sz w:val="24"/>
              </w:rPr>
              <w:t>预计</w:t>
            </w:r>
            <w:r>
              <w:rPr>
                <w:sz w:val="24"/>
              </w:rPr>
              <w:t>总用量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191" w:type="dxa"/>
            <w:gridSpan w:val="2"/>
            <w:vAlign w:val="center"/>
          </w:tcPr>
          <w:p>
            <w:pPr>
              <w:pStyle w:val="92"/>
              <w:rPr>
                <w:sz w:val="24"/>
              </w:rPr>
            </w:pPr>
            <w:r>
              <w:rPr>
                <w:sz w:val="24"/>
              </w:rPr>
              <w:t>水（</w:t>
            </w:r>
            <w:r>
              <w:rPr>
                <w:rFonts w:hint="eastAsia"/>
                <w:sz w:val="24"/>
              </w:rPr>
              <w:t>万</w:t>
            </w:r>
            <w:r>
              <w:rPr>
                <w:sz w:val="24"/>
              </w:rPr>
              <w:t>吨</w:t>
            </w:r>
            <w:r>
              <w:rPr>
                <w:rFonts w:hint="eastAsia"/>
                <w:sz w:val="24"/>
              </w:rPr>
              <w:t>/年</w:t>
            </w:r>
            <w:r>
              <w:rPr>
                <w:sz w:val="24"/>
              </w:rPr>
              <w:t>）</w:t>
            </w:r>
          </w:p>
        </w:tc>
        <w:tc>
          <w:tcPr>
            <w:tcW w:w="2765" w:type="dxa"/>
            <w:vAlign w:val="center"/>
          </w:tcPr>
          <w:p>
            <w:pPr>
              <w:pStyle w:val="92"/>
              <w:rPr>
                <w:sz w:val="24"/>
              </w:rPr>
            </w:pPr>
            <w:r>
              <w:rPr>
                <w:rFonts w:hint="eastAsia"/>
                <w:sz w:val="24"/>
              </w:rPr>
              <w:t>2.8686</w:t>
            </w:r>
          </w:p>
        </w:tc>
        <w:tc>
          <w:tcPr>
            <w:tcW w:w="1774" w:type="dxa"/>
            <w:gridSpan w:val="2"/>
            <w:vAlign w:val="center"/>
          </w:tcPr>
          <w:p>
            <w:pPr>
              <w:pStyle w:val="92"/>
              <w:rPr>
                <w:sz w:val="24"/>
              </w:rPr>
            </w:pPr>
            <w:r>
              <w:rPr>
                <w:rFonts w:hint="eastAsia"/>
                <w:sz w:val="24"/>
              </w:rPr>
              <w:t>3.7899</w:t>
            </w:r>
          </w:p>
        </w:tc>
        <w:tc>
          <w:tcPr>
            <w:tcW w:w="2444" w:type="dxa"/>
            <w:vAlign w:val="center"/>
          </w:tcPr>
          <w:p>
            <w:pPr>
              <w:pStyle w:val="92"/>
              <w:rPr>
                <w:sz w:val="24"/>
              </w:rPr>
            </w:pPr>
            <w:r>
              <w:rPr>
                <w:rFonts w:hint="eastAsia"/>
                <w:sz w:val="24"/>
              </w:rPr>
              <w:t>6.6585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191" w:type="dxa"/>
            <w:gridSpan w:val="2"/>
            <w:vAlign w:val="center"/>
          </w:tcPr>
          <w:p>
            <w:pPr>
              <w:pStyle w:val="92"/>
              <w:rPr>
                <w:sz w:val="24"/>
              </w:rPr>
            </w:pPr>
            <w:r>
              <w:rPr>
                <w:sz w:val="24"/>
              </w:rPr>
              <w:t>电</w:t>
            </w:r>
            <w:r>
              <w:rPr>
                <w:rFonts w:hint="eastAsia"/>
                <w:sz w:val="24"/>
              </w:rPr>
              <w:t>（万</w:t>
            </w:r>
            <w:r>
              <w:rPr>
                <w:sz w:val="24"/>
              </w:rPr>
              <w:t>kwh</w:t>
            </w:r>
            <w:r>
              <w:rPr>
                <w:rFonts w:hint="eastAsia"/>
                <w:sz w:val="24"/>
              </w:rPr>
              <w:t>/年）</w:t>
            </w:r>
          </w:p>
        </w:tc>
        <w:tc>
          <w:tcPr>
            <w:tcW w:w="2765" w:type="dxa"/>
            <w:vAlign w:val="center"/>
          </w:tcPr>
          <w:p>
            <w:pPr>
              <w:pStyle w:val="92"/>
              <w:rPr>
                <w:sz w:val="24"/>
              </w:rPr>
            </w:pPr>
            <w:r>
              <w:rPr>
                <w:rFonts w:hint="eastAsia"/>
                <w:sz w:val="24"/>
              </w:rPr>
              <w:t>100</w:t>
            </w:r>
          </w:p>
        </w:tc>
        <w:tc>
          <w:tcPr>
            <w:tcW w:w="1774" w:type="dxa"/>
            <w:gridSpan w:val="2"/>
            <w:vAlign w:val="center"/>
          </w:tcPr>
          <w:p>
            <w:pPr>
              <w:pStyle w:val="92"/>
              <w:rPr>
                <w:sz w:val="24"/>
              </w:rPr>
            </w:pPr>
            <w:r>
              <w:rPr>
                <w:rFonts w:hint="eastAsia"/>
                <w:sz w:val="24"/>
              </w:rPr>
              <w:t>103</w:t>
            </w:r>
          </w:p>
        </w:tc>
        <w:tc>
          <w:tcPr>
            <w:tcW w:w="2444" w:type="dxa"/>
            <w:vAlign w:val="center"/>
          </w:tcPr>
          <w:p>
            <w:pPr>
              <w:pStyle w:val="92"/>
              <w:rPr>
                <w:sz w:val="24"/>
              </w:rPr>
            </w:pPr>
            <w:r>
              <w:rPr>
                <w:rFonts w:hint="eastAsia"/>
                <w:sz w:val="24"/>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191" w:type="dxa"/>
            <w:gridSpan w:val="2"/>
            <w:vAlign w:val="center"/>
          </w:tcPr>
          <w:p>
            <w:pPr>
              <w:pStyle w:val="92"/>
              <w:rPr>
                <w:sz w:val="24"/>
              </w:rPr>
            </w:pPr>
            <w:r>
              <w:rPr>
                <w:sz w:val="24"/>
              </w:rPr>
              <w:t>燃油（吨</w:t>
            </w:r>
            <w:r>
              <w:rPr>
                <w:rFonts w:hint="eastAsia"/>
                <w:sz w:val="24"/>
              </w:rPr>
              <w:t>/年</w:t>
            </w:r>
            <w:r>
              <w:rPr>
                <w:sz w:val="24"/>
              </w:rPr>
              <w:t>）</w:t>
            </w:r>
          </w:p>
        </w:tc>
        <w:tc>
          <w:tcPr>
            <w:tcW w:w="2765" w:type="dxa"/>
            <w:vAlign w:val="center"/>
          </w:tcPr>
          <w:p>
            <w:pPr>
              <w:pStyle w:val="92"/>
              <w:rPr>
                <w:sz w:val="24"/>
              </w:rPr>
            </w:pPr>
            <w:r>
              <w:rPr>
                <w:rFonts w:hint="eastAsia"/>
                <w:sz w:val="24"/>
              </w:rPr>
              <w:t>/</w:t>
            </w:r>
          </w:p>
        </w:tc>
        <w:tc>
          <w:tcPr>
            <w:tcW w:w="1774" w:type="dxa"/>
            <w:gridSpan w:val="2"/>
            <w:vAlign w:val="center"/>
          </w:tcPr>
          <w:p>
            <w:pPr>
              <w:pStyle w:val="92"/>
              <w:rPr>
                <w:sz w:val="24"/>
              </w:rPr>
            </w:pPr>
            <w:r>
              <w:rPr>
                <w:rFonts w:hint="eastAsia"/>
                <w:sz w:val="24"/>
              </w:rPr>
              <w:t>/</w:t>
            </w:r>
          </w:p>
        </w:tc>
        <w:tc>
          <w:tcPr>
            <w:tcW w:w="2444" w:type="dxa"/>
            <w:vAlign w:val="center"/>
          </w:tcPr>
          <w:p>
            <w:pPr>
              <w:pStyle w:val="92"/>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191" w:type="dxa"/>
            <w:gridSpan w:val="2"/>
            <w:vAlign w:val="center"/>
          </w:tcPr>
          <w:p>
            <w:pPr>
              <w:pStyle w:val="92"/>
              <w:rPr>
                <w:sz w:val="24"/>
              </w:rPr>
            </w:pPr>
            <w:r>
              <w:rPr>
                <w:sz w:val="24"/>
              </w:rPr>
              <w:t>燃气（</w:t>
            </w:r>
            <w:r>
              <w:rPr>
                <w:rFonts w:hint="eastAsia"/>
                <w:sz w:val="24"/>
              </w:rPr>
              <w:t>万Nm</w:t>
            </w:r>
            <w:r>
              <w:rPr>
                <w:rFonts w:hint="eastAsia"/>
                <w:sz w:val="24"/>
                <w:vertAlign w:val="superscript"/>
              </w:rPr>
              <w:t>3</w:t>
            </w:r>
            <w:r>
              <w:rPr>
                <w:rFonts w:hint="eastAsia"/>
                <w:sz w:val="24"/>
              </w:rPr>
              <w:t>/年</w:t>
            </w:r>
            <w:r>
              <w:rPr>
                <w:sz w:val="24"/>
              </w:rPr>
              <w:t>）</w:t>
            </w:r>
          </w:p>
        </w:tc>
        <w:tc>
          <w:tcPr>
            <w:tcW w:w="2765" w:type="dxa"/>
            <w:vAlign w:val="center"/>
          </w:tcPr>
          <w:p>
            <w:pPr>
              <w:pStyle w:val="92"/>
              <w:rPr>
                <w:sz w:val="24"/>
              </w:rPr>
            </w:pPr>
            <w:r>
              <w:rPr>
                <w:rFonts w:hint="eastAsia"/>
                <w:sz w:val="24"/>
              </w:rPr>
              <w:t>/</w:t>
            </w:r>
          </w:p>
        </w:tc>
        <w:tc>
          <w:tcPr>
            <w:tcW w:w="1774" w:type="dxa"/>
            <w:gridSpan w:val="2"/>
            <w:vAlign w:val="center"/>
          </w:tcPr>
          <w:p>
            <w:pPr>
              <w:pStyle w:val="92"/>
              <w:rPr>
                <w:sz w:val="24"/>
              </w:rPr>
            </w:pPr>
            <w:r>
              <w:rPr>
                <w:rFonts w:hint="eastAsia"/>
                <w:sz w:val="24"/>
              </w:rPr>
              <w:t>/</w:t>
            </w:r>
          </w:p>
        </w:tc>
        <w:tc>
          <w:tcPr>
            <w:tcW w:w="2444" w:type="dxa"/>
            <w:vAlign w:val="center"/>
          </w:tcPr>
          <w:p>
            <w:pPr>
              <w:pStyle w:val="92"/>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191" w:type="dxa"/>
            <w:gridSpan w:val="2"/>
            <w:vAlign w:val="center"/>
          </w:tcPr>
          <w:p>
            <w:pPr>
              <w:pStyle w:val="92"/>
              <w:rPr>
                <w:sz w:val="24"/>
              </w:rPr>
            </w:pPr>
            <w:r>
              <w:rPr>
                <w:sz w:val="24"/>
              </w:rPr>
              <w:t>其它</w:t>
            </w:r>
          </w:p>
        </w:tc>
        <w:tc>
          <w:tcPr>
            <w:tcW w:w="2765" w:type="dxa"/>
            <w:vAlign w:val="center"/>
          </w:tcPr>
          <w:p>
            <w:pPr>
              <w:pStyle w:val="92"/>
              <w:rPr>
                <w:sz w:val="24"/>
              </w:rPr>
            </w:pPr>
            <w:r>
              <w:rPr>
                <w:rFonts w:hint="eastAsia"/>
                <w:sz w:val="24"/>
              </w:rPr>
              <w:t>/</w:t>
            </w:r>
          </w:p>
        </w:tc>
        <w:tc>
          <w:tcPr>
            <w:tcW w:w="1774" w:type="dxa"/>
            <w:gridSpan w:val="2"/>
            <w:vAlign w:val="center"/>
          </w:tcPr>
          <w:p>
            <w:pPr>
              <w:pStyle w:val="92"/>
              <w:rPr>
                <w:sz w:val="24"/>
              </w:rPr>
            </w:pPr>
            <w:r>
              <w:rPr>
                <w:rFonts w:hint="eastAsia"/>
                <w:sz w:val="24"/>
              </w:rPr>
              <w:t>/</w:t>
            </w:r>
          </w:p>
        </w:tc>
        <w:tc>
          <w:tcPr>
            <w:tcW w:w="2444" w:type="dxa"/>
            <w:vAlign w:val="center"/>
          </w:tcPr>
          <w:p>
            <w:pPr>
              <w:pStyle w:val="92"/>
              <w:rPr>
                <w:sz w:val="24"/>
              </w:rPr>
            </w:pPr>
            <w:r>
              <w:rPr>
                <w:rFonts w:hint="eastAsia"/>
                <w:sz w:val="24"/>
              </w:rPr>
              <w:t>/</w:t>
            </w:r>
          </w:p>
        </w:tc>
      </w:tr>
      <w:bookmarkEnd w:id="6"/>
      <w:bookmarkEnd w:id="7"/>
      <w:bookmarkEnd w:id="8"/>
      <w:bookmarkEnd w:id="9"/>
      <w:bookmarkEnd w:id="10"/>
    </w:tbl>
    <w:p>
      <w:pPr>
        <w:pStyle w:val="42"/>
        <w:rPr>
          <w:rStyle w:val="43"/>
          <w:rFonts w:eastAsia="宋体"/>
        </w:rPr>
      </w:pPr>
      <w:bookmarkStart w:id="16" w:name="_Toc416192236"/>
      <w:bookmarkStart w:id="17" w:name="_Toc416992931"/>
      <w:bookmarkStart w:id="18" w:name="_Toc402445208"/>
      <w:bookmarkStart w:id="19" w:name="_Toc381722807"/>
      <w:bookmarkStart w:id="20" w:name="_Toc472321468"/>
      <w:r>
        <w:rPr>
          <w:rStyle w:val="43"/>
          <w:rFonts w:eastAsia="宋体"/>
        </w:rPr>
        <w:t>1.</w:t>
      </w:r>
      <w:r>
        <w:rPr>
          <w:rStyle w:val="43"/>
          <w:rFonts w:hint="eastAsia" w:eastAsia="宋体"/>
        </w:rPr>
        <w:t>2</w:t>
      </w:r>
      <w:r>
        <w:rPr>
          <w:rStyle w:val="43"/>
          <w:rFonts w:eastAsia="宋体"/>
        </w:rPr>
        <w:t>项目建设背景</w:t>
      </w:r>
      <w:bookmarkEnd w:id="16"/>
      <w:bookmarkEnd w:id="17"/>
      <w:bookmarkEnd w:id="18"/>
      <w:bookmarkEnd w:id="19"/>
      <w:bookmarkEnd w:id="20"/>
    </w:p>
    <w:p>
      <w:pPr>
        <w:spacing w:line="360" w:lineRule="auto"/>
        <w:ind w:firstLine="480" w:firstLineChars="200"/>
        <w:rPr>
          <w:sz w:val="24"/>
        </w:rPr>
      </w:pPr>
      <w:r>
        <w:rPr>
          <w:sz w:val="24"/>
        </w:rPr>
        <w:t>为了进一步优化教育资源配置，改善教育结构体系，解决教育发展难题，实现闽侯县“教育强县”的创建目标，不断深化教育改革，加大教育投入，缓解上街片区不断增加的中学义务教育的需求压力，提升和优化教育资源配置，对从根本上改变当地中学教育与经济社会发展不平衡的现状，促进全县义务教育稳定、持续、协调、健康</w:t>
      </w:r>
      <w:r>
        <w:rPr>
          <w:color w:val="000000"/>
          <w:sz w:val="24"/>
        </w:rPr>
        <w:t>发展，根据闽侯县人民政府专题会议纪要相关精神（[2015]233号），闽侯县第六中学拟</w:t>
      </w:r>
      <w:r>
        <w:rPr>
          <w:sz w:val="24"/>
        </w:rPr>
        <w:t>投资建设闽侯六中校园扩建项目。</w:t>
      </w:r>
    </w:p>
    <w:p>
      <w:pPr>
        <w:spacing w:line="360" w:lineRule="auto"/>
        <w:ind w:firstLine="480" w:firstLineChars="200"/>
        <w:rPr>
          <w:color w:val="FF0000"/>
          <w:sz w:val="24"/>
        </w:rPr>
      </w:pPr>
      <w:r>
        <w:rPr>
          <w:sz w:val="24"/>
        </w:rPr>
        <w:t>闽侯六中扩建项目目前校园</w:t>
      </w:r>
      <w:r>
        <w:rPr>
          <w:rFonts w:hint="eastAsia"/>
          <w:sz w:val="24"/>
        </w:rPr>
        <w:t>总用地</w:t>
      </w:r>
      <w:r>
        <w:rPr>
          <w:sz w:val="24"/>
        </w:rPr>
        <w:t>面积</w:t>
      </w:r>
      <w:r>
        <w:rPr>
          <w:rFonts w:hint="eastAsia"/>
          <w:sz w:val="24"/>
        </w:rPr>
        <w:t>38710.5</w:t>
      </w:r>
      <w:r>
        <w:rPr>
          <w:rFonts w:hint="eastAsia"/>
          <w:sz w:val="24"/>
          <w:szCs w:val="24"/>
        </w:rPr>
        <w:t xml:space="preserve"> m</w:t>
      </w:r>
      <w:r>
        <w:rPr>
          <w:rFonts w:hint="eastAsia"/>
          <w:sz w:val="24"/>
          <w:szCs w:val="24"/>
          <w:vertAlign w:val="superscript"/>
        </w:rPr>
        <w:t>2</w:t>
      </w:r>
      <w:r>
        <w:rPr>
          <w:sz w:val="24"/>
        </w:rPr>
        <w:t>，已建建筑面积</w:t>
      </w:r>
      <w:r>
        <w:rPr>
          <w:rFonts w:hint="eastAsia"/>
          <w:sz w:val="24"/>
        </w:rPr>
        <w:t>20597</w:t>
      </w:r>
      <w:r>
        <w:rPr>
          <w:rFonts w:hint="eastAsia"/>
          <w:sz w:val="24"/>
          <w:szCs w:val="24"/>
        </w:rPr>
        <w:t xml:space="preserve"> m</w:t>
      </w:r>
      <w:r>
        <w:rPr>
          <w:rFonts w:hint="eastAsia"/>
          <w:sz w:val="24"/>
          <w:szCs w:val="24"/>
          <w:vertAlign w:val="superscript"/>
        </w:rPr>
        <w:t>2</w:t>
      </w:r>
      <w:r>
        <w:rPr>
          <w:sz w:val="24"/>
        </w:rPr>
        <w:t>，占地面积3952</w:t>
      </w:r>
      <w:r>
        <w:rPr>
          <w:rFonts w:hint="eastAsia"/>
          <w:sz w:val="24"/>
          <w:szCs w:val="24"/>
        </w:rPr>
        <w:t xml:space="preserve"> m</w:t>
      </w:r>
      <w:r>
        <w:rPr>
          <w:rFonts w:hint="eastAsia"/>
          <w:sz w:val="24"/>
          <w:szCs w:val="24"/>
          <w:vertAlign w:val="superscript"/>
        </w:rPr>
        <w:t>2</w:t>
      </w:r>
      <w:r>
        <w:rPr>
          <w:sz w:val="24"/>
        </w:rPr>
        <w:t>，</w:t>
      </w:r>
      <w:r>
        <w:rPr>
          <w:rFonts w:hint="eastAsia"/>
          <w:sz w:val="24"/>
        </w:rPr>
        <w:t>现</w:t>
      </w:r>
      <w:r>
        <w:rPr>
          <w:sz w:val="24"/>
        </w:rPr>
        <w:t>有2栋教学楼、1栋实验楼、1栋图书馆、1栋办公楼，1栋教师周转房、</w:t>
      </w:r>
      <w:r>
        <w:rPr>
          <w:rFonts w:hint="eastAsia"/>
          <w:sz w:val="24"/>
        </w:rPr>
        <w:t>3</w:t>
      </w:r>
      <w:r>
        <w:rPr>
          <w:sz w:val="24"/>
        </w:rPr>
        <w:t>栋学生宿舍、</w:t>
      </w:r>
      <w:r>
        <w:rPr>
          <w:rFonts w:hint="eastAsia"/>
          <w:sz w:val="24"/>
        </w:rPr>
        <w:t>1栋教工宿舍楼、1栋单身教师宿舍楼，</w:t>
      </w:r>
      <w:r>
        <w:rPr>
          <w:sz w:val="24"/>
        </w:rPr>
        <w:t>配套</w:t>
      </w:r>
      <w:r>
        <w:rPr>
          <w:rFonts w:hint="eastAsia"/>
          <w:sz w:val="24"/>
        </w:rPr>
        <w:t>室外运动场</w:t>
      </w:r>
      <w:r>
        <w:rPr>
          <w:sz w:val="24"/>
        </w:rPr>
        <w:t>、篮球场等相关基础设施和配套设施，</w:t>
      </w:r>
      <w:r>
        <w:rPr>
          <w:rFonts w:hint="eastAsia"/>
          <w:sz w:val="24"/>
        </w:rPr>
        <w:t>拟拆除2栋学生宿舍楼、1栋教工宿舍楼、1栋单身教师宿舍楼（拟拆除面积2806</w:t>
      </w:r>
      <w:r>
        <w:rPr>
          <w:rFonts w:hint="eastAsia"/>
          <w:sz w:val="24"/>
          <w:szCs w:val="24"/>
        </w:rPr>
        <w:t xml:space="preserve"> m</w:t>
      </w:r>
      <w:r>
        <w:rPr>
          <w:rFonts w:hint="eastAsia"/>
          <w:sz w:val="24"/>
          <w:szCs w:val="24"/>
          <w:vertAlign w:val="superscript"/>
        </w:rPr>
        <w:t>2</w:t>
      </w:r>
      <w:r>
        <w:rPr>
          <w:rFonts w:hint="eastAsia"/>
          <w:sz w:val="24"/>
        </w:rPr>
        <w:t>），现有初中教学班30个、高中教学班1</w:t>
      </w:r>
      <w:r>
        <w:rPr>
          <w:sz w:val="24"/>
        </w:rPr>
        <w:t>8个教学班，</w:t>
      </w:r>
      <w:r>
        <w:rPr>
          <w:rFonts w:hint="eastAsia"/>
          <w:sz w:val="24"/>
        </w:rPr>
        <w:t>在校师生2311人</w:t>
      </w:r>
      <w:r>
        <w:rPr>
          <w:sz w:val="24"/>
        </w:rPr>
        <w:t>。项目</w:t>
      </w:r>
      <w:r>
        <w:rPr>
          <w:rFonts w:hint="eastAsia"/>
          <w:sz w:val="24"/>
        </w:rPr>
        <w:t>新增用地</w:t>
      </w:r>
      <w:r>
        <w:rPr>
          <w:sz w:val="24"/>
        </w:rPr>
        <w:t>面积</w:t>
      </w:r>
      <w:r>
        <w:rPr>
          <w:rFonts w:hint="eastAsia"/>
          <w:sz w:val="24"/>
        </w:rPr>
        <w:t>41002.4</w:t>
      </w:r>
      <w:r>
        <w:rPr>
          <w:rFonts w:hint="eastAsia"/>
          <w:sz w:val="24"/>
          <w:szCs w:val="24"/>
        </w:rPr>
        <w:t xml:space="preserve"> m</w:t>
      </w:r>
      <w:r>
        <w:rPr>
          <w:rFonts w:hint="eastAsia"/>
          <w:sz w:val="24"/>
          <w:szCs w:val="24"/>
          <w:vertAlign w:val="superscript"/>
        </w:rPr>
        <w:t>2</w:t>
      </w:r>
      <w:r>
        <w:rPr>
          <w:sz w:val="24"/>
        </w:rPr>
        <w:t>，</w:t>
      </w:r>
      <w:r>
        <w:rPr>
          <w:rFonts w:hint="eastAsia"/>
          <w:sz w:val="24"/>
        </w:rPr>
        <w:t>总建筑面积24725</w:t>
      </w:r>
      <w:r>
        <w:rPr>
          <w:rFonts w:hint="eastAsia"/>
          <w:sz w:val="24"/>
          <w:szCs w:val="24"/>
        </w:rPr>
        <w:t xml:space="preserve"> m</w:t>
      </w:r>
      <w:r>
        <w:rPr>
          <w:rFonts w:hint="eastAsia"/>
          <w:sz w:val="24"/>
          <w:szCs w:val="24"/>
          <w:vertAlign w:val="superscript"/>
        </w:rPr>
        <w:t>2</w:t>
      </w:r>
      <w:r>
        <w:rPr>
          <w:rFonts w:hint="eastAsia"/>
          <w:sz w:val="24"/>
        </w:rPr>
        <w:t>，新建1栋高中部综合楼、1栋食堂并学生宿舍楼和教师周转房、1栋体院馆，以及室外运动场、学校大门、室外管网、挡墙等附属设施。扩建后校园总用地面积79712.45</w:t>
      </w:r>
      <w:r>
        <w:rPr>
          <w:rFonts w:hint="eastAsia"/>
          <w:sz w:val="24"/>
          <w:szCs w:val="24"/>
        </w:rPr>
        <w:t xml:space="preserve"> m</w:t>
      </w:r>
      <w:r>
        <w:rPr>
          <w:rFonts w:hint="eastAsia"/>
          <w:sz w:val="24"/>
          <w:szCs w:val="24"/>
          <w:vertAlign w:val="superscript"/>
        </w:rPr>
        <w:t>2</w:t>
      </w:r>
      <w:r>
        <w:rPr>
          <w:rFonts w:hint="eastAsia"/>
          <w:sz w:val="24"/>
        </w:rPr>
        <w:t>，总建筑面积42516</w:t>
      </w:r>
      <w:r>
        <w:rPr>
          <w:rFonts w:hint="eastAsia"/>
          <w:sz w:val="24"/>
          <w:szCs w:val="24"/>
        </w:rPr>
        <w:t xml:space="preserve"> m</w:t>
      </w:r>
      <w:r>
        <w:rPr>
          <w:rFonts w:hint="eastAsia"/>
          <w:sz w:val="24"/>
          <w:szCs w:val="24"/>
          <w:vertAlign w:val="superscript"/>
        </w:rPr>
        <w:t>2</w:t>
      </w:r>
      <w:r>
        <w:rPr>
          <w:rFonts w:hint="eastAsia"/>
          <w:sz w:val="24"/>
        </w:rPr>
        <w:t>，办学规模初中48个班，高中30个班，学生人数3900人。</w:t>
      </w:r>
    </w:p>
    <w:p>
      <w:pPr>
        <w:spacing w:line="360" w:lineRule="auto"/>
        <w:ind w:firstLine="480" w:firstLineChars="200"/>
        <w:rPr>
          <w:sz w:val="24"/>
        </w:rPr>
      </w:pPr>
      <w:r>
        <w:rPr>
          <w:sz w:val="24"/>
        </w:rPr>
        <w:t>201</w:t>
      </w:r>
      <w:r>
        <w:rPr>
          <w:rFonts w:hint="eastAsia"/>
          <w:sz w:val="24"/>
        </w:rPr>
        <w:t>7</w:t>
      </w:r>
      <w:r>
        <w:rPr>
          <w:sz w:val="24"/>
        </w:rPr>
        <w:t>年1</w:t>
      </w:r>
      <w:r>
        <w:rPr>
          <w:rFonts w:hint="eastAsia"/>
          <w:sz w:val="24"/>
        </w:rPr>
        <w:t>2</w:t>
      </w:r>
      <w:r>
        <w:rPr>
          <w:sz w:val="24"/>
        </w:rPr>
        <w:t>月</w:t>
      </w:r>
      <w:r>
        <w:rPr>
          <w:rFonts w:hint="eastAsia"/>
          <w:sz w:val="24"/>
        </w:rPr>
        <w:t>7</w:t>
      </w:r>
      <w:r>
        <w:rPr>
          <w:sz w:val="24"/>
        </w:rPr>
        <w:t>日闽侯县城乡规划局出具了本建设项目的选址意见书（选字第350121201</w:t>
      </w:r>
      <w:r>
        <w:rPr>
          <w:rFonts w:hint="eastAsia"/>
          <w:sz w:val="24"/>
        </w:rPr>
        <w:t>7</w:t>
      </w:r>
      <w:r>
        <w:rPr>
          <w:sz w:val="24"/>
        </w:rPr>
        <w:t>001</w:t>
      </w:r>
      <w:r>
        <w:rPr>
          <w:rFonts w:hint="eastAsia"/>
          <w:sz w:val="24"/>
        </w:rPr>
        <w:t>65</w:t>
      </w:r>
      <w:r>
        <w:rPr>
          <w:sz w:val="24"/>
        </w:rPr>
        <w:t>号），2017年1</w:t>
      </w:r>
      <w:r>
        <w:rPr>
          <w:rFonts w:hint="eastAsia"/>
          <w:sz w:val="24"/>
        </w:rPr>
        <w:t>2</w:t>
      </w:r>
      <w:r>
        <w:rPr>
          <w:sz w:val="24"/>
        </w:rPr>
        <w:t>月</w:t>
      </w:r>
      <w:r>
        <w:rPr>
          <w:rFonts w:hint="eastAsia"/>
          <w:sz w:val="24"/>
        </w:rPr>
        <w:t>20</w:t>
      </w:r>
      <w:r>
        <w:rPr>
          <w:sz w:val="24"/>
        </w:rPr>
        <w:t>日闽侯县国土资源局出具了本建设项目用地预审意见书（侯国土资规[2017]预</w:t>
      </w:r>
      <w:r>
        <w:rPr>
          <w:rFonts w:hint="eastAsia"/>
          <w:sz w:val="24"/>
        </w:rPr>
        <w:t>164</w:t>
      </w:r>
      <w:r>
        <w:rPr>
          <w:sz w:val="24"/>
        </w:rPr>
        <w:t>号），201</w:t>
      </w:r>
      <w:r>
        <w:rPr>
          <w:rFonts w:hint="eastAsia"/>
          <w:sz w:val="24"/>
        </w:rPr>
        <w:t>8</w:t>
      </w:r>
      <w:r>
        <w:rPr>
          <w:sz w:val="24"/>
        </w:rPr>
        <w:t>年</w:t>
      </w:r>
      <w:r>
        <w:rPr>
          <w:rFonts w:hint="eastAsia"/>
          <w:sz w:val="24"/>
        </w:rPr>
        <w:t>5</w:t>
      </w:r>
      <w:r>
        <w:rPr>
          <w:sz w:val="24"/>
        </w:rPr>
        <w:t>月4日闽侯县发展和改革</w:t>
      </w:r>
      <w:r>
        <w:rPr>
          <w:rFonts w:hint="eastAsia"/>
          <w:sz w:val="24"/>
        </w:rPr>
        <w:t>局</w:t>
      </w:r>
      <w:r>
        <w:rPr>
          <w:sz w:val="24"/>
        </w:rPr>
        <w:t>下发了本项目可行性研究报告的复函（侯发改审批[201</w:t>
      </w:r>
      <w:r>
        <w:rPr>
          <w:rFonts w:hint="eastAsia"/>
          <w:sz w:val="24"/>
        </w:rPr>
        <w:t>8</w:t>
      </w:r>
      <w:r>
        <w:rPr>
          <w:sz w:val="24"/>
        </w:rPr>
        <w:t>]3</w:t>
      </w:r>
      <w:r>
        <w:rPr>
          <w:rFonts w:hint="eastAsia"/>
          <w:sz w:val="24"/>
        </w:rPr>
        <w:t>1</w:t>
      </w:r>
      <w:r>
        <w:rPr>
          <w:sz w:val="24"/>
        </w:rPr>
        <w:t>号），同意项目的立项。根据《中华人民共和国环境影响评价法》及《建设项目环境评价分类管理名录》等有关规定，</w:t>
      </w:r>
      <w:r>
        <w:rPr>
          <w:rFonts w:hint="eastAsia"/>
          <w:sz w:val="24"/>
        </w:rPr>
        <w:t>本项目有建设化学、生物实验室，因此</w:t>
      </w:r>
      <w:r>
        <w:rPr>
          <w:sz w:val="24"/>
        </w:rPr>
        <w:t>该项目应委托有环境影响评价资质的单位编制《建设项目环境影响报告表》。受闽侯县第六中学委托，我院承担了该项目环境影响报告表的编制工作。</w:t>
      </w:r>
    </w:p>
    <w:p>
      <w:pPr>
        <w:pStyle w:val="42"/>
        <w:rPr>
          <w:sz w:val="30"/>
        </w:rPr>
      </w:pPr>
      <w:r>
        <w:rPr>
          <w:sz w:val="24"/>
        </w:rPr>
        <w:br w:type="page"/>
      </w:r>
      <w:bookmarkStart w:id="21" w:name="_Toc381722809"/>
      <w:bookmarkStart w:id="22" w:name="_Toc402445210"/>
      <w:bookmarkStart w:id="23" w:name="_Toc416192238"/>
      <w:bookmarkStart w:id="24" w:name="_Toc486070505"/>
      <w:bookmarkStart w:id="25" w:name="_Toc416992933"/>
      <w:r>
        <w:rPr>
          <w:rFonts w:hint="eastAsia"/>
          <w:sz w:val="30"/>
        </w:rPr>
        <w:t>二</w:t>
      </w:r>
      <w:r>
        <w:rPr>
          <w:sz w:val="30"/>
        </w:rPr>
        <w:t>、</w:t>
      </w:r>
      <w:bookmarkEnd w:id="21"/>
      <w:bookmarkEnd w:id="22"/>
      <w:bookmarkEnd w:id="23"/>
      <w:bookmarkEnd w:id="24"/>
      <w:bookmarkEnd w:id="25"/>
      <w:bookmarkStart w:id="26" w:name="_Toc72294070"/>
      <w:bookmarkStart w:id="27" w:name="_Toc72146572"/>
      <w:bookmarkStart w:id="28" w:name="_Toc97525891"/>
      <w:r>
        <w:rPr>
          <w:spacing w:val="6"/>
          <w:sz w:val="30"/>
          <w:szCs w:val="30"/>
        </w:rPr>
        <w:t>当地社会、经济、环境简述</w:t>
      </w:r>
    </w:p>
    <w:p>
      <w:pPr>
        <w:pStyle w:val="42"/>
        <w:rPr>
          <w:rStyle w:val="43"/>
          <w:rFonts w:eastAsia="宋体"/>
        </w:rPr>
      </w:pPr>
      <w:bookmarkStart w:id="29" w:name="_Toc416992934"/>
      <w:bookmarkStart w:id="30" w:name="_Toc416192239"/>
      <w:bookmarkStart w:id="31" w:name="_Toc402445211"/>
      <w:bookmarkStart w:id="32" w:name="_Toc486070506"/>
      <w:bookmarkStart w:id="33" w:name="_Toc381722810"/>
      <w:r>
        <w:rPr>
          <w:rStyle w:val="43"/>
          <w:rFonts w:eastAsia="宋体"/>
        </w:rPr>
        <w:t>2.1 自然环境概况</w:t>
      </w:r>
      <w:bookmarkEnd w:id="26"/>
      <w:bookmarkEnd w:id="27"/>
      <w:bookmarkEnd w:id="28"/>
      <w:bookmarkEnd w:id="29"/>
      <w:bookmarkEnd w:id="30"/>
      <w:bookmarkEnd w:id="31"/>
      <w:bookmarkEnd w:id="32"/>
      <w:bookmarkEnd w:id="33"/>
    </w:p>
    <w:p>
      <w:pPr>
        <w:pStyle w:val="4"/>
        <w:keepNext w:val="0"/>
        <w:keepLines w:val="0"/>
        <w:autoSpaceDE w:val="0"/>
        <w:autoSpaceDN w:val="0"/>
        <w:adjustRightInd w:val="0"/>
        <w:spacing w:line="360" w:lineRule="auto"/>
        <w:rPr>
          <w:rFonts w:eastAsia="宋体"/>
          <w:b/>
          <w:sz w:val="24"/>
          <w:szCs w:val="24"/>
        </w:rPr>
      </w:pPr>
      <w:bookmarkStart w:id="34" w:name="_Toc472321472"/>
      <w:bookmarkStart w:id="35" w:name="_Toc402431646"/>
      <w:bookmarkStart w:id="36" w:name="_Toc402445212"/>
      <w:bookmarkStart w:id="37" w:name="_Toc486070507"/>
      <w:r>
        <w:rPr>
          <w:rFonts w:eastAsia="宋体"/>
          <w:b/>
          <w:sz w:val="24"/>
          <w:szCs w:val="24"/>
        </w:rPr>
        <w:t>2.1.1 地理位置</w:t>
      </w:r>
      <w:bookmarkEnd w:id="34"/>
      <w:bookmarkEnd w:id="35"/>
      <w:bookmarkEnd w:id="36"/>
      <w:bookmarkEnd w:id="37"/>
    </w:p>
    <w:p>
      <w:pPr>
        <w:spacing w:line="360" w:lineRule="auto"/>
        <w:ind w:firstLine="480" w:firstLineChars="200"/>
        <w:rPr>
          <w:sz w:val="24"/>
        </w:rPr>
      </w:pPr>
      <w:r>
        <w:rPr>
          <w:sz w:val="24"/>
        </w:rPr>
        <w:t>上街镇位于</w:t>
      </w:r>
      <w:r>
        <w:fldChar w:fldCharType="begin"/>
      </w:r>
      <w:r>
        <w:instrText xml:space="preserve"> HYPERLINK "http://baike.so.com/doc/5345568.html" \t "_blank" </w:instrText>
      </w:r>
      <w:r>
        <w:fldChar w:fldCharType="separate"/>
      </w:r>
      <w:r>
        <w:rPr>
          <w:sz w:val="24"/>
        </w:rPr>
        <w:t>福建省</w:t>
      </w:r>
      <w:r>
        <w:rPr>
          <w:sz w:val="24"/>
        </w:rPr>
        <w:fldChar w:fldCharType="end"/>
      </w:r>
      <w:r>
        <w:rPr>
          <w:sz w:val="24"/>
        </w:rPr>
        <w:t>福州市西郊，闽侯县中部，背靠旗山山脉，东临闽江，距离福州市鼓楼区台江区九公里，与福州市区仅一江之隔，为福州市“西大门”所在。</w:t>
      </w:r>
      <w:r>
        <w:rPr>
          <w:rFonts w:hint="eastAsia"/>
          <w:kern w:val="0"/>
          <w:sz w:val="24"/>
          <w:szCs w:val="24"/>
        </w:rPr>
        <w:t>地理位置</w:t>
      </w:r>
      <w:r>
        <w:rPr>
          <w:kern w:val="0"/>
          <w:sz w:val="24"/>
          <w:szCs w:val="24"/>
        </w:rPr>
        <w:t>介于北纬25°15′～26°39′，东经118°08′～120°31′</w:t>
      </w:r>
      <w:r>
        <w:rPr>
          <w:rFonts w:hint="eastAsia"/>
          <w:kern w:val="0"/>
          <w:sz w:val="24"/>
          <w:szCs w:val="24"/>
        </w:rPr>
        <w:t>之间</w:t>
      </w:r>
      <w:r>
        <w:rPr>
          <w:kern w:val="0"/>
          <w:sz w:val="24"/>
          <w:szCs w:val="24"/>
        </w:rPr>
        <w:t>。</w:t>
      </w:r>
      <w:r>
        <w:rPr>
          <w:sz w:val="24"/>
        </w:rPr>
        <w:t>上街镇属亚热带季风气候，年均气温 21</w:t>
      </w:r>
      <w:r>
        <w:rPr>
          <w:rFonts w:hint="eastAsia" w:ascii="宋体" w:hAnsi="宋体" w:cs="宋体"/>
          <w:sz w:val="24"/>
        </w:rPr>
        <w:t>℃</w:t>
      </w:r>
      <w:r>
        <w:rPr>
          <w:sz w:val="24"/>
        </w:rPr>
        <w:t>，地貌为冲击平原，地势平坦，水系发达，有着江南水乡特有的韵味。上街镇土地面积为157km</w:t>
      </w:r>
      <w:r>
        <w:rPr>
          <w:sz w:val="24"/>
          <w:vertAlign w:val="superscript"/>
        </w:rPr>
        <w:t>2</w:t>
      </w:r>
      <w:r>
        <w:rPr>
          <w:sz w:val="24"/>
        </w:rPr>
        <w:t>，其中山地面积为97km</w:t>
      </w:r>
      <w:r>
        <w:rPr>
          <w:sz w:val="24"/>
          <w:vertAlign w:val="superscript"/>
        </w:rPr>
        <w:t>2</w:t>
      </w:r>
      <w:r>
        <w:rPr>
          <w:sz w:val="24"/>
        </w:rPr>
        <w:t>，平原面积为60km</w:t>
      </w:r>
      <w:r>
        <w:rPr>
          <w:sz w:val="24"/>
          <w:vertAlign w:val="superscript"/>
        </w:rPr>
        <w:t>2</w:t>
      </w:r>
      <w:r>
        <w:rPr>
          <w:sz w:val="24"/>
        </w:rPr>
        <w:t>。上街镇 23个村委会， 132个自然村， 19721户，总人口 77362人。</w:t>
      </w:r>
    </w:p>
    <w:p>
      <w:pPr>
        <w:spacing w:line="360" w:lineRule="auto"/>
        <w:ind w:firstLine="480" w:firstLineChars="200"/>
        <w:rPr>
          <w:sz w:val="24"/>
        </w:rPr>
      </w:pPr>
      <w:r>
        <w:rPr>
          <w:sz w:val="24"/>
        </w:rPr>
        <w:t>闽侯六中校园扩建项目位于闽侯县上街镇赤塘山麓，项目地块北侧为山地，西侧为赤塘村居民</w:t>
      </w:r>
      <w:r>
        <w:rPr>
          <w:rFonts w:hint="eastAsia"/>
          <w:sz w:val="24"/>
        </w:rPr>
        <w:t>、农田和水塘</w:t>
      </w:r>
      <w:r>
        <w:rPr>
          <w:sz w:val="24"/>
        </w:rPr>
        <w:t>，南侧为三橄榄居民，东侧为</w:t>
      </w:r>
      <w:r>
        <w:rPr>
          <w:rFonts w:hint="eastAsia"/>
          <w:sz w:val="24"/>
        </w:rPr>
        <w:t>院前</w:t>
      </w:r>
      <w:r>
        <w:rPr>
          <w:sz w:val="24"/>
        </w:rPr>
        <w:t>居民和农田，拟在学校操场北侧山地、校内清源自来水公司所属水塔地块及学校门口东侧扩征土地，新征用地面积 61.5 亩。项目场地为农用地及水塘，现状地面高程在 7.8～32.9 米之间，地形高差较大。具体位置详见图2.1-1。</w:t>
      </w:r>
    </w:p>
    <w:p>
      <w:pPr>
        <w:spacing w:line="360" w:lineRule="auto"/>
        <w:jc w:val="center"/>
        <w:rPr>
          <w:sz w:val="24"/>
        </w:rPr>
      </w:pPr>
      <w:r>
        <w:rPr>
          <w:sz w:val="24"/>
        </w:rPr>
        <w:t xml:space="preserve"> </w:t>
      </w:r>
      <w:r>
        <w:rPr>
          <w:sz w:val="24"/>
        </w:rPr>
        <w:drawing>
          <wp:inline distT="0" distB="0" distL="0" distR="0">
            <wp:extent cx="5657850" cy="35623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srcRect/>
                    <a:stretch>
                      <a:fillRect/>
                    </a:stretch>
                  </pic:blipFill>
                  <pic:spPr>
                    <a:xfrm>
                      <a:off x="0" y="0"/>
                      <a:ext cx="5657850" cy="3562350"/>
                    </a:xfrm>
                    <a:prstGeom prst="rect">
                      <a:avLst/>
                    </a:prstGeom>
                    <a:noFill/>
                    <a:ln w="9525">
                      <a:noFill/>
                      <a:miter lim="800000"/>
                      <a:headEnd/>
                      <a:tailEnd/>
                    </a:ln>
                  </pic:spPr>
                </pic:pic>
              </a:graphicData>
            </a:graphic>
          </wp:inline>
        </w:drawing>
      </w:r>
    </w:p>
    <w:p>
      <w:pPr>
        <w:spacing w:line="360" w:lineRule="auto"/>
        <w:jc w:val="center"/>
        <w:rPr>
          <w:b/>
          <w:sz w:val="24"/>
        </w:rPr>
      </w:pPr>
      <w:r>
        <w:rPr>
          <w:sz w:val="24"/>
        </w:rPr>
        <w:pict>
          <v:shape id="圆角矩形标注 4" o:spid="_x0000_s1148" o:spt="62" type="#_x0000_t62" style="position:absolute;left:0pt;margin-left:59.5pt;margin-top:-216.5pt;height:18.35pt;width:81.75pt;z-index:251659264;v-text-anchor:middle;mso-width-relative:margin;mso-height-relative:margin;" fillcolor="#FFFFFF" filled="t" coordsize="21600,21600" adj="26224,-27956">
            <v:path/>
            <v:fill on="t" focussize="0,0"/>
            <v:stroke weight="1pt" joinstyle="miter"/>
            <v:imagedata o:title=""/>
            <o:lock v:ext="edit"/>
            <v:textbox inset="0mm,0mm,0mm,0mm">
              <w:txbxContent>
                <w:p>
                  <w:pPr>
                    <w:jc w:val="center"/>
                    <w:rPr>
                      <w:b/>
                      <w:color w:val="FF0000"/>
                      <w:szCs w:val="21"/>
                    </w:rPr>
                  </w:pPr>
                  <w:r>
                    <w:rPr>
                      <w:rFonts w:hint="eastAsia"/>
                      <w:b/>
                      <w:color w:val="FF0000"/>
                      <w:szCs w:val="21"/>
                    </w:rPr>
                    <w:t>闽侯六中</w:t>
                  </w:r>
                </w:p>
              </w:txbxContent>
            </v:textbox>
          </v:shape>
        </w:pict>
      </w:r>
      <w:r>
        <w:pict>
          <v:shape id="_x0000_s1475" o:spid="_x0000_s1475" o:spt="202" type="#_x0000_t202" style="position:absolute;left:0pt;margin-left:400.65pt;margin-top:-257.15pt;height:27pt;width:30pt;z-index:251665408;mso-width-relative:margin;mso-height-relative:margin;" stroked="f" coordsize="21600,21600">
            <v:path/>
            <v:fill opacity="0f" focussize="0,0"/>
            <v:stroke on="f" joinstyle="miter"/>
            <v:imagedata o:title=""/>
            <o:lock v:ext="edit"/>
            <v:textbox inset="0mm,0mm,0mm,0mm">
              <w:txbxContent>
                <w:p>
                  <w:pPr>
                    <w:jc w:val="center"/>
                    <w:rPr>
                      <w:b/>
                      <w:color w:val="FF0000"/>
                      <w:sz w:val="28"/>
                      <w:szCs w:val="28"/>
                    </w:rPr>
                  </w:pPr>
                  <w:r>
                    <w:rPr>
                      <w:rFonts w:hint="eastAsia"/>
                      <w:b/>
                      <w:color w:val="FF0000"/>
                      <w:sz w:val="28"/>
                      <w:szCs w:val="28"/>
                    </w:rPr>
                    <w:t>N</w:t>
                  </w:r>
                </w:p>
              </w:txbxContent>
            </v:textbox>
          </v:shape>
        </w:pict>
      </w:r>
      <w:r>
        <w:rPr>
          <w:sz w:val="24"/>
        </w:rPr>
        <w:pict>
          <v:shape id="_x0000_s1474" o:spid="_x0000_s1474" o:spt="68" type="#_x0000_t68" style="position:absolute;left:0pt;margin-left:423.45pt;margin-top:-271.45pt;height:42.75pt;width:11.1pt;z-index:251664384;mso-width-relative:page;mso-height-relative:page;" fillcolor="#FF0000" filled="t" coordsize="21600,21600">
            <v:path/>
            <v:fill on="t" focussize="0,0"/>
            <v:stroke joinstyle="miter"/>
            <v:imagedata o:title=""/>
            <o:lock v:ext="edit"/>
          </v:shape>
        </w:pict>
      </w:r>
      <w:r>
        <w:rPr>
          <w:b/>
          <w:sz w:val="24"/>
        </w:rPr>
        <w:t>图2.1-1   地理位置图</w:t>
      </w:r>
    </w:p>
    <w:p>
      <w:pPr>
        <w:spacing w:line="360" w:lineRule="auto"/>
        <w:jc w:val="center"/>
        <w:rPr>
          <w:b/>
          <w:sz w:val="24"/>
        </w:rPr>
      </w:pPr>
      <w:r>
        <w:rPr>
          <w:b/>
          <w:sz w:val="24"/>
        </w:rPr>
        <w:t xml:space="preserve"> </w:t>
      </w:r>
    </w:p>
    <w:p>
      <w:pPr>
        <w:spacing w:line="360" w:lineRule="auto"/>
        <w:jc w:val="center"/>
        <w:rPr>
          <w:b/>
          <w:sz w:val="24"/>
        </w:rPr>
      </w:pPr>
      <w:r>
        <w:rPr>
          <w:b/>
          <w:sz w:val="24"/>
        </w:rPr>
        <w:drawing>
          <wp:anchor distT="0" distB="0" distL="114300" distR="114300" simplePos="0" relativeHeight="251708416" behindDoc="1" locked="0" layoutInCell="1" allowOverlap="1">
            <wp:simplePos x="0" y="0"/>
            <wp:positionH relativeFrom="column">
              <wp:posOffset>-19685</wp:posOffset>
            </wp:positionH>
            <wp:positionV relativeFrom="paragraph">
              <wp:posOffset>35560</wp:posOffset>
            </wp:positionV>
            <wp:extent cx="5636895" cy="4545965"/>
            <wp:effectExtent l="0" t="0" r="0" b="0"/>
            <wp:wrapNone/>
            <wp:docPr id="7" name="图片 7" descr="C:\Users\Administrator\Desktop\闽侯六中\闽侯六中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闽侯六中\闽侯六中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36895" cy="4545965"/>
                    </a:xfrm>
                    <a:prstGeom prst="rect">
                      <a:avLst/>
                    </a:prstGeom>
                    <a:noFill/>
                    <a:ln>
                      <a:noFill/>
                    </a:ln>
                  </pic:spPr>
                </pic:pic>
              </a:graphicData>
            </a:graphic>
          </wp:anchor>
        </w:drawing>
      </w:r>
    </w:p>
    <w:p>
      <w:pPr>
        <w:spacing w:line="360" w:lineRule="auto"/>
        <w:jc w:val="center"/>
        <w:rPr>
          <w:b/>
          <w:sz w:val="24"/>
        </w:rPr>
      </w:pPr>
      <w:r>
        <w:rPr>
          <w:b/>
          <w:sz w:val="24"/>
        </w:rPr>
        <w:pict>
          <v:shape id="_x0000_s1661" o:spid="_x0000_s1661" o:spt="202" type="#_x0000_t202" style="position:absolute;left:0pt;margin-left:397.1pt;margin-top:18pt;height:27pt;width:30pt;z-index:251710464;mso-width-relative:margin;mso-height-relative:margin;" stroked="f" coordsize="21600,21600">
            <v:path/>
            <v:fill opacity="0f" focussize="0,0"/>
            <v:stroke on="f" joinstyle="miter"/>
            <v:imagedata o:title=""/>
            <o:lock v:ext="edit"/>
            <v:textbox inset="0mm,0mm,0mm,0mm">
              <w:txbxContent>
                <w:p>
                  <w:pPr>
                    <w:jc w:val="center"/>
                    <w:rPr>
                      <w:b/>
                      <w:color w:val="FF0000"/>
                      <w:sz w:val="28"/>
                      <w:szCs w:val="28"/>
                    </w:rPr>
                  </w:pPr>
                  <w:r>
                    <w:rPr>
                      <w:rFonts w:hint="eastAsia"/>
                      <w:b/>
                      <w:color w:val="FF0000"/>
                      <w:sz w:val="28"/>
                      <w:szCs w:val="28"/>
                    </w:rPr>
                    <w:t>N</w:t>
                  </w:r>
                </w:p>
              </w:txbxContent>
            </v:textbox>
          </v:shape>
        </w:pict>
      </w:r>
      <w:r>
        <w:rPr>
          <w:b/>
          <w:sz w:val="24"/>
        </w:rPr>
        <w:pict>
          <v:shape id="_x0000_s1660" o:spid="_x0000_s1660" o:spt="68" type="#_x0000_t68" style="position:absolute;left:0pt;margin-left:419.7pt;margin-top:1.15pt;height:42.75pt;width:11.1pt;z-index:251709440;mso-width-relative:page;mso-height-relative:page;" fillcolor="#FF0000" filled="t" coordsize="21600,21600">
            <v:path/>
            <v:fill on="t" focussize="0,0"/>
            <v:stroke joinstyle="miter"/>
            <v:imagedata o:title=""/>
            <o:lock v:ext="edit"/>
          </v:shape>
        </w:pict>
      </w:r>
    </w:p>
    <w:p>
      <w:pPr>
        <w:spacing w:line="360" w:lineRule="auto"/>
        <w:jc w:val="center"/>
        <w:rPr>
          <w:b/>
          <w:sz w:val="24"/>
        </w:rPr>
      </w:pPr>
    </w:p>
    <w:p>
      <w:pPr>
        <w:spacing w:line="360" w:lineRule="auto"/>
        <w:jc w:val="center"/>
        <w:rPr>
          <w:b/>
          <w:sz w:val="24"/>
        </w:rPr>
      </w:pPr>
    </w:p>
    <w:p>
      <w:pPr>
        <w:spacing w:line="360" w:lineRule="auto"/>
        <w:jc w:val="center"/>
        <w:rPr>
          <w:b/>
          <w:sz w:val="24"/>
        </w:rPr>
      </w:pPr>
      <w:r>
        <w:pict>
          <v:shape id="_x0000_s1470" o:spid="_x0000_s1470" o:spt="202" type="#_x0000_t202" style="position:absolute;left:0pt;margin-left:251pt;margin-top:8.75pt;height:18.9pt;width:41.3pt;z-index:251661312;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国家电网</w:t>
                  </w:r>
                </w:p>
              </w:txbxContent>
            </v:textbox>
          </v:shape>
        </w:pict>
      </w:r>
    </w:p>
    <w:p>
      <w:pPr>
        <w:spacing w:line="360" w:lineRule="auto"/>
        <w:jc w:val="center"/>
        <w:rPr>
          <w:b/>
          <w:sz w:val="24"/>
        </w:rPr>
      </w:pPr>
    </w:p>
    <w:p>
      <w:pPr>
        <w:spacing w:line="360" w:lineRule="auto"/>
        <w:jc w:val="center"/>
        <w:rPr>
          <w:b/>
          <w:sz w:val="24"/>
        </w:rPr>
      </w:pPr>
    </w:p>
    <w:p>
      <w:pPr>
        <w:spacing w:line="360" w:lineRule="auto"/>
        <w:jc w:val="center"/>
        <w:rPr>
          <w:b/>
          <w:sz w:val="24"/>
        </w:rPr>
      </w:pPr>
    </w:p>
    <w:p>
      <w:pPr>
        <w:spacing w:line="360" w:lineRule="auto"/>
        <w:jc w:val="center"/>
        <w:rPr>
          <w:b/>
          <w:sz w:val="24"/>
        </w:rPr>
      </w:pPr>
    </w:p>
    <w:p>
      <w:pPr>
        <w:spacing w:line="360" w:lineRule="auto"/>
        <w:jc w:val="center"/>
        <w:rPr>
          <w:b/>
          <w:sz w:val="24"/>
        </w:rPr>
      </w:pPr>
    </w:p>
    <w:p>
      <w:pPr>
        <w:spacing w:line="360" w:lineRule="auto"/>
        <w:jc w:val="center"/>
        <w:rPr>
          <w:b/>
          <w:sz w:val="24"/>
        </w:rPr>
      </w:pPr>
      <w:r>
        <w:pict>
          <v:shape id="_x0000_s1548" o:spid="_x0000_s1548" o:spt="202" type="#_x0000_t202" style="position:absolute;left:0pt;margin-left:375.3pt;margin-top:17.1pt;height:17.9pt;width:55.5pt;z-index:251675648;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院前</w:t>
                  </w:r>
                </w:p>
              </w:txbxContent>
            </v:textbox>
          </v:shape>
        </w:pict>
      </w:r>
    </w:p>
    <w:p>
      <w:pPr>
        <w:spacing w:line="360" w:lineRule="auto"/>
        <w:jc w:val="center"/>
        <w:rPr>
          <w:b/>
          <w:sz w:val="24"/>
        </w:rPr>
      </w:pPr>
      <w:r>
        <w:pict>
          <v:shape id="_x0000_s1473" o:spid="_x0000_s1473" o:spt="202" type="#_x0000_t202" style="position:absolute;left:0pt;margin-left:134.4pt;margin-top:5.1pt;height:18.65pt;width:43.1pt;z-index:251663360;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赤塘</w:t>
                  </w:r>
                </w:p>
              </w:txbxContent>
            </v:textbox>
          </v:shape>
        </w:pict>
      </w:r>
      <w:r>
        <w:pict>
          <v:shape id="文本框 2" o:spid="_x0000_s1468" o:spt="202" type="#_x0000_t202" style="position:absolute;left:0pt;margin-left:299.6pt;margin-top:12.7pt;height:17.65pt;width:22.8pt;z-index:25166028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uSOQIAAFA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LTsJtIZyj9Ra6Fsc&#10;RxI3NdiPlLTY3gV1H7bMCkrUC43yzIbjcZiHaIwnlxka9tyzPvcwzRGqoJ6Sfrv0cYYiceYaZVzJ&#10;SHDQu8/kmDO2beT9OGJhLs7tGPXjR7D4Dg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AZSS5I5AgAAUAQAAA4AAAAAAAAAAAAA&#10;AAAALgIAAGRycy9lMm9Eb2MueG1sUEsBAi0AFAAGAAgAAAAhAP0vMtbbAAAABQEAAA8AAAAAAAAA&#10;AAAAAAAAkwQAAGRycy9kb3ducmV2LnhtbFBLBQYAAAAABAAEAPMAAACbBQAAAAA=&#10;">
            <v:path/>
            <v:fill on="f" focussize="0,0"/>
            <v:stroke on="f" color="#FFFFFF" joinstyle="miter"/>
            <v:imagedata o:title=""/>
            <o:lock v:ext="edit"/>
            <v:textbox inset="0mm,0mm,0mm,0mm">
              <w:txbxContent>
                <w:p>
                  <w:pPr>
                    <w:spacing w:line="240" w:lineRule="atLeast"/>
                    <w:jc w:val="center"/>
                    <w:rPr>
                      <w:b/>
                      <w:color w:val="FFFF00"/>
                      <w:sz w:val="18"/>
                      <w:szCs w:val="18"/>
                    </w:rPr>
                  </w:pPr>
                  <w:r>
                    <w:rPr>
                      <w:rFonts w:hint="eastAsia"/>
                      <w:b/>
                      <w:color w:val="FFFF00"/>
                      <w:sz w:val="18"/>
                      <w:szCs w:val="18"/>
                    </w:rPr>
                    <w:t>路</w:t>
                  </w:r>
                </w:p>
              </w:txbxContent>
            </v:textbox>
          </v:shape>
        </w:pict>
      </w:r>
    </w:p>
    <w:p>
      <w:pPr>
        <w:spacing w:line="360" w:lineRule="auto"/>
        <w:jc w:val="center"/>
        <w:rPr>
          <w:b/>
          <w:sz w:val="24"/>
        </w:rPr>
      </w:pPr>
      <w:r>
        <w:pict>
          <v:shape id="_x0000_s1607" o:spid="_x0000_s1607" o:spt="202" type="#_x0000_t202" style="position:absolute;left:0pt;margin-left:240.1pt;margin-top:6.85pt;height:17.65pt;width:22.8pt;z-index:251699200;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uSOQIAAFA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LTsJtIZyj9Ra6Fsc&#10;RxI3NdiPlLTY3gV1H7bMCkrUC43yzIbjcZiHaIwnlxka9tyzPvcwzRGqoJ6Sfrv0cYYiceYaZVzJ&#10;SHDQu8/kmDO2beT9OGJhLs7tGPXjR7D4Dg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AZSS5I5AgAAUAQAAA4AAAAAAAAAAAAA&#10;AAAALgIAAGRycy9lMm9Eb2MueG1sUEsBAi0AFAAGAAgAAAAhAP0vMtbbAAAABQEAAA8AAAAAAAAA&#10;AAAAAAAAkwQAAGRycy9kb3ducmV2LnhtbFBLBQYAAAAABAAEAPMAAACbBQAAAAA=&#10;">
            <v:path/>
            <v:fill on="f" focussize="0,0"/>
            <v:stroke on="f" color="#FFFFFF" joinstyle="miter"/>
            <v:imagedata o:title=""/>
            <o:lock v:ext="edit"/>
            <v:textbox inset="0mm,0mm,0mm,0mm">
              <w:txbxContent>
                <w:p>
                  <w:pPr>
                    <w:spacing w:line="240" w:lineRule="atLeast"/>
                    <w:jc w:val="center"/>
                    <w:rPr>
                      <w:b/>
                      <w:color w:val="FFFF00"/>
                      <w:sz w:val="18"/>
                      <w:szCs w:val="18"/>
                    </w:rPr>
                  </w:pPr>
                  <w:r>
                    <w:rPr>
                      <w:b/>
                      <w:color w:val="FFFF00"/>
                      <w:sz w:val="18"/>
                      <w:szCs w:val="18"/>
                    </w:rPr>
                    <w:t>梓</w:t>
                  </w:r>
                </w:p>
              </w:txbxContent>
            </v:textbox>
          </v:shape>
        </w:pict>
      </w:r>
      <w:r>
        <w:pict>
          <v:shape id="_x0000_s1472" o:spid="_x0000_s1472" o:spt="202" type="#_x0000_t202" style="position:absolute;left:0pt;margin-left:267.5pt;margin-top:13.75pt;height:17.65pt;width:54.9pt;z-index:251662336;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三橄榄</w:t>
                  </w:r>
                </w:p>
              </w:txbxContent>
            </v:textbox>
          </v:shape>
        </w:pict>
      </w:r>
    </w:p>
    <w:p>
      <w:pPr>
        <w:spacing w:line="360" w:lineRule="auto"/>
        <w:jc w:val="center"/>
        <w:rPr>
          <w:b/>
          <w:sz w:val="24"/>
        </w:rPr>
      </w:pPr>
      <w:r>
        <w:pict>
          <v:shape id="_x0000_s1574" o:spid="_x0000_s1574" o:spt="202" type="#_x0000_t202" style="position:absolute;left:0pt;margin-left:198.2pt;margin-top:3.8pt;height:17.65pt;width:22.8pt;z-index:25169203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uSOQIAAFA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LTsJtIZyj9Ra6Fsc&#10;RxI3NdiPlLTY3gV1H7bMCkrUC43yzIbjcZiHaIwnlxka9tyzPvcwzRGqoJ6Sfrv0cYYiceYaZVzJ&#10;SHDQu8/kmDO2beT9OGJhLs7tGPXjR7D4Dg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AZSS5I5AgAAUAQAAA4AAAAAAAAAAAAA&#10;AAAALgIAAGRycy9lMm9Eb2MueG1sUEsBAi0AFAAGAAgAAAAhAP0vMtbbAAAABQEAAA8AAAAAAAAA&#10;AAAAAAAAkwQAAGRycy9kb3ducmV2LnhtbFBLBQYAAAAABAAEAPMAAACbBQAAAAA=&#10;">
            <v:path/>
            <v:fill on="f" focussize="0,0"/>
            <v:stroke on="f" color="#FFFFFF" joinstyle="miter"/>
            <v:imagedata o:title=""/>
            <o:lock v:ext="edit"/>
            <v:textbox inset="0mm,0mm,0mm,0mm">
              <w:txbxContent>
                <w:p>
                  <w:pPr>
                    <w:spacing w:line="240" w:lineRule="atLeast"/>
                    <w:jc w:val="center"/>
                    <w:rPr>
                      <w:b/>
                      <w:color w:val="FFFF00"/>
                      <w:sz w:val="18"/>
                      <w:szCs w:val="18"/>
                    </w:rPr>
                  </w:pPr>
                  <w:r>
                    <w:rPr>
                      <w:rFonts w:hint="eastAsia"/>
                      <w:b/>
                      <w:color w:val="FFFF00"/>
                      <w:sz w:val="18"/>
                      <w:szCs w:val="18"/>
                    </w:rPr>
                    <w:t>怀</w:t>
                  </w:r>
                </w:p>
              </w:txbxContent>
            </v:textbox>
          </v:shape>
        </w:pict>
      </w:r>
    </w:p>
    <w:p>
      <w:pPr>
        <w:spacing w:line="360" w:lineRule="auto"/>
        <w:jc w:val="center"/>
        <w:rPr>
          <w:b/>
          <w:sz w:val="24"/>
        </w:rPr>
      </w:pPr>
    </w:p>
    <w:p>
      <w:pPr>
        <w:spacing w:line="360" w:lineRule="auto"/>
        <w:jc w:val="center"/>
        <w:rPr>
          <w:b/>
          <w:sz w:val="24"/>
        </w:rPr>
      </w:pPr>
    </w:p>
    <w:p>
      <w:pPr>
        <w:spacing w:line="360" w:lineRule="auto"/>
        <w:jc w:val="center"/>
        <w:rPr>
          <w:b/>
          <w:sz w:val="24"/>
        </w:rPr>
      </w:pPr>
    </w:p>
    <w:p>
      <w:pPr>
        <w:spacing w:line="360" w:lineRule="auto"/>
        <w:jc w:val="center"/>
        <w:rPr>
          <w:b/>
          <w:sz w:val="24"/>
        </w:rPr>
      </w:pPr>
    </w:p>
    <w:p>
      <w:pPr>
        <w:spacing w:line="360" w:lineRule="auto"/>
        <w:jc w:val="center"/>
        <w:rPr>
          <w:b/>
          <w:sz w:val="24"/>
        </w:rPr>
      </w:pPr>
      <w:r>
        <w:rPr>
          <w:b/>
          <w:sz w:val="24"/>
        </w:rPr>
        <w:t>图2.1-2   项目四至图</w:t>
      </w:r>
    </w:p>
    <w:p>
      <w:pPr>
        <w:spacing w:line="360" w:lineRule="auto"/>
        <w:jc w:val="center"/>
        <w:rPr>
          <w:b/>
          <w:sz w:val="24"/>
        </w:rPr>
      </w:pPr>
    </w:p>
    <w:p>
      <w:pPr>
        <w:spacing w:line="360" w:lineRule="auto"/>
        <w:jc w:val="center"/>
        <w:rPr>
          <w:b/>
          <w:sz w:val="24"/>
        </w:rPr>
      </w:pPr>
      <w:r>
        <w:rPr>
          <w:b/>
          <w:sz w:val="24"/>
        </w:rPr>
        <w:drawing>
          <wp:inline distT="0" distB="0" distL="0" distR="0">
            <wp:extent cx="2422525" cy="1818005"/>
            <wp:effectExtent l="19050" t="0" r="0" b="0"/>
            <wp:docPr id="8" name="图片 8" descr="C:\Users\Yang\Documents\Tencent Files\308594949\FileRecv\MobileFile\IMG_4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Yang\Documents\Tencent Files\308594949\FileRecv\MobileFile\IMG_4891.JPG"/>
                    <pic:cNvPicPr>
                      <a:picLocks noChangeAspect="1" noChangeArrowheads="1"/>
                    </pic:cNvPicPr>
                  </pic:nvPicPr>
                  <pic:blipFill>
                    <a:blip r:embed="rId11" cstate="print"/>
                    <a:srcRect/>
                    <a:stretch>
                      <a:fillRect/>
                    </a:stretch>
                  </pic:blipFill>
                  <pic:spPr>
                    <a:xfrm>
                      <a:off x="0" y="0"/>
                      <a:ext cx="2422566" cy="1818005"/>
                    </a:xfrm>
                    <a:prstGeom prst="rect">
                      <a:avLst/>
                    </a:prstGeom>
                    <a:noFill/>
                    <a:ln w="9525">
                      <a:noFill/>
                      <a:miter lim="800000"/>
                      <a:headEnd/>
                      <a:tailEnd/>
                    </a:ln>
                  </pic:spPr>
                </pic:pic>
              </a:graphicData>
            </a:graphic>
          </wp:inline>
        </w:drawing>
      </w:r>
      <w:r>
        <w:rPr>
          <w:rFonts w:hint="eastAsia"/>
          <w:b/>
          <w:sz w:val="24"/>
        </w:rPr>
        <w:t xml:space="preserve"> </w:t>
      </w:r>
      <w:r>
        <w:rPr>
          <w:b/>
          <w:sz w:val="24"/>
        </w:rPr>
        <w:drawing>
          <wp:inline distT="0" distB="0" distL="0" distR="0">
            <wp:extent cx="2404745" cy="1804670"/>
            <wp:effectExtent l="19050" t="0" r="0" b="0"/>
            <wp:docPr id="88" name="图片 88" descr="C:\Users\Yang\Documents\Tencent Files\308594949\FileRecv\MobileFile\IMG_4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Yang\Documents\Tencent Files\308594949\FileRecv\MobileFile\IMG_4883.JPG"/>
                    <pic:cNvPicPr>
                      <a:picLocks noChangeAspect="1" noChangeArrowheads="1"/>
                    </pic:cNvPicPr>
                  </pic:nvPicPr>
                  <pic:blipFill>
                    <a:blip r:embed="rId12" cstate="print"/>
                    <a:srcRect/>
                    <a:stretch>
                      <a:fillRect/>
                    </a:stretch>
                  </pic:blipFill>
                  <pic:spPr>
                    <a:xfrm>
                      <a:off x="0" y="0"/>
                      <a:ext cx="2405301" cy="1805050"/>
                    </a:xfrm>
                    <a:prstGeom prst="rect">
                      <a:avLst/>
                    </a:prstGeom>
                    <a:noFill/>
                    <a:ln w="9525">
                      <a:noFill/>
                      <a:miter lim="800000"/>
                      <a:headEnd/>
                      <a:tailEnd/>
                    </a:ln>
                  </pic:spPr>
                </pic:pic>
              </a:graphicData>
            </a:graphic>
          </wp:inline>
        </w:drawing>
      </w:r>
    </w:p>
    <w:p>
      <w:pPr>
        <w:spacing w:line="360" w:lineRule="auto"/>
        <w:jc w:val="center"/>
        <w:rPr>
          <w:b/>
          <w:sz w:val="24"/>
        </w:rPr>
      </w:pPr>
      <w:r>
        <w:rPr>
          <w:b/>
          <w:sz w:val="24"/>
        </w:rPr>
        <w:t>赤塘村</w:t>
      </w:r>
      <w:r>
        <w:rPr>
          <w:b/>
          <w:color w:val="FF0000"/>
          <w:sz w:val="24"/>
        </w:rPr>
        <w:t xml:space="preserve">                         </w:t>
      </w:r>
      <w:r>
        <w:rPr>
          <w:b/>
          <w:sz w:val="24"/>
        </w:rPr>
        <w:t xml:space="preserve"> </w:t>
      </w:r>
      <w:r>
        <w:rPr>
          <w:rFonts w:hint="eastAsia"/>
          <w:b/>
          <w:sz w:val="24"/>
        </w:rPr>
        <w:t>三</w:t>
      </w:r>
      <w:r>
        <w:rPr>
          <w:b/>
          <w:sz w:val="24"/>
        </w:rPr>
        <w:t>橄榄</w:t>
      </w:r>
    </w:p>
    <w:p>
      <w:pPr>
        <w:spacing w:line="360" w:lineRule="auto"/>
        <w:jc w:val="center"/>
        <w:rPr>
          <w:b/>
          <w:sz w:val="24"/>
        </w:rPr>
      </w:pPr>
    </w:p>
    <w:p>
      <w:pPr>
        <w:spacing w:line="360" w:lineRule="auto"/>
        <w:jc w:val="center"/>
        <w:rPr>
          <w:b/>
          <w:sz w:val="24"/>
        </w:rPr>
      </w:pPr>
    </w:p>
    <w:p>
      <w:pPr>
        <w:spacing w:line="360" w:lineRule="auto"/>
        <w:jc w:val="center"/>
        <w:rPr>
          <w:b/>
          <w:sz w:val="24"/>
        </w:rPr>
      </w:pPr>
    </w:p>
    <w:p>
      <w:pPr>
        <w:spacing w:line="360" w:lineRule="auto"/>
        <w:jc w:val="center"/>
        <w:rPr>
          <w:b/>
          <w:sz w:val="24"/>
        </w:rPr>
      </w:pPr>
    </w:p>
    <w:p>
      <w:pPr>
        <w:spacing w:line="360" w:lineRule="auto"/>
        <w:jc w:val="center"/>
        <w:rPr>
          <w:b/>
          <w:sz w:val="24"/>
        </w:rPr>
      </w:pPr>
    </w:p>
    <w:p>
      <w:pPr>
        <w:spacing w:line="360" w:lineRule="auto"/>
        <w:jc w:val="center"/>
        <w:rPr>
          <w:b/>
          <w:sz w:val="24"/>
        </w:rPr>
      </w:pPr>
      <w:r>
        <w:rPr>
          <w:b/>
          <w:sz w:val="24"/>
        </w:rPr>
        <w:drawing>
          <wp:inline distT="0" distB="0" distL="0" distR="0">
            <wp:extent cx="2341880" cy="1757045"/>
            <wp:effectExtent l="19050" t="0" r="1149" b="0"/>
            <wp:docPr id="87" name="图片 87" descr="C:\Users\Yang\Documents\Tencent Files\308594949\FileRecv\MobileFile\IMG_4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Yang\Documents\Tencent Files\308594949\FileRecv\MobileFile\IMG_4887.JPG"/>
                    <pic:cNvPicPr>
                      <a:picLocks noChangeAspect="1" noChangeArrowheads="1"/>
                    </pic:cNvPicPr>
                  </pic:nvPicPr>
                  <pic:blipFill>
                    <a:blip r:embed="rId13" cstate="print"/>
                    <a:srcRect/>
                    <a:stretch>
                      <a:fillRect/>
                    </a:stretch>
                  </pic:blipFill>
                  <pic:spPr>
                    <a:xfrm>
                      <a:off x="0" y="0"/>
                      <a:ext cx="2345973" cy="1760529"/>
                    </a:xfrm>
                    <a:prstGeom prst="rect">
                      <a:avLst/>
                    </a:prstGeom>
                    <a:noFill/>
                    <a:ln w="9525">
                      <a:noFill/>
                      <a:miter lim="800000"/>
                      <a:headEnd/>
                      <a:tailEnd/>
                    </a:ln>
                  </pic:spPr>
                </pic:pic>
              </a:graphicData>
            </a:graphic>
          </wp:inline>
        </w:drawing>
      </w:r>
      <w:r>
        <w:rPr>
          <w:b/>
          <w:sz w:val="24"/>
        </w:rPr>
        <w:t xml:space="preserve"> </w:t>
      </w:r>
      <w:r>
        <w:rPr>
          <w:b/>
          <w:sz w:val="24"/>
        </w:rPr>
        <w:drawing>
          <wp:inline distT="0" distB="0" distL="0" distR="0">
            <wp:extent cx="2373630" cy="1781175"/>
            <wp:effectExtent l="19050" t="0" r="7595" b="0"/>
            <wp:docPr id="89" name="图片 89" descr="C:\Users\Yang\Documents\Tencent Files\308594949\FileRecv\MobileFile\IMG_4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Yang\Documents\Tencent Files\308594949\FileRecv\MobileFile\IMG_4884.JPG"/>
                    <pic:cNvPicPr>
                      <a:picLocks noChangeAspect="1" noChangeArrowheads="1"/>
                    </pic:cNvPicPr>
                  </pic:nvPicPr>
                  <pic:blipFill>
                    <a:blip r:embed="rId14" cstate="print"/>
                    <a:srcRect/>
                    <a:stretch>
                      <a:fillRect/>
                    </a:stretch>
                  </pic:blipFill>
                  <pic:spPr>
                    <a:xfrm>
                      <a:off x="0" y="0"/>
                      <a:ext cx="2378711" cy="1785093"/>
                    </a:xfrm>
                    <a:prstGeom prst="rect">
                      <a:avLst/>
                    </a:prstGeom>
                    <a:noFill/>
                    <a:ln w="9525">
                      <a:noFill/>
                      <a:miter lim="800000"/>
                      <a:headEnd/>
                      <a:tailEnd/>
                    </a:ln>
                  </pic:spPr>
                </pic:pic>
              </a:graphicData>
            </a:graphic>
          </wp:inline>
        </w:drawing>
      </w:r>
    </w:p>
    <w:p>
      <w:pPr>
        <w:spacing w:line="360" w:lineRule="auto"/>
        <w:jc w:val="center"/>
        <w:rPr>
          <w:b/>
          <w:sz w:val="24"/>
        </w:rPr>
      </w:pPr>
      <w:r>
        <w:rPr>
          <w:b/>
          <w:sz w:val="24"/>
        </w:rPr>
        <w:t xml:space="preserve">国家电网                        </w:t>
      </w:r>
      <w:r>
        <w:rPr>
          <w:rFonts w:hint="eastAsia"/>
          <w:b/>
          <w:sz w:val="24"/>
        </w:rPr>
        <w:t>院前村</w:t>
      </w:r>
    </w:p>
    <w:p>
      <w:pPr>
        <w:spacing w:line="360" w:lineRule="auto"/>
        <w:jc w:val="center"/>
        <w:rPr>
          <w:b/>
          <w:sz w:val="24"/>
        </w:rPr>
      </w:pPr>
      <w:r>
        <w:rPr>
          <w:b/>
          <w:sz w:val="24"/>
        </w:rPr>
        <w:drawing>
          <wp:inline distT="0" distB="0" distL="0" distR="0">
            <wp:extent cx="2311400" cy="1733550"/>
            <wp:effectExtent l="19050" t="0" r="0" b="0"/>
            <wp:docPr id="9" name="图片 9" descr="C:\Users\Yang\Documents\Tencent Files\308594949\FileRecv\MobileFile\IMG_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Yang\Documents\Tencent Files\308594949\FileRecv\MobileFile\IMG_4880.JPG"/>
                    <pic:cNvPicPr>
                      <a:picLocks noChangeAspect="1" noChangeArrowheads="1"/>
                    </pic:cNvPicPr>
                  </pic:nvPicPr>
                  <pic:blipFill>
                    <a:blip r:embed="rId15" cstate="print"/>
                    <a:srcRect/>
                    <a:stretch>
                      <a:fillRect/>
                    </a:stretch>
                  </pic:blipFill>
                  <pic:spPr>
                    <a:xfrm>
                      <a:off x="0" y="0"/>
                      <a:ext cx="2314589" cy="1735942"/>
                    </a:xfrm>
                    <a:prstGeom prst="rect">
                      <a:avLst/>
                    </a:prstGeom>
                    <a:noFill/>
                    <a:ln w="9525">
                      <a:noFill/>
                      <a:miter lim="800000"/>
                      <a:headEnd/>
                      <a:tailEnd/>
                    </a:ln>
                  </pic:spPr>
                </pic:pic>
              </a:graphicData>
            </a:graphic>
          </wp:inline>
        </w:drawing>
      </w:r>
      <w:r>
        <w:rPr>
          <w:b/>
          <w:sz w:val="24"/>
        </w:rPr>
        <w:t xml:space="preserve"> </w:t>
      </w:r>
      <w:r>
        <w:rPr>
          <w:b/>
          <w:sz w:val="24"/>
        </w:rPr>
        <w:drawing>
          <wp:inline distT="0" distB="0" distL="0" distR="0">
            <wp:extent cx="2341880" cy="1757045"/>
            <wp:effectExtent l="19050" t="0" r="1146" b="0"/>
            <wp:docPr id="85" name="图片 85" descr="C:\Users\Yang\Documents\Tencent Files\308594949\FileRecv\MobileFile\IMG_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Yang\Documents\Tencent Files\308594949\FileRecv\MobileFile\IMG_4875.JPG"/>
                    <pic:cNvPicPr>
                      <a:picLocks noChangeAspect="1" noChangeArrowheads="1"/>
                    </pic:cNvPicPr>
                  </pic:nvPicPr>
                  <pic:blipFill>
                    <a:blip r:embed="rId16" cstate="print"/>
                    <a:srcRect/>
                    <a:stretch>
                      <a:fillRect/>
                    </a:stretch>
                  </pic:blipFill>
                  <pic:spPr>
                    <a:xfrm>
                      <a:off x="0" y="0"/>
                      <a:ext cx="2341122" cy="1756886"/>
                    </a:xfrm>
                    <a:prstGeom prst="rect">
                      <a:avLst/>
                    </a:prstGeom>
                    <a:noFill/>
                    <a:ln w="9525">
                      <a:noFill/>
                      <a:miter lim="800000"/>
                      <a:headEnd/>
                      <a:tailEnd/>
                    </a:ln>
                  </pic:spPr>
                </pic:pic>
              </a:graphicData>
            </a:graphic>
          </wp:inline>
        </w:drawing>
      </w:r>
    </w:p>
    <w:p>
      <w:pPr>
        <w:spacing w:line="360" w:lineRule="auto"/>
        <w:jc w:val="center"/>
        <w:rPr>
          <w:b/>
          <w:sz w:val="24"/>
        </w:rPr>
      </w:pPr>
      <w:r>
        <w:rPr>
          <w:b/>
          <w:sz w:val="24"/>
        </w:rPr>
        <w:t xml:space="preserve">项目现状                 </w:t>
      </w:r>
      <w:r>
        <w:rPr>
          <w:rFonts w:hint="eastAsia"/>
          <w:b/>
          <w:sz w:val="24"/>
        </w:rPr>
        <w:t xml:space="preserve">   </w:t>
      </w:r>
      <w:r>
        <w:rPr>
          <w:b/>
          <w:sz w:val="24"/>
        </w:rPr>
        <w:t xml:space="preserve"> 项目</w:t>
      </w:r>
      <w:r>
        <w:rPr>
          <w:rFonts w:hint="eastAsia"/>
          <w:b/>
          <w:sz w:val="24"/>
        </w:rPr>
        <w:t>拟用地</w:t>
      </w:r>
      <w:r>
        <w:rPr>
          <w:b/>
          <w:sz w:val="24"/>
        </w:rPr>
        <w:t>现状</w:t>
      </w:r>
    </w:p>
    <w:p>
      <w:pPr>
        <w:spacing w:line="360" w:lineRule="auto"/>
        <w:jc w:val="center"/>
        <w:rPr>
          <w:b/>
          <w:color w:val="000000"/>
          <w:sz w:val="24"/>
        </w:rPr>
      </w:pPr>
      <w:r>
        <w:rPr>
          <w:b/>
          <w:color w:val="000000"/>
          <w:sz w:val="24"/>
        </w:rPr>
        <w:t>图2.1-3   项目地块及周边环境现状照片</w:t>
      </w:r>
    </w:p>
    <w:p>
      <w:pPr>
        <w:pStyle w:val="4"/>
        <w:keepNext w:val="0"/>
        <w:keepLines w:val="0"/>
        <w:autoSpaceDE w:val="0"/>
        <w:autoSpaceDN w:val="0"/>
        <w:adjustRightInd w:val="0"/>
        <w:spacing w:line="360" w:lineRule="auto"/>
        <w:ind w:firstLine="120" w:firstLineChars="50"/>
        <w:rPr>
          <w:rFonts w:eastAsia="宋体"/>
          <w:b/>
          <w:sz w:val="24"/>
          <w:szCs w:val="24"/>
        </w:rPr>
      </w:pPr>
      <w:bookmarkStart w:id="38" w:name="_Toc402431647"/>
      <w:bookmarkStart w:id="39" w:name="_Toc486070508"/>
      <w:bookmarkStart w:id="40" w:name="_Toc472321473"/>
      <w:bookmarkStart w:id="41" w:name="_Toc402445213"/>
      <w:r>
        <w:rPr>
          <w:rFonts w:eastAsia="宋体"/>
          <w:b/>
          <w:sz w:val="24"/>
          <w:szCs w:val="24"/>
        </w:rPr>
        <w:t>2.1.2 气象气候</w:t>
      </w:r>
      <w:bookmarkEnd w:id="38"/>
      <w:bookmarkEnd w:id="39"/>
      <w:bookmarkEnd w:id="40"/>
      <w:bookmarkEnd w:id="41"/>
    </w:p>
    <w:p>
      <w:pPr>
        <w:autoSpaceDE w:val="0"/>
        <w:autoSpaceDN w:val="0"/>
        <w:spacing w:line="360" w:lineRule="auto"/>
        <w:ind w:firstLine="480" w:firstLineChars="200"/>
        <w:jc w:val="left"/>
        <w:rPr>
          <w:kern w:val="0"/>
          <w:sz w:val="24"/>
          <w:szCs w:val="24"/>
        </w:rPr>
      </w:pPr>
      <w:r>
        <w:rPr>
          <w:kern w:val="0"/>
          <w:sz w:val="24"/>
          <w:szCs w:val="24"/>
        </w:rPr>
        <w:t>闽侯县属于中亚热带季风气候，暖热湿润，雨量充沛，夏季炎热多雨，冬季温暖少雨，气候雨热同期现象十分明显。</w:t>
      </w:r>
    </w:p>
    <w:p>
      <w:pPr>
        <w:autoSpaceDE w:val="0"/>
        <w:autoSpaceDN w:val="0"/>
        <w:spacing w:line="360" w:lineRule="auto"/>
        <w:ind w:firstLine="480" w:firstLineChars="200"/>
        <w:jc w:val="left"/>
        <w:rPr>
          <w:kern w:val="0"/>
          <w:sz w:val="24"/>
          <w:szCs w:val="24"/>
        </w:rPr>
      </w:pPr>
      <w:r>
        <w:rPr>
          <w:kern w:val="0"/>
          <w:sz w:val="24"/>
          <w:szCs w:val="24"/>
        </w:rPr>
        <w:t>（1）气温</w:t>
      </w:r>
    </w:p>
    <w:p>
      <w:pPr>
        <w:autoSpaceDE w:val="0"/>
        <w:autoSpaceDN w:val="0"/>
        <w:spacing w:line="360" w:lineRule="auto"/>
        <w:ind w:firstLine="480" w:firstLineChars="200"/>
        <w:jc w:val="left"/>
        <w:rPr>
          <w:kern w:val="0"/>
          <w:sz w:val="24"/>
          <w:szCs w:val="24"/>
        </w:rPr>
      </w:pPr>
      <w:r>
        <w:rPr>
          <w:kern w:val="0"/>
          <w:sz w:val="24"/>
          <w:szCs w:val="24"/>
        </w:rPr>
        <w:t>闽侯县境内年平均气温14.8℃～19.5℃。一年中，以7～8月份为最热，月平均气温在23.6℃～29.3℃；12月至翌年2月为最冷，月平均气温在6℃～10.5℃。年平均最高气温为23.6℃，年平均最低气温为16.4℃。极端最高气温达38℃～40.6℃，极端最低气温-4℃。一年四季，大致划分为3～6月为春季，7～9月夏季，10～11月为秋季，12月至翌年2月为冬季。一月份气温最低，月平均气温6℃～10.5℃，2月后气温逐渐回升，上升幅度以4月为最大，达5℃左右，至7月气温上升到最高值，月平均在23.6℃～29.2℃，8月后气温逐渐下降，10～11月降温最为剧烈，平均达4.5℃，至翌年1月气温降至最低值。气温年际变化幅度小，年际较差为1℃左右，年较差11.5℃～19.5℃，日较差6.5℃～7.8℃。</w:t>
      </w:r>
    </w:p>
    <w:p>
      <w:pPr>
        <w:autoSpaceDE w:val="0"/>
        <w:autoSpaceDN w:val="0"/>
        <w:spacing w:line="360" w:lineRule="auto"/>
        <w:ind w:firstLine="480" w:firstLineChars="200"/>
        <w:jc w:val="left"/>
        <w:rPr>
          <w:kern w:val="0"/>
          <w:sz w:val="24"/>
          <w:szCs w:val="24"/>
        </w:rPr>
      </w:pPr>
      <w:r>
        <w:rPr>
          <w:kern w:val="0"/>
          <w:sz w:val="24"/>
          <w:szCs w:val="24"/>
        </w:rPr>
        <w:t>（2）降水</w:t>
      </w:r>
    </w:p>
    <w:p>
      <w:pPr>
        <w:spacing w:line="360" w:lineRule="auto"/>
        <w:ind w:firstLine="480" w:firstLineChars="200"/>
        <w:rPr>
          <w:sz w:val="24"/>
          <w:szCs w:val="24"/>
        </w:rPr>
      </w:pPr>
      <w:r>
        <w:rPr>
          <w:sz w:val="24"/>
          <w:szCs w:val="24"/>
        </w:rPr>
        <w:t>闽侯境内年降水量1200～2100mm，多年平均降水量为1673.9mm。降水在年内可分为四个时期：3-4月的春雨期，5-6月的梅雨期，7-9月的台风雨期及10月-翌年2月的少雨期。梅雨是造成闽江流域大范围降雨的天气因素，这期间雨量可占全年雨量36-40%，4-9月为汛期，降水量可占全年的70-77%，闽江下游一带年均降雨量约1200-1600mm。</w:t>
      </w:r>
    </w:p>
    <w:p>
      <w:pPr>
        <w:autoSpaceDE w:val="0"/>
        <w:autoSpaceDN w:val="0"/>
        <w:spacing w:line="360" w:lineRule="auto"/>
        <w:ind w:firstLine="480" w:firstLineChars="200"/>
        <w:jc w:val="left"/>
        <w:rPr>
          <w:kern w:val="0"/>
          <w:sz w:val="24"/>
          <w:szCs w:val="24"/>
        </w:rPr>
      </w:pPr>
      <w:r>
        <w:rPr>
          <w:kern w:val="0"/>
          <w:sz w:val="24"/>
          <w:szCs w:val="24"/>
        </w:rPr>
        <w:t>（3）光照</w:t>
      </w:r>
    </w:p>
    <w:p>
      <w:pPr>
        <w:autoSpaceDE w:val="0"/>
        <w:autoSpaceDN w:val="0"/>
        <w:spacing w:line="360" w:lineRule="auto"/>
        <w:ind w:firstLine="480" w:firstLineChars="200"/>
        <w:jc w:val="left"/>
        <w:rPr>
          <w:kern w:val="0"/>
          <w:sz w:val="24"/>
          <w:szCs w:val="24"/>
        </w:rPr>
      </w:pPr>
      <w:r>
        <w:rPr>
          <w:kern w:val="0"/>
          <w:sz w:val="24"/>
          <w:szCs w:val="24"/>
        </w:rPr>
        <w:t>闽侯境内年平均日照时数为1959h，日平均5.1h。一年中夏季日照时数最多，冬季最少；7月份平均日照时数达281h，2月份仅98.7h。境内的太阳总辐射为107.3千卡/厘米</w:t>
      </w:r>
      <w:r>
        <w:rPr>
          <w:rStyle w:val="28"/>
          <w:i w:val="0"/>
          <w:iCs w:val="0"/>
          <w:sz w:val="18"/>
          <w:szCs w:val="18"/>
          <w:shd w:val="clear" w:color="auto" w:fill="FFFFFF"/>
        </w:rPr>
        <w:t>•</w:t>
      </w:r>
      <w:r>
        <w:rPr>
          <w:kern w:val="0"/>
          <w:sz w:val="24"/>
          <w:szCs w:val="24"/>
        </w:rPr>
        <w:t>年，闽江两岸为109.7千卡/厘米</w:t>
      </w:r>
      <w:r>
        <w:rPr>
          <w:rStyle w:val="28"/>
          <w:i w:val="0"/>
          <w:iCs w:val="0"/>
          <w:sz w:val="18"/>
          <w:szCs w:val="18"/>
          <w:shd w:val="clear" w:color="auto" w:fill="FFFFFF"/>
        </w:rPr>
        <w:t>•</w:t>
      </w:r>
      <w:r>
        <w:rPr>
          <w:kern w:val="0"/>
          <w:sz w:val="24"/>
          <w:szCs w:val="24"/>
        </w:rPr>
        <w:t>年，北部高海拔地区为103.7千卡/厘米</w:t>
      </w:r>
      <w:r>
        <w:rPr>
          <w:rStyle w:val="28"/>
          <w:i w:val="0"/>
          <w:iCs w:val="0"/>
          <w:sz w:val="18"/>
          <w:szCs w:val="18"/>
          <w:shd w:val="clear" w:color="auto" w:fill="FFFFFF"/>
        </w:rPr>
        <w:t>•</w:t>
      </w:r>
      <w:r>
        <w:rPr>
          <w:kern w:val="0"/>
          <w:sz w:val="24"/>
          <w:szCs w:val="24"/>
        </w:rPr>
        <w:t>年，随海拔高度的增加而减少。</w:t>
      </w:r>
    </w:p>
    <w:p>
      <w:pPr>
        <w:autoSpaceDE w:val="0"/>
        <w:autoSpaceDN w:val="0"/>
        <w:spacing w:line="360" w:lineRule="auto"/>
        <w:ind w:firstLine="480" w:firstLineChars="200"/>
        <w:jc w:val="left"/>
        <w:rPr>
          <w:kern w:val="0"/>
          <w:sz w:val="24"/>
          <w:szCs w:val="24"/>
        </w:rPr>
      </w:pPr>
      <w:r>
        <w:rPr>
          <w:kern w:val="0"/>
          <w:sz w:val="24"/>
          <w:szCs w:val="24"/>
        </w:rPr>
        <w:t>（3）湿度</w:t>
      </w:r>
    </w:p>
    <w:p>
      <w:pPr>
        <w:autoSpaceDE w:val="0"/>
        <w:autoSpaceDN w:val="0"/>
        <w:spacing w:line="360" w:lineRule="auto"/>
        <w:ind w:firstLine="480" w:firstLineChars="200"/>
        <w:jc w:val="left"/>
        <w:rPr>
          <w:kern w:val="0"/>
          <w:sz w:val="24"/>
          <w:szCs w:val="24"/>
        </w:rPr>
      </w:pPr>
      <w:r>
        <w:rPr>
          <w:kern w:val="0"/>
          <w:sz w:val="24"/>
          <w:szCs w:val="24"/>
        </w:rPr>
        <w:t>闽侯年平均绝对湿度为19.7</w:t>
      </w:r>
      <w:r>
        <w:fldChar w:fldCharType="begin"/>
      </w:r>
      <w:r>
        <w:instrText xml:space="preserve"> HYPERLINK "http://baike.baidu.com/item/%E6%AF%AB%E5%B7%B4" \t "_blank" </w:instrText>
      </w:r>
      <w:r>
        <w:fldChar w:fldCharType="separate"/>
      </w:r>
      <w:r>
        <w:rPr>
          <w:kern w:val="0"/>
          <w:sz w:val="24"/>
          <w:szCs w:val="24"/>
        </w:rPr>
        <w:t>hPa</w:t>
      </w:r>
      <w:r>
        <w:rPr>
          <w:kern w:val="0"/>
          <w:sz w:val="24"/>
          <w:szCs w:val="24"/>
        </w:rPr>
        <w:fldChar w:fldCharType="end"/>
      </w:r>
      <w:r>
        <w:rPr>
          <w:kern w:val="0"/>
          <w:sz w:val="24"/>
          <w:szCs w:val="24"/>
        </w:rPr>
        <w:t>，平原地区在18～20</w:t>
      </w:r>
      <w:r>
        <w:fldChar w:fldCharType="begin"/>
      </w:r>
      <w:r>
        <w:instrText xml:space="preserve"> HYPERLINK "http://baike.baidu.com/item/%E6%AF%AB%E5%B7%B4" \t "_blank" </w:instrText>
      </w:r>
      <w:r>
        <w:fldChar w:fldCharType="separate"/>
      </w:r>
      <w:r>
        <w:rPr>
          <w:kern w:val="0"/>
          <w:sz w:val="24"/>
          <w:szCs w:val="24"/>
        </w:rPr>
        <w:t>hPa</w:t>
      </w:r>
      <w:r>
        <w:rPr>
          <w:kern w:val="0"/>
          <w:sz w:val="24"/>
          <w:szCs w:val="24"/>
        </w:rPr>
        <w:fldChar w:fldCharType="end"/>
      </w:r>
      <w:r>
        <w:rPr>
          <w:kern w:val="0"/>
          <w:sz w:val="24"/>
          <w:szCs w:val="24"/>
        </w:rPr>
        <w:t>之间，山区在16～17</w:t>
      </w:r>
      <w:r>
        <w:fldChar w:fldCharType="begin"/>
      </w:r>
      <w:r>
        <w:instrText xml:space="preserve"> HYPERLINK "http://baike.baidu.com/item/%E6%AF%AB%E5%B7%B4" \t "_blank" </w:instrText>
      </w:r>
      <w:r>
        <w:fldChar w:fldCharType="separate"/>
      </w:r>
      <w:r>
        <w:rPr>
          <w:kern w:val="0"/>
          <w:sz w:val="24"/>
          <w:szCs w:val="24"/>
        </w:rPr>
        <w:t>hPa</w:t>
      </w:r>
      <w:r>
        <w:rPr>
          <w:kern w:val="0"/>
          <w:sz w:val="24"/>
          <w:szCs w:val="24"/>
        </w:rPr>
        <w:fldChar w:fldCharType="end"/>
      </w:r>
      <w:r>
        <w:rPr>
          <w:kern w:val="0"/>
          <w:sz w:val="24"/>
          <w:szCs w:val="24"/>
        </w:rPr>
        <w:t>左右，随着高度的增加而减小，极端最大绝对湿度40.7</w:t>
      </w:r>
      <w:r>
        <w:fldChar w:fldCharType="begin"/>
      </w:r>
      <w:r>
        <w:instrText xml:space="preserve"> HYPERLINK "http://baike.baidu.com/item/%E6%AF%AB%E5%B7%B4" \t "_blank" </w:instrText>
      </w:r>
      <w:r>
        <w:fldChar w:fldCharType="separate"/>
      </w:r>
      <w:r>
        <w:rPr>
          <w:kern w:val="0"/>
          <w:sz w:val="24"/>
          <w:szCs w:val="24"/>
        </w:rPr>
        <w:t>hPa</w:t>
      </w:r>
      <w:r>
        <w:rPr>
          <w:kern w:val="0"/>
          <w:sz w:val="24"/>
          <w:szCs w:val="24"/>
        </w:rPr>
        <w:fldChar w:fldCharType="end"/>
      </w:r>
      <w:r>
        <w:rPr>
          <w:kern w:val="0"/>
          <w:sz w:val="24"/>
          <w:szCs w:val="24"/>
        </w:rPr>
        <w:t>（1967年7月19日），极端最低绝对湿度20</w:t>
      </w:r>
      <w:r>
        <w:fldChar w:fldCharType="begin"/>
      </w:r>
      <w:r>
        <w:instrText xml:space="preserve"> HYPERLINK "http://baike.baidu.com/item/%E6%AF%AB%E5%B7%B4" \t "_blank" </w:instrText>
      </w:r>
      <w:r>
        <w:fldChar w:fldCharType="separate"/>
      </w:r>
      <w:r>
        <w:rPr>
          <w:kern w:val="0"/>
          <w:sz w:val="24"/>
          <w:szCs w:val="24"/>
        </w:rPr>
        <w:t>hPa</w:t>
      </w:r>
      <w:r>
        <w:rPr>
          <w:kern w:val="0"/>
          <w:sz w:val="24"/>
          <w:szCs w:val="24"/>
        </w:rPr>
        <w:fldChar w:fldCharType="end"/>
      </w:r>
      <w:r>
        <w:rPr>
          <w:kern w:val="0"/>
          <w:sz w:val="24"/>
          <w:szCs w:val="24"/>
        </w:rPr>
        <w:t>（1963年1月27日）。一年中绝对湿度的季节变化趋势与气温相同，1月最小，月平均值在9.7</w:t>
      </w:r>
      <w:r>
        <w:fldChar w:fldCharType="begin"/>
      </w:r>
      <w:r>
        <w:instrText xml:space="preserve"> HYPERLINK "http://baike.baidu.com/item/%E6%AF%AB%E5%B7%B4" \t "_blank" </w:instrText>
      </w:r>
      <w:r>
        <w:fldChar w:fldCharType="separate"/>
      </w:r>
      <w:r>
        <w:rPr>
          <w:kern w:val="0"/>
          <w:sz w:val="24"/>
          <w:szCs w:val="24"/>
        </w:rPr>
        <w:t>hPa</w:t>
      </w:r>
      <w:r>
        <w:rPr>
          <w:kern w:val="0"/>
          <w:sz w:val="24"/>
          <w:szCs w:val="24"/>
        </w:rPr>
        <w:fldChar w:fldCharType="end"/>
      </w:r>
      <w:r>
        <w:rPr>
          <w:kern w:val="0"/>
          <w:sz w:val="24"/>
          <w:szCs w:val="24"/>
        </w:rPr>
        <w:t>；7月最大，月平均值31.4</w:t>
      </w:r>
      <w:r>
        <w:fldChar w:fldCharType="begin"/>
      </w:r>
      <w:r>
        <w:instrText xml:space="preserve"> HYPERLINK "http://baike.baidu.com/item/%E6%AF%AB%E5%B7%B4" \t "_blank" </w:instrText>
      </w:r>
      <w:r>
        <w:fldChar w:fldCharType="separate"/>
      </w:r>
      <w:r>
        <w:rPr>
          <w:kern w:val="0"/>
          <w:sz w:val="24"/>
          <w:szCs w:val="24"/>
        </w:rPr>
        <w:t>hPa</w:t>
      </w:r>
      <w:r>
        <w:rPr>
          <w:kern w:val="0"/>
          <w:sz w:val="24"/>
          <w:szCs w:val="24"/>
        </w:rPr>
        <w:fldChar w:fldCharType="end"/>
      </w:r>
      <w:r>
        <w:rPr>
          <w:kern w:val="0"/>
          <w:sz w:val="24"/>
          <w:szCs w:val="24"/>
        </w:rPr>
        <w:t>。日变化情况是：凌晨（4～6时）绝对湿度最小，最大值出现在13～14时。</w:t>
      </w:r>
    </w:p>
    <w:p>
      <w:pPr>
        <w:autoSpaceDE w:val="0"/>
        <w:autoSpaceDN w:val="0"/>
        <w:spacing w:line="360" w:lineRule="auto"/>
        <w:ind w:firstLine="480" w:firstLineChars="200"/>
        <w:jc w:val="left"/>
        <w:rPr>
          <w:kern w:val="0"/>
          <w:sz w:val="24"/>
          <w:szCs w:val="24"/>
        </w:rPr>
      </w:pPr>
      <w:r>
        <w:rPr>
          <w:kern w:val="0"/>
          <w:sz w:val="24"/>
          <w:szCs w:val="24"/>
        </w:rPr>
        <w:t>闽侯平原地区年平均湿度分布在75%～80%之间，高山地区在81%～85%之间。分布趋势与气温相反，随高度增加而增大。一年中最大的月平均值出现在阴雨连绵空气湿润的5、6月份，其值高达84%～86%，最小值出现在1月为75%。日极端最小相对湿度仅为11%。</w:t>
      </w:r>
    </w:p>
    <w:p>
      <w:pPr>
        <w:autoSpaceDE w:val="0"/>
        <w:autoSpaceDN w:val="0"/>
        <w:spacing w:line="360" w:lineRule="auto"/>
        <w:ind w:firstLine="480" w:firstLineChars="200"/>
        <w:jc w:val="left"/>
        <w:rPr>
          <w:kern w:val="0"/>
          <w:sz w:val="24"/>
          <w:szCs w:val="24"/>
        </w:rPr>
      </w:pPr>
      <w:r>
        <w:rPr>
          <w:kern w:val="0"/>
          <w:sz w:val="24"/>
          <w:szCs w:val="24"/>
        </w:rPr>
        <w:t>（4）风</w:t>
      </w:r>
    </w:p>
    <w:p>
      <w:pPr>
        <w:autoSpaceDE w:val="0"/>
        <w:autoSpaceDN w:val="0"/>
        <w:spacing w:line="360" w:lineRule="auto"/>
        <w:ind w:firstLine="480" w:firstLineChars="200"/>
        <w:jc w:val="left"/>
        <w:rPr>
          <w:sz w:val="24"/>
          <w:szCs w:val="24"/>
        </w:rPr>
      </w:pPr>
      <w:bookmarkStart w:id="42" w:name="_Toc402431648"/>
      <w:bookmarkStart w:id="43" w:name="_Toc402445214"/>
      <w:bookmarkStart w:id="44" w:name="_Toc472321474"/>
      <w:r>
        <w:rPr>
          <w:kern w:val="0"/>
          <w:sz w:val="24"/>
          <w:szCs w:val="24"/>
        </w:rPr>
        <w:t>闽侯</w:t>
      </w:r>
      <w:r>
        <w:rPr>
          <w:sz w:val="24"/>
          <w:szCs w:val="24"/>
        </w:rPr>
        <w:t>全年最多风向为东南风（ES），为14.4%。其次为西北风（NW）小风频率高，年均小风频率为37.5％。多年平均风速2.8m/s。每年1-8月东南风向频率最高，9-12月西北风向频率最高。常年冬春两季贴地逆温层厚度大于夏、秋两季。每年夏秋常有台风袭击，最大风力12级，风速达31.7 m/s。</w:t>
      </w:r>
    </w:p>
    <w:p>
      <w:pPr>
        <w:pStyle w:val="4"/>
        <w:keepNext w:val="0"/>
        <w:keepLines w:val="0"/>
        <w:autoSpaceDE w:val="0"/>
        <w:autoSpaceDN w:val="0"/>
        <w:adjustRightInd w:val="0"/>
        <w:spacing w:line="360" w:lineRule="auto"/>
        <w:rPr>
          <w:rFonts w:eastAsia="宋体"/>
          <w:b/>
          <w:sz w:val="24"/>
          <w:szCs w:val="24"/>
        </w:rPr>
      </w:pPr>
      <w:bookmarkStart w:id="45" w:name="_Toc486070509"/>
      <w:r>
        <w:rPr>
          <w:rFonts w:eastAsia="宋体"/>
          <w:b/>
          <w:sz w:val="24"/>
          <w:szCs w:val="24"/>
        </w:rPr>
        <w:t>2.1.3 地质地貌</w:t>
      </w:r>
      <w:bookmarkEnd w:id="42"/>
      <w:bookmarkEnd w:id="43"/>
      <w:bookmarkEnd w:id="44"/>
      <w:bookmarkEnd w:id="45"/>
    </w:p>
    <w:p>
      <w:pPr>
        <w:spacing w:line="360" w:lineRule="auto"/>
        <w:jc w:val="left"/>
        <w:outlineLvl w:val="3"/>
        <w:rPr>
          <w:b/>
          <w:sz w:val="24"/>
        </w:rPr>
      </w:pPr>
      <w:r>
        <w:rPr>
          <w:b/>
          <w:sz w:val="24"/>
        </w:rPr>
        <w:t>2.1.3.1 地形地貌</w:t>
      </w:r>
    </w:p>
    <w:p>
      <w:pPr>
        <w:spacing w:line="360" w:lineRule="auto"/>
        <w:ind w:firstLine="480" w:firstLineChars="200"/>
        <w:jc w:val="left"/>
        <w:outlineLvl w:val="3"/>
        <w:rPr>
          <w:sz w:val="24"/>
        </w:rPr>
      </w:pPr>
      <w:r>
        <w:rPr>
          <w:sz w:val="24"/>
        </w:rPr>
        <w:t>闽侯县地处闽浙丘陵山地的东部。北部为鹫峰山脉向东南展布的部分，群山连绵，重峦叠嶂。大湖一带千米以上的高山有43座，其中牛姆山海拔1403.7m，为全县最高峰。南部属于戴云山脉向东北延伸的余脉，峰峦起伏，层次分明，天台山海拔1117.2m，是闽侯县南部最高峰。闽侯县境内地貌类型多样，地形变化复杂，由于火山运动所致，地壳隆起或沉降，造成境内地貌强烈切割，异峰突起，山地高差悬殊，断层地貌普遍而显著。断块山山势巍峨，壑谷幽深。地势从北部、西南部向东南倾斜。南部隶属福州盆地，沿闽江两岸尚干、祥谦、上街、南屿、南通、荆溪等乡镇均为冲积、海积平原。在高山深谷之间，普遍形成V型河谷，由于沟壑纵横交错，因而大小盆谷点缀其间。</w:t>
      </w:r>
    </w:p>
    <w:p>
      <w:pPr>
        <w:spacing w:line="360" w:lineRule="auto"/>
        <w:ind w:firstLine="480" w:firstLineChars="200"/>
        <w:jc w:val="left"/>
        <w:outlineLvl w:val="3"/>
        <w:rPr>
          <w:sz w:val="24"/>
        </w:rPr>
      </w:pPr>
      <w:r>
        <w:rPr>
          <w:sz w:val="24"/>
        </w:rPr>
        <w:t>闽侯属于中国江南古陆的一部分，由前震旦纪构成褶皱基底，中生代时期强烈的燕山运动形成了新华夏构造体系，奠定了现代地质面貌的基本格局，其区域构造线以北东向和北东向为主，控制了全县山脉、水系的展布和矿藏的分布。</w:t>
      </w:r>
    </w:p>
    <w:p>
      <w:pPr>
        <w:spacing w:line="360" w:lineRule="auto"/>
        <w:ind w:firstLine="480" w:firstLineChars="200"/>
        <w:jc w:val="left"/>
        <w:outlineLvl w:val="3"/>
        <w:rPr>
          <w:sz w:val="24"/>
        </w:rPr>
      </w:pPr>
      <w:r>
        <w:rPr>
          <w:sz w:val="24"/>
        </w:rPr>
        <w:t>项目处于赤塘山麓，沿山侧界面不规则，地势大体呈西高东低。</w:t>
      </w:r>
    </w:p>
    <w:p>
      <w:pPr>
        <w:spacing w:line="360" w:lineRule="auto"/>
        <w:jc w:val="left"/>
        <w:outlineLvl w:val="3"/>
        <w:rPr>
          <w:sz w:val="24"/>
        </w:rPr>
      </w:pPr>
      <w:r>
        <w:rPr>
          <w:b/>
          <w:sz w:val="24"/>
        </w:rPr>
        <w:t>2.1.3.2 地质</w:t>
      </w:r>
    </w:p>
    <w:p>
      <w:pPr>
        <w:autoSpaceDE w:val="0"/>
        <w:autoSpaceDN w:val="0"/>
        <w:spacing w:line="360" w:lineRule="auto"/>
        <w:ind w:firstLine="480" w:firstLineChars="200"/>
        <w:jc w:val="left"/>
        <w:rPr>
          <w:kern w:val="0"/>
          <w:sz w:val="24"/>
          <w:szCs w:val="24"/>
        </w:rPr>
      </w:pPr>
      <w:r>
        <w:rPr>
          <w:sz w:val="24"/>
          <w:szCs w:val="24"/>
        </w:rPr>
        <w:t>闽侯境内地层发育不全，属于新华夏系第二复式隆起带东部边缘，是燕山早期和晚期侵入活动的产物。尤其燕山晚期活动规模较大，岩石类型也较为复杂，从基性、中基性到中酸性、酸性岩类均有出现，以中酸性岩类为主。脉岩亦较发育，燕山早期3次侵入岩在境内均有出露，燕山晚期4次侵入活动在境内表现较为强烈，分布亦较</w:t>
      </w:r>
      <w:r>
        <w:rPr>
          <w:kern w:val="0"/>
          <w:sz w:val="24"/>
          <w:szCs w:val="24"/>
        </w:rPr>
        <w:t>广。中生界上诛罗系，自上而下分成长林组，南园组、小溪组和下白垩统石帽山群火山岩系，还有新生界第四系更新统和全新统地层出露。</w:t>
      </w:r>
    </w:p>
    <w:p>
      <w:pPr>
        <w:autoSpaceDE w:val="0"/>
        <w:autoSpaceDN w:val="0"/>
        <w:spacing w:line="360" w:lineRule="auto"/>
        <w:ind w:firstLine="480" w:firstLineChars="200"/>
        <w:jc w:val="left"/>
        <w:rPr>
          <w:kern w:val="0"/>
          <w:sz w:val="24"/>
          <w:szCs w:val="24"/>
        </w:rPr>
      </w:pPr>
      <w:r>
        <w:rPr>
          <w:kern w:val="0"/>
          <w:sz w:val="24"/>
          <w:szCs w:val="24"/>
        </w:rPr>
        <w:t>拟建场地上部地基土由坡积土(粉质粘土)组成，粉质粘土均匀性虽差，但具有一定的地基强度，稳定性一般；下卧的花岗岩风化岩土的地基强度较高，稳定性好。</w:t>
      </w:r>
    </w:p>
    <w:p>
      <w:pPr>
        <w:autoSpaceDE w:val="0"/>
        <w:autoSpaceDN w:val="0"/>
        <w:spacing w:line="360" w:lineRule="auto"/>
        <w:ind w:firstLine="480" w:firstLineChars="200"/>
        <w:jc w:val="left"/>
        <w:rPr>
          <w:kern w:val="0"/>
          <w:sz w:val="24"/>
          <w:szCs w:val="24"/>
        </w:rPr>
      </w:pPr>
      <w:r>
        <w:rPr>
          <w:sz w:val="24"/>
        </w:rPr>
        <w:t>闽侯六中现状校门前为村镇道路</w:t>
      </w:r>
      <w:r>
        <w:rPr>
          <w:rFonts w:hint="eastAsia"/>
          <w:sz w:val="24"/>
        </w:rPr>
        <w:t>怀梓路</w:t>
      </w:r>
      <w:r>
        <w:rPr>
          <w:sz w:val="24"/>
        </w:rPr>
        <w:t>，拟在扩建校园四周新建规划道路。</w:t>
      </w:r>
      <w:r>
        <w:rPr>
          <w:kern w:val="0"/>
          <w:sz w:val="24"/>
          <w:szCs w:val="24"/>
        </w:rPr>
        <w:t xml:space="preserve">前期勘察期间，未见可能引发滑坡、崩塌、泥石流等影响场地稳定性的不良地质，未见暗埋的墓穴、防空洞和孤石等对工程不利的埋藏物，该场地适宜作为拟建物的建筑场地。  </w:t>
      </w:r>
    </w:p>
    <w:p>
      <w:pPr>
        <w:spacing w:line="360" w:lineRule="auto"/>
        <w:jc w:val="left"/>
        <w:outlineLvl w:val="3"/>
        <w:rPr>
          <w:b/>
          <w:sz w:val="24"/>
        </w:rPr>
      </w:pPr>
      <w:r>
        <w:rPr>
          <w:b/>
          <w:sz w:val="24"/>
        </w:rPr>
        <w:t>2.1.3.3 抗震烈度</w:t>
      </w:r>
    </w:p>
    <w:p>
      <w:pPr>
        <w:spacing w:line="360" w:lineRule="auto"/>
        <w:ind w:firstLine="480" w:firstLineChars="200"/>
        <w:rPr>
          <w:sz w:val="24"/>
        </w:rPr>
      </w:pPr>
      <w:r>
        <w:rPr>
          <w:sz w:val="24"/>
        </w:rPr>
        <w:t>本工程场地位于闽侯县上街镇，根据《建筑抗震设防分类标准》GB50223-2008有关规定，建筑的抗震设防类别为乙类，建筑物所在地区按7度抗震设防烈度考虑，结构措施按8度设计，设计地震基本加速度值为0.10g，设计分组为第一组。根据已有相关资料，场地及邻近地区全新世以来未见活动断裂，场地构造稳定性较好，未见其他不良地质作用，场地较稳定，可作为建设用地。</w:t>
      </w:r>
    </w:p>
    <w:p>
      <w:pPr>
        <w:spacing w:line="360" w:lineRule="auto"/>
        <w:outlineLvl w:val="2"/>
        <w:rPr>
          <w:b/>
          <w:sz w:val="24"/>
          <w:szCs w:val="24"/>
        </w:rPr>
      </w:pPr>
      <w:bookmarkStart w:id="46" w:name="_Toc402445215"/>
      <w:bookmarkStart w:id="47" w:name="_Toc472321475"/>
      <w:bookmarkStart w:id="48" w:name="_Toc486070510"/>
      <w:bookmarkStart w:id="49" w:name="_Toc400958138"/>
      <w:bookmarkStart w:id="50" w:name="_Toc402431649"/>
      <w:r>
        <w:rPr>
          <w:b/>
          <w:sz w:val="24"/>
          <w:szCs w:val="24"/>
        </w:rPr>
        <w:t>2.1.4水文概况</w:t>
      </w:r>
      <w:bookmarkEnd w:id="46"/>
      <w:bookmarkEnd w:id="47"/>
      <w:bookmarkEnd w:id="48"/>
      <w:bookmarkEnd w:id="49"/>
      <w:bookmarkEnd w:id="50"/>
    </w:p>
    <w:p>
      <w:pPr>
        <w:spacing w:line="360" w:lineRule="auto"/>
        <w:ind w:firstLine="480" w:firstLineChars="200"/>
        <w:rPr>
          <w:sz w:val="24"/>
        </w:rPr>
      </w:pPr>
      <w:r>
        <w:rPr>
          <w:sz w:val="24"/>
        </w:rPr>
        <w:t>闽侯县区域内河道密布，东临闽江，闽江是福建省最大河流，主流全长557km，南平以下至闽江口长222.7km，由西往东南横贯闽侯县中部。据竹岐水文资料，年平均流量1713m</w:t>
      </w:r>
      <w:r>
        <w:rPr>
          <w:sz w:val="24"/>
          <w:vertAlign w:val="superscript"/>
        </w:rPr>
        <w:t>3</w:t>
      </w:r>
      <w:r>
        <w:rPr>
          <w:sz w:val="24"/>
        </w:rPr>
        <w:t>/s，最大洪峰流量3.3万m</w:t>
      </w:r>
      <w:r>
        <w:rPr>
          <w:sz w:val="24"/>
          <w:vertAlign w:val="superscript"/>
        </w:rPr>
        <w:t>3</w:t>
      </w:r>
      <w:r>
        <w:rPr>
          <w:sz w:val="24"/>
        </w:rPr>
        <w:t>，平均年径流量514亿m</w:t>
      </w:r>
      <w:r>
        <w:rPr>
          <w:sz w:val="24"/>
          <w:vertAlign w:val="superscript"/>
        </w:rPr>
        <w:t>3</w:t>
      </w:r>
      <w:r>
        <w:rPr>
          <w:sz w:val="24"/>
        </w:rPr>
        <w:t>，年径流量居全国河流第八位，相当于黄河的流量，年径流深度1029mm，年径流模数32.6s•L/km</w:t>
      </w:r>
      <w:r>
        <w:rPr>
          <w:sz w:val="24"/>
          <w:vertAlign w:val="superscript"/>
        </w:rPr>
        <w:t>2</w:t>
      </w:r>
      <w:r>
        <w:rPr>
          <w:sz w:val="24"/>
        </w:rPr>
        <w:t>，年平均含沙量为0.132kg/m</w:t>
      </w:r>
      <w:r>
        <w:rPr>
          <w:sz w:val="24"/>
          <w:vertAlign w:val="superscript"/>
        </w:rPr>
        <w:t>3</w:t>
      </w:r>
      <w:r>
        <w:rPr>
          <w:sz w:val="24"/>
        </w:rPr>
        <w:t>，平均年输沙量为748.5万吨。北岸有闽侯县小箬乡、白沙镇、</w:t>
      </w:r>
      <w:bookmarkStart w:id="282" w:name="_GoBack"/>
      <w:bookmarkEnd w:id="282"/>
      <w:r>
        <w:rPr>
          <w:sz w:val="24"/>
        </w:rPr>
        <w:t>甘蔗</w:t>
      </w:r>
      <w:r>
        <w:rPr>
          <w:rFonts w:hint="eastAsia"/>
          <w:sz w:val="24"/>
          <w:lang w:val="en-US" w:eastAsia="zh-CN"/>
        </w:rPr>
        <w:t>街道</w:t>
      </w:r>
      <w:r>
        <w:rPr>
          <w:sz w:val="24"/>
        </w:rPr>
        <w:t>、荆溪镇；南岸有鸿尾乡、竹岐乡、上街镇，至南台岛分南、北港。北港流经福州市辖区中心，南港绕经闽侯县上街镇、南屿镇、南通镇、祥谦镇、闽江乡，至福州市马尾罗星塔附近与北港汇合，流入东海，共流经闽侯县11个乡镇，境内闽江总长100.4km，流域面积90.6 km</w:t>
      </w:r>
      <w:r>
        <w:rPr>
          <w:sz w:val="24"/>
          <w:vertAlign w:val="superscript"/>
        </w:rPr>
        <w:t>2</w:t>
      </w:r>
      <w:r>
        <w:rPr>
          <w:sz w:val="24"/>
        </w:rPr>
        <w:t>。闽江主要有14条支流在闽侯县境内，涉及15个乡镇、4个农林场。</w:t>
      </w:r>
    </w:p>
    <w:p>
      <w:pPr>
        <w:widowControl/>
        <w:spacing w:line="360" w:lineRule="auto"/>
        <w:ind w:firstLine="480" w:firstLineChars="200"/>
        <w:rPr>
          <w:bCs/>
          <w:sz w:val="24"/>
          <w:szCs w:val="24"/>
        </w:rPr>
      </w:pPr>
      <w:r>
        <w:rPr>
          <w:bCs/>
          <w:sz w:val="24"/>
          <w:szCs w:val="24"/>
        </w:rPr>
        <w:t>本项目地块周边800m范围内不涉及河流，项目</w:t>
      </w:r>
      <w:r>
        <w:rPr>
          <w:rFonts w:hint="eastAsia"/>
          <w:bCs/>
          <w:sz w:val="24"/>
          <w:szCs w:val="24"/>
        </w:rPr>
        <w:t>周边仅有一些分散的</w:t>
      </w:r>
      <w:r>
        <w:rPr>
          <w:bCs/>
          <w:sz w:val="24"/>
          <w:szCs w:val="24"/>
        </w:rPr>
        <w:t>小型水塘，因此，本项目不涉及地表水体。</w:t>
      </w:r>
    </w:p>
    <w:p>
      <w:pPr>
        <w:spacing w:line="360" w:lineRule="auto"/>
        <w:outlineLvl w:val="2"/>
        <w:rPr>
          <w:b/>
          <w:sz w:val="24"/>
          <w:szCs w:val="24"/>
        </w:rPr>
      </w:pPr>
      <w:bookmarkStart w:id="51" w:name="_Toc472321476"/>
      <w:bookmarkStart w:id="52" w:name="_Toc486070511"/>
      <w:bookmarkStart w:id="53" w:name="_Toc381722812"/>
      <w:bookmarkStart w:id="54" w:name="_Toc402445217"/>
      <w:bookmarkStart w:id="55" w:name="_Toc416992936"/>
      <w:bookmarkStart w:id="56" w:name="_Toc416192241"/>
      <w:r>
        <w:rPr>
          <w:b/>
          <w:sz w:val="24"/>
          <w:szCs w:val="24"/>
        </w:rPr>
        <w:t>2.1.5 交通状况</w:t>
      </w:r>
      <w:bookmarkEnd w:id="51"/>
      <w:bookmarkEnd w:id="52"/>
    </w:p>
    <w:p>
      <w:pPr>
        <w:spacing w:line="360" w:lineRule="auto"/>
        <w:ind w:firstLine="480" w:firstLineChars="200"/>
        <w:rPr>
          <w:sz w:val="24"/>
        </w:rPr>
      </w:pPr>
      <w:r>
        <w:rPr>
          <w:sz w:val="24"/>
        </w:rPr>
        <w:t>上街镇交通便捷，位于闽侯县区的中部，距离福州市中心9.2km，腹地广阔，区位优势突出，</w:t>
      </w:r>
      <w:r>
        <w:fldChar w:fldCharType="begin"/>
      </w:r>
      <w:r>
        <w:instrText xml:space="preserve"> HYPERLINK "http://baike.baidu.com/item/316%E5%9B%BD%E9%81%93/2849214" \t "_blank" </w:instrText>
      </w:r>
      <w:r>
        <w:fldChar w:fldCharType="separate"/>
      </w:r>
      <w:r>
        <w:rPr>
          <w:sz w:val="24"/>
        </w:rPr>
        <w:t>316国道</w:t>
      </w:r>
      <w:r>
        <w:rPr>
          <w:sz w:val="24"/>
        </w:rPr>
        <w:fldChar w:fldCharType="end"/>
      </w:r>
      <w:r>
        <w:rPr>
          <w:sz w:val="24"/>
        </w:rPr>
        <w:t>、</w:t>
      </w:r>
      <w:r>
        <w:fldChar w:fldCharType="begin"/>
      </w:r>
      <w:r>
        <w:instrText xml:space="preserve"> HYPERLINK "http://baike.baidu.com/item/%E7%A6%8F%E9%93%B6%E9%AB%98%E9%80%9F%E5%85%AC%E8%B7%AF" \t "_blank" </w:instrText>
      </w:r>
      <w:r>
        <w:fldChar w:fldCharType="separate"/>
      </w:r>
      <w:r>
        <w:rPr>
          <w:sz w:val="24"/>
        </w:rPr>
        <w:t>福银高速公路</w:t>
      </w:r>
      <w:r>
        <w:rPr>
          <w:sz w:val="24"/>
        </w:rPr>
        <w:fldChar w:fldCharType="end"/>
      </w:r>
      <w:r>
        <w:rPr>
          <w:sz w:val="24"/>
        </w:rPr>
        <w:t>，京福高速公路穿境而过，</w:t>
      </w:r>
      <w:r>
        <w:fldChar w:fldCharType="begin"/>
      </w:r>
      <w:r>
        <w:instrText xml:space="preserve"> HYPERLINK "http://baike.baidu.com/item/%E6%B4%AA%E5%A1%98%E5%A4%A7%E6%A1%A5/5195018" \t "_blank" </w:instrText>
      </w:r>
      <w:r>
        <w:fldChar w:fldCharType="separate"/>
      </w:r>
      <w:r>
        <w:rPr>
          <w:sz w:val="24"/>
        </w:rPr>
        <w:t>洪塘大桥</w:t>
      </w:r>
      <w:r>
        <w:rPr>
          <w:sz w:val="24"/>
        </w:rPr>
        <w:fldChar w:fldCharType="end"/>
      </w:r>
      <w:r>
        <w:rPr>
          <w:sz w:val="24"/>
        </w:rPr>
        <w:t>、桔园洲大桥把上街与福州市区连成一体。大学新区校际路、</w:t>
      </w:r>
      <w:r>
        <w:fldChar w:fldCharType="begin"/>
      </w:r>
      <w:r>
        <w:instrText xml:space="preserve"> HYPERLINK "http://baike.baidu.com/item/%E4%B9%8C%E9%BE%99%E6%B1%9F" \t "_blank" </w:instrText>
      </w:r>
      <w:r>
        <w:fldChar w:fldCharType="separate"/>
      </w:r>
      <w:r>
        <w:rPr>
          <w:sz w:val="24"/>
        </w:rPr>
        <w:t>乌龙江</w:t>
      </w:r>
      <w:r>
        <w:rPr>
          <w:sz w:val="24"/>
        </w:rPr>
        <w:fldChar w:fldCharType="end"/>
      </w:r>
      <w:r>
        <w:rPr>
          <w:sz w:val="24"/>
        </w:rPr>
        <w:t>大道、新建洪塘大桥的建成以及正在建设的</w:t>
      </w:r>
      <w:r>
        <w:fldChar w:fldCharType="begin"/>
      </w:r>
      <w:r>
        <w:instrText xml:space="preserve"> HYPERLINK "http://baike.baidu.com/item/%E6%B5%A6%E4%B8%8A%E5%A4%A7%E6%A1%A5/2671373" \t "_blank" </w:instrText>
      </w:r>
      <w:r>
        <w:fldChar w:fldCharType="separate"/>
      </w:r>
      <w:r>
        <w:rPr>
          <w:sz w:val="24"/>
        </w:rPr>
        <w:t>浦上大桥</w:t>
      </w:r>
      <w:r>
        <w:rPr>
          <w:sz w:val="24"/>
        </w:rPr>
        <w:fldChar w:fldCharType="end"/>
      </w:r>
      <w:r>
        <w:rPr>
          <w:sz w:val="24"/>
        </w:rPr>
        <w:t>，使上街镇的交通日趋便利。福州高新区、福州新西客站也坐落于上街镇，目前高新区海西园已初具规模。福州市轨道交通二号线（一期）在上街镇设有6站点，从北向南依次为： 沙堤站、 上街站、金屿站、福州大学站、 董屿站、厚庭站。</w:t>
      </w:r>
    </w:p>
    <w:p>
      <w:pPr>
        <w:spacing w:line="360" w:lineRule="auto"/>
        <w:ind w:firstLine="480" w:firstLineChars="200"/>
        <w:rPr>
          <w:sz w:val="24"/>
        </w:rPr>
      </w:pPr>
      <w:r>
        <w:rPr>
          <w:sz w:val="24"/>
        </w:rPr>
        <w:t>项目周边的主要交通干道为</w:t>
      </w:r>
      <w:r>
        <w:rPr>
          <w:rFonts w:hint="eastAsia"/>
          <w:sz w:val="24"/>
        </w:rPr>
        <w:t>项目南侧新上街路以及现状校门前怀梓</w:t>
      </w:r>
      <w:r>
        <w:rPr>
          <w:sz w:val="24"/>
        </w:rPr>
        <w:t>路</w:t>
      </w:r>
      <w:r>
        <w:rPr>
          <w:rFonts w:hint="eastAsia"/>
          <w:sz w:val="24"/>
        </w:rPr>
        <w:t>，</w:t>
      </w:r>
      <w:r>
        <w:rPr>
          <w:sz w:val="24"/>
        </w:rPr>
        <w:t>地块周边</w:t>
      </w:r>
      <w:r>
        <w:rPr>
          <w:rFonts w:hint="eastAsia"/>
          <w:sz w:val="24"/>
        </w:rPr>
        <w:t>村镇小</w:t>
      </w:r>
      <w:r>
        <w:rPr>
          <w:sz w:val="24"/>
        </w:rPr>
        <w:t>路</w:t>
      </w:r>
      <w:r>
        <w:rPr>
          <w:rFonts w:hint="eastAsia"/>
          <w:sz w:val="24"/>
        </w:rPr>
        <w:t>纵横交错</w:t>
      </w:r>
      <w:r>
        <w:rPr>
          <w:sz w:val="24"/>
        </w:rPr>
        <w:t>，现状校园大门前道路平时有510公交车停靠，项目建设交通条件便利，能够满足项目建设需要。</w:t>
      </w:r>
    </w:p>
    <w:p>
      <w:pPr>
        <w:spacing w:line="360" w:lineRule="auto"/>
        <w:outlineLvl w:val="2"/>
        <w:rPr>
          <w:b/>
          <w:sz w:val="24"/>
          <w:szCs w:val="24"/>
        </w:rPr>
      </w:pPr>
      <w:bookmarkStart w:id="57" w:name="_Toc486070512"/>
      <w:bookmarkStart w:id="58" w:name="_Toc472321477"/>
      <w:r>
        <w:rPr>
          <w:b/>
          <w:sz w:val="24"/>
          <w:szCs w:val="24"/>
        </w:rPr>
        <w:t>2.1.6 周边污染源</w:t>
      </w:r>
      <w:bookmarkEnd w:id="57"/>
      <w:bookmarkEnd w:id="58"/>
    </w:p>
    <w:p>
      <w:pPr>
        <w:spacing w:line="360" w:lineRule="auto"/>
        <w:ind w:firstLine="480" w:firstLineChars="200"/>
        <w:rPr>
          <w:sz w:val="24"/>
        </w:rPr>
      </w:pPr>
      <w:r>
        <w:rPr>
          <w:sz w:val="24"/>
        </w:rPr>
        <w:t>项目周边主要为村镇居民、</w:t>
      </w:r>
      <w:r>
        <w:rPr>
          <w:rFonts w:hint="eastAsia"/>
          <w:sz w:val="24"/>
        </w:rPr>
        <w:t>小商铺、</w:t>
      </w:r>
      <w:r>
        <w:rPr>
          <w:sz w:val="24"/>
        </w:rPr>
        <w:t>农田</w:t>
      </w:r>
      <w:r>
        <w:rPr>
          <w:rFonts w:hint="eastAsia"/>
          <w:sz w:val="24"/>
        </w:rPr>
        <w:t>和池塘</w:t>
      </w:r>
      <w:r>
        <w:rPr>
          <w:sz w:val="24"/>
        </w:rPr>
        <w:t>等，</w:t>
      </w:r>
      <w:r>
        <w:rPr>
          <w:rFonts w:hint="eastAsia"/>
          <w:sz w:val="24"/>
        </w:rPr>
        <w:t>项目建成后四周为拟规划道路，因此，</w:t>
      </w:r>
      <w:r>
        <w:rPr>
          <w:sz w:val="24"/>
        </w:rPr>
        <w:t>主要污染源为</w:t>
      </w:r>
      <w:r>
        <w:rPr>
          <w:rFonts w:hint="eastAsia"/>
          <w:sz w:val="24"/>
        </w:rPr>
        <w:t>周边</w:t>
      </w:r>
      <w:r>
        <w:rPr>
          <w:sz w:val="24"/>
        </w:rPr>
        <w:t>社会噪声</w:t>
      </w:r>
      <w:r>
        <w:rPr>
          <w:rFonts w:hint="eastAsia"/>
          <w:sz w:val="24"/>
        </w:rPr>
        <w:t>及校园四周</w:t>
      </w:r>
      <w:r>
        <w:rPr>
          <w:sz w:val="24"/>
        </w:rPr>
        <w:t>道路车辆来往产生的汽车尾气、交通噪声等。</w:t>
      </w:r>
    </w:p>
    <w:p>
      <w:pPr>
        <w:pStyle w:val="42"/>
        <w:rPr>
          <w:rStyle w:val="43"/>
          <w:rFonts w:eastAsia="宋体"/>
        </w:rPr>
      </w:pPr>
      <w:bookmarkStart w:id="59" w:name="_Toc486070513"/>
      <w:r>
        <w:rPr>
          <w:rStyle w:val="43"/>
          <w:rFonts w:eastAsia="宋体"/>
        </w:rPr>
        <w:t>2.2环境功能区划及评价标准</w:t>
      </w:r>
      <w:bookmarkEnd w:id="53"/>
      <w:bookmarkEnd w:id="54"/>
      <w:bookmarkEnd w:id="55"/>
      <w:bookmarkEnd w:id="56"/>
      <w:bookmarkEnd w:id="59"/>
    </w:p>
    <w:p>
      <w:pPr>
        <w:spacing w:line="360" w:lineRule="auto"/>
        <w:outlineLvl w:val="2"/>
        <w:rPr>
          <w:b/>
          <w:sz w:val="24"/>
          <w:szCs w:val="24"/>
        </w:rPr>
      </w:pPr>
      <w:bookmarkStart w:id="60" w:name="_Toc402431652"/>
      <w:bookmarkStart w:id="61" w:name="_Toc400958088"/>
      <w:bookmarkStart w:id="62" w:name="_Toc402445218"/>
      <w:bookmarkStart w:id="63" w:name="_Toc486070514"/>
      <w:bookmarkStart w:id="64" w:name="_Toc472321479"/>
      <w:r>
        <w:rPr>
          <w:b/>
          <w:sz w:val="24"/>
          <w:szCs w:val="24"/>
        </w:rPr>
        <w:t>2.2.1</w:t>
      </w:r>
      <w:r>
        <w:rPr>
          <w:rFonts w:eastAsia="黑体"/>
          <w:b/>
          <w:sz w:val="24"/>
          <w:szCs w:val="24"/>
        </w:rPr>
        <w:t>环境功能区划</w:t>
      </w:r>
      <w:bookmarkEnd w:id="60"/>
      <w:bookmarkEnd w:id="61"/>
      <w:bookmarkEnd w:id="62"/>
      <w:bookmarkEnd w:id="63"/>
      <w:bookmarkEnd w:id="64"/>
    </w:p>
    <w:p>
      <w:pPr>
        <w:spacing w:line="360" w:lineRule="auto"/>
        <w:ind w:firstLine="480" w:firstLineChars="200"/>
        <w:rPr>
          <w:sz w:val="24"/>
          <w:szCs w:val="24"/>
        </w:rPr>
      </w:pPr>
      <w:r>
        <w:rPr>
          <w:sz w:val="24"/>
          <w:szCs w:val="24"/>
        </w:rPr>
        <w:t>（1）大气环境</w:t>
      </w:r>
    </w:p>
    <w:p>
      <w:pPr>
        <w:spacing w:line="360" w:lineRule="auto"/>
        <w:ind w:firstLine="480" w:firstLineChars="200"/>
        <w:rPr>
          <w:sz w:val="24"/>
          <w:szCs w:val="24"/>
        </w:rPr>
      </w:pPr>
      <w:r>
        <w:rPr>
          <w:sz w:val="24"/>
          <w:szCs w:val="24"/>
        </w:rPr>
        <w:t>根据《福州市人民政府关于印发福州市环境空气质量功能区划和福州市声环境功能区划的通知》（榕政综[2014]30号），项目所在区域为二类环境空气质量功能区，环境空气质量执行GB3095-2012《环境空气质量标准》中二级标准，详见表2.2-</w:t>
      </w:r>
      <w:r>
        <w:rPr>
          <w:rFonts w:hint="eastAsia"/>
          <w:sz w:val="24"/>
          <w:szCs w:val="24"/>
        </w:rPr>
        <w:t>1</w:t>
      </w:r>
      <w:r>
        <w:rPr>
          <w:sz w:val="24"/>
          <w:szCs w:val="24"/>
        </w:rPr>
        <w:t>。</w:t>
      </w:r>
    </w:p>
    <w:p>
      <w:pPr>
        <w:spacing w:line="360" w:lineRule="auto"/>
        <w:jc w:val="center"/>
        <w:rPr>
          <w:b/>
          <w:sz w:val="24"/>
        </w:rPr>
      </w:pPr>
      <w:r>
        <w:rPr>
          <w:b/>
          <w:sz w:val="24"/>
        </w:rPr>
        <w:t>表2.2-</w:t>
      </w:r>
      <w:r>
        <w:rPr>
          <w:rFonts w:hint="eastAsia"/>
          <w:b/>
          <w:sz w:val="24"/>
        </w:rPr>
        <w:t>1</w:t>
      </w:r>
      <w:r>
        <w:rPr>
          <w:b/>
          <w:sz w:val="24"/>
        </w:rPr>
        <w:t xml:space="preserve">   GB3095-2012《环境空气质量标准》（摘录）</w:t>
      </w:r>
    </w:p>
    <w:tbl>
      <w:tblPr>
        <w:tblStyle w:val="24"/>
        <w:tblW w:w="9102"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48"/>
        <w:gridCol w:w="2256"/>
        <w:gridCol w:w="1637"/>
        <w:gridCol w:w="2123"/>
        <w:gridCol w:w="223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序 号</w:t>
            </w:r>
          </w:p>
        </w:tc>
        <w:tc>
          <w:tcPr>
            <w:tcW w:w="2256"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污染物名称</w:t>
            </w: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取值时间</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二级标准</w:t>
            </w:r>
          </w:p>
        </w:tc>
        <w:tc>
          <w:tcPr>
            <w:tcW w:w="2238" w:type="dxa"/>
            <w:tcBorders>
              <w:top w:val="single" w:color="000000" w:sz="6" w:space="0"/>
              <w:left w:val="single" w:color="000000" w:sz="6" w:space="0"/>
              <w:bottom w:val="single" w:color="000000" w:sz="6" w:space="0"/>
              <w:right w:val="single" w:color="000000" w:sz="6" w:space="0"/>
            </w:tcBorders>
          </w:tcPr>
          <w:p>
            <w:pPr>
              <w:spacing w:line="340" w:lineRule="exact"/>
              <w:jc w:val="center"/>
              <w:rPr>
                <w:szCs w:val="21"/>
              </w:rPr>
            </w:pPr>
            <w:r>
              <w:rPr>
                <w:szCs w:val="21"/>
              </w:rPr>
              <w:t>单位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restart"/>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1</w:t>
            </w:r>
          </w:p>
        </w:tc>
        <w:tc>
          <w:tcPr>
            <w:tcW w:w="2256" w:type="dxa"/>
            <w:vMerge w:val="restart"/>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二氧化硫（SO</w:t>
            </w:r>
            <w:r>
              <w:rPr>
                <w:szCs w:val="21"/>
                <w:vertAlign w:val="subscript"/>
              </w:rPr>
              <w:t>2</w:t>
            </w:r>
            <w:r>
              <w:rPr>
                <w:szCs w:val="21"/>
              </w:rPr>
              <w:t>）</w:t>
            </w: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年平均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60</w:t>
            </w:r>
          </w:p>
        </w:tc>
        <w:tc>
          <w:tcPr>
            <w:tcW w:w="2238" w:type="dxa"/>
            <w:vMerge w:val="restart"/>
            <w:tcBorders>
              <w:top w:val="single" w:color="000000" w:sz="6" w:space="0"/>
              <w:left w:val="single" w:color="000000" w:sz="6" w:space="0"/>
              <w:right w:val="single" w:color="000000" w:sz="6" w:space="0"/>
            </w:tcBorders>
            <w:vAlign w:val="center"/>
          </w:tcPr>
          <w:p>
            <w:pPr>
              <w:spacing w:line="340" w:lineRule="exact"/>
              <w:jc w:val="center"/>
              <w:rPr>
                <w:szCs w:val="21"/>
              </w:rPr>
            </w:pPr>
            <w:r>
              <w:rPr>
                <w:szCs w:val="21"/>
              </w:rPr>
              <w:t>μg/m</w:t>
            </w:r>
            <w:r>
              <w:rPr>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szCs w:val="21"/>
              </w:rPr>
            </w:pPr>
          </w:p>
        </w:tc>
        <w:tc>
          <w:tcPr>
            <w:tcW w:w="225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szCs w:val="21"/>
              </w:rPr>
            </w:pP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24小时平均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150</w:t>
            </w:r>
          </w:p>
        </w:tc>
        <w:tc>
          <w:tcPr>
            <w:tcW w:w="2238" w:type="dxa"/>
            <w:vMerge w:val="continue"/>
            <w:tcBorders>
              <w:left w:val="single" w:color="000000" w:sz="6" w:space="0"/>
              <w:right w:val="single" w:color="000000" w:sz="6" w:space="0"/>
            </w:tcBorders>
            <w:vAlign w:val="center"/>
          </w:tcPr>
          <w:p>
            <w:pPr>
              <w:spacing w:line="34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szCs w:val="21"/>
              </w:rPr>
            </w:pPr>
          </w:p>
        </w:tc>
        <w:tc>
          <w:tcPr>
            <w:tcW w:w="225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szCs w:val="21"/>
              </w:rPr>
            </w:pP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1小时平均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500</w:t>
            </w:r>
          </w:p>
        </w:tc>
        <w:tc>
          <w:tcPr>
            <w:tcW w:w="2238" w:type="dxa"/>
            <w:vMerge w:val="continue"/>
            <w:tcBorders>
              <w:left w:val="single" w:color="000000" w:sz="6" w:space="0"/>
              <w:bottom w:val="single" w:color="000000" w:sz="6" w:space="0"/>
              <w:right w:val="single" w:color="000000" w:sz="6" w:space="0"/>
            </w:tcBorders>
            <w:vAlign w:val="center"/>
          </w:tcPr>
          <w:p>
            <w:pPr>
              <w:spacing w:line="34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restart"/>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2</w:t>
            </w:r>
          </w:p>
        </w:tc>
        <w:tc>
          <w:tcPr>
            <w:tcW w:w="2256" w:type="dxa"/>
            <w:vMerge w:val="restart"/>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二氧化氮（NO</w:t>
            </w:r>
            <w:r>
              <w:rPr>
                <w:szCs w:val="21"/>
                <w:vertAlign w:val="subscript"/>
              </w:rPr>
              <w:t>2</w:t>
            </w:r>
            <w:r>
              <w:rPr>
                <w:szCs w:val="21"/>
              </w:rPr>
              <w:t>）</w:t>
            </w: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年平均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40</w:t>
            </w:r>
          </w:p>
        </w:tc>
        <w:tc>
          <w:tcPr>
            <w:tcW w:w="2238" w:type="dxa"/>
            <w:vMerge w:val="restart"/>
            <w:tcBorders>
              <w:top w:val="single" w:color="000000" w:sz="6" w:space="0"/>
              <w:left w:val="single" w:color="000000" w:sz="6" w:space="0"/>
              <w:right w:val="single" w:color="000000" w:sz="6" w:space="0"/>
            </w:tcBorders>
            <w:vAlign w:val="center"/>
          </w:tcPr>
          <w:p>
            <w:pPr>
              <w:spacing w:line="340" w:lineRule="exact"/>
              <w:jc w:val="center"/>
              <w:rPr>
                <w:szCs w:val="21"/>
              </w:rPr>
            </w:pPr>
            <w:r>
              <w:rPr>
                <w:szCs w:val="21"/>
              </w:rPr>
              <w:t>μg/m</w:t>
            </w:r>
            <w:r>
              <w:rPr>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szCs w:val="21"/>
              </w:rPr>
            </w:pPr>
          </w:p>
        </w:tc>
        <w:tc>
          <w:tcPr>
            <w:tcW w:w="225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szCs w:val="21"/>
              </w:rPr>
            </w:pP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24小时平均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80</w:t>
            </w:r>
          </w:p>
        </w:tc>
        <w:tc>
          <w:tcPr>
            <w:tcW w:w="2238" w:type="dxa"/>
            <w:vMerge w:val="continue"/>
            <w:tcBorders>
              <w:left w:val="single" w:color="000000" w:sz="6" w:space="0"/>
              <w:right w:val="single" w:color="000000" w:sz="6" w:space="0"/>
            </w:tcBorders>
            <w:vAlign w:val="center"/>
          </w:tcPr>
          <w:p>
            <w:pPr>
              <w:spacing w:line="34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szCs w:val="21"/>
              </w:rPr>
            </w:pPr>
          </w:p>
        </w:tc>
        <w:tc>
          <w:tcPr>
            <w:tcW w:w="225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szCs w:val="21"/>
              </w:rPr>
            </w:pP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1小时平均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200</w:t>
            </w:r>
          </w:p>
        </w:tc>
        <w:tc>
          <w:tcPr>
            <w:tcW w:w="2238" w:type="dxa"/>
            <w:vMerge w:val="continue"/>
            <w:tcBorders>
              <w:left w:val="single" w:color="000000" w:sz="6" w:space="0"/>
              <w:bottom w:val="single" w:color="000000" w:sz="6" w:space="0"/>
              <w:right w:val="single" w:color="000000" w:sz="6" w:space="0"/>
            </w:tcBorders>
            <w:vAlign w:val="center"/>
          </w:tcPr>
          <w:p>
            <w:pPr>
              <w:spacing w:line="34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restart"/>
            <w:tcBorders>
              <w:top w:val="single" w:color="000000" w:sz="6" w:space="0"/>
              <w:left w:val="single" w:color="000000" w:sz="6" w:space="0"/>
              <w:right w:val="single" w:color="000000" w:sz="6" w:space="0"/>
            </w:tcBorders>
            <w:vAlign w:val="center"/>
          </w:tcPr>
          <w:p>
            <w:pPr>
              <w:widowControl/>
              <w:jc w:val="center"/>
              <w:rPr>
                <w:szCs w:val="21"/>
              </w:rPr>
            </w:pPr>
            <w:r>
              <w:rPr>
                <w:szCs w:val="21"/>
              </w:rPr>
              <w:t>3</w:t>
            </w:r>
          </w:p>
        </w:tc>
        <w:tc>
          <w:tcPr>
            <w:tcW w:w="2256" w:type="dxa"/>
            <w:vMerge w:val="restart"/>
            <w:tcBorders>
              <w:top w:val="single" w:color="000000" w:sz="6" w:space="0"/>
              <w:left w:val="single" w:color="000000" w:sz="6" w:space="0"/>
              <w:right w:val="single" w:color="000000" w:sz="6" w:space="0"/>
            </w:tcBorders>
            <w:vAlign w:val="center"/>
          </w:tcPr>
          <w:p>
            <w:pPr>
              <w:widowControl/>
              <w:jc w:val="center"/>
              <w:rPr>
                <w:szCs w:val="21"/>
              </w:rPr>
            </w:pPr>
            <w:r>
              <w:rPr>
                <w:szCs w:val="21"/>
              </w:rPr>
              <w:t>一氧化碳（CO）</w:t>
            </w: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24小时平均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4</w:t>
            </w:r>
          </w:p>
        </w:tc>
        <w:tc>
          <w:tcPr>
            <w:tcW w:w="2238" w:type="dxa"/>
            <w:vMerge w:val="restart"/>
            <w:tcBorders>
              <w:top w:val="single" w:color="000000" w:sz="6" w:space="0"/>
              <w:left w:val="single" w:color="000000" w:sz="6" w:space="0"/>
              <w:right w:val="single" w:color="000000" w:sz="6" w:space="0"/>
            </w:tcBorders>
            <w:vAlign w:val="center"/>
          </w:tcPr>
          <w:p>
            <w:pPr>
              <w:spacing w:line="340" w:lineRule="exact"/>
              <w:jc w:val="center"/>
              <w:rPr>
                <w:szCs w:val="21"/>
              </w:rPr>
            </w:pPr>
            <w:r>
              <w:rPr>
                <w:szCs w:val="21"/>
              </w:rPr>
              <w:t>mg/m</w:t>
            </w:r>
            <w:r>
              <w:rPr>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continue"/>
            <w:tcBorders>
              <w:left w:val="single" w:color="000000" w:sz="6" w:space="0"/>
              <w:bottom w:val="single" w:color="000000" w:sz="6" w:space="0"/>
              <w:right w:val="single" w:color="000000" w:sz="6" w:space="0"/>
            </w:tcBorders>
            <w:vAlign w:val="center"/>
          </w:tcPr>
          <w:p>
            <w:pPr>
              <w:widowControl/>
              <w:jc w:val="center"/>
              <w:rPr>
                <w:szCs w:val="21"/>
              </w:rPr>
            </w:pPr>
          </w:p>
        </w:tc>
        <w:tc>
          <w:tcPr>
            <w:tcW w:w="2256" w:type="dxa"/>
            <w:vMerge w:val="continue"/>
            <w:tcBorders>
              <w:left w:val="single" w:color="000000" w:sz="6" w:space="0"/>
              <w:bottom w:val="single" w:color="000000" w:sz="6" w:space="0"/>
              <w:right w:val="single" w:color="000000" w:sz="6" w:space="0"/>
            </w:tcBorders>
            <w:vAlign w:val="center"/>
          </w:tcPr>
          <w:p>
            <w:pPr>
              <w:widowControl/>
              <w:jc w:val="center"/>
              <w:rPr>
                <w:szCs w:val="21"/>
              </w:rPr>
            </w:pP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1小时平均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10</w:t>
            </w:r>
          </w:p>
        </w:tc>
        <w:tc>
          <w:tcPr>
            <w:tcW w:w="2238" w:type="dxa"/>
            <w:vMerge w:val="continue"/>
            <w:tcBorders>
              <w:left w:val="single" w:color="000000" w:sz="6" w:space="0"/>
              <w:bottom w:val="single" w:color="000000" w:sz="6" w:space="0"/>
              <w:right w:val="single" w:color="000000" w:sz="6" w:space="0"/>
            </w:tcBorders>
            <w:vAlign w:val="center"/>
          </w:tcPr>
          <w:p>
            <w:pPr>
              <w:spacing w:line="34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restart"/>
            <w:tcBorders>
              <w:top w:val="single" w:color="000000" w:sz="6" w:space="0"/>
              <w:left w:val="single" w:color="000000" w:sz="6" w:space="0"/>
              <w:right w:val="single" w:color="000000" w:sz="6" w:space="0"/>
            </w:tcBorders>
            <w:vAlign w:val="center"/>
          </w:tcPr>
          <w:p>
            <w:pPr>
              <w:widowControl/>
              <w:jc w:val="center"/>
              <w:rPr>
                <w:szCs w:val="21"/>
              </w:rPr>
            </w:pPr>
            <w:r>
              <w:rPr>
                <w:szCs w:val="21"/>
              </w:rPr>
              <w:t>4</w:t>
            </w:r>
          </w:p>
        </w:tc>
        <w:tc>
          <w:tcPr>
            <w:tcW w:w="2256" w:type="dxa"/>
            <w:vMerge w:val="restart"/>
            <w:tcBorders>
              <w:top w:val="single" w:color="000000" w:sz="6" w:space="0"/>
              <w:left w:val="single" w:color="000000" w:sz="6" w:space="0"/>
              <w:right w:val="single" w:color="000000" w:sz="6" w:space="0"/>
            </w:tcBorders>
            <w:vAlign w:val="center"/>
          </w:tcPr>
          <w:p>
            <w:pPr>
              <w:widowControl/>
              <w:jc w:val="center"/>
              <w:rPr>
                <w:szCs w:val="21"/>
              </w:rPr>
            </w:pPr>
            <w:r>
              <w:rPr>
                <w:szCs w:val="21"/>
              </w:rPr>
              <w:t>粒径小于等于2.5μm的颗粒物（PM</w:t>
            </w:r>
            <w:r>
              <w:rPr>
                <w:szCs w:val="21"/>
                <w:vertAlign w:val="subscript"/>
              </w:rPr>
              <w:t>2.5</w:t>
            </w:r>
            <w:r>
              <w:rPr>
                <w:szCs w:val="21"/>
              </w:rPr>
              <w:t>）</w:t>
            </w: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年平均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35</w:t>
            </w:r>
          </w:p>
        </w:tc>
        <w:tc>
          <w:tcPr>
            <w:tcW w:w="2238" w:type="dxa"/>
            <w:vMerge w:val="restart"/>
            <w:tcBorders>
              <w:top w:val="single" w:color="000000" w:sz="6" w:space="0"/>
              <w:left w:val="single" w:color="000000" w:sz="6" w:space="0"/>
              <w:right w:val="single" w:color="000000" w:sz="6" w:space="0"/>
            </w:tcBorders>
            <w:vAlign w:val="center"/>
          </w:tcPr>
          <w:p>
            <w:pPr>
              <w:spacing w:line="340" w:lineRule="exact"/>
              <w:jc w:val="center"/>
              <w:rPr>
                <w:szCs w:val="21"/>
              </w:rPr>
            </w:pPr>
            <w:r>
              <w:rPr>
                <w:szCs w:val="21"/>
              </w:rPr>
              <w:t>μg/m</w:t>
            </w:r>
            <w:r>
              <w:rPr>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continue"/>
            <w:tcBorders>
              <w:left w:val="single" w:color="000000" w:sz="6" w:space="0"/>
              <w:bottom w:val="single" w:color="000000" w:sz="6" w:space="0"/>
              <w:right w:val="single" w:color="000000" w:sz="6" w:space="0"/>
            </w:tcBorders>
            <w:vAlign w:val="center"/>
          </w:tcPr>
          <w:p>
            <w:pPr>
              <w:widowControl/>
              <w:jc w:val="left"/>
              <w:rPr>
                <w:szCs w:val="21"/>
              </w:rPr>
            </w:pPr>
          </w:p>
        </w:tc>
        <w:tc>
          <w:tcPr>
            <w:tcW w:w="2256" w:type="dxa"/>
            <w:vMerge w:val="continue"/>
            <w:tcBorders>
              <w:left w:val="single" w:color="000000" w:sz="6" w:space="0"/>
              <w:bottom w:val="single" w:color="000000" w:sz="6" w:space="0"/>
              <w:right w:val="single" w:color="000000" w:sz="6" w:space="0"/>
            </w:tcBorders>
            <w:vAlign w:val="center"/>
          </w:tcPr>
          <w:p>
            <w:pPr>
              <w:widowControl/>
              <w:jc w:val="left"/>
              <w:rPr>
                <w:szCs w:val="21"/>
              </w:rPr>
            </w:pP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24小时平均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75</w:t>
            </w:r>
          </w:p>
        </w:tc>
        <w:tc>
          <w:tcPr>
            <w:tcW w:w="2238" w:type="dxa"/>
            <w:vMerge w:val="continue"/>
            <w:tcBorders>
              <w:left w:val="single" w:color="000000" w:sz="6" w:space="0"/>
              <w:right w:val="single" w:color="000000" w:sz="6" w:space="0"/>
            </w:tcBorders>
          </w:tcPr>
          <w:p>
            <w:pPr>
              <w:spacing w:line="34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restart"/>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5</w:t>
            </w:r>
          </w:p>
        </w:tc>
        <w:tc>
          <w:tcPr>
            <w:tcW w:w="2256" w:type="dxa"/>
            <w:vMerge w:val="restart"/>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粒径小于等于10μm的颗粒物（PM</w:t>
            </w:r>
            <w:r>
              <w:rPr>
                <w:szCs w:val="21"/>
                <w:vertAlign w:val="subscript"/>
              </w:rPr>
              <w:t>10</w:t>
            </w:r>
            <w:r>
              <w:rPr>
                <w:szCs w:val="21"/>
              </w:rPr>
              <w:t>）</w:t>
            </w: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年平均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70</w:t>
            </w:r>
          </w:p>
        </w:tc>
        <w:tc>
          <w:tcPr>
            <w:tcW w:w="2238" w:type="dxa"/>
            <w:vMerge w:val="continue"/>
            <w:tcBorders>
              <w:left w:val="single" w:color="000000" w:sz="6" w:space="0"/>
              <w:right w:val="single" w:color="000000" w:sz="6" w:space="0"/>
            </w:tcBorders>
          </w:tcPr>
          <w:p>
            <w:pPr>
              <w:spacing w:line="34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szCs w:val="21"/>
              </w:rPr>
            </w:pPr>
          </w:p>
        </w:tc>
        <w:tc>
          <w:tcPr>
            <w:tcW w:w="225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szCs w:val="21"/>
              </w:rPr>
            </w:pP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24小时平均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150</w:t>
            </w:r>
          </w:p>
        </w:tc>
        <w:tc>
          <w:tcPr>
            <w:tcW w:w="2238" w:type="dxa"/>
            <w:vMerge w:val="continue"/>
            <w:tcBorders>
              <w:left w:val="single" w:color="000000" w:sz="6" w:space="0"/>
              <w:right w:val="single" w:color="000000" w:sz="6" w:space="0"/>
            </w:tcBorders>
          </w:tcPr>
          <w:p>
            <w:pPr>
              <w:spacing w:line="34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restart"/>
            <w:tcBorders>
              <w:top w:val="single" w:color="000000" w:sz="6" w:space="0"/>
              <w:left w:val="single" w:color="000000" w:sz="6" w:space="0"/>
              <w:bottom w:val="single" w:color="000000" w:sz="12" w:space="0"/>
              <w:right w:val="single" w:color="000000" w:sz="6" w:space="0"/>
            </w:tcBorders>
            <w:vAlign w:val="center"/>
          </w:tcPr>
          <w:p>
            <w:pPr>
              <w:spacing w:line="340" w:lineRule="exact"/>
              <w:jc w:val="center"/>
              <w:rPr>
                <w:szCs w:val="21"/>
              </w:rPr>
            </w:pPr>
            <w:r>
              <w:rPr>
                <w:szCs w:val="21"/>
              </w:rPr>
              <w:t>6</w:t>
            </w:r>
          </w:p>
        </w:tc>
        <w:tc>
          <w:tcPr>
            <w:tcW w:w="2256" w:type="dxa"/>
            <w:vMerge w:val="restart"/>
            <w:tcBorders>
              <w:top w:val="single" w:color="000000" w:sz="6" w:space="0"/>
              <w:left w:val="single" w:color="000000" w:sz="6" w:space="0"/>
              <w:bottom w:val="single" w:color="000000" w:sz="12" w:space="0"/>
              <w:right w:val="single" w:color="000000" w:sz="6" w:space="0"/>
            </w:tcBorders>
            <w:vAlign w:val="center"/>
          </w:tcPr>
          <w:p>
            <w:pPr>
              <w:spacing w:line="340" w:lineRule="exact"/>
              <w:jc w:val="center"/>
              <w:rPr>
                <w:szCs w:val="21"/>
              </w:rPr>
            </w:pPr>
            <w:r>
              <w:rPr>
                <w:szCs w:val="21"/>
              </w:rPr>
              <w:t>总悬浮颗粒（TSP）</w:t>
            </w: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年平均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200</w:t>
            </w:r>
          </w:p>
        </w:tc>
        <w:tc>
          <w:tcPr>
            <w:tcW w:w="2238" w:type="dxa"/>
            <w:vMerge w:val="continue"/>
            <w:tcBorders>
              <w:left w:val="single" w:color="000000" w:sz="6" w:space="0"/>
              <w:right w:val="single" w:color="000000" w:sz="6" w:space="0"/>
            </w:tcBorders>
          </w:tcPr>
          <w:p>
            <w:pPr>
              <w:spacing w:line="34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848"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szCs w:val="21"/>
              </w:rPr>
            </w:pPr>
          </w:p>
        </w:tc>
        <w:tc>
          <w:tcPr>
            <w:tcW w:w="225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szCs w:val="21"/>
              </w:rPr>
            </w:pPr>
          </w:p>
        </w:tc>
        <w:tc>
          <w:tcPr>
            <w:tcW w:w="163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24小时平均</w:t>
            </w:r>
          </w:p>
        </w:tc>
        <w:tc>
          <w:tcPr>
            <w:tcW w:w="2123"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300</w:t>
            </w:r>
          </w:p>
        </w:tc>
        <w:tc>
          <w:tcPr>
            <w:tcW w:w="2238" w:type="dxa"/>
            <w:vMerge w:val="continue"/>
            <w:tcBorders>
              <w:left w:val="single" w:color="000000" w:sz="6" w:space="0"/>
              <w:bottom w:val="single" w:color="000000" w:sz="6" w:space="0"/>
              <w:right w:val="single" w:color="000000" w:sz="6" w:space="0"/>
            </w:tcBorders>
          </w:tcPr>
          <w:p>
            <w:pPr>
              <w:spacing w:line="340" w:lineRule="exact"/>
              <w:jc w:val="center"/>
              <w:rPr>
                <w:szCs w:val="21"/>
              </w:rPr>
            </w:pPr>
          </w:p>
        </w:tc>
      </w:tr>
    </w:tbl>
    <w:p>
      <w:pPr>
        <w:spacing w:line="360" w:lineRule="auto"/>
        <w:ind w:firstLine="480" w:firstLineChars="200"/>
        <w:rPr>
          <w:sz w:val="24"/>
          <w:szCs w:val="24"/>
        </w:rPr>
      </w:pPr>
      <w:r>
        <w:rPr>
          <w:sz w:val="24"/>
          <w:szCs w:val="24"/>
        </w:rPr>
        <w:t>（2）声环境</w:t>
      </w:r>
    </w:p>
    <w:p>
      <w:pPr>
        <w:spacing w:line="360" w:lineRule="auto"/>
        <w:ind w:firstLine="480" w:firstLineChars="200"/>
        <w:rPr>
          <w:sz w:val="24"/>
          <w:szCs w:val="24"/>
        </w:rPr>
      </w:pPr>
      <w:r>
        <w:rPr>
          <w:sz w:val="24"/>
          <w:szCs w:val="24"/>
        </w:rPr>
        <w:t>根据《福州市人民政府关于印发福州市环境空气质量功能区划和福州市声环境功能区划的通知》（榕政综[2014]30号），项目所在区域为2类声环境功能区，声环境质量执行GB3096-2008《声环境质量标准》中2类标准，详见表2.2-</w:t>
      </w:r>
      <w:r>
        <w:rPr>
          <w:rFonts w:hint="eastAsia"/>
          <w:sz w:val="24"/>
          <w:szCs w:val="24"/>
        </w:rPr>
        <w:t>2</w:t>
      </w:r>
      <w:r>
        <w:rPr>
          <w:sz w:val="24"/>
          <w:szCs w:val="24"/>
        </w:rPr>
        <w:t>。</w:t>
      </w:r>
    </w:p>
    <w:p>
      <w:pPr>
        <w:spacing w:line="360" w:lineRule="auto"/>
        <w:jc w:val="center"/>
        <w:rPr>
          <w:b/>
          <w:sz w:val="24"/>
        </w:rPr>
      </w:pPr>
      <w:r>
        <w:rPr>
          <w:b/>
          <w:sz w:val="24"/>
        </w:rPr>
        <w:t>表2.2-</w:t>
      </w:r>
      <w:r>
        <w:rPr>
          <w:rFonts w:hint="eastAsia"/>
          <w:b/>
          <w:sz w:val="24"/>
        </w:rPr>
        <w:t>2</w:t>
      </w:r>
      <w:r>
        <w:rPr>
          <w:b/>
          <w:sz w:val="24"/>
        </w:rPr>
        <w:t xml:space="preserve">   GB3096-2008《声环境质量标准》（摘录）</w:t>
      </w:r>
    </w:p>
    <w:tbl>
      <w:tblPr>
        <w:tblStyle w:val="24"/>
        <w:tblW w:w="0" w:type="auto"/>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92"/>
        <w:gridCol w:w="4692"/>
        <w:gridCol w:w="1439"/>
        <w:gridCol w:w="1368"/>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2" w:type="dxa"/>
            <w:vMerge w:val="restart"/>
            <w:tcBorders>
              <w:top w:val="single" w:color="000000" w:sz="6" w:space="0"/>
              <w:left w:val="single" w:color="000000" w:sz="6" w:space="0"/>
              <w:bottom w:val="single" w:color="000000" w:sz="6" w:space="0"/>
              <w:right w:val="single" w:color="auto" w:sz="4" w:space="0"/>
            </w:tcBorders>
            <w:vAlign w:val="center"/>
          </w:tcPr>
          <w:p>
            <w:pPr>
              <w:pStyle w:val="40"/>
              <w:spacing w:line="340" w:lineRule="exact"/>
              <w:rPr>
                <w:snapToGrid w:val="0"/>
                <w:kern w:val="18"/>
                <w:szCs w:val="21"/>
              </w:rPr>
            </w:pPr>
            <w:bookmarkStart w:id="65" w:name="_Toc486070515"/>
            <w:bookmarkStart w:id="66" w:name="_Toc486003317"/>
            <w:r>
              <w:rPr>
                <w:snapToGrid w:val="0"/>
                <w:kern w:val="18"/>
                <w:szCs w:val="21"/>
              </w:rPr>
              <w:t>声环境功能区类别</w:t>
            </w:r>
            <w:bookmarkEnd w:id="65"/>
            <w:bookmarkEnd w:id="66"/>
          </w:p>
        </w:tc>
        <w:tc>
          <w:tcPr>
            <w:tcW w:w="4692" w:type="dxa"/>
            <w:vMerge w:val="restart"/>
            <w:tcBorders>
              <w:top w:val="single" w:color="000000" w:sz="6" w:space="0"/>
              <w:left w:val="single" w:color="auto" w:sz="4" w:space="0"/>
              <w:bottom w:val="single" w:color="000000" w:sz="6" w:space="0"/>
            </w:tcBorders>
            <w:vAlign w:val="center"/>
          </w:tcPr>
          <w:p>
            <w:pPr>
              <w:pStyle w:val="40"/>
              <w:spacing w:line="340" w:lineRule="exact"/>
              <w:rPr>
                <w:snapToGrid w:val="0"/>
                <w:kern w:val="18"/>
                <w:szCs w:val="21"/>
              </w:rPr>
            </w:pPr>
            <w:bookmarkStart w:id="67" w:name="_Toc486070516"/>
            <w:bookmarkStart w:id="68" w:name="_Toc486003318"/>
            <w:r>
              <w:rPr>
                <w:snapToGrid w:val="0"/>
                <w:kern w:val="18"/>
                <w:szCs w:val="21"/>
              </w:rPr>
              <w:t>适用区域</w:t>
            </w:r>
            <w:bookmarkEnd w:id="67"/>
            <w:bookmarkEnd w:id="68"/>
          </w:p>
        </w:tc>
        <w:tc>
          <w:tcPr>
            <w:tcW w:w="2807" w:type="dxa"/>
            <w:gridSpan w:val="2"/>
            <w:tcBorders>
              <w:top w:val="single" w:color="000000" w:sz="6" w:space="0"/>
              <w:bottom w:val="single" w:color="000000" w:sz="6" w:space="0"/>
              <w:right w:val="single" w:color="000000" w:sz="6" w:space="0"/>
            </w:tcBorders>
            <w:vAlign w:val="center"/>
          </w:tcPr>
          <w:p>
            <w:pPr>
              <w:pStyle w:val="40"/>
              <w:spacing w:line="340" w:lineRule="exact"/>
              <w:rPr>
                <w:snapToGrid w:val="0"/>
                <w:kern w:val="18"/>
                <w:szCs w:val="21"/>
              </w:rPr>
            </w:pPr>
            <w:bookmarkStart w:id="69" w:name="_Toc486003319"/>
            <w:bookmarkStart w:id="70" w:name="_Toc486070517"/>
            <w:r>
              <w:rPr>
                <w:snapToGrid w:val="0"/>
                <w:kern w:val="18"/>
                <w:szCs w:val="21"/>
              </w:rPr>
              <w:t>等效声级L</w:t>
            </w:r>
            <w:r>
              <w:rPr>
                <w:szCs w:val="21"/>
              </w:rPr>
              <w:t>eq</w:t>
            </w:r>
            <w:r>
              <w:rPr>
                <w:snapToGrid w:val="0"/>
                <w:kern w:val="18"/>
                <w:szCs w:val="21"/>
              </w:rPr>
              <w:t>(dB（A）)</w:t>
            </w:r>
            <w:bookmarkEnd w:id="69"/>
            <w:bookmarkEnd w:id="70"/>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2" w:type="dxa"/>
            <w:vMerge w:val="continue"/>
            <w:tcBorders>
              <w:top w:val="single" w:color="000000" w:sz="6" w:space="0"/>
              <w:left w:val="single" w:color="000000" w:sz="6" w:space="0"/>
              <w:bottom w:val="single" w:color="000000" w:sz="6" w:space="0"/>
              <w:right w:val="single" w:color="auto" w:sz="4" w:space="0"/>
            </w:tcBorders>
            <w:vAlign w:val="center"/>
          </w:tcPr>
          <w:p>
            <w:pPr>
              <w:pStyle w:val="40"/>
              <w:spacing w:line="340" w:lineRule="exact"/>
              <w:rPr>
                <w:snapToGrid w:val="0"/>
                <w:kern w:val="18"/>
                <w:szCs w:val="21"/>
              </w:rPr>
            </w:pPr>
          </w:p>
        </w:tc>
        <w:tc>
          <w:tcPr>
            <w:tcW w:w="4692" w:type="dxa"/>
            <w:vMerge w:val="continue"/>
            <w:tcBorders>
              <w:top w:val="single" w:color="000000" w:sz="6" w:space="0"/>
              <w:left w:val="single" w:color="auto" w:sz="4" w:space="0"/>
              <w:bottom w:val="single" w:color="000000" w:sz="6" w:space="0"/>
            </w:tcBorders>
            <w:vAlign w:val="center"/>
          </w:tcPr>
          <w:p>
            <w:pPr>
              <w:pStyle w:val="40"/>
              <w:spacing w:line="340" w:lineRule="exact"/>
              <w:rPr>
                <w:snapToGrid w:val="0"/>
                <w:kern w:val="18"/>
                <w:szCs w:val="21"/>
              </w:rPr>
            </w:pPr>
          </w:p>
        </w:tc>
        <w:tc>
          <w:tcPr>
            <w:tcW w:w="1439" w:type="dxa"/>
            <w:tcBorders>
              <w:top w:val="single" w:color="000000" w:sz="6" w:space="0"/>
              <w:bottom w:val="single" w:color="000000" w:sz="6" w:space="0"/>
            </w:tcBorders>
            <w:vAlign w:val="center"/>
          </w:tcPr>
          <w:p>
            <w:pPr>
              <w:pStyle w:val="40"/>
              <w:spacing w:line="340" w:lineRule="exact"/>
              <w:rPr>
                <w:snapToGrid w:val="0"/>
                <w:kern w:val="18"/>
                <w:szCs w:val="21"/>
              </w:rPr>
            </w:pPr>
            <w:bookmarkStart w:id="71" w:name="_Toc486070518"/>
            <w:bookmarkStart w:id="72" w:name="_Toc486003320"/>
            <w:r>
              <w:rPr>
                <w:snapToGrid w:val="0"/>
                <w:kern w:val="18"/>
                <w:szCs w:val="21"/>
              </w:rPr>
              <w:t>昼间</w:t>
            </w:r>
            <w:bookmarkEnd w:id="71"/>
            <w:bookmarkEnd w:id="72"/>
          </w:p>
        </w:tc>
        <w:tc>
          <w:tcPr>
            <w:tcW w:w="1368" w:type="dxa"/>
            <w:tcBorders>
              <w:top w:val="single" w:color="000000" w:sz="6" w:space="0"/>
              <w:bottom w:val="single" w:color="000000" w:sz="6" w:space="0"/>
              <w:right w:val="single" w:color="000000" w:sz="6" w:space="0"/>
            </w:tcBorders>
            <w:vAlign w:val="center"/>
          </w:tcPr>
          <w:p>
            <w:pPr>
              <w:pStyle w:val="40"/>
              <w:spacing w:line="340" w:lineRule="exact"/>
              <w:rPr>
                <w:snapToGrid w:val="0"/>
                <w:kern w:val="18"/>
                <w:szCs w:val="21"/>
              </w:rPr>
            </w:pPr>
            <w:bookmarkStart w:id="73" w:name="_Toc486070519"/>
            <w:bookmarkStart w:id="74" w:name="_Toc486003321"/>
            <w:r>
              <w:rPr>
                <w:snapToGrid w:val="0"/>
                <w:kern w:val="18"/>
                <w:szCs w:val="21"/>
              </w:rPr>
              <w:t>夜间</w:t>
            </w:r>
            <w:bookmarkEnd w:id="73"/>
            <w:bookmarkEnd w:id="74"/>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2" w:type="dxa"/>
            <w:tcBorders>
              <w:top w:val="single" w:color="000000" w:sz="6" w:space="0"/>
              <w:left w:val="single" w:color="000000" w:sz="6" w:space="0"/>
              <w:bottom w:val="single" w:color="000000" w:sz="6" w:space="0"/>
              <w:right w:val="single" w:color="auto" w:sz="4" w:space="0"/>
            </w:tcBorders>
            <w:vAlign w:val="center"/>
          </w:tcPr>
          <w:p>
            <w:pPr>
              <w:pStyle w:val="40"/>
              <w:spacing w:line="340" w:lineRule="exact"/>
              <w:rPr>
                <w:snapToGrid w:val="0"/>
                <w:kern w:val="18"/>
                <w:szCs w:val="21"/>
              </w:rPr>
            </w:pPr>
            <w:bookmarkStart w:id="75" w:name="_Toc486003322"/>
            <w:bookmarkStart w:id="76" w:name="_Toc486070520"/>
            <w:r>
              <w:rPr>
                <w:snapToGrid w:val="0"/>
                <w:kern w:val="18"/>
                <w:szCs w:val="21"/>
              </w:rPr>
              <w:t>2</w:t>
            </w:r>
            <w:bookmarkEnd w:id="75"/>
            <w:bookmarkEnd w:id="76"/>
          </w:p>
        </w:tc>
        <w:tc>
          <w:tcPr>
            <w:tcW w:w="4692" w:type="dxa"/>
            <w:tcBorders>
              <w:top w:val="single" w:color="000000" w:sz="6" w:space="0"/>
              <w:left w:val="single" w:color="auto" w:sz="4" w:space="0"/>
              <w:bottom w:val="single" w:color="000000" w:sz="6" w:space="0"/>
            </w:tcBorders>
            <w:vAlign w:val="center"/>
          </w:tcPr>
          <w:p>
            <w:pPr>
              <w:pStyle w:val="40"/>
              <w:spacing w:line="340" w:lineRule="exact"/>
              <w:rPr>
                <w:snapToGrid w:val="0"/>
                <w:kern w:val="18"/>
                <w:szCs w:val="21"/>
              </w:rPr>
            </w:pPr>
            <w:bookmarkStart w:id="77" w:name="_Toc486070521"/>
            <w:bookmarkStart w:id="78" w:name="_Toc486003323"/>
            <w:r>
              <w:rPr>
                <w:szCs w:val="21"/>
              </w:rPr>
              <w:t>指以商业金融、集市贸易为主要功能，或者居住、商业、工业混杂，需要维护住宅安静的区域。</w:t>
            </w:r>
            <w:bookmarkEnd w:id="77"/>
            <w:bookmarkEnd w:id="78"/>
          </w:p>
        </w:tc>
        <w:tc>
          <w:tcPr>
            <w:tcW w:w="1439" w:type="dxa"/>
            <w:tcBorders>
              <w:top w:val="single" w:color="000000" w:sz="6" w:space="0"/>
              <w:bottom w:val="single" w:color="000000" w:sz="6" w:space="0"/>
            </w:tcBorders>
            <w:vAlign w:val="center"/>
          </w:tcPr>
          <w:p>
            <w:pPr>
              <w:pStyle w:val="40"/>
              <w:spacing w:line="340" w:lineRule="exact"/>
              <w:rPr>
                <w:snapToGrid w:val="0"/>
                <w:kern w:val="18"/>
                <w:szCs w:val="21"/>
              </w:rPr>
            </w:pPr>
            <w:bookmarkStart w:id="79" w:name="_Toc486070522"/>
            <w:bookmarkStart w:id="80" w:name="_Toc486003324"/>
            <w:r>
              <w:rPr>
                <w:snapToGrid w:val="0"/>
                <w:kern w:val="18"/>
                <w:szCs w:val="21"/>
              </w:rPr>
              <w:t>60</w:t>
            </w:r>
            <w:bookmarkEnd w:id="79"/>
            <w:bookmarkEnd w:id="80"/>
          </w:p>
        </w:tc>
        <w:tc>
          <w:tcPr>
            <w:tcW w:w="1368" w:type="dxa"/>
            <w:tcBorders>
              <w:top w:val="single" w:color="000000" w:sz="6" w:space="0"/>
              <w:bottom w:val="single" w:color="000000" w:sz="6" w:space="0"/>
              <w:right w:val="single" w:color="000000" w:sz="6" w:space="0"/>
            </w:tcBorders>
            <w:vAlign w:val="center"/>
          </w:tcPr>
          <w:p>
            <w:pPr>
              <w:pStyle w:val="40"/>
              <w:spacing w:line="340" w:lineRule="exact"/>
              <w:rPr>
                <w:snapToGrid w:val="0"/>
                <w:kern w:val="18"/>
                <w:szCs w:val="21"/>
              </w:rPr>
            </w:pPr>
            <w:bookmarkStart w:id="81" w:name="_Toc486003325"/>
            <w:bookmarkStart w:id="82" w:name="_Toc486070523"/>
            <w:r>
              <w:rPr>
                <w:snapToGrid w:val="0"/>
                <w:kern w:val="18"/>
                <w:szCs w:val="21"/>
              </w:rPr>
              <w:t>50</w:t>
            </w:r>
            <w:bookmarkEnd w:id="81"/>
            <w:bookmarkEnd w:id="82"/>
          </w:p>
        </w:tc>
      </w:tr>
    </w:tbl>
    <w:p>
      <w:pPr>
        <w:spacing w:line="360" w:lineRule="auto"/>
        <w:outlineLvl w:val="2"/>
        <w:rPr>
          <w:b/>
          <w:sz w:val="24"/>
          <w:szCs w:val="24"/>
        </w:rPr>
      </w:pPr>
      <w:bookmarkStart w:id="83" w:name="_Toc400958089"/>
      <w:bookmarkStart w:id="84" w:name="_Toc402431653"/>
      <w:bookmarkStart w:id="85" w:name="_Toc486070524"/>
      <w:bookmarkStart w:id="86" w:name="_Toc472321480"/>
      <w:bookmarkStart w:id="87" w:name="_Toc402445219"/>
      <w:r>
        <w:rPr>
          <w:b/>
          <w:sz w:val="24"/>
          <w:szCs w:val="24"/>
        </w:rPr>
        <w:t>2.2.2评价标准</w:t>
      </w:r>
      <w:bookmarkEnd w:id="83"/>
      <w:bookmarkEnd w:id="84"/>
      <w:bookmarkEnd w:id="85"/>
      <w:bookmarkEnd w:id="86"/>
      <w:bookmarkEnd w:id="87"/>
    </w:p>
    <w:p>
      <w:pPr>
        <w:spacing w:line="360" w:lineRule="auto"/>
        <w:ind w:firstLine="480" w:firstLineChars="200"/>
        <w:rPr>
          <w:sz w:val="24"/>
          <w:szCs w:val="22"/>
        </w:rPr>
      </w:pPr>
      <w:r>
        <w:rPr>
          <w:sz w:val="24"/>
        </w:rPr>
        <w:t>（1）</w:t>
      </w:r>
      <w:r>
        <w:rPr>
          <w:sz w:val="24"/>
          <w:szCs w:val="22"/>
        </w:rPr>
        <w:t>声环境评价标准</w:t>
      </w:r>
    </w:p>
    <w:p>
      <w:pPr>
        <w:spacing w:line="360" w:lineRule="auto"/>
        <w:ind w:firstLine="480" w:firstLineChars="200"/>
        <w:rPr>
          <w:sz w:val="24"/>
          <w:szCs w:val="22"/>
        </w:rPr>
      </w:pPr>
      <w:r>
        <w:rPr>
          <w:sz w:val="24"/>
          <w:szCs w:val="22"/>
        </w:rPr>
        <w:t>施工期执行《建筑施工场界环境噪声排放标准》（GB12523-2011）；运营期执行《声环境质量标准》（GB3096-2008）中2类标准见表2.2-</w:t>
      </w:r>
      <w:r>
        <w:rPr>
          <w:rFonts w:hint="eastAsia"/>
          <w:sz w:val="24"/>
          <w:szCs w:val="22"/>
        </w:rPr>
        <w:t>3</w:t>
      </w:r>
      <w:r>
        <w:rPr>
          <w:sz w:val="24"/>
          <w:szCs w:val="22"/>
        </w:rPr>
        <w:t>和表2.2-</w:t>
      </w:r>
      <w:r>
        <w:rPr>
          <w:rFonts w:hint="eastAsia"/>
          <w:sz w:val="24"/>
          <w:szCs w:val="22"/>
        </w:rPr>
        <w:t>4</w:t>
      </w:r>
      <w:r>
        <w:rPr>
          <w:sz w:val="24"/>
          <w:szCs w:val="22"/>
        </w:rPr>
        <w:t>。</w:t>
      </w:r>
    </w:p>
    <w:p>
      <w:pPr>
        <w:spacing w:line="360" w:lineRule="auto"/>
        <w:ind w:firstLine="482" w:firstLineChars="200"/>
        <w:jc w:val="center"/>
        <w:rPr>
          <w:b/>
          <w:sz w:val="24"/>
          <w:szCs w:val="22"/>
        </w:rPr>
      </w:pPr>
      <w:r>
        <w:rPr>
          <w:b/>
          <w:sz w:val="24"/>
          <w:szCs w:val="22"/>
        </w:rPr>
        <w:t>表2.2-</w:t>
      </w:r>
      <w:r>
        <w:rPr>
          <w:rFonts w:hint="eastAsia"/>
          <w:b/>
          <w:sz w:val="24"/>
          <w:szCs w:val="22"/>
        </w:rPr>
        <w:t>3</w:t>
      </w:r>
      <w:r>
        <w:rPr>
          <w:b/>
          <w:sz w:val="24"/>
          <w:szCs w:val="22"/>
        </w:rPr>
        <w:t xml:space="preserve">   环境噪声等效声级限值   单位：dB（A）</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3002"/>
        <w:gridCol w:w="3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pPr>
              <w:widowControl/>
              <w:jc w:val="center"/>
              <w:rPr>
                <w:kern w:val="0"/>
                <w:szCs w:val="21"/>
              </w:rPr>
            </w:pPr>
            <w:r>
              <w:rPr>
                <w:kern w:val="0"/>
                <w:szCs w:val="21"/>
              </w:rPr>
              <w:t>声环境功能类别</w:t>
            </w:r>
          </w:p>
        </w:tc>
        <w:tc>
          <w:tcPr>
            <w:tcW w:w="1667" w:type="pct"/>
            <w:shd w:val="clear" w:color="auto" w:fill="auto"/>
          </w:tcPr>
          <w:p>
            <w:pPr>
              <w:widowControl/>
              <w:jc w:val="center"/>
              <w:rPr>
                <w:kern w:val="0"/>
                <w:szCs w:val="21"/>
              </w:rPr>
            </w:pPr>
            <w:r>
              <w:rPr>
                <w:kern w:val="0"/>
                <w:szCs w:val="21"/>
              </w:rPr>
              <w:t>昼间</w:t>
            </w:r>
          </w:p>
        </w:tc>
        <w:tc>
          <w:tcPr>
            <w:tcW w:w="1667" w:type="pct"/>
            <w:shd w:val="clear" w:color="auto" w:fill="auto"/>
          </w:tcPr>
          <w:p>
            <w:pPr>
              <w:widowControl/>
              <w:jc w:val="center"/>
              <w:rPr>
                <w:kern w:val="0"/>
                <w:szCs w:val="21"/>
              </w:rPr>
            </w:pPr>
            <w:r>
              <w:rPr>
                <w:kern w:val="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pPr>
              <w:widowControl/>
              <w:jc w:val="center"/>
              <w:rPr>
                <w:kern w:val="0"/>
                <w:szCs w:val="21"/>
              </w:rPr>
            </w:pPr>
            <w:r>
              <w:rPr>
                <w:kern w:val="0"/>
                <w:szCs w:val="21"/>
              </w:rPr>
              <w:t>2类</w:t>
            </w:r>
          </w:p>
        </w:tc>
        <w:tc>
          <w:tcPr>
            <w:tcW w:w="1667" w:type="pct"/>
            <w:shd w:val="clear" w:color="auto" w:fill="auto"/>
          </w:tcPr>
          <w:p>
            <w:pPr>
              <w:widowControl/>
              <w:jc w:val="center"/>
              <w:rPr>
                <w:kern w:val="0"/>
                <w:szCs w:val="21"/>
              </w:rPr>
            </w:pPr>
            <w:r>
              <w:rPr>
                <w:kern w:val="0"/>
                <w:szCs w:val="21"/>
              </w:rPr>
              <w:t>60</w:t>
            </w:r>
          </w:p>
        </w:tc>
        <w:tc>
          <w:tcPr>
            <w:tcW w:w="1667" w:type="pct"/>
            <w:shd w:val="clear" w:color="auto" w:fill="auto"/>
          </w:tcPr>
          <w:p>
            <w:pPr>
              <w:widowControl/>
              <w:jc w:val="center"/>
              <w:rPr>
                <w:kern w:val="0"/>
                <w:szCs w:val="21"/>
              </w:rPr>
            </w:pPr>
            <w:r>
              <w:rPr>
                <w:kern w:val="0"/>
                <w:szCs w:val="21"/>
              </w:rPr>
              <w:t>50</w:t>
            </w:r>
          </w:p>
        </w:tc>
      </w:tr>
    </w:tbl>
    <w:p>
      <w:pPr>
        <w:spacing w:line="360" w:lineRule="auto"/>
        <w:jc w:val="center"/>
        <w:rPr>
          <w:b/>
          <w:sz w:val="24"/>
          <w:szCs w:val="22"/>
        </w:rPr>
      </w:pPr>
      <w:r>
        <w:rPr>
          <w:b/>
          <w:sz w:val="24"/>
          <w:szCs w:val="22"/>
        </w:rPr>
        <w:t>表2.2-</w:t>
      </w:r>
      <w:r>
        <w:rPr>
          <w:rFonts w:hint="eastAsia"/>
          <w:b/>
          <w:sz w:val="24"/>
          <w:szCs w:val="22"/>
        </w:rPr>
        <w:t>4</w:t>
      </w:r>
      <w:r>
        <w:rPr>
          <w:b/>
          <w:sz w:val="24"/>
          <w:szCs w:val="22"/>
        </w:rPr>
        <w:t xml:space="preserve">   建筑施工场界环境噪声排放标准     单位：dB（A）</w:t>
      </w:r>
    </w:p>
    <w:tbl>
      <w:tblPr>
        <w:tblStyle w:val="24"/>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69"/>
        <w:gridCol w:w="4902"/>
        <w:gridCol w:w="1714"/>
        <w:gridCol w:w="12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649" w:type="pct"/>
            <w:vMerge w:val="restart"/>
            <w:vAlign w:val="center"/>
          </w:tcPr>
          <w:p>
            <w:pPr>
              <w:widowControl/>
              <w:jc w:val="center"/>
              <w:rPr>
                <w:kern w:val="0"/>
                <w:szCs w:val="21"/>
              </w:rPr>
            </w:pPr>
            <w:r>
              <w:rPr>
                <w:kern w:val="0"/>
                <w:szCs w:val="21"/>
              </w:rPr>
              <w:t>时段</w:t>
            </w:r>
          </w:p>
        </w:tc>
        <w:tc>
          <w:tcPr>
            <w:tcW w:w="2722" w:type="pct"/>
            <w:vMerge w:val="restart"/>
            <w:vAlign w:val="center"/>
          </w:tcPr>
          <w:p>
            <w:pPr>
              <w:widowControl/>
              <w:jc w:val="center"/>
              <w:rPr>
                <w:kern w:val="0"/>
                <w:szCs w:val="21"/>
              </w:rPr>
            </w:pPr>
            <w:r>
              <w:rPr>
                <w:kern w:val="0"/>
                <w:szCs w:val="21"/>
              </w:rPr>
              <w:t>敏感目标</w:t>
            </w:r>
          </w:p>
        </w:tc>
        <w:tc>
          <w:tcPr>
            <w:tcW w:w="1629" w:type="pct"/>
            <w:gridSpan w:val="2"/>
            <w:vAlign w:val="center"/>
          </w:tcPr>
          <w:p>
            <w:pPr>
              <w:widowControl/>
              <w:jc w:val="center"/>
              <w:rPr>
                <w:kern w:val="0"/>
                <w:szCs w:val="21"/>
              </w:rPr>
            </w:pPr>
            <w:r>
              <w:rPr>
                <w:kern w:val="0"/>
                <w:szCs w:val="21"/>
              </w:rPr>
              <w:t>噪声限值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11" w:hRule="atLeast"/>
        </w:trPr>
        <w:tc>
          <w:tcPr>
            <w:tcW w:w="649" w:type="pct"/>
            <w:vMerge w:val="continue"/>
            <w:vAlign w:val="center"/>
          </w:tcPr>
          <w:p>
            <w:pPr>
              <w:widowControl/>
              <w:jc w:val="center"/>
              <w:rPr>
                <w:kern w:val="0"/>
                <w:szCs w:val="21"/>
              </w:rPr>
            </w:pPr>
          </w:p>
        </w:tc>
        <w:tc>
          <w:tcPr>
            <w:tcW w:w="2722" w:type="pct"/>
            <w:vMerge w:val="continue"/>
            <w:vAlign w:val="center"/>
          </w:tcPr>
          <w:p>
            <w:pPr>
              <w:widowControl/>
              <w:jc w:val="center"/>
              <w:rPr>
                <w:kern w:val="0"/>
                <w:szCs w:val="21"/>
              </w:rPr>
            </w:pPr>
          </w:p>
        </w:tc>
        <w:tc>
          <w:tcPr>
            <w:tcW w:w="952" w:type="pct"/>
            <w:vAlign w:val="center"/>
          </w:tcPr>
          <w:p>
            <w:pPr>
              <w:widowControl/>
              <w:jc w:val="center"/>
              <w:rPr>
                <w:kern w:val="0"/>
                <w:szCs w:val="21"/>
              </w:rPr>
            </w:pPr>
            <w:r>
              <w:rPr>
                <w:kern w:val="0"/>
                <w:szCs w:val="21"/>
              </w:rPr>
              <w:t>昼间</w:t>
            </w:r>
          </w:p>
        </w:tc>
        <w:tc>
          <w:tcPr>
            <w:tcW w:w="677" w:type="pct"/>
            <w:vAlign w:val="center"/>
          </w:tcPr>
          <w:p>
            <w:pPr>
              <w:widowControl/>
              <w:jc w:val="center"/>
              <w:rPr>
                <w:kern w:val="0"/>
                <w:szCs w:val="21"/>
              </w:rPr>
            </w:pPr>
            <w:r>
              <w:rPr>
                <w:kern w:val="0"/>
                <w:szCs w:val="21"/>
              </w:rPr>
              <w:t>夜间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02" w:hRule="atLeast"/>
        </w:trPr>
        <w:tc>
          <w:tcPr>
            <w:tcW w:w="649" w:type="pct"/>
            <w:vAlign w:val="center"/>
          </w:tcPr>
          <w:p>
            <w:pPr>
              <w:widowControl/>
              <w:jc w:val="center"/>
              <w:rPr>
                <w:kern w:val="0"/>
                <w:szCs w:val="21"/>
              </w:rPr>
            </w:pPr>
            <w:r>
              <w:rPr>
                <w:kern w:val="0"/>
                <w:szCs w:val="21"/>
              </w:rPr>
              <w:t>施工期</w:t>
            </w:r>
          </w:p>
        </w:tc>
        <w:tc>
          <w:tcPr>
            <w:tcW w:w="2722" w:type="pct"/>
            <w:vAlign w:val="center"/>
          </w:tcPr>
          <w:p>
            <w:pPr>
              <w:widowControl/>
              <w:jc w:val="center"/>
              <w:rPr>
                <w:kern w:val="0"/>
                <w:szCs w:val="21"/>
              </w:rPr>
            </w:pPr>
            <w:r>
              <w:rPr>
                <w:kern w:val="0"/>
                <w:szCs w:val="21"/>
              </w:rPr>
              <w:t>施工场界环境噪声</w:t>
            </w:r>
          </w:p>
        </w:tc>
        <w:tc>
          <w:tcPr>
            <w:tcW w:w="952" w:type="pct"/>
            <w:vAlign w:val="center"/>
          </w:tcPr>
          <w:p>
            <w:pPr>
              <w:widowControl/>
              <w:jc w:val="center"/>
              <w:rPr>
                <w:kern w:val="0"/>
                <w:szCs w:val="21"/>
              </w:rPr>
            </w:pPr>
            <w:r>
              <w:rPr>
                <w:kern w:val="0"/>
                <w:szCs w:val="21"/>
              </w:rPr>
              <w:t>70</w:t>
            </w:r>
          </w:p>
        </w:tc>
        <w:tc>
          <w:tcPr>
            <w:tcW w:w="677" w:type="pct"/>
            <w:vAlign w:val="center"/>
          </w:tcPr>
          <w:p>
            <w:pPr>
              <w:widowControl/>
              <w:jc w:val="center"/>
              <w:rPr>
                <w:kern w:val="0"/>
                <w:szCs w:val="21"/>
              </w:rPr>
            </w:pPr>
            <w:r>
              <w:rPr>
                <w:kern w:val="0"/>
                <w:szCs w:val="21"/>
              </w:rPr>
              <w:t>55</w:t>
            </w:r>
          </w:p>
        </w:tc>
      </w:tr>
    </w:tbl>
    <w:p>
      <w:pPr>
        <w:spacing w:line="360" w:lineRule="auto"/>
        <w:ind w:firstLine="480" w:firstLineChars="200"/>
        <w:rPr>
          <w:sz w:val="24"/>
          <w:szCs w:val="22"/>
        </w:rPr>
      </w:pPr>
      <w:r>
        <w:rPr>
          <w:sz w:val="24"/>
        </w:rPr>
        <w:t>（2）大气污染物排放标准</w:t>
      </w:r>
    </w:p>
    <w:p>
      <w:pPr>
        <w:spacing w:line="360" w:lineRule="auto"/>
        <w:ind w:firstLine="480" w:firstLineChars="200"/>
        <w:rPr>
          <w:sz w:val="24"/>
          <w:szCs w:val="22"/>
        </w:rPr>
      </w:pPr>
      <w:r>
        <w:rPr>
          <w:sz w:val="24"/>
          <w:szCs w:val="22"/>
        </w:rPr>
        <w:t>施工期：无组织排放颗粒物执行《大气污染物综合排放标准》（GB16297-1996）表2中无组织排放监控浓度限值，即：周界外浓度最高点的颗粒物浓度≤1.0mg/m</w:t>
      </w:r>
      <w:r>
        <w:rPr>
          <w:sz w:val="24"/>
          <w:szCs w:val="22"/>
          <w:vertAlign w:val="superscript"/>
        </w:rPr>
        <w:t>3</w:t>
      </w:r>
      <w:r>
        <w:rPr>
          <w:sz w:val="24"/>
          <w:szCs w:val="22"/>
        </w:rPr>
        <w:t>。</w:t>
      </w:r>
    </w:p>
    <w:p>
      <w:pPr>
        <w:spacing w:line="360" w:lineRule="auto"/>
        <w:ind w:firstLine="480" w:firstLineChars="200"/>
        <w:rPr>
          <w:sz w:val="24"/>
          <w:szCs w:val="22"/>
        </w:rPr>
      </w:pPr>
      <w:r>
        <w:rPr>
          <w:sz w:val="24"/>
          <w:szCs w:val="22"/>
        </w:rPr>
        <w:t>营运期：项目应急柴油发电机大气污染物排放执行GB16297-1996《大气污染物综合排放标准》表2中二级排放标准限值，详见表2.2-</w:t>
      </w:r>
      <w:r>
        <w:rPr>
          <w:rFonts w:hint="eastAsia"/>
          <w:sz w:val="24"/>
          <w:szCs w:val="22"/>
        </w:rPr>
        <w:t>5</w:t>
      </w:r>
      <w:r>
        <w:rPr>
          <w:sz w:val="24"/>
          <w:szCs w:val="22"/>
        </w:rPr>
        <w:t>；食堂厨房油烟排放执行GB18483-2001《饮食业油烟排放标准（试行）》中“大型规模”的要求（本项目食堂基准灶头数量为</w:t>
      </w:r>
      <w:r>
        <w:rPr>
          <w:rFonts w:hint="eastAsia"/>
          <w:sz w:val="24"/>
          <w:szCs w:val="22"/>
        </w:rPr>
        <w:t>6</w:t>
      </w:r>
      <w:r>
        <w:rPr>
          <w:sz w:val="24"/>
          <w:szCs w:val="22"/>
        </w:rPr>
        <w:t>个），详见表2.2-</w:t>
      </w:r>
      <w:r>
        <w:rPr>
          <w:rFonts w:hint="eastAsia"/>
          <w:sz w:val="24"/>
          <w:szCs w:val="22"/>
        </w:rPr>
        <w:t>6</w:t>
      </w:r>
      <w:r>
        <w:rPr>
          <w:sz w:val="24"/>
          <w:szCs w:val="22"/>
        </w:rPr>
        <w:t>和表2.2-</w:t>
      </w:r>
      <w:r>
        <w:rPr>
          <w:rFonts w:hint="eastAsia"/>
          <w:sz w:val="24"/>
          <w:szCs w:val="22"/>
        </w:rPr>
        <w:t>7</w:t>
      </w:r>
      <w:r>
        <w:rPr>
          <w:sz w:val="24"/>
          <w:szCs w:val="22"/>
        </w:rPr>
        <w:t>。</w:t>
      </w:r>
    </w:p>
    <w:p>
      <w:pPr>
        <w:jc w:val="center"/>
        <w:rPr>
          <w:b/>
          <w:sz w:val="24"/>
          <w:szCs w:val="22"/>
        </w:rPr>
      </w:pPr>
      <w:r>
        <w:rPr>
          <w:b/>
          <w:sz w:val="24"/>
          <w:szCs w:val="22"/>
        </w:rPr>
        <w:t>表2.2-</w:t>
      </w:r>
      <w:r>
        <w:rPr>
          <w:rFonts w:hint="eastAsia"/>
          <w:b/>
          <w:sz w:val="24"/>
          <w:szCs w:val="22"/>
        </w:rPr>
        <w:t>5</w:t>
      </w:r>
      <w:r>
        <w:rPr>
          <w:b/>
          <w:sz w:val="24"/>
          <w:szCs w:val="22"/>
        </w:rPr>
        <w:t xml:space="preserve">   GB16297-1996《大气污染物综合排放标准》（摘要）</w:t>
      </w:r>
    </w:p>
    <w:tbl>
      <w:tblPr>
        <w:tblStyle w:val="24"/>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50"/>
        <w:gridCol w:w="2977"/>
        <w:gridCol w:w="2127"/>
        <w:gridCol w:w="19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1083" w:type="pct"/>
            <w:vMerge w:val="restart"/>
            <w:vAlign w:val="center"/>
          </w:tcPr>
          <w:p>
            <w:pPr>
              <w:widowControl/>
              <w:jc w:val="center"/>
              <w:rPr>
                <w:kern w:val="0"/>
                <w:szCs w:val="21"/>
              </w:rPr>
            </w:pPr>
            <w:r>
              <w:rPr>
                <w:kern w:val="0"/>
                <w:szCs w:val="21"/>
              </w:rPr>
              <w:t>污染物</w:t>
            </w:r>
          </w:p>
        </w:tc>
        <w:tc>
          <w:tcPr>
            <w:tcW w:w="1653" w:type="pct"/>
            <w:vMerge w:val="restart"/>
            <w:vAlign w:val="center"/>
          </w:tcPr>
          <w:p>
            <w:pPr>
              <w:widowControl/>
              <w:jc w:val="center"/>
              <w:rPr>
                <w:kern w:val="0"/>
                <w:szCs w:val="21"/>
              </w:rPr>
            </w:pPr>
            <w:r>
              <w:rPr>
                <w:kern w:val="0"/>
                <w:szCs w:val="21"/>
              </w:rPr>
              <w:t>最高允许排放浓度（</w:t>
            </w:r>
            <w:r>
              <w:rPr>
                <w:szCs w:val="21"/>
              </w:rPr>
              <w:t>mg/m</w:t>
            </w:r>
            <w:r>
              <w:rPr>
                <w:szCs w:val="21"/>
                <w:vertAlign w:val="superscript"/>
              </w:rPr>
              <w:t>3</w:t>
            </w:r>
            <w:r>
              <w:rPr>
                <w:kern w:val="0"/>
                <w:szCs w:val="21"/>
              </w:rPr>
              <w:t>）</w:t>
            </w:r>
          </w:p>
        </w:tc>
        <w:tc>
          <w:tcPr>
            <w:tcW w:w="2264" w:type="pct"/>
            <w:gridSpan w:val="2"/>
            <w:vAlign w:val="center"/>
          </w:tcPr>
          <w:p>
            <w:pPr>
              <w:widowControl/>
              <w:jc w:val="center"/>
              <w:rPr>
                <w:kern w:val="0"/>
                <w:szCs w:val="21"/>
              </w:rPr>
            </w:pPr>
            <w:r>
              <w:rPr>
                <w:kern w:val="0"/>
                <w:szCs w:val="21"/>
              </w:rPr>
              <w:t>无组织排放监控浓度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11" w:hRule="atLeast"/>
        </w:trPr>
        <w:tc>
          <w:tcPr>
            <w:tcW w:w="1083" w:type="pct"/>
            <w:vMerge w:val="continue"/>
            <w:vAlign w:val="center"/>
          </w:tcPr>
          <w:p>
            <w:pPr>
              <w:widowControl/>
              <w:jc w:val="center"/>
              <w:rPr>
                <w:kern w:val="0"/>
                <w:szCs w:val="21"/>
              </w:rPr>
            </w:pPr>
          </w:p>
        </w:tc>
        <w:tc>
          <w:tcPr>
            <w:tcW w:w="1653" w:type="pct"/>
            <w:vMerge w:val="continue"/>
            <w:vAlign w:val="center"/>
          </w:tcPr>
          <w:p>
            <w:pPr>
              <w:widowControl/>
              <w:jc w:val="center"/>
              <w:rPr>
                <w:kern w:val="0"/>
                <w:szCs w:val="21"/>
              </w:rPr>
            </w:pPr>
          </w:p>
        </w:tc>
        <w:tc>
          <w:tcPr>
            <w:tcW w:w="1181" w:type="pct"/>
            <w:vAlign w:val="center"/>
          </w:tcPr>
          <w:p>
            <w:pPr>
              <w:widowControl/>
              <w:jc w:val="center"/>
              <w:rPr>
                <w:kern w:val="0"/>
                <w:szCs w:val="21"/>
              </w:rPr>
            </w:pPr>
            <w:r>
              <w:rPr>
                <w:kern w:val="0"/>
                <w:szCs w:val="21"/>
              </w:rPr>
              <w:t>监控点</w:t>
            </w:r>
          </w:p>
        </w:tc>
        <w:tc>
          <w:tcPr>
            <w:tcW w:w="1083" w:type="pct"/>
            <w:vAlign w:val="center"/>
          </w:tcPr>
          <w:p>
            <w:pPr>
              <w:widowControl/>
              <w:jc w:val="center"/>
              <w:rPr>
                <w:kern w:val="0"/>
                <w:szCs w:val="21"/>
              </w:rPr>
            </w:pPr>
            <w:r>
              <w:rPr>
                <w:kern w:val="0"/>
                <w:szCs w:val="21"/>
              </w:rPr>
              <w:t>浓度（</w:t>
            </w:r>
            <w:r>
              <w:rPr>
                <w:szCs w:val="21"/>
              </w:rPr>
              <w:t>mg/m</w:t>
            </w:r>
            <w:r>
              <w:rPr>
                <w:szCs w:val="21"/>
                <w:vertAlign w:val="superscript"/>
              </w:rPr>
              <w:t>3</w:t>
            </w:r>
            <w:r>
              <w:rPr>
                <w:kern w:val="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02" w:hRule="atLeast"/>
        </w:trPr>
        <w:tc>
          <w:tcPr>
            <w:tcW w:w="1083" w:type="pct"/>
            <w:vAlign w:val="center"/>
          </w:tcPr>
          <w:p>
            <w:pPr>
              <w:widowControl/>
              <w:jc w:val="center"/>
              <w:rPr>
                <w:kern w:val="0"/>
                <w:szCs w:val="21"/>
              </w:rPr>
            </w:pPr>
            <w:r>
              <w:rPr>
                <w:kern w:val="0"/>
                <w:szCs w:val="21"/>
              </w:rPr>
              <w:t>颗粒物</w:t>
            </w:r>
          </w:p>
        </w:tc>
        <w:tc>
          <w:tcPr>
            <w:tcW w:w="1653" w:type="pct"/>
            <w:vAlign w:val="center"/>
          </w:tcPr>
          <w:p>
            <w:pPr>
              <w:widowControl/>
              <w:jc w:val="center"/>
              <w:rPr>
                <w:kern w:val="0"/>
                <w:szCs w:val="21"/>
              </w:rPr>
            </w:pPr>
            <w:r>
              <w:rPr>
                <w:kern w:val="0"/>
                <w:szCs w:val="21"/>
              </w:rPr>
              <w:t>120</w:t>
            </w:r>
          </w:p>
        </w:tc>
        <w:tc>
          <w:tcPr>
            <w:tcW w:w="1181" w:type="pct"/>
            <w:vAlign w:val="center"/>
          </w:tcPr>
          <w:p>
            <w:pPr>
              <w:widowControl/>
              <w:jc w:val="center"/>
              <w:rPr>
                <w:kern w:val="0"/>
                <w:szCs w:val="21"/>
              </w:rPr>
            </w:pPr>
            <w:r>
              <w:rPr>
                <w:kern w:val="0"/>
                <w:szCs w:val="21"/>
              </w:rPr>
              <w:t>周界外浓度最高点</w:t>
            </w:r>
          </w:p>
        </w:tc>
        <w:tc>
          <w:tcPr>
            <w:tcW w:w="1083" w:type="pct"/>
            <w:vAlign w:val="center"/>
          </w:tcPr>
          <w:p>
            <w:pPr>
              <w:widowControl/>
              <w:jc w:val="center"/>
              <w:rPr>
                <w:kern w:val="0"/>
                <w:szCs w:val="21"/>
              </w:rPr>
            </w:pPr>
            <w:r>
              <w:rPr>
                <w:kern w:val="0"/>
                <w:szCs w:val="21"/>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02" w:hRule="atLeast"/>
        </w:trPr>
        <w:tc>
          <w:tcPr>
            <w:tcW w:w="1083" w:type="pct"/>
            <w:vAlign w:val="center"/>
          </w:tcPr>
          <w:p>
            <w:pPr>
              <w:widowControl/>
              <w:jc w:val="center"/>
              <w:rPr>
                <w:kern w:val="0"/>
                <w:szCs w:val="21"/>
              </w:rPr>
            </w:pPr>
            <w:r>
              <w:rPr>
                <w:kern w:val="0"/>
                <w:szCs w:val="21"/>
              </w:rPr>
              <w:t>二氧化硫</w:t>
            </w:r>
          </w:p>
        </w:tc>
        <w:tc>
          <w:tcPr>
            <w:tcW w:w="1653" w:type="pct"/>
            <w:vAlign w:val="center"/>
          </w:tcPr>
          <w:p>
            <w:pPr>
              <w:widowControl/>
              <w:jc w:val="center"/>
              <w:rPr>
                <w:kern w:val="0"/>
                <w:szCs w:val="21"/>
              </w:rPr>
            </w:pPr>
            <w:r>
              <w:rPr>
                <w:kern w:val="0"/>
                <w:szCs w:val="21"/>
              </w:rPr>
              <w:t>550</w:t>
            </w:r>
          </w:p>
        </w:tc>
        <w:tc>
          <w:tcPr>
            <w:tcW w:w="1181" w:type="pct"/>
            <w:vAlign w:val="center"/>
          </w:tcPr>
          <w:p>
            <w:pPr>
              <w:widowControl/>
              <w:jc w:val="center"/>
              <w:rPr>
                <w:kern w:val="0"/>
                <w:szCs w:val="21"/>
              </w:rPr>
            </w:pPr>
            <w:r>
              <w:rPr>
                <w:kern w:val="0"/>
                <w:szCs w:val="21"/>
              </w:rPr>
              <w:t>周界外浓度最高点</w:t>
            </w:r>
          </w:p>
        </w:tc>
        <w:tc>
          <w:tcPr>
            <w:tcW w:w="1083" w:type="pct"/>
            <w:vAlign w:val="center"/>
          </w:tcPr>
          <w:p>
            <w:pPr>
              <w:widowControl/>
              <w:jc w:val="center"/>
              <w:rPr>
                <w:kern w:val="0"/>
                <w:szCs w:val="21"/>
              </w:rPr>
            </w:pPr>
            <w:r>
              <w:rPr>
                <w:kern w:val="0"/>
                <w:szCs w:val="21"/>
              </w:rP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302" w:hRule="atLeast"/>
        </w:trPr>
        <w:tc>
          <w:tcPr>
            <w:tcW w:w="1083" w:type="pct"/>
            <w:vAlign w:val="center"/>
          </w:tcPr>
          <w:p>
            <w:pPr>
              <w:widowControl/>
              <w:jc w:val="center"/>
              <w:rPr>
                <w:kern w:val="0"/>
                <w:szCs w:val="21"/>
              </w:rPr>
            </w:pPr>
            <w:r>
              <w:rPr>
                <w:kern w:val="0"/>
                <w:szCs w:val="21"/>
              </w:rPr>
              <w:t>氮氧化物</w:t>
            </w:r>
          </w:p>
        </w:tc>
        <w:tc>
          <w:tcPr>
            <w:tcW w:w="1653" w:type="pct"/>
            <w:vAlign w:val="center"/>
          </w:tcPr>
          <w:p>
            <w:pPr>
              <w:widowControl/>
              <w:jc w:val="center"/>
              <w:rPr>
                <w:kern w:val="0"/>
                <w:szCs w:val="21"/>
              </w:rPr>
            </w:pPr>
            <w:r>
              <w:rPr>
                <w:kern w:val="0"/>
                <w:szCs w:val="21"/>
              </w:rPr>
              <w:t>240</w:t>
            </w:r>
          </w:p>
        </w:tc>
        <w:tc>
          <w:tcPr>
            <w:tcW w:w="1181" w:type="pct"/>
            <w:vAlign w:val="center"/>
          </w:tcPr>
          <w:p>
            <w:pPr>
              <w:widowControl/>
              <w:jc w:val="center"/>
              <w:rPr>
                <w:kern w:val="0"/>
                <w:szCs w:val="21"/>
              </w:rPr>
            </w:pPr>
            <w:r>
              <w:rPr>
                <w:kern w:val="0"/>
                <w:szCs w:val="21"/>
              </w:rPr>
              <w:t>周界外浓度最高点</w:t>
            </w:r>
          </w:p>
        </w:tc>
        <w:tc>
          <w:tcPr>
            <w:tcW w:w="1083" w:type="pct"/>
            <w:vAlign w:val="center"/>
          </w:tcPr>
          <w:p>
            <w:pPr>
              <w:widowControl/>
              <w:jc w:val="center"/>
              <w:rPr>
                <w:kern w:val="0"/>
                <w:szCs w:val="21"/>
              </w:rPr>
            </w:pPr>
            <w:r>
              <w:rPr>
                <w:kern w:val="0"/>
                <w:szCs w:val="21"/>
              </w:rPr>
              <w:t>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02" w:hRule="atLeast"/>
        </w:trPr>
        <w:tc>
          <w:tcPr>
            <w:tcW w:w="1083" w:type="pct"/>
            <w:vAlign w:val="center"/>
          </w:tcPr>
          <w:p>
            <w:pPr>
              <w:widowControl/>
              <w:jc w:val="center"/>
              <w:rPr>
                <w:kern w:val="0"/>
                <w:szCs w:val="21"/>
              </w:rPr>
            </w:pPr>
            <w:r>
              <w:rPr>
                <w:kern w:val="0"/>
                <w:szCs w:val="21"/>
              </w:rPr>
              <w:t>非甲烷总烃</w:t>
            </w:r>
          </w:p>
        </w:tc>
        <w:tc>
          <w:tcPr>
            <w:tcW w:w="1653" w:type="pct"/>
            <w:vAlign w:val="center"/>
          </w:tcPr>
          <w:p>
            <w:pPr>
              <w:widowControl/>
              <w:jc w:val="center"/>
              <w:rPr>
                <w:kern w:val="0"/>
                <w:szCs w:val="21"/>
              </w:rPr>
            </w:pPr>
            <w:r>
              <w:rPr>
                <w:kern w:val="0"/>
                <w:szCs w:val="21"/>
              </w:rPr>
              <w:t>120</w:t>
            </w:r>
          </w:p>
        </w:tc>
        <w:tc>
          <w:tcPr>
            <w:tcW w:w="1181" w:type="pct"/>
            <w:vAlign w:val="center"/>
          </w:tcPr>
          <w:p>
            <w:pPr>
              <w:widowControl/>
              <w:jc w:val="center"/>
              <w:rPr>
                <w:kern w:val="0"/>
                <w:szCs w:val="21"/>
              </w:rPr>
            </w:pPr>
            <w:r>
              <w:rPr>
                <w:kern w:val="0"/>
                <w:szCs w:val="21"/>
              </w:rPr>
              <w:t>周界外最高浓度点</w:t>
            </w:r>
          </w:p>
        </w:tc>
        <w:tc>
          <w:tcPr>
            <w:tcW w:w="1083" w:type="pct"/>
            <w:vAlign w:val="center"/>
          </w:tcPr>
          <w:p>
            <w:pPr>
              <w:widowControl/>
              <w:jc w:val="center"/>
              <w:rPr>
                <w:kern w:val="0"/>
                <w:szCs w:val="21"/>
              </w:rPr>
            </w:pPr>
            <w:r>
              <w:rPr>
                <w:kern w:val="0"/>
                <w:szCs w:val="21"/>
              </w:rPr>
              <w:t>4.0</w:t>
            </w:r>
          </w:p>
        </w:tc>
      </w:tr>
    </w:tbl>
    <w:p>
      <w:pPr>
        <w:jc w:val="center"/>
        <w:rPr>
          <w:b/>
          <w:sz w:val="24"/>
          <w:szCs w:val="22"/>
        </w:rPr>
      </w:pPr>
      <w:r>
        <w:rPr>
          <w:b/>
          <w:sz w:val="24"/>
          <w:szCs w:val="22"/>
        </w:rPr>
        <w:t>表2.2-</w:t>
      </w:r>
      <w:r>
        <w:rPr>
          <w:rFonts w:hint="eastAsia"/>
          <w:b/>
          <w:sz w:val="24"/>
          <w:szCs w:val="22"/>
        </w:rPr>
        <w:t>6</w:t>
      </w:r>
      <w:r>
        <w:rPr>
          <w:b/>
          <w:sz w:val="24"/>
          <w:szCs w:val="22"/>
        </w:rPr>
        <w:t xml:space="preserve">   </w:t>
      </w:r>
      <w:r>
        <w:rPr>
          <w:b/>
          <w:sz w:val="24"/>
          <w:szCs w:val="24"/>
        </w:rPr>
        <w:t>餐饮业单位的规模划分</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331"/>
        <w:gridCol w:w="1276"/>
        <w:gridCol w:w="1276"/>
        <w:gridCol w:w="107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331" w:type="dxa"/>
            <w:tcBorders>
              <w:top w:val="single" w:color="auto" w:sz="8" w:space="0"/>
              <w:left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规模</w:t>
            </w:r>
          </w:p>
        </w:tc>
        <w:tc>
          <w:tcPr>
            <w:tcW w:w="1276"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小 型</w:t>
            </w:r>
          </w:p>
        </w:tc>
        <w:tc>
          <w:tcPr>
            <w:tcW w:w="1276"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中 型</w:t>
            </w:r>
          </w:p>
        </w:tc>
        <w:tc>
          <w:tcPr>
            <w:tcW w:w="1077"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大 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331" w:type="dxa"/>
            <w:tcBorders>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基准灶头数</w:t>
            </w:r>
          </w:p>
        </w:tc>
        <w:tc>
          <w:tcPr>
            <w:tcW w:w="1276"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≥1，＜3</w:t>
            </w:r>
          </w:p>
        </w:tc>
        <w:tc>
          <w:tcPr>
            <w:tcW w:w="1276"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≥3，＜6</w:t>
            </w:r>
          </w:p>
        </w:tc>
        <w:tc>
          <w:tcPr>
            <w:tcW w:w="1077"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331"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对应灶头总功率（10</w:t>
            </w:r>
            <w:r>
              <w:rPr>
                <w:rFonts w:ascii="Times New Roman" w:hAnsi="Times New Roman" w:cs="Times New Roman"/>
                <w:vertAlign w:val="superscript"/>
              </w:rPr>
              <w:t>8</w:t>
            </w:r>
            <w:r>
              <w:rPr>
                <w:rFonts w:ascii="Times New Roman" w:hAnsi="Times New Roman" w:cs="Times New Roman"/>
              </w:rPr>
              <w:t>J/h）</w:t>
            </w:r>
          </w:p>
        </w:tc>
        <w:tc>
          <w:tcPr>
            <w:tcW w:w="1276"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1.67，＜5.00</w:t>
            </w:r>
          </w:p>
        </w:tc>
        <w:tc>
          <w:tcPr>
            <w:tcW w:w="1276"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≥5.00，＜10</w:t>
            </w:r>
          </w:p>
        </w:tc>
        <w:tc>
          <w:tcPr>
            <w:tcW w:w="1077"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6" w:hRule="atLeast"/>
          <w:jc w:val="center"/>
        </w:trPr>
        <w:tc>
          <w:tcPr>
            <w:tcW w:w="5331"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对应排气罩灶面总投影面积（m</w:t>
            </w:r>
            <w:r>
              <w:rPr>
                <w:rFonts w:ascii="Times New Roman" w:hAnsi="Times New Roman" w:cs="Times New Roman"/>
                <w:vertAlign w:val="superscript"/>
              </w:rPr>
              <w:t>2</w:t>
            </w:r>
            <w:r>
              <w:rPr>
                <w:rFonts w:ascii="Times New Roman" w:hAnsi="Times New Roman" w:cs="Times New Roman"/>
              </w:rPr>
              <w:t>）</w:t>
            </w:r>
          </w:p>
        </w:tc>
        <w:tc>
          <w:tcPr>
            <w:tcW w:w="1276"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≥1.1，＜3.3</w:t>
            </w:r>
          </w:p>
        </w:tc>
        <w:tc>
          <w:tcPr>
            <w:tcW w:w="1276"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≥3.3，＜6.6</w:t>
            </w:r>
          </w:p>
        </w:tc>
        <w:tc>
          <w:tcPr>
            <w:tcW w:w="1077"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≥6.6</w:t>
            </w:r>
          </w:p>
        </w:tc>
      </w:tr>
    </w:tbl>
    <w:p>
      <w:pPr>
        <w:jc w:val="center"/>
        <w:rPr>
          <w:b/>
          <w:sz w:val="24"/>
          <w:szCs w:val="22"/>
        </w:rPr>
      </w:pPr>
      <w:r>
        <w:rPr>
          <w:b/>
          <w:sz w:val="24"/>
          <w:szCs w:val="22"/>
        </w:rPr>
        <w:t>表2.2-</w:t>
      </w:r>
      <w:r>
        <w:rPr>
          <w:rFonts w:hint="eastAsia"/>
          <w:b/>
          <w:sz w:val="24"/>
          <w:szCs w:val="22"/>
        </w:rPr>
        <w:t>7</w:t>
      </w:r>
      <w:r>
        <w:rPr>
          <w:b/>
          <w:sz w:val="24"/>
          <w:szCs w:val="22"/>
        </w:rPr>
        <w:t xml:space="preserve">  油烟最高允许排放浓度和油烟净化设施最低去除效率</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496"/>
        <w:gridCol w:w="1298"/>
        <w:gridCol w:w="1298"/>
        <w:gridCol w:w="86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6" w:type="dxa"/>
            <w:tcBorders>
              <w:top w:val="single" w:color="auto" w:sz="8" w:space="0"/>
              <w:left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规模</w:t>
            </w:r>
          </w:p>
        </w:tc>
        <w:tc>
          <w:tcPr>
            <w:tcW w:w="1298"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小 型</w:t>
            </w:r>
          </w:p>
        </w:tc>
        <w:tc>
          <w:tcPr>
            <w:tcW w:w="1298"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中 型</w:t>
            </w:r>
          </w:p>
        </w:tc>
        <w:tc>
          <w:tcPr>
            <w:tcW w:w="868"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大 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6"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最高允许排放浓度（mg/m</w:t>
            </w:r>
            <w:r>
              <w:rPr>
                <w:rFonts w:ascii="Times New Roman" w:hAnsi="Times New Roman" w:cs="Times New Roman"/>
                <w:vertAlign w:val="superscript"/>
              </w:rPr>
              <w:t>3</w:t>
            </w:r>
            <w:r>
              <w:rPr>
                <w:rFonts w:ascii="Times New Roman" w:hAnsi="Times New Roman" w:cs="Times New Roman"/>
              </w:rPr>
              <w:t>）</w:t>
            </w:r>
          </w:p>
        </w:tc>
        <w:tc>
          <w:tcPr>
            <w:tcW w:w="3464" w:type="dxa"/>
            <w:gridSpan w:val="3"/>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6"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净化设施最低去除效率（%）</w:t>
            </w:r>
          </w:p>
        </w:tc>
        <w:tc>
          <w:tcPr>
            <w:tcW w:w="1298"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60</w:t>
            </w:r>
          </w:p>
        </w:tc>
        <w:tc>
          <w:tcPr>
            <w:tcW w:w="1298"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75</w:t>
            </w:r>
          </w:p>
        </w:tc>
        <w:tc>
          <w:tcPr>
            <w:tcW w:w="868" w:type="dxa"/>
            <w:tcBorders>
              <w:top w:val="single" w:color="auto" w:sz="8" w:space="0"/>
              <w:left w:val="single" w:color="auto" w:sz="8" w:space="0"/>
              <w:bottom w:val="single" w:color="auto" w:sz="8" w:space="0"/>
              <w:right w:val="single" w:color="auto" w:sz="8" w:space="0"/>
            </w:tcBorders>
            <w:vAlign w:val="center"/>
          </w:tcPr>
          <w:p>
            <w:pPr>
              <w:pStyle w:val="83"/>
              <w:spacing w:line="340" w:lineRule="exact"/>
              <w:jc w:val="center"/>
              <w:rPr>
                <w:rFonts w:ascii="Times New Roman" w:hAnsi="Times New Roman" w:cs="Times New Roman"/>
              </w:rPr>
            </w:pPr>
            <w:r>
              <w:rPr>
                <w:rFonts w:ascii="Times New Roman" w:hAnsi="Times New Roman" w:cs="Times New Roman"/>
              </w:rPr>
              <w:t>85</w:t>
            </w:r>
          </w:p>
        </w:tc>
      </w:tr>
    </w:tbl>
    <w:p>
      <w:pPr>
        <w:spacing w:line="360" w:lineRule="auto"/>
        <w:ind w:firstLine="480" w:firstLineChars="200"/>
        <w:rPr>
          <w:sz w:val="24"/>
        </w:rPr>
      </w:pPr>
      <w:r>
        <w:rPr>
          <w:sz w:val="24"/>
        </w:rPr>
        <w:t>（3）废水</w:t>
      </w:r>
    </w:p>
    <w:p>
      <w:pPr>
        <w:spacing w:line="360" w:lineRule="auto"/>
        <w:ind w:firstLine="480" w:firstLineChars="200"/>
        <w:rPr>
          <w:sz w:val="24"/>
        </w:rPr>
      </w:pPr>
      <w:r>
        <w:rPr>
          <w:sz w:val="24"/>
        </w:rPr>
        <w:t>施工期：施工人员分散居住在附近的居住区，生活污水纳入当地现有的污水排放系统中，不另行单独外排；施工现场不再新建公厕、食堂等生活设施；施工废水经隔油沉淀池处理后回用于场地洒水抑尘，不排放。</w:t>
      </w:r>
    </w:p>
    <w:p>
      <w:pPr>
        <w:spacing w:line="360" w:lineRule="auto"/>
        <w:ind w:firstLine="480" w:firstLineChars="200"/>
        <w:rPr>
          <w:sz w:val="24"/>
        </w:rPr>
      </w:pPr>
      <w:r>
        <w:rPr>
          <w:sz w:val="24"/>
        </w:rPr>
        <w:t>运营期：项目污废水经预处理达GB8978-1996《污水综合排放标准》表4中三级排放标准后，接入</w:t>
      </w:r>
      <w:r>
        <w:rPr>
          <w:rFonts w:hint="eastAsia"/>
          <w:sz w:val="24"/>
        </w:rPr>
        <w:t>东</w:t>
      </w:r>
      <w:r>
        <w:rPr>
          <w:sz w:val="24"/>
        </w:rPr>
        <w:t>侧拟建</w:t>
      </w:r>
      <w:r>
        <w:rPr>
          <w:rFonts w:hint="eastAsia"/>
          <w:sz w:val="24"/>
        </w:rPr>
        <w:t>规划路处</w:t>
      </w:r>
      <w:r>
        <w:rPr>
          <w:sz w:val="24"/>
        </w:rPr>
        <w:t>市政污水管网，汇集到</w:t>
      </w:r>
      <w:r>
        <w:rPr>
          <w:rFonts w:hint="eastAsia"/>
          <w:sz w:val="24"/>
        </w:rPr>
        <w:t>大学城</w:t>
      </w:r>
      <w:r>
        <w:rPr>
          <w:sz w:val="24"/>
        </w:rPr>
        <w:t>污水处理厂统一处理后排放。详见表2.2-</w:t>
      </w:r>
      <w:r>
        <w:rPr>
          <w:rFonts w:hint="eastAsia"/>
          <w:sz w:val="24"/>
        </w:rPr>
        <w:t>8</w:t>
      </w:r>
      <w:r>
        <w:rPr>
          <w:sz w:val="24"/>
        </w:rPr>
        <w:t>。</w:t>
      </w:r>
    </w:p>
    <w:p>
      <w:pPr>
        <w:jc w:val="center"/>
        <w:rPr>
          <w:b/>
          <w:sz w:val="24"/>
          <w:szCs w:val="22"/>
        </w:rPr>
      </w:pPr>
      <w:r>
        <w:rPr>
          <w:b/>
          <w:sz w:val="24"/>
          <w:szCs w:val="22"/>
        </w:rPr>
        <w:t>表2.2-</w:t>
      </w:r>
      <w:r>
        <w:rPr>
          <w:rFonts w:hint="eastAsia"/>
          <w:b/>
          <w:sz w:val="24"/>
          <w:szCs w:val="22"/>
        </w:rPr>
        <w:t>8</w:t>
      </w:r>
      <w:r>
        <w:rPr>
          <w:b/>
          <w:sz w:val="24"/>
          <w:szCs w:val="22"/>
        </w:rPr>
        <w:t xml:space="preserve">   GB8978-1996《污水综合排放标准》（摘录）</w:t>
      </w:r>
    </w:p>
    <w:tbl>
      <w:tblPr>
        <w:tblStyle w:val="24"/>
        <w:tblW w:w="9229"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142"/>
        <w:gridCol w:w="1417"/>
        <w:gridCol w:w="1182"/>
        <w:gridCol w:w="1086"/>
        <w:gridCol w:w="1134"/>
        <w:gridCol w:w="1134"/>
        <w:gridCol w:w="113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142"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标准类别</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pH（无量纲）</w:t>
            </w:r>
          </w:p>
        </w:tc>
        <w:tc>
          <w:tcPr>
            <w:tcW w:w="1182"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COD</w:t>
            </w:r>
          </w:p>
        </w:tc>
        <w:tc>
          <w:tcPr>
            <w:tcW w:w="1086"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BOD5</w:t>
            </w:r>
          </w:p>
        </w:tc>
        <w:tc>
          <w:tcPr>
            <w:tcW w:w="1134" w:type="dxa"/>
            <w:tcBorders>
              <w:top w:val="single" w:color="000000" w:sz="6" w:space="0"/>
              <w:left w:val="single" w:color="000000" w:sz="6" w:space="0"/>
              <w:bottom w:val="single" w:color="000000" w:sz="6" w:space="0"/>
              <w:right w:val="single" w:color="000000" w:sz="6" w:space="0"/>
            </w:tcBorders>
          </w:tcPr>
          <w:p>
            <w:pPr>
              <w:spacing w:line="340" w:lineRule="exact"/>
              <w:jc w:val="center"/>
              <w:rPr>
                <w:szCs w:val="21"/>
              </w:rPr>
            </w:pPr>
            <w:r>
              <w:rPr>
                <w:szCs w:val="21"/>
              </w:rPr>
              <w:t>SS</w:t>
            </w:r>
          </w:p>
        </w:tc>
        <w:tc>
          <w:tcPr>
            <w:tcW w:w="1134" w:type="dxa"/>
            <w:tcBorders>
              <w:top w:val="single" w:color="000000" w:sz="6" w:space="0"/>
              <w:left w:val="single" w:color="000000" w:sz="6" w:space="0"/>
              <w:bottom w:val="single" w:color="000000" w:sz="6" w:space="0"/>
              <w:right w:val="single" w:color="000000" w:sz="6" w:space="0"/>
            </w:tcBorders>
          </w:tcPr>
          <w:p>
            <w:pPr>
              <w:spacing w:line="340" w:lineRule="exact"/>
              <w:jc w:val="center"/>
              <w:rPr>
                <w:szCs w:val="21"/>
              </w:rPr>
            </w:pPr>
            <w:r>
              <w:rPr>
                <w:szCs w:val="21"/>
              </w:rPr>
              <w:t>氨氮*</w:t>
            </w:r>
          </w:p>
        </w:tc>
        <w:tc>
          <w:tcPr>
            <w:tcW w:w="1134" w:type="dxa"/>
            <w:tcBorders>
              <w:top w:val="single" w:color="000000" w:sz="6" w:space="0"/>
              <w:left w:val="single" w:color="000000" w:sz="6" w:space="0"/>
              <w:bottom w:val="single" w:color="000000" w:sz="6" w:space="0"/>
              <w:right w:val="single" w:color="000000" w:sz="6" w:space="0"/>
            </w:tcBorders>
          </w:tcPr>
          <w:p>
            <w:pPr>
              <w:spacing w:line="340" w:lineRule="exact"/>
              <w:jc w:val="center"/>
              <w:rPr>
                <w:szCs w:val="21"/>
              </w:rPr>
            </w:pPr>
            <w:r>
              <w:rPr>
                <w:szCs w:val="21"/>
              </w:rPr>
              <w:t>动植物油</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2142"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三级排放标准（</w:t>
            </w:r>
            <w:r>
              <w:t>mg/L</w:t>
            </w:r>
            <w:r>
              <w:rPr>
                <w:szCs w:val="21"/>
              </w:rPr>
              <w:t>）</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6~9</w:t>
            </w:r>
          </w:p>
        </w:tc>
        <w:tc>
          <w:tcPr>
            <w:tcW w:w="1182"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500</w:t>
            </w:r>
          </w:p>
        </w:tc>
        <w:tc>
          <w:tcPr>
            <w:tcW w:w="1086" w:type="dxa"/>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300</w:t>
            </w:r>
          </w:p>
        </w:tc>
        <w:tc>
          <w:tcPr>
            <w:tcW w:w="1134" w:type="dxa"/>
            <w:tcBorders>
              <w:top w:val="single" w:color="000000" w:sz="6" w:space="0"/>
              <w:left w:val="single" w:color="000000" w:sz="6" w:space="0"/>
              <w:right w:val="single" w:color="000000" w:sz="6" w:space="0"/>
            </w:tcBorders>
          </w:tcPr>
          <w:p>
            <w:pPr>
              <w:spacing w:line="340" w:lineRule="exact"/>
              <w:jc w:val="center"/>
              <w:rPr>
                <w:szCs w:val="21"/>
              </w:rPr>
            </w:pPr>
            <w:r>
              <w:rPr>
                <w:szCs w:val="21"/>
              </w:rPr>
              <w:t>400</w:t>
            </w:r>
          </w:p>
        </w:tc>
        <w:tc>
          <w:tcPr>
            <w:tcW w:w="1134" w:type="dxa"/>
            <w:tcBorders>
              <w:top w:val="single" w:color="000000" w:sz="6" w:space="0"/>
              <w:left w:val="single" w:color="000000" w:sz="6" w:space="0"/>
              <w:right w:val="single" w:color="000000" w:sz="6" w:space="0"/>
            </w:tcBorders>
          </w:tcPr>
          <w:p>
            <w:pPr>
              <w:spacing w:line="340" w:lineRule="exact"/>
              <w:jc w:val="center"/>
              <w:rPr>
                <w:szCs w:val="21"/>
              </w:rPr>
            </w:pPr>
            <w:r>
              <w:rPr>
                <w:szCs w:val="21"/>
              </w:rPr>
              <w:t>45</w:t>
            </w:r>
          </w:p>
        </w:tc>
        <w:tc>
          <w:tcPr>
            <w:tcW w:w="1134" w:type="dxa"/>
            <w:tcBorders>
              <w:top w:val="single" w:color="000000" w:sz="6" w:space="0"/>
              <w:left w:val="single" w:color="000000" w:sz="6" w:space="0"/>
              <w:right w:val="single" w:color="000000" w:sz="6" w:space="0"/>
            </w:tcBorders>
            <w:vAlign w:val="center"/>
          </w:tcPr>
          <w:p>
            <w:pPr>
              <w:spacing w:line="340" w:lineRule="exact"/>
              <w:jc w:val="center"/>
              <w:rPr>
                <w:szCs w:val="21"/>
              </w:rPr>
            </w:pPr>
            <w:r>
              <w:rPr>
                <w:szCs w:val="21"/>
              </w:rPr>
              <w:t>100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142" w:type="dxa"/>
            <w:tcBorders>
              <w:top w:val="single" w:color="000000" w:sz="6" w:space="0"/>
              <w:left w:val="single" w:color="000000" w:sz="6" w:space="0"/>
              <w:bottom w:val="single" w:color="000000" w:sz="6" w:space="0"/>
              <w:right w:val="single" w:color="000000" w:sz="6" w:space="0"/>
            </w:tcBorders>
            <w:vAlign w:val="center"/>
          </w:tcPr>
          <w:p>
            <w:pPr>
              <w:widowControl/>
              <w:jc w:val="center"/>
              <w:rPr>
                <w:szCs w:val="21"/>
              </w:rPr>
            </w:pPr>
            <w:r>
              <w:rPr>
                <w:szCs w:val="21"/>
              </w:rPr>
              <w:t>备注*</w:t>
            </w:r>
          </w:p>
        </w:tc>
        <w:tc>
          <w:tcPr>
            <w:tcW w:w="7087" w:type="dxa"/>
            <w:gridSpan w:val="6"/>
            <w:tcBorders>
              <w:top w:val="single" w:color="000000" w:sz="6" w:space="0"/>
              <w:left w:val="single" w:color="000000" w:sz="6" w:space="0"/>
              <w:bottom w:val="single" w:color="000000" w:sz="6" w:space="0"/>
              <w:right w:val="single" w:color="000000" w:sz="6" w:space="0"/>
            </w:tcBorders>
            <w:vAlign w:val="center"/>
          </w:tcPr>
          <w:p>
            <w:pPr>
              <w:spacing w:line="340" w:lineRule="exact"/>
              <w:jc w:val="center"/>
              <w:rPr>
                <w:szCs w:val="21"/>
              </w:rPr>
            </w:pPr>
            <w:r>
              <w:rPr>
                <w:szCs w:val="21"/>
              </w:rPr>
              <w:t>氨氮的排放标准值参考CJ343-2010《污水排入城市下水道水质标准》表1</w:t>
            </w:r>
          </w:p>
          <w:p>
            <w:pPr>
              <w:spacing w:line="340" w:lineRule="exact"/>
              <w:jc w:val="center"/>
              <w:rPr>
                <w:szCs w:val="21"/>
              </w:rPr>
            </w:pPr>
            <w:r>
              <w:rPr>
                <w:szCs w:val="21"/>
              </w:rPr>
              <w:t>氨氮最高允许排放浓度</w:t>
            </w:r>
          </w:p>
        </w:tc>
      </w:tr>
    </w:tbl>
    <w:p>
      <w:pPr>
        <w:pStyle w:val="42"/>
        <w:rPr>
          <w:rStyle w:val="43"/>
          <w:rFonts w:eastAsia="宋体"/>
        </w:rPr>
      </w:pPr>
      <w:bookmarkStart w:id="88" w:name="_Toc416192243"/>
      <w:bookmarkStart w:id="89" w:name="_Toc402445221"/>
      <w:bookmarkStart w:id="90" w:name="_Toc486070525"/>
      <w:bookmarkStart w:id="91" w:name="_Toc416992938"/>
      <w:bookmarkStart w:id="92" w:name="_Toc381722814"/>
      <w:r>
        <w:rPr>
          <w:rStyle w:val="43"/>
          <w:rFonts w:eastAsia="宋体"/>
        </w:rPr>
        <w:t>2.3 环境质量现状</w:t>
      </w:r>
      <w:bookmarkEnd w:id="88"/>
      <w:bookmarkEnd w:id="89"/>
      <w:bookmarkEnd w:id="90"/>
      <w:bookmarkEnd w:id="91"/>
      <w:bookmarkEnd w:id="92"/>
    </w:p>
    <w:p>
      <w:pPr>
        <w:pStyle w:val="4"/>
        <w:keepNext w:val="0"/>
        <w:keepLines w:val="0"/>
        <w:autoSpaceDE w:val="0"/>
        <w:autoSpaceDN w:val="0"/>
        <w:adjustRightInd w:val="0"/>
        <w:spacing w:line="360" w:lineRule="auto"/>
        <w:rPr>
          <w:rFonts w:eastAsia="宋体"/>
          <w:b/>
          <w:sz w:val="24"/>
          <w:szCs w:val="24"/>
        </w:rPr>
      </w:pPr>
      <w:bookmarkStart w:id="93" w:name="_Toc402431656"/>
      <w:bookmarkStart w:id="94" w:name="_Toc402445222"/>
      <w:bookmarkStart w:id="95" w:name="_Toc472321482"/>
      <w:bookmarkStart w:id="96" w:name="_Toc486070526"/>
      <w:r>
        <w:rPr>
          <w:rFonts w:eastAsia="宋体"/>
          <w:b/>
          <w:sz w:val="24"/>
          <w:szCs w:val="24"/>
        </w:rPr>
        <w:t>2.3.1 环境空气质量现状</w:t>
      </w:r>
      <w:bookmarkEnd w:id="93"/>
      <w:bookmarkEnd w:id="94"/>
      <w:bookmarkEnd w:id="95"/>
      <w:bookmarkEnd w:id="96"/>
    </w:p>
    <w:p>
      <w:pPr>
        <w:spacing w:line="360" w:lineRule="auto"/>
        <w:ind w:firstLine="480" w:firstLineChars="200"/>
        <w:rPr>
          <w:sz w:val="24"/>
        </w:rPr>
      </w:pPr>
      <w:r>
        <w:rPr>
          <w:sz w:val="24"/>
        </w:rPr>
        <w:t>引用</w:t>
      </w:r>
      <w:r>
        <w:rPr>
          <w:rFonts w:hint="eastAsia"/>
          <w:sz w:val="24"/>
        </w:rPr>
        <w:t>福州市</w:t>
      </w:r>
      <w:r>
        <w:rPr>
          <w:sz w:val="24"/>
        </w:rPr>
        <w:t>闽侯县</w:t>
      </w:r>
      <w:r>
        <w:rPr>
          <w:rFonts w:hint="eastAsia"/>
          <w:sz w:val="24"/>
        </w:rPr>
        <w:t>人民政府</w:t>
      </w:r>
      <w:r>
        <w:rPr>
          <w:sz w:val="24"/>
        </w:rPr>
        <w:t>网站上公布的201</w:t>
      </w:r>
      <w:r>
        <w:rPr>
          <w:rFonts w:hint="eastAsia"/>
          <w:sz w:val="24"/>
        </w:rPr>
        <w:t>8</w:t>
      </w:r>
      <w:r>
        <w:rPr>
          <w:sz w:val="24"/>
        </w:rPr>
        <w:t>年</w:t>
      </w:r>
      <w:r>
        <w:rPr>
          <w:rFonts w:hint="eastAsia"/>
          <w:sz w:val="24"/>
        </w:rPr>
        <w:t>6</w:t>
      </w:r>
      <w:r>
        <w:rPr>
          <w:sz w:val="24"/>
        </w:rPr>
        <w:t>月闽侯县空气质量月报，闽侯县</w:t>
      </w:r>
      <w:r>
        <w:rPr>
          <w:rFonts w:hint="eastAsia"/>
          <w:sz w:val="24"/>
        </w:rPr>
        <w:t>6</w:t>
      </w:r>
      <w:r>
        <w:rPr>
          <w:sz w:val="24"/>
        </w:rPr>
        <w:t>月份县城</w:t>
      </w:r>
      <w:r>
        <w:rPr>
          <w:rFonts w:hint="eastAsia"/>
          <w:sz w:val="24"/>
        </w:rPr>
        <w:t>环境</w:t>
      </w:r>
      <w:r>
        <w:rPr>
          <w:sz w:val="24"/>
        </w:rPr>
        <w:t>空气质量</w:t>
      </w:r>
      <w:r>
        <w:rPr>
          <w:rFonts w:hint="eastAsia"/>
          <w:sz w:val="24"/>
        </w:rPr>
        <w:t>良好，</w:t>
      </w:r>
      <w:r>
        <w:rPr>
          <w:sz w:val="24"/>
        </w:rPr>
        <w:t>空气质量SO</w:t>
      </w:r>
      <w:r>
        <w:rPr>
          <w:sz w:val="24"/>
          <w:vertAlign w:val="subscript"/>
        </w:rPr>
        <w:t>2</w:t>
      </w:r>
      <w:r>
        <w:rPr>
          <w:sz w:val="24"/>
        </w:rPr>
        <w:t>、NO</w:t>
      </w:r>
      <w:r>
        <w:rPr>
          <w:sz w:val="24"/>
          <w:vertAlign w:val="subscript"/>
        </w:rPr>
        <w:t>2</w:t>
      </w:r>
      <w:r>
        <w:rPr>
          <w:sz w:val="24"/>
        </w:rPr>
        <w:t>、PM</w:t>
      </w:r>
      <w:r>
        <w:rPr>
          <w:sz w:val="24"/>
          <w:vertAlign w:val="subscript"/>
        </w:rPr>
        <w:t>10</w:t>
      </w:r>
      <w:r>
        <w:rPr>
          <w:sz w:val="24"/>
        </w:rPr>
        <w:t>、PM</w:t>
      </w:r>
      <w:r>
        <w:rPr>
          <w:sz w:val="24"/>
          <w:vertAlign w:val="subscript"/>
        </w:rPr>
        <w:t>2.5</w:t>
      </w:r>
      <w:r>
        <w:rPr>
          <w:sz w:val="24"/>
        </w:rPr>
        <w:t>、O</w:t>
      </w:r>
      <w:r>
        <w:rPr>
          <w:sz w:val="24"/>
          <w:vertAlign w:val="subscript"/>
        </w:rPr>
        <w:t>3</w:t>
      </w:r>
      <w:r>
        <w:rPr>
          <w:sz w:val="24"/>
        </w:rPr>
        <w:t>、CO等6项污染物浓度指标的24小时均值（O</w:t>
      </w:r>
      <w:r>
        <w:rPr>
          <w:sz w:val="24"/>
          <w:vertAlign w:val="subscript"/>
        </w:rPr>
        <w:t>3</w:t>
      </w:r>
      <w:r>
        <w:rPr>
          <w:sz w:val="24"/>
        </w:rPr>
        <w:t>为日最大8小时平均），均达到GB3095-2012《环境空气质量标准》中的二级标准。</w:t>
      </w:r>
    </w:p>
    <w:p>
      <w:pPr>
        <w:spacing w:line="360" w:lineRule="auto"/>
        <w:ind w:firstLine="480" w:firstLineChars="200"/>
        <w:rPr>
          <w:sz w:val="24"/>
        </w:rPr>
      </w:pPr>
      <w:r>
        <w:rPr>
          <w:sz w:val="24"/>
        </w:rPr>
        <w:t>项目所在区域环境扩散条件较好，且周边无重大空气污染的工业企业，因此项目所在区域大气环境质量现状符合GB3095-2012《环境空气质量标准》中的二级标准。</w:t>
      </w:r>
    </w:p>
    <w:p>
      <w:pPr>
        <w:pStyle w:val="4"/>
        <w:keepNext w:val="0"/>
        <w:keepLines w:val="0"/>
        <w:autoSpaceDE w:val="0"/>
        <w:autoSpaceDN w:val="0"/>
        <w:adjustRightInd w:val="0"/>
        <w:spacing w:line="360" w:lineRule="auto"/>
        <w:rPr>
          <w:rFonts w:eastAsia="宋体"/>
          <w:b/>
          <w:sz w:val="24"/>
          <w:szCs w:val="24"/>
        </w:rPr>
      </w:pPr>
      <w:bookmarkStart w:id="97" w:name="_Toc472321483"/>
      <w:bookmarkStart w:id="98" w:name="_Toc486070527"/>
      <w:r>
        <w:rPr>
          <w:rFonts w:eastAsia="宋体"/>
          <w:b/>
          <w:sz w:val="24"/>
          <w:szCs w:val="24"/>
        </w:rPr>
        <w:t xml:space="preserve">2.3.2 </w:t>
      </w:r>
      <w:bookmarkEnd w:id="97"/>
      <w:bookmarkStart w:id="99" w:name="_Toc402431657"/>
      <w:bookmarkStart w:id="100" w:name="_Toc402445223"/>
      <w:bookmarkStart w:id="101" w:name="_Toc472321484"/>
      <w:r>
        <w:rPr>
          <w:rFonts w:eastAsia="宋体"/>
          <w:b/>
          <w:sz w:val="24"/>
          <w:szCs w:val="24"/>
        </w:rPr>
        <w:t>声环境质量现状</w:t>
      </w:r>
      <w:bookmarkEnd w:id="98"/>
      <w:bookmarkEnd w:id="99"/>
      <w:bookmarkEnd w:id="100"/>
      <w:bookmarkEnd w:id="101"/>
    </w:p>
    <w:p>
      <w:pPr>
        <w:spacing w:line="360" w:lineRule="auto"/>
        <w:ind w:firstLine="480" w:firstLineChars="200"/>
        <w:rPr>
          <w:sz w:val="24"/>
        </w:rPr>
      </w:pPr>
      <w:r>
        <w:rPr>
          <w:sz w:val="24"/>
        </w:rPr>
        <w:t>为了了解项目所在区域声环境现状，我</w:t>
      </w:r>
      <w:r>
        <w:rPr>
          <w:rFonts w:hint="eastAsia"/>
          <w:sz w:val="24"/>
        </w:rPr>
        <w:t>司</w:t>
      </w:r>
      <w:r>
        <w:rPr>
          <w:sz w:val="24"/>
        </w:rPr>
        <w:t>委托福建省闽环试验检测有限公司开展声环境监测</w:t>
      </w:r>
      <w:r>
        <w:rPr>
          <w:rFonts w:hint="eastAsia"/>
          <w:sz w:val="24"/>
        </w:rPr>
        <w:t>，</w:t>
      </w:r>
      <w:r>
        <w:rPr>
          <w:sz w:val="24"/>
        </w:rPr>
        <w:t>于201</w:t>
      </w:r>
      <w:r>
        <w:rPr>
          <w:rFonts w:hint="eastAsia"/>
          <w:sz w:val="24"/>
        </w:rPr>
        <w:t>8</w:t>
      </w:r>
      <w:r>
        <w:rPr>
          <w:sz w:val="24"/>
        </w:rPr>
        <w:t>年</w:t>
      </w:r>
      <w:r>
        <w:rPr>
          <w:rFonts w:hint="eastAsia"/>
          <w:sz w:val="24"/>
        </w:rPr>
        <w:t>6</w:t>
      </w:r>
      <w:r>
        <w:rPr>
          <w:sz w:val="24"/>
        </w:rPr>
        <w:t>月</w:t>
      </w:r>
      <w:r>
        <w:rPr>
          <w:rFonts w:hint="eastAsia"/>
          <w:sz w:val="24"/>
        </w:rPr>
        <w:t>30</w:t>
      </w:r>
      <w:r>
        <w:rPr>
          <w:sz w:val="24"/>
        </w:rPr>
        <w:t>日在项目所在地和周边敏感点共布置了</w:t>
      </w:r>
      <w:r>
        <w:rPr>
          <w:rFonts w:hint="eastAsia"/>
          <w:sz w:val="24"/>
        </w:rPr>
        <w:t>8</w:t>
      </w:r>
      <w:r>
        <w:rPr>
          <w:sz w:val="24"/>
        </w:rPr>
        <w:t>个监测点位，对声环境现状进行监测，监测点位见图2.3-1，项目噪声监测结果见表2.3-1。</w:t>
      </w:r>
    </w:p>
    <w:p>
      <w:pPr>
        <w:spacing w:line="360" w:lineRule="auto"/>
        <w:jc w:val="center"/>
        <w:rPr>
          <w:b/>
          <w:sz w:val="24"/>
        </w:rPr>
      </w:pPr>
      <w:r>
        <w:rPr>
          <w:b/>
          <w:sz w:val="24"/>
        </w:rPr>
        <w:pict>
          <v:shape id="_x0000_s1596" o:spid="_x0000_s1596" o:spt="5" type="#_x0000_t5" style="position:absolute;left:0pt;margin-left:255.9pt;margin-top:114.45pt;height:7.45pt;width:8.6pt;z-index:251696128;mso-width-relative:page;mso-height-relative:page;" fillcolor="#FF0000" filled="t" stroked="t" coordsize="21600,21600">
            <v:path/>
            <v:fill on="t" focussize="0,0"/>
            <v:stroke color="#FF0000" joinstyle="miter"/>
            <v:imagedata o:title=""/>
            <o:lock v:ext="edit"/>
          </v:shape>
        </w:pict>
      </w:r>
      <w:r>
        <w:rPr>
          <w:b/>
          <w:sz w:val="24"/>
        </w:rPr>
        <w:pict>
          <v:shape id="_x0000_s1598" o:spid="_x0000_s1598" o:spt="202" type="#_x0000_t202" style="position:absolute;left:0pt;margin-left:260pt;margin-top:111.45pt;height:15.55pt;width:16.85pt;z-index:251698176;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8#</w:t>
                  </w:r>
                </w:p>
              </w:txbxContent>
            </v:textbox>
          </v:shape>
        </w:pict>
      </w:r>
      <w:r>
        <w:rPr>
          <w:b/>
          <w:sz w:val="24"/>
        </w:rPr>
        <w:pict>
          <v:shape id="_x0000_s1568" o:spid="_x0000_s1568" o:spt="202" type="#_x0000_t202" style="position:absolute;left:0pt;margin-left:243.15pt;margin-top:232.45pt;height:16.15pt;width:16.85pt;z-index:251689984;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6#</w:t>
                  </w:r>
                </w:p>
              </w:txbxContent>
            </v:textbox>
          </v:shape>
        </w:pict>
      </w:r>
      <w:r>
        <w:rPr>
          <w:b/>
          <w:sz w:val="24"/>
        </w:rPr>
        <w:pict>
          <v:shape id="_x0000_s1532" o:spid="_x0000_s1532" o:spt="5" type="#_x0000_t5" style="position:absolute;left:0pt;margin-left:240.45pt;margin-top:238.6pt;height:6.5pt;width:8.6pt;z-index:251667456;mso-width-relative:page;mso-height-relative:page;" fillcolor="#FF0000" filled="t" stroked="t" coordsize="21600,21600">
            <v:path/>
            <v:fill on="t" focussize="0,0"/>
            <v:stroke color="#FF0000" joinstyle="miter"/>
            <v:imagedata o:title=""/>
            <o:lock v:ext="edit"/>
          </v:shape>
        </w:pict>
      </w:r>
      <w:r>
        <w:rPr>
          <w:b/>
          <w:sz w:val="24"/>
        </w:rPr>
        <w:pict>
          <v:shape id="_x0000_s1564" o:spid="_x0000_s1564" o:spt="202" type="#_x0000_t202" style="position:absolute;left:0pt;margin-left:302.35pt;margin-top:221.45pt;height:15.55pt;width:16.85pt;z-index:251685888;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3#</w:t>
                  </w:r>
                </w:p>
              </w:txbxContent>
            </v:textbox>
          </v:shape>
        </w:pict>
      </w:r>
      <w:r>
        <w:rPr>
          <w:b/>
          <w:sz w:val="24"/>
        </w:rPr>
        <w:pict>
          <v:shape id="_x0000_s1537" o:spid="_x0000_s1537" o:spt="5" type="#_x0000_t5" style="position:absolute;left:0pt;margin-left:310.6pt;margin-top:214pt;height:7.45pt;width:8.6pt;z-index:251669504;mso-width-relative:page;mso-height-relative:page;" fillcolor="#FF0000" filled="t" stroked="t" coordsize="21600,21600">
            <v:path/>
            <v:fill on="t" focussize="0,0"/>
            <v:stroke color="#FF0000" joinstyle="miter"/>
            <v:imagedata o:title=""/>
            <o:lock v:ext="edit"/>
          </v:shape>
        </w:pict>
      </w:r>
      <w:r>
        <w:rPr>
          <w:b/>
          <w:sz w:val="24"/>
        </w:rPr>
        <w:pict>
          <v:shape id="_x0000_s1561" o:spid="_x0000_s1561" o:spt="5" type="#_x0000_t5" style="position:absolute;left:0pt;margin-left:183.85pt;margin-top:235.95pt;height:7.45pt;width:8.6pt;z-index:251682816;mso-width-relative:page;mso-height-relative:page;" fillcolor="#FF0000" filled="t" stroked="t" coordsize="21600,21600">
            <v:path/>
            <v:fill on="t" focussize="0,0"/>
            <v:stroke color="#FF0000" joinstyle="miter"/>
            <v:imagedata o:title=""/>
            <o:lock v:ext="edit"/>
          </v:shape>
        </w:pict>
      </w:r>
      <w:r>
        <w:rPr>
          <w:b/>
          <w:sz w:val="24"/>
        </w:rPr>
        <w:pict>
          <v:shape id="_x0000_s1567" o:spid="_x0000_s1567" o:spt="202" type="#_x0000_t202" style="position:absolute;left:0pt;margin-left:189.75pt;margin-top:236.7pt;height:15.55pt;width:16.85pt;z-index:251688960;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5#</w:t>
                  </w:r>
                </w:p>
              </w:txbxContent>
            </v:textbox>
          </v:shape>
        </w:pict>
      </w:r>
      <w:r>
        <w:rPr>
          <w:b/>
          <w:sz w:val="24"/>
        </w:rPr>
        <w:pict>
          <v:shape id="_x0000_s1565" o:spid="_x0000_s1565" o:spt="202" type="#_x0000_t202" style="position:absolute;left:0pt;margin-left:160.95pt;margin-top:191.6pt;height:15.55pt;width:16.85pt;z-index:251686912;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2#</w:t>
                  </w:r>
                </w:p>
              </w:txbxContent>
            </v:textbox>
          </v:shape>
        </w:pict>
      </w:r>
      <w:r>
        <w:rPr>
          <w:b/>
          <w:sz w:val="24"/>
        </w:rPr>
        <w:pict>
          <v:shape id="_x0000_s1560" o:spid="_x0000_s1560" o:spt="5" type="#_x0000_t5" style="position:absolute;left:0pt;margin-left:155pt;margin-top:187.25pt;height:7.45pt;width:8.6pt;z-index:251681792;mso-width-relative:page;mso-height-relative:page;" fillcolor="#FF0000" filled="t" stroked="t" coordsize="21600,21600">
            <v:path/>
            <v:fill on="t" focussize="0,0"/>
            <v:stroke color="#FF0000" joinstyle="miter"/>
            <v:imagedata o:title=""/>
            <o:lock v:ext="edit"/>
          </v:shape>
        </w:pict>
      </w:r>
      <w:r>
        <w:rPr>
          <w:b/>
          <w:sz w:val="24"/>
        </w:rPr>
        <w:drawing>
          <wp:anchor distT="0" distB="0" distL="114300" distR="114300" simplePos="0" relativeHeight="251700224" behindDoc="1" locked="0" layoutInCell="1" allowOverlap="1">
            <wp:simplePos x="0" y="0"/>
            <wp:positionH relativeFrom="column">
              <wp:posOffset>-70485</wp:posOffset>
            </wp:positionH>
            <wp:positionV relativeFrom="paragraph">
              <wp:posOffset>10160</wp:posOffset>
            </wp:positionV>
            <wp:extent cx="5727700" cy="4619625"/>
            <wp:effectExtent l="0" t="0" r="0" b="0"/>
            <wp:wrapSquare wrapText="bothSides"/>
            <wp:docPr id="5" name="图片 5" descr="C:\Users\Administrator\Desktop\闽侯六中\闽侯六中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闽侯六中\闽侯六中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27700" cy="4619625"/>
                    </a:xfrm>
                    <a:prstGeom prst="rect">
                      <a:avLst/>
                    </a:prstGeom>
                    <a:noFill/>
                    <a:ln>
                      <a:noFill/>
                    </a:ln>
                  </pic:spPr>
                </pic:pic>
              </a:graphicData>
            </a:graphic>
          </wp:anchor>
        </w:drawing>
      </w:r>
      <w:r>
        <w:rPr>
          <w:b/>
          <w:sz w:val="24"/>
        </w:rPr>
        <w:pict>
          <v:shape id="_x0000_s1569" o:spid="_x0000_s1569" o:spt="202" type="#_x0000_t202" style="position:absolute;left:0pt;margin-left:383.2pt;margin-top:216.15pt;height:15.55pt;width:16.85pt;z-index:251691008;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7#</w:t>
                  </w:r>
                </w:p>
              </w:txbxContent>
            </v:textbox>
          </v:shape>
        </w:pict>
      </w:r>
      <w:r>
        <w:rPr>
          <w:b/>
          <w:sz w:val="24"/>
        </w:rPr>
        <w:pict>
          <v:shape id="_x0000_s1562" o:spid="_x0000_s1562" o:spt="5" type="#_x0000_t5" style="position:absolute;left:0pt;margin-left:377.65pt;margin-top:224.25pt;height:7.45pt;width:8.6pt;z-index:251683840;mso-width-relative:page;mso-height-relative:page;" fillcolor="#FF0000" filled="t" stroked="t" coordsize="21600,21600">
            <v:path/>
            <v:fill on="t" focussize="0,0"/>
            <v:stroke color="#FF0000" joinstyle="miter"/>
            <v:imagedata o:title=""/>
            <o:lock v:ext="edit"/>
          </v:shape>
        </w:pict>
      </w:r>
      <w:r>
        <w:pict>
          <v:shape id="_x0000_s1633" o:spid="_x0000_s1633" o:spt="202" type="#_x0000_t202" style="position:absolute;left:0pt;margin-left:232.95pt;margin-top:261.25pt;height:17.65pt;width:22.8pt;z-index:25170329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uSOQIAAFA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LTsJtIZyj9Ra6Fsc&#10;RxI3NdiPlLTY3gV1H7bMCkrUC43yzIbjcZiHaIwnlxka9tyzPvcwzRGqoJ6Sfrv0cYYiceYaZVzJ&#10;SHDQu8/kmDO2beT9OGJhLs7tGPXjR7D4Dg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AZSS5I5AgAAUAQAAA4AAAAAAAAAAAAA&#10;AAAALgIAAGRycy9lMm9Eb2MueG1sUEsBAi0AFAAGAAgAAAAhAP0vMtbbAAAABQEAAA8AAAAAAAAA&#10;AAAAAAAAkwQAAGRycy9kb3ducmV2LnhtbFBLBQYAAAAABAAEAPMAAACbBQAAAAA=&#10;">
            <v:path/>
            <v:fill on="f" focussize="0,0"/>
            <v:stroke on="f" color="#FFFFFF" joinstyle="miter"/>
            <v:imagedata o:title=""/>
            <o:lock v:ext="edit"/>
            <v:textbox inset="0mm,0mm,0mm,0mm">
              <w:txbxContent>
                <w:p>
                  <w:pPr>
                    <w:spacing w:line="240" w:lineRule="atLeast"/>
                    <w:jc w:val="center"/>
                    <w:rPr>
                      <w:b/>
                      <w:color w:val="FFFF00"/>
                      <w:sz w:val="18"/>
                      <w:szCs w:val="18"/>
                    </w:rPr>
                  </w:pPr>
                  <w:r>
                    <w:rPr>
                      <w:rFonts w:hint="eastAsia"/>
                      <w:b/>
                      <w:color w:val="FFFF00"/>
                      <w:sz w:val="18"/>
                      <w:szCs w:val="18"/>
                    </w:rPr>
                    <w:t>梓</w:t>
                  </w:r>
                </w:p>
              </w:txbxContent>
            </v:textbox>
          </v:shape>
        </w:pict>
      </w:r>
      <w:r>
        <w:pict>
          <v:shape id="_x0000_s1551" o:spid="_x0000_s1551" o:spt="202" type="#_x0000_t202" style="position:absolute;left:0pt;margin-left:166.95pt;margin-top:299.2pt;height:17.65pt;width:22.8pt;z-index:25167769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uSOQIAAFA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LTsJtIZyj9Ra6Fsc&#10;RxI3NdiPlLTY3gV1H7bMCkrUC43yzIbjcZiHaIwnlxka9tyzPvcwzRGqoJ6Sfrv0cYYiceYaZVzJ&#10;SHDQu8/kmDO2beT9OGJhLs7tGPXjR7D4Dg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AZSS5I5AgAAUAQAAA4AAAAAAAAAAAAA&#10;AAAALgIAAGRycy9lMm9Eb2MueG1sUEsBAi0AFAAGAAgAAAAhAP0vMtbbAAAABQEAAA8AAAAAAAAA&#10;AAAAAAAAkwQAAGRycy9kb3ducmV2LnhtbFBLBQYAAAAABAAEAPMAAACbBQAAAAA=&#10;">
            <v:path/>
            <v:fill on="f" focussize="0,0"/>
            <v:stroke on="f" color="#FFFFFF" joinstyle="miter"/>
            <v:imagedata o:title=""/>
            <o:lock v:ext="edit"/>
            <v:textbox inset="0mm,0mm,0mm,0mm">
              <w:txbxContent>
                <w:p>
                  <w:pPr>
                    <w:spacing w:line="240" w:lineRule="atLeast"/>
                    <w:jc w:val="center"/>
                    <w:rPr>
                      <w:b/>
                      <w:color w:val="FFFF00"/>
                      <w:sz w:val="18"/>
                      <w:szCs w:val="18"/>
                    </w:rPr>
                  </w:pPr>
                  <w:r>
                    <w:rPr>
                      <w:rFonts w:hint="eastAsia"/>
                      <w:b/>
                      <w:color w:val="FFFF00"/>
                      <w:sz w:val="18"/>
                      <w:szCs w:val="18"/>
                    </w:rPr>
                    <w:t>怀</w:t>
                  </w:r>
                </w:p>
              </w:txbxContent>
            </v:textbox>
          </v:shape>
        </w:pict>
      </w:r>
      <w:r>
        <w:pict>
          <v:shape id="_x0000_s1550" o:spid="_x0000_s1550" o:spt="202" type="#_x0000_t202" style="position:absolute;left:0pt;margin-left:338pt;margin-top:231.7pt;height:17.65pt;width:22.8pt;z-index:25167667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uSOQIAAFA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LTsJtIZyj9Ra6Fsc&#10;RxI3NdiPlLTY3gV1H7bMCkrUC43yzIbjcZiHaIwnlxka9tyzPvcwzRGqoJ6Sfrv0cYYiceYaZVzJ&#10;SHDQu8/kmDO2beT9OGJhLs7tGPXjR7D4Dg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AZSS5I5AgAAUAQAAA4AAAAAAAAAAAAA&#10;AAAALgIAAGRycy9lMm9Eb2MueG1sUEsBAi0AFAAGAAgAAAAhAP0vMtbbAAAABQEAAA8AAAAAAAAA&#10;AAAAAAAAkwQAAGRycy9kb3ducmV2LnhtbFBLBQYAAAAABAAEAPMAAACbBQAAAAA=&#10;">
            <v:path/>
            <v:fill on="f" focussize="0,0"/>
            <v:stroke on="f" color="#FFFFFF" joinstyle="miter"/>
            <v:imagedata o:title=""/>
            <o:lock v:ext="edit"/>
            <v:textbox inset="0mm,0mm,0mm,0mm">
              <w:txbxContent>
                <w:p>
                  <w:pPr>
                    <w:spacing w:line="240" w:lineRule="atLeast"/>
                    <w:jc w:val="center"/>
                    <w:rPr>
                      <w:b/>
                      <w:color w:val="FFFF00"/>
                      <w:sz w:val="18"/>
                      <w:szCs w:val="18"/>
                    </w:rPr>
                  </w:pPr>
                  <w:r>
                    <w:rPr>
                      <w:rFonts w:hint="eastAsia"/>
                      <w:b/>
                      <w:color w:val="FFFF00"/>
                      <w:sz w:val="18"/>
                      <w:szCs w:val="18"/>
                    </w:rPr>
                    <w:t>路</w:t>
                  </w:r>
                </w:p>
              </w:txbxContent>
            </v:textbox>
          </v:shape>
        </w:pict>
      </w:r>
      <w:r>
        <w:pict>
          <v:shape id="_x0000_s1557" o:spid="_x0000_s1557" o:spt="202" type="#_x0000_t202" style="position:absolute;left:0pt;margin-left:259.25pt;margin-top:278.65pt;height:19.8pt;width:43.1pt;z-index:251680768;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三橄榄</w:t>
                  </w:r>
                </w:p>
              </w:txbxContent>
            </v:textbox>
          </v:shape>
        </w:pict>
      </w:r>
      <w:r>
        <w:pict>
          <v:shape id="_x0000_s1556" o:spid="_x0000_s1556" o:spt="202" type="#_x0000_t202" style="position:absolute;left:0pt;margin-left:130.95pt;margin-top:244.15pt;height:17.1pt;width:44.15pt;z-index:251679744;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赤塘</w:t>
                  </w:r>
                </w:p>
              </w:txbxContent>
            </v:textbox>
          </v:shape>
        </w:pict>
      </w:r>
      <w:r>
        <w:pict>
          <v:shape id="_x0000_s1555" o:spid="_x0000_s1555" o:spt="202" type="#_x0000_t202" style="position:absolute;left:0pt;margin-left:400.05pt;margin-top:235.15pt;height:16.05pt;width:50.4pt;z-index:251678720;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院前</w:t>
                  </w:r>
                </w:p>
              </w:txbxContent>
            </v:textbox>
          </v:shape>
        </w:pict>
      </w:r>
      <w:r>
        <w:rPr>
          <w:b/>
          <w:sz w:val="24"/>
        </w:rPr>
        <w:pict>
          <v:shape id="_x0000_s1632" o:spid="_x0000_s1632" o:spt="202" type="#_x0000_t202" style="position:absolute;left:0pt;margin-left:404.55pt;margin-top:30.3pt;height:27pt;width:30pt;z-index:251702272;mso-width-relative:margin;mso-height-relative:margin;" stroked="f" coordsize="21600,21600">
            <v:path/>
            <v:fill opacity="0f" focussize="0,0"/>
            <v:stroke on="f" joinstyle="miter"/>
            <v:imagedata o:title=""/>
            <o:lock v:ext="edit"/>
            <v:textbox inset="0mm,0mm,0mm,0mm">
              <w:txbxContent>
                <w:p>
                  <w:pPr>
                    <w:jc w:val="center"/>
                    <w:rPr>
                      <w:b/>
                      <w:color w:val="FF0000"/>
                      <w:sz w:val="28"/>
                      <w:szCs w:val="28"/>
                    </w:rPr>
                  </w:pPr>
                  <w:r>
                    <w:rPr>
                      <w:rFonts w:hint="eastAsia"/>
                      <w:b/>
                      <w:color w:val="FF0000"/>
                      <w:sz w:val="28"/>
                      <w:szCs w:val="28"/>
                    </w:rPr>
                    <w:t>N</w:t>
                  </w:r>
                </w:p>
              </w:txbxContent>
            </v:textbox>
          </v:shape>
        </w:pict>
      </w:r>
      <w:r>
        <w:rPr>
          <w:b/>
          <w:sz w:val="24"/>
        </w:rPr>
        <w:pict>
          <v:shape id="_x0000_s1631" o:spid="_x0000_s1631" o:spt="68" type="#_x0000_t68" style="position:absolute;left:0pt;margin-left:427.8pt;margin-top:13.55pt;height:42.75pt;width:11.1pt;z-index:251701248;mso-width-relative:page;mso-height-relative:page;" fillcolor="#FF0000" filled="t" coordsize="21600,21600">
            <v:path/>
            <v:fill on="t" focussize="0,0"/>
            <v:stroke joinstyle="miter"/>
            <v:imagedata o:title=""/>
            <o:lock v:ext="edit"/>
          </v:shape>
        </w:pict>
      </w:r>
      <w:r>
        <w:rPr>
          <w:b/>
          <w:sz w:val="24"/>
        </w:rPr>
        <w:pict>
          <v:shape id="_x0000_s1597" o:spid="_x0000_s1597" o:spt="202" type="#_x0000_t202" style="position:absolute;left:0pt;margin-left:255pt;margin-top:91.15pt;height:16.05pt;width:50.4pt;z-index:251697152;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b/>
                      <w:color w:val="FF0000"/>
                      <w:sz w:val="18"/>
                      <w:szCs w:val="18"/>
                    </w:rPr>
                    <w:t>国家电网</w:t>
                  </w:r>
                </w:p>
              </w:txbxContent>
            </v:textbox>
          </v:shape>
        </w:pict>
      </w:r>
      <w:r>
        <w:rPr>
          <w:b/>
          <w:sz w:val="24"/>
        </w:rPr>
        <w:pict>
          <v:shape id="_x0000_s1566" o:spid="_x0000_s1566" o:spt="202" type="#_x0000_t202" style="position:absolute;left:0pt;margin-left:285.5pt;margin-top:156.7pt;height:15.55pt;width:16.85pt;z-index:251687936;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4#</w:t>
                  </w:r>
                </w:p>
              </w:txbxContent>
            </v:textbox>
          </v:shape>
        </w:pict>
      </w:r>
      <w:r>
        <w:rPr>
          <w:b/>
          <w:sz w:val="24"/>
        </w:rPr>
        <w:pict>
          <v:shape id="_x0000_s1530" o:spid="_x0000_s1530" o:spt="5" type="#_x0000_t5" style="position:absolute;left:0pt;margin-left:281.2pt;margin-top:158.3pt;height:7.45pt;width:8.6pt;z-index:251666432;mso-width-relative:page;mso-height-relative:page;" fillcolor="#FF0000" filled="t" stroked="t" coordsize="21600,21600">
            <v:path/>
            <v:fill on="t" focussize="0,0"/>
            <v:stroke color="#FF0000" joinstyle="miter"/>
            <v:imagedata o:title=""/>
            <o:lock v:ext="edit"/>
          </v:shape>
        </w:pict>
      </w:r>
      <w:r>
        <w:rPr>
          <w:b/>
          <w:sz w:val="24"/>
        </w:rPr>
        <w:pict>
          <v:shape id="_x0000_s1533" o:spid="_x0000_s1533" o:spt="5" type="#_x0000_t5" style="position:absolute;left:0pt;margin-left:130.95pt;margin-top:111.45pt;height:7.45pt;width:8.6pt;z-index:251668480;mso-width-relative:page;mso-height-relative:page;" fillcolor="#FF0000" filled="t" stroked="t" coordsize="21600,21600">
            <v:path/>
            <v:fill on="t" focussize="0,0"/>
            <v:stroke color="#FF0000" joinstyle="miter"/>
            <v:imagedata o:title=""/>
            <o:lock v:ext="edit"/>
          </v:shape>
        </w:pict>
      </w:r>
      <w:r>
        <w:rPr>
          <w:b/>
          <w:sz w:val="24"/>
        </w:rPr>
        <w:pict>
          <v:shape id="_x0000_s1563" o:spid="_x0000_s1563" o:spt="202" type="#_x0000_t202" style="position:absolute;left:0pt;margin-left:135.45pt;margin-top:101.1pt;height:15.55pt;width:16.85pt;z-index:251684864;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1#</w:t>
                  </w:r>
                </w:p>
              </w:txbxContent>
            </v:textbox>
          </v:shape>
        </w:pict>
      </w:r>
      <w:r>
        <w:pict>
          <v:rect id="_x0000_s1587" o:spid="_x0000_s1587" o:spt="1" style="position:absolute;left:0pt;margin-left:-0.15pt;margin-top:333.7pt;height:19.95pt;width:105pt;z-index:251693056;mso-width-relative:page;mso-height-relative:page;" coordsize="21600,21600">
            <v:path/>
            <v:fill focussize="0,0"/>
            <v:stroke/>
            <v:imagedata o:title=""/>
            <o:lock v:ext="edit"/>
          </v:rect>
        </w:pict>
      </w:r>
      <w:r>
        <w:pict>
          <v:shape id="_x0000_s1535" o:spid="_x0000_s1535" o:spt="202" type="#_x0000_t202" style="position:absolute;left:0pt;margin-left:15.05pt;margin-top:337.45pt;height:15.45pt;width:95.15pt;z-index:251694080;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声环境质量监测点</w:t>
                  </w:r>
                </w:p>
              </w:txbxContent>
            </v:textbox>
          </v:shape>
        </w:pict>
      </w:r>
      <w:r>
        <w:rPr>
          <w:b/>
          <w:sz w:val="24"/>
        </w:rPr>
        <w:pict>
          <v:shape id="_x0000_s1534" o:spid="_x0000_s1534" o:spt="5" type="#_x0000_t5" style="position:absolute;left:0pt;margin-left:7.2pt;margin-top:339.7pt;height:7.45pt;width:8.6pt;z-index:251695104;mso-width-relative:page;mso-height-relative:page;" fillcolor="#FF0000" filled="t" stroked="t" coordsize="21600,21600">
            <v:path/>
            <v:fill on="t" focussize="0,0"/>
            <v:stroke color="#FF0000" joinstyle="miter"/>
            <v:imagedata o:title=""/>
            <o:lock v:ext="edit"/>
          </v:shape>
        </w:pict>
      </w:r>
      <w:r>
        <w:rPr>
          <w:b/>
          <w:sz w:val="24"/>
        </w:rPr>
        <w:t>图2.3-1   环</w:t>
      </w:r>
      <w:r>
        <w:rPr>
          <w:rFonts w:hint="eastAsia"/>
          <w:b/>
          <w:sz w:val="24"/>
        </w:rPr>
        <w:t>境</w:t>
      </w:r>
      <w:r>
        <w:rPr>
          <w:b/>
          <w:sz w:val="24"/>
        </w:rPr>
        <w:t>敏感目标分布及声环境质量监测点位图</w:t>
      </w:r>
    </w:p>
    <w:p>
      <w:pPr>
        <w:jc w:val="center"/>
        <w:rPr>
          <w:b/>
          <w:color w:val="000000"/>
          <w:sz w:val="24"/>
        </w:rPr>
      </w:pPr>
      <w:r>
        <w:rPr>
          <w:b/>
          <w:color w:val="000000"/>
          <w:sz w:val="24"/>
        </w:rPr>
        <w:t>表2.3-1   环境噪声现状监测结果</w:t>
      </w:r>
    </w:p>
    <w:tbl>
      <w:tblPr>
        <w:tblStyle w:val="24"/>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409"/>
        <w:gridCol w:w="1223"/>
        <w:gridCol w:w="1127"/>
        <w:gridCol w:w="971"/>
        <w:gridCol w:w="1107"/>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spacing w:line="240" w:lineRule="exact"/>
              <w:jc w:val="center"/>
              <w:rPr>
                <w:szCs w:val="21"/>
              </w:rPr>
            </w:pPr>
            <w:r>
              <w:rPr>
                <w:szCs w:val="21"/>
              </w:rPr>
              <w:t>序号</w:t>
            </w:r>
          </w:p>
        </w:tc>
        <w:tc>
          <w:tcPr>
            <w:tcW w:w="1338" w:type="pct"/>
            <w:vAlign w:val="center"/>
          </w:tcPr>
          <w:p>
            <w:pPr>
              <w:spacing w:line="240" w:lineRule="exact"/>
              <w:ind w:firstLine="174"/>
              <w:jc w:val="center"/>
              <w:rPr>
                <w:szCs w:val="21"/>
              </w:rPr>
            </w:pPr>
            <w:r>
              <w:rPr>
                <w:szCs w:val="21"/>
              </w:rPr>
              <w:t>点位名称</w:t>
            </w:r>
          </w:p>
        </w:tc>
        <w:tc>
          <w:tcPr>
            <w:tcW w:w="679" w:type="pct"/>
            <w:vAlign w:val="center"/>
          </w:tcPr>
          <w:p>
            <w:pPr>
              <w:spacing w:line="240" w:lineRule="exact"/>
              <w:ind w:left="-55" w:leftChars="-26" w:firstLine="54" w:firstLineChars="26"/>
              <w:jc w:val="center"/>
              <w:rPr>
                <w:szCs w:val="21"/>
              </w:rPr>
            </w:pPr>
            <w:r>
              <w:rPr>
                <w:szCs w:val="21"/>
              </w:rPr>
              <w:t>监测点距地面高度（m）</w:t>
            </w:r>
          </w:p>
        </w:tc>
        <w:tc>
          <w:tcPr>
            <w:tcW w:w="626" w:type="pct"/>
            <w:vAlign w:val="center"/>
          </w:tcPr>
          <w:p>
            <w:pPr>
              <w:spacing w:line="240" w:lineRule="exact"/>
              <w:jc w:val="center"/>
              <w:rPr>
                <w:szCs w:val="21"/>
              </w:rPr>
            </w:pPr>
            <w:r>
              <w:rPr>
                <w:szCs w:val="21"/>
              </w:rPr>
              <w:t>执行标准</w:t>
            </w:r>
          </w:p>
        </w:tc>
        <w:tc>
          <w:tcPr>
            <w:tcW w:w="539" w:type="pct"/>
            <w:vAlign w:val="center"/>
          </w:tcPr>
          <w:p>
            <w:pPr>
              <w:spacing w:line="240" w:lineRule="exact"/>
              <w:ind w:left="357" w:hanging="357" w:hangingChars="170"/>
              <w:jc w:val="center"/>
              <w:rPr>
                <w:szCs w:val="21"/>
              </w:rPr>
            </w:pPr>
            <w:r>
              <w:rPr>
                <w:szCs w:val="21"/>
              </w:rPr>
              <w:t>昼间</w:t>
            </w:r>
          </w:p>
        </w:tc>
        <w:tc>
          <w:tcPr>
            <w:tcW w:w="615" w:type="pct"/>
            <w:vAlign w:val="center"/>
          </w:tcPr>
          <w:p>
            <w:pPr>
              <w:spacing w:line="240" w:lineRule="exact"/>
              <w:jc w:val="center"/>
              <w:rPr>
                <w:szCs w:val="21"/>
              </w:rPr>
            </w:pPr>
            <w:r>
              <w:rPr>
                <w:szCs w:val="21"/>
              </w:rPr>
              <w:t>夜间</w:t>
            </w:r>
          </w:p>
        </w:tc>
        <w:tc>
          <w:tcPr>
            <w:tcW w:w="828" w:type="pct"/>
            <w:vAlign w:val="center"/>
          </w:tcPr>
          <w:p>
            <w:pPr>
              <w:spacing w:line="240" w:lineRule="exact"/>
              <w:jc w:val="center"/>
              <w:rPr>
                <w:szCs w:val="21"/>
              </w:rPr>
            </w:pPr>
            <w:r>
              <w:rPr>
                <w:szCs w:val="21"/>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spacing w:line="240" w:lineRule="exact"/>
              <w:jc w:val="center"/>
              <w:rPr>
                <w:szCs w:val="21"/>
              </w:rPr>
            </w:pPr>
            <w:r>
              <w:rPr>
                <w:szCs w:val="21"/>
              </w:rPr>
              <w:t>1</w:t>
            </w:r>
          </w:p>
        </w:tc>
        <w:tc>
          <w:tcPr>
            <w:tcW w:w="1338" w:type="pct"/>
            <w:vAlign w:val="center"/>
          </w:tcPr>
          <w:p>
            <w:pPr>
              <w:jc w:val="center"/>
              <w:rPr>
                <w:szCs w:val="21"/>
              </w:rPr>
            </w:pPr>
            <w:r>
              <w:rPr>
                <w:szCs w:val="21"/>
              </w:rPr>
              <w:t>西北</w:t>
            </w:r>
            <w:r>
              <w:rPr>
                <w:color w:val="000000"/>
                <w:szCs w:val="21"/>
              </w:rPr>
              <w:t>场</w:t>
            </w:r>
            <w:r>
              <w:rPr>
                <w:szCs w:val="21"/>
              </w:rPr>
              <w:t>界</w:t>
            </w:r>
          </w:p>
        </w:tc>
        <w:tc>
          <w:tcPr>
            <w:tcW w:w="679" w:type="pct"/>
            <w:vAlign w:val="center"/>
          </w:tcPr>
          <w:p>
            <w:pPr>
              <w:spacing w:line="240" w:lineRule="exact"/>
              <w:ind w:left="-55" w:leftChars="-26" w:firstLine="54" w:firstLineChars="26"/>
              <w:jc w:val="center"/>
              <w:rPr>
                <w:szCs w:val="21"/>
              </w:rPr>
            </w:pPr>
            <w:r>
              <w:rPr>
                <w:szCs w:val="21"/>
              </w:rPr>
              <w:t>1.2</w:t>
            </w:r>
          </w:p>
        </w:tc>
        <w:tc>
          <w:tcPr>
            <w:tcW w:w="626" w:type="pct"/>
            <w:vMerge w:val="restart"/>
            <w:vAlign w:val="center"/>
          </w:tcPr>
          <w:p>
            <w:pPr>
              <w:spacing w:line="240" w:lineRule="exact"/>
              <w:jc w:val="center"/>
              <w:rPr>
                <w:szCs w:val="21"/>
              </w:rPr>
            </w:pPr>
            <w:r>
              <w:rPr>
                <w:szCs w:val="21"/>
              </w:rPr>
              <w:t>昼60dB</w:t>
            </w:r>
          </w:p>
          <w:p>
            <w:pPr>
              <w:spacing w:line="240" w:lineRule="exact"/>
              <w:jc w:val="center"/>
              <w:rPr>
                <w:szCs w:val="21"/>
              </w:rPr>
            </w:pPr>
            <w:r>
              <w:rPr>
                <w:szCs w:val="21"/>
              </w:rPr>
              <w:t>夜50dB</w:t>
            </w:r>
          </w:p>
        </w:tc>
        <w:tc>
          <w:tcPr>
            <w:tcW w:w="539" w:type="pct"/>
            <w:vAlign w:val="center"/>
          </w:tcPr>
          <w:p>
            <w:pPr>
              <w:spacing w:line="240" w:lineRule="exact"/>
              <w:ind w:left="-55" w:leftChars="-26" w:firstLine="54" w:firstLineChars="26"/>
              <w:jc w:val="center"/>
              <w:rPr>
                <w:szCs w:val="21"/>
              </w:rPr>
            </w:pPr>
            <w:r>
              <w:rPr>
                <w:szCs w:val="21"/>
              </w:rPr>
              <w:t>52.9</w:t>
            </w:r>
          </w:p>
        </w:tc>
        <w:tc>
          <w:tcPr>
            <w:tcW w:w="615" w:type="pct"/>
            <w:vAlign w:val="center"/>
          </w:tcPr>
          <w:p>
            <w:pPr>
              <w:spacing w:line="240" w:lineRule="exact"/>
              <w:ind w:left="-55" w:leftChars="-26" w:firstLine="54" w:firstLineChars="26"/>
              <w:jc w:val="center"/>
              <w:rPr>
                <w:szCs w:val="21"/>
              </w:rPr>
            </w:pPr>
            <w:r>
              <w:rPr>
                <w:szCs w:val="21"/>
              </w:rPr>
              <w:t>42.4</w:t>
            </w:r>
          </w:p>
        </w:tc>
        <w:tc>
          <w:tcPr>
            <w:tcW w:w="828" w:type="pct"/>
            <w:vMerge w:val="restart"/>
            <w:vAlign w:val="center"/>
          </w:tcPr>
          <w:p>
            <w:pPr>
              <w:spacing w:line="240" w:lineRule="exact"/>
              <w:jc w:val="center"/>
              <w:rPr>
                <w:szCs w:val="21"/>
              </w:rPr>
            </w:pPr>
            <w:r>
              <w:rPr>
                <w:szCs w:val="21"/>
              </w:rPr>
              <w:t>生活噪声、交通噪声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spacing w:line="240" w:lineRule="exact"/>
              <w:jc w:val="center"/>
              <w:rPr>
                <w:szCs w:val="21"/>
              </w:rPr>
            </w:pPr>
            <w:r>
              <w:rPr>
                <w:szCs w:val="21"/>
              </w:rPr>
              <w:t>2</w:t>
            </w:r>
          </w:p>
        </w:tc>
        <w:tc>
          <w:tcPr>
            <w:tcW w:w="1338" w:type="pct"/>
            <w:vAlign w:val="center"/>
          </w:tcPr>
          <w:p>
            <w:pPr>
              <w:jc w:val="center"/>
              <w:rPr>
                <w:szCs w:val="21"/>
              </w:rPr>
            </w:pPr>
            <w:r>
              <w:rPr>
                <w:szCs w:val="21"/>
              </w:rPr>
              <w:t>西南</w:t>
            </w:r>
            <w:r>
              <w:rPr>
                <w:color w:val="000000"/>
                <w:szCs w:val="21"/>
              </w:rPr>
              <w:t>场</w:t>
            </w:r>
            <w:r>
              <w:rPr>
                <w:szCs w:val="21"/>
              </w:rPr>
              <w:t>界</w:t>
            </w:r>
          </w:p>
        </w:tc>
        <w:tc>
          <w:tcPr>
            <w:tcW w:w="679" w:type="pct"/>
            <w:vAlign w:val="center"/>
          </w:tcPr>
          <w:p>
            <w:pPr>
              <w:spacing w:line="240" w:lineRule="exact"/>
              <w:ind w:left="-55" w:leftChars="-26" w:firstLine="54" w:firstLineChars="26"/>
              <w:jc w:val="center"/>
              <w:rPr>
                <w:szCs w:val="21"/>
              </w:rPr>
            </w:pPr>
            <w:r>
              <w:rPr>
                <w:szCs w:val="21"/>
              </w:rPr>
              <w:t>1.2</w:t>
            </w:r>
          </w:p>
        </w:tc>
        <w:tc>
          <w:tcPr>
            <w:tcW w:w="626" w:type="pct"/>
            <w:vMerge w:val="continue"/>
            <w:vAlign w:val="center"/>
          </w:tcPr>
          <w:p>
            <w:pPr>
              <w:spacing w:line="240" w:lineRule="exact"/>
              <w:jc w:val="center"/>
              <w:rPr>
                <w:szCs w:val="21"/>
              </w:rPr>
            </w:pPr>
          </w:p>
        </w:tc>
        <w:tc>
          <w:tcPr>
            <w:tcW w:w="539" w:type="pct"/>
            <w:vAlign w:val="center"/>
          </w:tcPr>
          <w:p>
            <w:pPr>
              <w:spacing w:line="240" w:lineRule="exact"/>
              <w:ind w:left="-55" w:leftChars="-26" w:firstLine="54" w:firstLineChars="26"/>
              <w:jc w:val="center"/>
              <w:rPr>
                <w:szCs w:val="21"/>
              </w:rPr>
            </w:pPr>
            <w:r>
              <w:rPr>
                <w:szCs w:val="21"/>
              </w:rPr>
              <w:t>56.2</w:t>
            </w:r>
          </w:p>
        </w:tc>
        <w:tc>
          <w:tcPr>
            <w:tcW w:w="615" w:type="pct"/>
            <w:vAlign w:val="center"/>
          </w:tcPr>
          <w:p>
            <w:pPr>
              <w:spacing w:line="240" w:lineRule="exact"/>
              <w:ind w:left="-55" w:leftChars="-26" w:firstLine="54" w:firstLineChars="26"/>
              <w:jc w:val="center"/>
              <w:rPr>
                <w:szCs w:val="21"/>
              </w:rPr>
            </w:pPr>
            <w:r>
              <w:rPr>
                <w:szCs w:val="21"/>
              </w:rPr>
              <w:t>45.9</w:t>
            </w:r>
          </w:p>
        </w:tc>
        <w:tc>
          <w:tcPr>
            <w:tcW w:w="828" w:type="pct"/>
            <w:vMerge w:val="continue"/>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spacing w:line="240" w:lineRule="exact"/>
              <w:jc w:val="center"/>
              <w:rPr>
                <w:szCs w:val="21"/>
              </w:rPr>
            </w:pPr>
            <w:r>
              <w:rPr>
                <w:szCs w:val="21"/>
              </w:rPr>
              <w:t>3</w:t>
            </w:r>
          </w:p>
        </w:tc>
        <w:tc>
          <w:tcPr>
            <w:tcW w:w="1338" w:type="pct"/>
            <w:vAlign w:val="center"/>
          </w:tcPr>
          <w:p>
            <w:pPr>
              <w:jc w:val="center"/>
              <w:rPr>
                <w:szCs w:val="21"/>
              </w:rPr>
            </w:pPr>
            <w:r>
              <w:rPr>
                <w:szCs w:val="21"/>
              </w:rPr>
              <w:t>东南</w:t>
            </w:r>
            <w:r>
              <w:rPr>
                <w:color w:val="000000"/>
                <w:szCs w:val="21"/>
              </w:rPr>
              <w:t>场</w:t>
            </w:r>
            <w:r>
              <w:rPr>
                <w:szCs w:val="21"/>
              </w:rPr>
              <w:t>界</w:t>
            </w:r>
          </w:p>
        </w:tc>
        <w:tc>
          <w:tcPr>
            <w:tcW w:w="679" w:type="pct"/>
            <w:vAlign w:val="center"/>
          </w:tcPr>
          <w:p>
            <w:pPr>
              <w:spacing w:line="240" w:lineRule="exact"/>
              <w:ind w:left="-55" w:leftChars="-26" w:firstLine="54" w:firstLineChars="26"/>
              <w:jc w:val="center"/>
              <w:rPr>
                <w:szCs w:val="21"/>
              </w:rPr>
            </w:pPr>
            <w:r>
              <w:rPr>
                <w:szCs w:val="21"/>
              </w:rPr>
              <w:t>1.2</w:t>
            </w:r>
          </w:p>
        </w:tc>
        <w:tc>
          <w:tcPr>
            <w:tcW w:w="626" w:type="pct"/>
            <w:vMerge w:val="continue"/>
            <w:vAlign w:val="center"/>
          </w:tcPr>
          <w:p>
            <w:pPr>
              <w:spacing w:line="240" w:lineRule="exact"/>
              <w:jc w:val="center"/>
              <w:rPr>
                <w:szCs w:val="21"/>
              </w:rPr>
            </w:pPr>
          </w:p>
        </w:tc>
        <w:tc>
          <w:tcPr>
            <w:tcW w:w="539" w:type="pct"/>
            <w:vAlign w:val="center"/>
          </w:tcPr>
          <w:p>
            <w:pPr>
              <w:spacing w:line="240" w:lineRule="exact"/>
              <w:ind w:left="-55" w:leftChars="-26" w:firstLine="54" w:firstLineChars="26"/>
              <w:jc w:val="center"/>
              <w:rPr>
                <w:szCs w:val="21"/>
              </w:rPr>
            </w:pPr>
            <w:r>
              <w:rPr>
                <w:szCs w:val="21"/>
              </w:rPr>
              <w:t>53.6</w:t>
            </w:r>
          </w:p>
        </w:tc>
        <w:tc>
          <w:tcPr>
            <w:tcW w:w="615" w:type="pct"/>
            <w:vAlign w:val="center"/>
          </w:tcPr>
          <w:p>
            <w:pPr>
              <w:spacing w:line="240" w:lineRule="exact"/>
              <w:ind w:left="-55" w:leftChars="-26" w:firstLine="54" w:firstLineChars="26"/>
              <w:jc w:val="center"/>
              <w:rPr>
                <w:szCs w:val="21"/>
              </w:rPr>
            </w:pPr>
            <w:r>
              <w:rPr>
                <w:szCs w:val="21"/>
              </w:rPr>
              <w:t>42.8</w:t>
            </w:r>
          </w:p>
        </w:tc>
        <w:tc>
          <w:tcPr>
            <w:tcW w:w="828" w:type="pct"/>
            <w:vMerge w:val="continue"/>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spacing w:line="240" w:lineRule="exact"/>
              <w:jc w:val="center"/>
              <w:rPr>
                <w:szCs w:val="21"/>
              </w:rPr>
            </w:pPr>
            <w:r>
              <w:rPr>
                <w:szCs w:val="21"/>
              </w:rPr>
              <w:t>4</w:t>
            </w:r>
          </w:p>
        </w:tc>
        <w:tc>
          <w:tcPr>
            <w:tcW w:w="1338" w:type="pct"/>
            <w:vAlign w:val="center"/>
          </w:tcPr>
          <w:p>
            <w:pPr>
              <w:jc w:val="center"/>
              <w:rPr>
                <w:szCs w:val="21"/>
              </w:rPr>
            </w:pPr>
            <w:r>
              <w:rPr>
                <w:szCs w:val="21"/>
              </w:rPr>
              <w:t>东北</w:t>
            </w:r>
            <w:r>
              <w:rPr>
                <w:color w:val="000000"/>
                <w:szCs w:val="21"/>
              </w:rPr>
              <w:t>场</w:t>
            </w:r>
            <w:r>
              <w:rPr>
                <w:szCs w:val="21"/>
              </w:rPr>
              <w:t>界</w:t>
            </w:r>
          </w:p>
        </w:tc>
        <w:tc>
          <w:tcPr>
            <w:tcW w:w="679" w:type="pct"/>
            <w:vAlign w:val="center"/>
          </w:tcPr>
          <w:p>
            <w:pPr>
              <w:spacing w:line="240" w:lineRule="exact"/>
              <w:ind w:left="-55" w:leftChars="-26" w:firstLine="54" w:firstLineChars="26"/>
              <w:jc w:val="center"/>
              <w:rPr>
                <w:szCs w:val="21"/>
              </w:rPr>
            </w:pPr>
            <w:r>
              <w:rPr>
                <w:szCs w:val="21"/>
              </w:rPr>
              <w:t>1.2</w:t>
            </w:r>
          </w:p>
        </w:tc>
        <w:tc>
          <w:tcPr>
            <w:tcW w:w="626" w:type="pct"/>
            <w:vMerge w:val="continue"/>
            <w:vAlign w:val="center"/>
          </w:tcPr>
          <w:p>
            <w:pPr>
              <w:spacing w:line="240" w:lineRule="exact"/>
              <w:jc w:val="center"/>
              <w:rPr>
                <w:szCs w:val="21"/>
              </w:rPr>
            </w:pPr>
          </w:p>
        </w:tc>
        <w:tc>
          <w:tcPr>
            <w:tcW w:w="539" w:type="pct"/>
            <w:vAlign w:val="center"/>
          </w:tcPr>
          <w:p>
            <w:pPr>
              <w:spacing w:line="240" w:lineRule="exact"/>
              <w:ind w:left="-55" w:leftChars="-26" w:firstLine="54" w:firstLineChars="26"/>
              <w:jc w:val="center"/>
              <w:rPr>
                <w:szCs w:val="21"/>
              </w:rPr>
            </w:pPr>
            <w:r>
              <w:rPr>
                <w:szCs w:val="21"/>
              </w:rPr>
              <w:t>52.2</w:t>
            </w:r>
          </w:p>
        </w:tc>
        <w:tc>
          <w:tcPr>
            <w:tcW w:w="615" w:type="pct"/>
            <w:vAlign w:val="center"/>
          </w:tcPr>
          <w:p>
            <w:pPr>
              <w:spacing w:line="240" w:lineRule="exact"/>
              <w:ind w:left="-55" w:leftChars="-26" w:firstLine="54" w:firstLineChars="26"/>
              <w:jc w:val="center"/>
              <w:rPr>
                <w:szCs w:val="21"/>
              </w:rPr>
            </w:pPr>
            <w:r>
              <w:rPr>
                <w:szCs w:val="21"/>
              </w:rPr>
              <w:t>43.1</w:t>
            </w:r>
          </w:p>
        </w:tc>
        <w:tc>
          <w:tcPr>
            <w:tcW w:w="828" w:type="pct"/>
            <w:vMerge w:val="continue"/>
            <w:vAlign w:val="center"/>
          </w:tcPr>
          <w:p>
            <w:pPr>
              <w:spacing w:line="240" w:lineRule="exact"/>
              <w:ind w:left="-55" w:leftChars="-26" w:firstLine="54" w:firstLineChars="26"/>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spacing w:line="240" w:lineRule="exact"/>
              <w:jc w:val="center"/>
              <w:rPr>
                <w:szCs w:val="21"/>
              </w:rPr>
            </w:pPr>
            <w:r>
              <w:rPr>
                <w:szCs w:val="21"/>
              </w:rPr>
              <w:t>5</w:t>
            </w:r>
          </w:p>
        </w:tc>
        <w:tc>
          <w:tcPr>
            <w:tcW w:w="1338" w:type="pct"/>
            <w:vAlign w:val="center"/>
          </w:tcPr>
          <w:p>
            <w:pPr>
              <w:jc w:val="center"/>
              <w:rPr>
                <w:szCs w:val="21"/>
              </w:rPr>
            </w:pPr>
            <w:r>
              <w:rPr>
                <w:szCs w:val="21"/>
              </w:rPr>
              <w:t>赤塘居民</w:t>
            </w:r>
            <w:r>
              <w:rPr>
                <w:rFonts w:hint="eastAsia"/>
                <w:szCs w:val="21"/>
              </w:rPr>
              <w:t>住宅</w:t>
            </w:r>
            <w:r>
              <w:rPr>
                <w:szCs w:val="21"/>
              </w:rPr>
              <w:t>靠近项目地块第一排</w:t>
            </w:r>
          </w:p>
        </w:tc>
        <w:tc>
          <w:tcPr>
            <w:tcW w:w="679" w:type="pct"/>
            <w:vAlign w:val="center"/>
          </w:tcPr>
          <w:p>
            <w:pPr>
              <w:spacing w:line="240" w:lineRule="exact"/>
              <w:ind w:left="-55" w:leftChars="-26" w:firstLine="54" w:firstLineChars="26"/>
              <w:jc w:val="center"/>
              <w:rPr>
                <w:szCs w:val="21"/>
              </w:rPr>
            </w:pPr>
            <w:r>
              <w:rPr>
                <w:szCs w:val="21"/>
              </w:rPr>
              <w:t>1.2</w:t>
            </w:r>
          </w:p>
        </w:tc>
        <w:tc>
          <w:tcPr>
            <w:tcW w:w="626" w:type="pct"/>
            <w:vMerge w:val="continue"/>
            <w:vAlign w:val="center"/>
          </w:tcPr>
          <w:p>
            <w:pPr>
              <w:spacing w:line="240" w:lineRule="exact"/>
              <w:jc w:val="center"/>
              <w:rPr>
                <w:szCs w:val="21"/>
              </w:rPr>
            </w:pPr>
          </w:p>
        </w:tc>
        <w:tc>
          <w:tcPr>
            <w:tcW w:w="539" w:type="pct"/>
            <w:vAlign w:val="center"/>
          </w:tcPr>
          <w:p>
            <w:pPr>
              <w:spacing w:line="240" w:lineRule="exact"/>
              <w:ind w:left="-55" w:leftChars="-26" w:firstLine="54" w:firstLineChars="26"/>
              <w:jc w:val="center"/>
              <w:rPr>
                <w:szCs w:val="21"/>
              </w:rPr>
            </w:pPr>
            <w:r>
              <w:rPr>
                <w:szCs w:val="21"/>
              </w:rPr>
              <w:t>55.7</w:t>
            </w:r>
          </w:p>
        </w:tc>
        <w:tc>
          <w:tcPr>
            <w:tcW w:w="615" w:type="pct"/>
            <w:vAlign w:val="center"/>
          </w:tcPr>
          <w:p>
            <w:pPr>
              <w:spacing w:line="240" w:lineRule="exact"/>
              <w:ind w:left="-55" w:leftChars="-26" w:firstLine="54" w:firstLineChars="26"/>
              <w:jc w:val="center"/>
              <w:rPr>
                <w:szCs w:val="21"/>
              </w:rPr>
            </w:pPr>
            <w:r>
              <w:rPr>
                <w:szCs w:val="21"/>
              </w:rPr>
              <w:t>45.3</w:t>
            </w:r>
          </w:p>
        </w:tc>
        <w:tc>
          <w:tcPr>
            <w:tcW w:w="828" w:type="pct"/>
            <w:vMerge w:val="continue"/>
            <w:vAlign w:val="center"/>
          </w:tcPr>
          <w:p>
            <w:pPr>
              <w:spacing w:line="240" w:lineRule="exact"/>
              <w:ind w:left="-55" w:leftChars="-26" w:firstLine="54" w:firstLineChars="26"/>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spacing w:line="240" w:lineRule="exact"/>
              <w:jc w:val="center"/>
              <w:rPr>
                <w:szCs w:val="21"/>
              </w:rPr>
            </w:pPr>
            <w:r>
              <w:rPr>
                <w:szCs w:val="21"/>
              </w:rPr>
              <w:t>6</w:t>
            </w:r>
          </w:p>
        </w:tc>
        <w:tc>
          <w:tcPr>
            <w:tcW w:w="1338" w:type="pct"/>
            <w:vAlign w:val="center"/>
          </w:tcPr>
          <w:p>
            <w:pPr>
              <w:jc w:val="center"/>
              <w:rPr>
                <w:szCs w:val="21"/>
              </w:rPr>
            </w:pPr>
            <w:r>
              <w:rPr>
                <w:szCs w:val="21"/>
              </w:rPr>
              <w:t>三橄榄居民</w:t>
            </w:r>
            <w:r>
              <w:rPr>
                <w:rFonts w:hint="eastAsia"/>
                <w:szCs w:val="21"/>
              </w:rPr>
              <w:t>住宅</w:t>
            </w:r>
            <w:r>
              <w:rPr>
                <w:szCs w:val="21"/>
              </w:rPr>
              <w:t>靠近项目地块第一排</w:t>
            </w:r>
          </w:p>
        </w:tc>
        <w:tc>
          <w:tcPr>
            <w:tcW w:w="679" w:type="pct"/>
            <w:vAlign w:val="center"/>
          </w:tcPr>
          <w:p>
            <w:pPr>
              <w:spacing w:line="240" w:lineRule="exact"/>
              <w:ind w:left="-55" w:leftChars="-26" w:firstLine="54" w:firstLineChars="26"/>
              <w:jc w:val="center"/>
              <w:rPr>
                <w:szCs w:val="21"/>
              </w:rPr>
            </w:pPr>
            <w:r>
              <w:rPr>
                <w:szCs w:val="21"/>
              </w:rPr>
              <w:t>1.2</w:t>
            </w:r>
          </w:p>
        </w:tc>
        <w:tc>
          <w:tcPr>
            <w:tcW w:w="626" w:type="pct"/>
            <w:vMerge w:val="continue"/>
            <w:vAlign w:val="center"/>
          </w:tcPr>
          <w:p>
            <w:pPr>
              <w:spacing w:line="240" w:lineRule="exact"/>
              <w:jc w:val="center"/>
              <w:rPr>
                <w:szCs w:val="21"/>
              </w:rPr>
            </w:pPr>
          </w:p>
        </w:tc>
        <w:tc>
          <w:tcPr>
            <w:tcW w:w="539" w:type="pct"/>
            <w:vAlign w:val="center"/>
          </w:tcPr>
          <w:p>
            <w:pPr>
              <w:spacing w:line="240" w:lineRule="exact"/>
              <w:ind w:left="-55" w:leftChars="-26" w:firstLine="54" w:firstLineChars="26"/>
              <w:jc w:val="center"/>
              <w:rPr>
                <w:szCs w:val="21"/>
              </w:rPr>
            </w:pPr>
            <w:r>
              <w:rPr>
                <w:szCs w:val="21"/>
              </w:rPr>
              <w:t>58.6</w:t>
            </w:r>
          </w:p>
        </w:tc>
        <w:tc>
          <w:tcPr>
            <w:tcW w:w="615" w:type="pct"/>
            <w:vAlign w:val="center"/>
          </w:tcPr>
          <w:p>
            <w:pPr>
              <w:spacing w:line="240" w:lineRule="exact"/>
              <w:ind w:left="-55" w:leftChars="-26" w:firstLine="54" w:firstLineChars="26"/>
              <w:jc w:val="center"/>
              <w:rPr>
                <w:szCs w:val="21"/>
              </w:rPr>
            </w:pPr>
            <w:r>
              <w:rPr>
                <w:szCs w:val="21"/>
              </w:rPr>
              <w:t>47.5</w:t>
            </w:r>
          </w:p>
        </w:tc>
        <w:tc>
          <w:tcPr>
            <w:tcW w:w="828" w:type="pct"/>
            <w:vMerge w:val="continue"/>
            <w:vAlign w:val="center"/>
          </w:tcPr>
          <w:p>
            <w:pPr>
              <w:spacing w:line="240" w:lineRule="exact"/>
              <w:ind w:left="-55" w:leftChars="-26" w:firstLine="54" w:firstLineChars="26"/>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spacing w:line="240" w:lineRule="exact"/>
              <w:jc w:val="center"/>
              <w:rPr>
                <w:szCs w:val="21"/>
              </w:rPr>
            </w:pPr>
            <w:r>
              <w:rPr>
                <w:szCs w:val="21"/>
              </w:rPr>
              <w:t>7</w:t>
            </w:r>
          </w:p>
        </w:tc>
        <w:tc>
          <w:tcPr>
            <w:tcW w:w="1338" w:type="pct"/>
            <w:vAlign w:val="center"/>
          </w:tcPr>
          <w:p>
            <w:pPr>
              <w:jc w:val="center"/>
              <w:rPr>
                <w:szCs w:val="21"/>
              </w:rPr>
            </w:pPr>
            <w:r>
              <w:rPr>
                <w:szCs w:val="21"/>
              </w:rPr>
              <w:t>院前居民</w:t>
            </w:r>
            <w:r>
              <w:rPr>
                <w:rFonts w:hint="eastAsia"/>
                <w:szCs w:val="21"/>
              </w:rPr>
              <w:t>住宅</w:t>
            </w:r>
            <w:r>
              <w:rPr>
                <w:szCs w:val="21"/>
              </w:rPr>
              <w:t>靠近项目地块第一排</w:t>
            </w:r>
          </w:p>
        </w:tc>
        <w:tc>
          <w:tcPr>
            <w:tcW w:w="679" w:type="pct"/>
            <w:vAlign w:val="center"/>
          </w:tcPr>
          <w:p>
            <w:pPr>
              <w:spacing w:line="240" w:lineRule="exact"/>
              <w:ind w:left="-55" w:leftChars="-26" w:firstLine="54" w:firstLineChars="26"/>
              <w:jc w:val="center"/>
              <w:rPr>
                <w:szCs w:val="21"/>
              </w:rPr>
            </w:pPr>
            <w:r>
              <w:rPr>
                <w:szCs w:val="21"/>
              </w:rPr>
              <w:t>1.2</w:t>
            </w:r>
          </w:p>
        </w:tc>
        <w:tc>
          <w:tcPr>
            <w:tcW w:w="626" w:type="pct"/>
            <w:vMerge w:val="continue"/>
            <w:vAlign w:val="center"/>
          </w:tcPr>
          <w:p>
            <w:pPr>
              <w:spacing w:line="240" w:lineRule="exact"/>
              <w:jc w:val="center"/>
              <w:rPr>
                <w:szCs w:val="21"/>
              </w:rPr>
            </w:pPr>
          </w:p>
        </w:tc>
        <w:tc>
          <w:tcPr>
            <w:tcW w:w="539" w:type="pct"/>
            <w:vAlign w:val="center"/>
          </w:tcPr>
          <w:p>
            <w:pPr>
              <w:spacing w:line="240" w:lineRule="exact"/>
              <w:ind w:left="-55" w:leftChars="-26" w:firstLine="54" w:firstLineChars="26"/>
              <w:jc w:val="center"/>
              <w:rPr>
                <w:szCs w:val="21"/>
              </w:rPr>
            </w:pPr>
            <w:r>
              <w:rPr>
                <w:szCs w:val="21"/>
              </w:rPr>
              <w:t>56.1</w:t>
            </w:r>
          </w:p>
        </w:tc>
        <w:tc>
          <w:tcPr>
            <w:tcW w:w="615" w:type="pct"/>
            <w:vAlign w:val="center"/>
          </w:tcPr>
          <w:p>
            <w:pPr>
              <w:spacing w:line="240" w:lineRule="exact"/>
              <w:ind w:left="-55" w:leftChars="-26" w:firstLine="54" w:firstLineChars="26"/>
              <w:jc w:val="center"/>
              <w:rPr>
                <w:szCs w:val="21"/>
              </w:rPr>
            </w:pPr>
            <w:r>
              <w:rPr>
                <w:szCs w:val="21"/>
              </w:rPr>
              <w:t>46.3</w:t>
            </w:r>
          </w:p>
        </w:tc>
        <w:tc>
          <w:tcPr>
            <w:tcW w:w="828" w:type="pct"/>
            <w:vMerge w:val="continue"/>
            <w:vAlign w:val="center"/>
          </w:tcPr>
          <w:p>
            <w:pPr>
              <w:spacing w:line="240" w:lineRule="exact"/>
              <w:ind w:left="-55" w:leftChars="-26" w:firstLine="54" w:firstLineChars="26"/>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vAlign w:val="center"/>
          </w:tcPr>
          <w:p>
            <w:pPr>
              <w:spacing w:line="240" w:lineRule="exact"/>
              <w:jc w:val="center"/>
              <w:rPr>
                <w:szCs w:val="21"/>
              </w:rPr>
            </w:pPr>
            <w:r>
              <w:rPr>
                <w:rFonts w:hint="eastAsia"/>
                <w:szCs w:val="21"/>
              </w:rPr>
              <w:t>8</w:t>
            </w:r>
          </w:p>
        </w:tc>
        <w:tc>
          <w:tcPr>
            <w:tcW w:w="1338" w:type="pct"/>
            <w:vAlign w:val="center"/>
          </w:tcPr>
          <w:p>
            <w:pPr>
              <w:jc w:val="center"/>
              <w:rPr>
                <w:szCs w:val="21"/>
              </w:rPr>
            </w:pPr>
            <w:r>
              <w:rPr>
                <w:szCs w:val="21"/>
              </w:rPr>
              <w:t>国家电网办公楼靠近项目地块</w:t>
            </w:r>
            <w:r>
              <w:rPr>
                <w:rFonts w:hint="eastAsia"/>
                <w:szCs w:val="21"/>
              </w:rPr>
              <w:t>处</w:t>
            </w:r>
          </w:p>
        </w:tc>
        <w:tc>
          <w:tcPr>
            <w:tcW w:w="679" w:type="pct"/>
            <w:vAlign w:val="center"/>
          </w:tcPr>
          <w:p>
            <w:pPr>
              <w:spacing w:line="240" w:lineRule="exact"/>
              <w:ind w:left="-55" w:leftChars="-26" w:firstLine="54" w:firstLineChars="26"/>
              <w:jc w:val="center"/>
              <w:rPr>
                <w:szCs w:val="21"/>
              </w:rPr>
            </w:pPr>
            <w:r>
              <w:rPr>
                <w:rFonts w:hint="eastAsia"/>
                <w:szCs w:val="21"/>
              </w:rPr>
              <w:t>1.2</w:t>
            </w:r>
          </w:p>
        </w:tc>
        <w:tc>
          <w:tcPr>
            <w:tcW w:w="626" w:type="pct"/>
            <w:vMerge w:val="continue"/>
            <w:vAlign w:val="center"/>
          </w:tcPr>
          <w:p>
            <w:pPr>
              <w:spacing w:line="240" w:lineRule="exact"/>
              <w:jc w:val="center"/>
              <w:rPr>
                <w:szCs w:val="21"/>
              </w:rPr>
            </w:pPr>
          </w:p>
        </w:tc>
        <w:tc>
          <w:tcPr>
            <w:tcW w:w="539" w:type="pct"/>
            <w:vAlign w:val="center"/>
          </w:tcPr>
          <w:p>
            <w:pPr>
              <w:spacing w:line="240" w:lineRule="exact"/>
              <w:ind w:left="-55" w:leftChars="-26" w:firstLine="54" w:firstLineChars="26"/>
              <w:jc w:val="center"/>
              <w:rPr>
                <w:szCs w:val="21"/>
              </w:rPr>
            </w:pPr>
            <w:r>
              <w:rPr>
                <w:rFonts w:hint="eastAsia"/>
                <w:szCs w:val="21"/>
              </w:rPr>
              <w:t>52.2</w:t>
            </w:r>
          </w:p>
        </w:tc>
        <w:tc>
          <w:tcPr>
            <w:tcW w:w="615" w:type="pct"/>
            <w:vAlign w:val="center"/>
          </w:tcPr>
          <w:p>
            <w:pPr>
              <w:spacing w:line="240" w:lineRule="exact"/>
              <w:ind w:left="-55" w:leftChars="-26" w:firstLine="54" w:firstLineChars="26"/>
              <w:jc w:val="center"/>
              <w:rPr>
                <w:szCs w:val="21"/>
              </w:rPr>
            </w:pPr>
            <w:r>
              <w:rPr>
                <w:rFonts w:hint="eastAsia"/>
                <w:szCs w:val="21"/>
              </w:rPr>
              <w:t>43.5</w:t>
            </w:r>
          </w:p>
        </w:tc>
        <w:tc>
          <w:tcPr>
            <w:tcW w:w="828" w:type="pct"/>
            <w:vMerge w:val="continue"/>
            <w:vAlign w:val="center"/>
          </w:tcPr>
          <w:p>
            <w:pPr>
              <w:spacing w:line="240" w:lineRule="exact"/>
              <w:ind w:left="-55" w:leftChars="-26" w:firstLine="54" w:firstLineChars="26"/>
              <w:jc w:val="center"/>
              <w:rPr>
                <w:szCs w:val="21"/>
              </w:rPr>
            </w:pPr>
          </w:p>
        </w:tc>
      </w:tr>
    </w:tbl>
    <w:p>
      <w:pPr>
        <w:spacing w:line="360" w:lineRule="auto"/>
        <w:ind w:firstLine="480" w:firstLineChars="200"/>
        <w:rPr>
          <w:sz w:val="24"/>
        </w:rPr>
      </w:pPr>
      <w:r>
        <w:rPr>
          <w:sz w:val="24"/>
        </w:rPr>
        <w:t>由上表监测结果可知，项目地块西北、西南、东南和东北侧场界及周边敏感目标昼、夜间噪声监测值均可符合GB3096-2008《声环境质量标准》中2类标准（昼间≤60dB(A)、夜间≤50dB(A)）。</w:t>
      </w:r>
    </w:p>
    <w:p>
      <w:pPr>
        <w:pStyle w:val="4"/>
        <w:keepNext w:val="0"/>
        <w:keepLines w:val="0"/>
        <w:autoSpaceDE w:val="0"/>
        <w:autoSpaceDN w:val="0"/>
        <w:adjustRightInd w:val="0"/>
        <w:spacing w:line="360" w:lineRule="auto"/>
        <w:rPr>
          <w:rFonts w:eastAsia="宋体"/>
          <w:b/>
          <w:sz w:val="24"/>
          <w:szCs w:val="24"/>
        </w:rPr>
      </w:pPr>
      <w:bookmarkStart w:id="102" w:name="_Toc472321485"/>
      <w:bookmarkStart w:id="103" w:name="_Toc486070528"/>
      <w:r>
        <w:rPr>
          <w:rFonts w:eastAsia="宋体"/>
          <w:b/>
          <w:sz w:val="24"/>
          <w:szCs w:val="24"/>
        </w:rPr>
        <w:t>2.3.3 生态环境现状</w:t>
      </w:r>
      <w:bookmarkEnd w:id="102"/>
      <w:bookmarkEnd w:id="103"/>
    </w:p>
    <w:p>
      <w:pPr>
        <w:spacing w:line="360" w:lineRule="auto"/>
        <w:ind w:firstLine="480" w:firstLineChars="200"/>
        <w:rPr>
          <w:sz w:val="24"/>
        </w:rPr>
      </w:pPr>
      <w:r>
        <w:rPr>
          <w:sz w:val="24"/>
        </w:rPr>
        <w:t>根据现场调查，现状地面地形高差较大，拟建场地地质条件好，区域内多为</w:t>
      </w:r>
      <w:r>
        <w:rPr>
          <w:rFonts w:hint="eastAsia"/>
          <w:sz w:val="24"/>
        </w:rPr>
        <w:t>荒地</w:t>
      </w:r>
      <w:r>
        <w:rPr>
          <w:sz w:val="24"/>
        </w:rPr>
        <w:t>和水塘，植被主要为杂草、灌木丛，无挂牌保护的古树名木。项目区域范围内未发现有珍稀及濒危野生植物资源，或有特定保护价值的地带原生性或林木高大古老的群落类型分布。未发现有重要野生动物集中栖息与繁衍的特定植被生境区域，并无涉及基本农田保护区与生态公益林等。</w:t>
      </w:r>
    </w:p>
    <w:p>
      <w:pPr>
        <w:pStyle w:val="42"/>
        <w:rPr>
          <w:rStyle w:val="43"/>
          <w:rFonts w:eastAsia="宋体"/>
        </w:rPr>
      </w:pPr>
      <w:bookmarkStart w:id="104" w:name="_Toc486070529"/>
      <w:r>
        <w:rPr>
          <w:rStyle w:val="43"/>
          <w:rFonts w:eastAsia="宋体"/>
        </w:rPr>
        <w:t>2.4 环境敏感目标</w:t>
      </w:r>
      <w:bookmarkEnd w:id="104"/>
    </w:p>
    <w:p>
      <w:pPr>
        <w:spacing w:line="360" w:lineRule="auto"/>
        <w:ind w:firstLine="480" w:firstLineChars="200"/>
        <w:rPr>
          <w:sz w:val="24"/>
        </w:rPr>
      </w:pPr>
      <w:r>
        <w:rPr>
          <w:sz w:val="24"/>
        </w:rPr>
        <w:t>项目建设地块周边主要环境保护目标见表2.4-1及图2.3-1所示。</w:t>
      </w:r>
    </w:p>
    <w:p>
      <w:pPr>
        <w:spacing w:line="360" w:lineRule="auto"/>
        <w:ind w:firstLine="482" w:firstLineChars="200"/>
        <w:jc w:val="center"/>
        <w:rPr>
          <w:b/>
          <w:color w:val="000000"/>
          <w:sz w:val="24"/>
        </w:rPr>
      </w:pPr>
      <w:r>
        <w:rPr>
          <w:b/>
          <w:color w:val="000000"/>
          <w:sz w:val="24"/>
        </w:rPr>
        <w:t>表2.4-1 项目环境保护目标一览表</w:t>
      </w:r>
    </w:p>
    <w:tbl>
      <w:tblPr>
        <w:tblStyle w:val="2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843"/>
        <w:gridCol w:w="1843"/>
        <w:gridCol w:w="1417"/>
        <w:gridCol w:w="127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jc w:val="center"/>
              <w:rPr>
                <w:szCs w:val="21"/>
              </w:rPr>
            </w:pPr>
            <w:r>
              <w:rPr>
                <w:szCs w:val="21"/>
              </w:rPr>
              <w:t>环境要素</w:t>
            </w:r>
          </w:p>
        </w:tc>
        <w:tc>
          <w:tcPr>
            <w:tcW w:w="1843" w:type="dxa"/>
            <w:shd w:val="clear" w:color="auto" w:fill="auto"/>
            <w:vAlign w:val="center"/>
          </w:tcPr>
          <w:p>
            <w:pPr>
              <w:jc w:val="center"/>
              <w:rPr>
                <w:szCs w:val="21"/>
              </w:rPr>
            </w:pPr>
            <w:r>
              <w:rPr>
                <w:szCs w:val="21"/>
              </w:rPr>
              <w:t>环境敏感目标</w:t>
            </w:r>
          </w:p>
        </w:tc>
        <w:tc>
          <w:tcPr>
            <w:tcW w:w="1843" w:type="dxa"/>
            <w:shd w:val="clear" w:color="auto" w:fill="auto"/>
            <w:vAlign w:val="center"/>
          </w:tcPr>
          <w:p>
            <w:pPr>
              <w:jc w:val="center"/>
              <w:rPr>
                <w:szCs w:val="21"/>
              </w:rPr>
            </w:pPr>
            <w:r>
              <w:rPr>
                <w:szCs w:val="21"/>
              </w:rPr>
              <w:t>方位距离</w:t>
            </w:r>
          </w:p>
        </w:tc>
        <w:tc>
          <w:tcPr>
            <w:tcW w:w="1417" w:type="dxa"/>
            <w:shd w:val="clear" w:color="auto" w:fill="auto"/>
            <w:vAlign w:val="center"/>
          </w:tcPr>
          <w:p>
            <w:pPr>
              <w:jc w:val="center"/>
              <w:rPr>
                <w:szCs w:val="21"/>
              </w:rPr>
            </w:pPr>
            <w:r>
              <w:rPr>
                <w:szCs w:val="21"/>
              </w:rPr>
              <w:t>环境特征</w:t>
            </w:r>
          </w:p>
        </w:tc>
        <w:tc>
          <w:tcPr>
            <w:tcW w:w="1276" w:type="dxa"/>
            <w:shd w:val="clear" w:color="auto" w:fill="auto"/>
            <w:vAlign w:val="center"/>
          </w:tcPr>
          <w:p>
            <w:pPr>
              <w:jc w:val="center"/>
              <w:rPr>
                <w:szCs w:val="21"/>
              </w:rPr>
            </w:pPr>
            <w:r>
              <w:rPr>
                <w:szCs w:val="21"/>
              </w:rPr>
              <w:t>规模</w:t>
            </w:r>
          </w:p>
        </w:tc>
        <w:tc>
          <w:tcPr>
            <w:tcW w:w="1843" w:type="dxa"/>
            <w:shd w:val="clear" w:color="auto" w:fill="auto"/>
            <w:vAlign w:val="center"/>
          </w:tcPr>
          <w:p>
            <w:pPr>
              <w:jc w:val="center"/>
              <w:rPr>
                <w:szCs w:val="21"/>
              </w:rPr>
            </w:pPr>
            <w:r>
              <w:rPr>
                <w:szCs w:val="21"/>
              </w:rPr>
              <w:t>环境质量目标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17" w:type="dxa"/>
            <w:vMerge w:val="restart"/>
            <w:shd w:val="clear" w:color="auto" w:fill="auto"/>
            <w:vAlign w:val="center"/>
          </w:tcPr>
          <w:p>
            <w:pPr>
              <w:jc w:val="center"/>
              <w:rPr>
                <w:szCs w:val="21"/>
              </w:rPr>
            </w:pPr>
            <w:r>
              <w:rPr>
                <w:szCs w:val="21"/>
              </w:rPr>
              <w:t>声环境、</w:t>
            </w:r>
          </w:p>
          <w:p>
            <w:pPr>
              <w:jc w:val="center"/>
              <w:rPr>
                <w:szCs w:val="21"/>
              </w:rPr>
            </w:pPr>
            <w:r>
              <w:rPr>
                <w:szCs w:val="21"/>
              </w:rPr>
              <w:t>大气环境</w:t>
            </w:r>
          </w:p>
        </w:tc>
        <w:tc>
          <w:tcPr>
            <w:tcW w:w="1843" w:type="dxa"/>
            <w:shd w:val="clear" w:color="auto" w:fill="auto"/>
            <w:vAlign w:val="center"/>
          </w:tcPr>
          <w:p>
            <w:pPr>
              <w:jc w:val="center"/>
              <w:rPr>
                <w:szCs w:val="21"/>
              </w:rPr>
            </w:pPr>
            <w:r>
              <w:rPr>
                <w:szCs w:val="21"/>
              </w:rPr>
              <w:t>赤塘村</w:t>
            </w:r>
          </w:p>
        </w:tc>
        <w:tc>
          <w:tcPr>
            <w:tcW w:w="1843" w:type="dxa"/>
            <w:shd w:val="clear" w:color="auto" w:fill="auto"/>
            <w:vAlign w:val="center"/>
          </w:tcPr>
          <w:p>
            <w:pPr>
              <w:jc w:val="center"/>
              <w:rPr>
                <w:szCs w:val="21"/>
              </w:rPr>
            </w:pPr>
            <w:r>
              <w:rPr>
                <w:szCs w:val="21"/>
              </w:rPr>
              <w:t>西</w:t>
            </w:r>
            <w:r>
              <w:rPr>
                <w:rFonts w:hint="eastAsia"/>
                <w:szCs w:val="21"/>
              </w:rPr>
              <w:t>南</w:t>
            </w:r>
            <w:r>
              <w:rPr>
                <w:szCs w:val="21"/>
              </w:rPr>
              <w:t>侧</w:t>
            </w:r>
            <w:r>
              <w:rPr>
                <w:rFonts w:hint="eastAsia"/>
                <w:szCs w:val="21"/>
              </w:rPr>
              <w:t>3</w:t>
            </w:r>
            <w:r>
              <w:rPr>
                <w:szCs w:val="21"/>
              </w:rPr>
              <w:t>0m</w:t>
            </w:r>
          </w:p>
        </w:tc>
        <w:tc>
          <w:tcPr>
            <w:tcW w:w="1417" w:type="dxa"/>
            <w:shd w:val="clear" w:color="auto" w:fill="auto"/>
            <w:vAlign w:val="center"/>
          </w:tcPr>
          <w:p>
            <w:pPr>
              <w:jc w:val="center"/>
              <w:rPr>
                <w:szCs w:val="21"/>
              </w:rPr>
            </w:pPr>
            <w:r>
              <w:rPr>
                <w:kern w:val="0"/>
                <w:szCs w:val="21"/>
              </w:rPr>
              <w:t>居民</w:t>
            </w:r>
          </w:p>
        </w:tc>
        <w:tc>
          <w:tcPr>
            <w:tcW w:w="1276" w:type="dxa"/>
            <w:shd w:val="clear" w:color="auto" w:fill="auto"/>
            <w:vAlign w:val="center"/>
          </w:tcPr>
          <w:p>
            <w:pPr>
              <w:jc w:val="center"/>
              <w:rPr>
                <w:szCs w:val="21"/>
              </w:rPr>
            </w:pPr>
            <w:r>
              <w:rPr>
                <w:szCs w:val="21"/>
              </w:rPr>
              <w:t>约</w:t>
            </w:r>
            <w:r>
              <w:rPr>
                <w:rFonts w:hint="eastAsia"/>
                <w:szCs w:val="21"/>
              </w:rPr>
              <w:t>5</w:t>
            </w:r>
            <w:r>
              <w:rPr>
                <w:szCs w:val="21"/>
              </w:rPr>
              <w:t>00人</w:t>
            </w:r>
          </w:p>
        </w:tc>
        <w:tc>
          <w:tcPr>
            <w:tcW w:w="1843" w:type="dxa"/>
            <w:vMerge w:val="restart"/>
            <w:shd w:val="clear" w:color="auto" w:fill="auto"/>
            <w:vAlign w:val="center"/>
          </w:tcPr>
          <w:p>
            <w:pPr>
              <w:jc w:val="center"/>
              <w:rPr>
                <w:szCs w:val="21"/>
              </w:rPr>
            </w:pPr>
            <w:r>
              <w:rPr>
                <w:szCs w:val="21"/>
              </w:rPr>
              <w:t>GB3096-2008《声环境质量标准》2类标准、GB3095-2012《环境空气质量标准》二级标准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17" w:type="dxa"/>
            <w:vMerge w:val="continue"/>
            <w:shd w:val="clear" w:color="auto" w:fill="auto"/>
            <w:vAlign w:val="center"/>
          </w:tcPr>
          <w:p>
            <w:pPr>
              <w:jc w:val="center"/>
              <w:rPr>
                <w:szCs w:val="21"/>
              </w:rPr>
            </w:pPr>
          </w:p>
        </w:tc>
        <w:tc>
          <w:tcPr>
            <w:tcW w:w="1843" w:type="dxa"/>
            <w:shd w:val="clear" w:color="auto" w:fill="auto"/>
            <w:vAlign w:val="center"/>
          </w:tcPr>
          <w:p>
            <w:pPr>
              <w:jc w:val="center"/>
              <w:rPr>
                <w:szCs w:val="21"/>
              </w:rPr>
            </w:pPr>
            <w:r>
              <w:rPr>
                <w:szCs w:val="21"/>
              </w:rPr>
              <w:t>三橄榄</w:t>
            </w:r>
          </w:p>
        </w:tc>
        <w:tc>
          <w:tcPr>
            <w:tcW w:w="1843" w:type="dxa"/>
            <w:shd w:val="clear" w:color="auto" w:fill="auto"/>
            <w:vAlign w:val="center"/>
          </w:tcPr>
          <w:p>
            <w:pPr>
              <w:jc w:val="center"/>
              <w:rPr>
                <w:szCs w:val="21"/>
              </w:rPr>
            </w:pPr>
            <w:r>
              <w:rPr>
                <w:szCs w:val="21"/>
              </w:rPr>
              <w:t>南侧</w:t>
            </w:r>
            <w:r>
              <w:rPr>
                <w:rFonts w:hint="eastAsia"/>
                <w:szCs w:val="21"/>
              </w:rPr>
              <w:t>2</w:t>
            </w:r>
            <w:r>
              <w:rPr>
                <w:szCs w:val="21"/>
              </w:rPr>
              <w:t>0m</w:t>
            </w:r>
          </w:p>
        </w:tc>
        <w:tc>
          <w:tcPr>
            <w:tcW w:w="1417" w:type="dxa"/>
            <w:shd w:val="clear" w:color="auto" w:fill="auto"/>
            <w:vAlign w:val="center"/>
          </w:tcPr>
          <w:p>
            <w:pPr>
              <w:jc w:val="center"/>
              <w:rPr>
                <w:szCs w:val="21"/>
              </w:rPr>
            </w:pPr>
            <w:r>
              <w:rPr>
                <w:kern w:val="0"/>
                <w:szCs w:val="21"/>
              </w:rPr>
              <w:t>居民</w:t>
            </w:r>
          </w:p>
        </w:tc>
        <w:tc>
          <w:tcPr>
            <w:tcW w:w="1276" w:type="dxa"/>
            <w:shd w:val="clear" w:color="auto" w:fill="auto"/>
            <w:vAlign w:val="center"/>
          </w:tcPr>
          <w:p>
            <w:pPr>
              <w:jc w:val="center"/>
              <w:rPr>
                <w:szCs w:val="21"/>
              </w:rPr>
            </w:pPr>
            <w:r>
              <w:rPr>
                <w:szCs w:val="21"/>
              </w:rPr>
              <w:t>约</w:t>
            </w:r>
            <w:r>
              <w:rPr>
                <w:rFonts w:hint="eastAsia"/>
                <w:szCs w:val="21"/>
              </w:rPr>
              <w:t>5</w:t>
            </w:r>
            <w:r>
              <w:rPr>
                <w:szCs w:val="21"/>
              </w:rPr>
              <w:t>00人</w:t>
            </w:r>
          </w:p>
        </w:tc>
        <w:tc>
          <w:tcPr>
            <w:tcW w:w="1843" w:type="dxa"/>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17" w:type="dxa"/>
            <w:vMerge w:val="continue"/>
            <w:shd w:val="clear" w:color="auto" w:fill="auto"/>
            <w:vAlign w:val="center"/>
          </w:tcPr>
          <w:p>
            <w:pPr>
              <w:jc w:val="center"/>
              <w:rPr>
                <w:szCs w:val="21"/>
              </w:rPr>
            </w:pPr>
          </w:p>
        </w:tc>
        <w:tc>
          <w:tcPr>
            <w:tcW w:w="1843" w:type="dxa"/>
            <w:shd w:val="clear" w:color="auto" w:fill="auto"/>
            <w:vAlign w:val="center"/>
          </w:tcPr>
          <w:p>
            <w:pPr>
              <w:jc w:val="center"/>
              <w:rPr>
                <w:szCs w:val="21"/>
              </w:rPr>
            </w:pPr>
            <w:r>
              <w:rPr>
                <w:szCs w:val="21"/>
              </w:rPr>
              <w:t>院前</w:t>
            </w:r>
          </w:p>
        </w:tc>
        <w:tc>
          <w:tcPr>
            <w:tcW w:w="1843" w:type="dxa"/>
            <w:shd w:val="clear" w:color="auto" w:fill="auto"/>
            <w:vAlign w:val="center"/>
          </w:tcPr>
          <w:p>
            <w:pPr>
              <w:jc w:val="center"/>
              <w:rPr>
                <w:szCs w:val="21"/>
              </w:rPr>
            </w:pPr>
            <w:r>
              <w:rPr>
                <w:szCs w:val="21"/>
              </w:rPr>
              <w:t>东南侧160m</w:t>
            </w:r>
          </w:p>
        </w:tc>
        <w:tc>
          <w:tcPr>
            <w:tcW w:w="1417" w:type="dxa"/>
            <w:shd w:val="clear" w:color="auto" w:fill="auto"/>
            <w:vAlign w:val="center"/>
          </w:tcPr>
          <w:p>
            <w:pPr>
              <w:jc w:val="center"/>
              <w:rPr>
                <w:szCs w:val="21"/>
              </w:rPr>
            </w:pPr>
            <w:r>
              <w:rPr>
                <w:kern w:val="0"/>
                <w:szCs w:val="21"/>
              </w:rPr>
              <w:t>居民</w:t>
            </w:r>
          </w:p>
        </w:tc>
        <w:tc>
          <w:tcPr>
            <w:tcW w:w="1276" w:type="dxa"/>
            <w:shd w:val="clear" w:color="auto" w:fill="auto"/>
            <w:vAlign w:val="center"/>
          </w:tcPr>
          <w:p>
            <w:pPr>
              <w:jc w:val="center"/>
              <w:rPr>
                <w:szCs w:val="21"/>
              </w:rPr>
            </w:pPr>
            <w:r>
              <w:rPr>
                <w:szCs w:val="21"/>
              </w:rPr>
              <w:t>约</w:t>
            </w:r>
            <w:r>
              <w:rPr>
                <w:rFonts w:hint="eastAsia"/>
                <w:szCs w:val="21"/>
              </w:rPr>
              <w:t>3</w:t>
            </w:r>
            <w:r>
              <w:rPr>
                <w:szCs w:val="21"/>
              </w:rPr>
              <w:t>00人</w:t>
            </w:r>
          </w:p>
        </w:tc>
        <w:tc>
          <w:tcPr>
            <w:tcW w:w="1843" w:type="dxa"/>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17" w:type="dxa"/>
            <w:vMerge w:val="continue"/>
            <w:shd w:val="clear" w:color="auto" w:fill="auto"/>
            <w:vAlign w:val="center"/>
          </w:tcPr>
          <w:p>
            <w:pPr>
              <w:jc w:val="center"/>
              <w:rPr>
                <w:szCs w:val="21"/>
              </w:rPr>
            </w:pPr>
          </w:p>
        </w:tc>
        <w:tc>
          <w:tcPr>
            <w:tcW w:w="1843" w:type="dxa"/>
            <w:shd w:val="clear" w:color="auto" w:fill="auto"/>
            <w:vAlign w:val="center"/>
          </w:tcPr>
          <w:p>
            <w:pPr>
              <w:jc w:val="center"/>
              <w:rPr>
                <w:szCs w:val="21"/>
              </w:rPr>
            </w:pPr>
            <w:r>
              <w:rPr>
                <w:szCs w:val="21"/>
              </w:rPr>
              <w:t>国家电网办公楼</w:t>
            </w:r>
          </w:p>
        </w:tc>
        <w:tc>
          <w:tcPr>
            <w:tcW w:w="1843" w:type="dxa"/>
            <w:shd w:val="clear" w:color="auto" w:fill="auto"/>
            <w:vAlign w:val="center"/>
          </w:tcPr>
          <w:p>
            <w:pPr>
              <w:jc w:val="center"/>
              <w:rPr>
                <w:szCs w:val="21"/>
              </w:rPr>
            </w:pPr>
            <w:r>
              <w:rPr>
                <w:szCs w:val="21"/>
              </w:rPr>
              <w:t>东北侧</w:t>
            </w:r>
            <w:r>
              <w:rPr>
                <w:rFonts w:hint="eastAsia"/>
                <w:szCs w:val="21"/>
              </w:rPr>
              <w:t>40m</w:t>
            </w:r>
          </w:p>
        </w:tc>
        <w:tc>
          <w:tcPr>
            <w:tcW w:w="1417" w:type="dxa"/>
            <w:shd w:val="clear" w:color="auto" w:fill="auto"/>
            <w:vAlign w:val="center"/>
          </w:tcPr>
          <w:p>
            <w:pPr>
              <w:jc w:val="center"/>
              <w:rPr>
                <w:kern w:val="0"/>
                <w:szCs w:val="21"/>
              </w:rPr>
            </w:pPr>
            <w:r>
              <w:rPr>
                <w:kern w:val="0"/>
                <w:szCs w:val="21"/>
              </w:rPr>
              <w:t>工作人员</w:t>
            </w:r>
            <w:r>
              <w:rPr>
                <w:rFonts w:hint="eastAsia"/>
                <w:kern w:val="0"/>
                <w:szCs w:val="21"/>
              </w:rPr>
              <w:t>，</w:t>
            </w:r>
            <w:r>
              <w:rPr>
                <w:kern w:val="0"/>
                <w:szCs w:val="21"/>
              </w:rPr>
              <w:t>夜间不办公</w:t>
            </w:r>
          </w:p>
        </w:tc>
        <w:tc>
          <w:tcPr>
            <w:tcW w:w="1276" w:type="dxa"/>
            <w:shd w:val="clear" w:color="auto" w:fill="auto"/>
            <w:vAlign w:val="center"/>
          </w:tcPr>
          <w:p>
            <w:pPr>
              <w:jc w:val="center"/>
              <w:rPr>
                <w:szCs w:val="21"/>
              </w:rPr>
            </w:pPr>
            <w:r>
              <w:rPr>
                <w:szCs w:val="21"/>
              </w:rPr>
              <w:t>约</w:t>
            </w:r>
            <w:r>
              <w:rPr>
                <w:rFonts w:hint="eastAsia"/>
                <w:szCs w:val="21"/>
              </w:rPr>
              <w:t>150人</w:t>
            </w:r>
          </w:p>
        </w:tc>
        <w:tc>
          <w:tcPr>
            <w:tcW w:w="1843" w:type="dxa"/>
            <w:vMerge w:val="continue"/>
            <w:shd w:val="clear" w:color="auto" w:fill="auto"/>
            <w:vAlign w:val="center"/>
          </w:tcPr>
          <w:p>
            <w:pPr>
              <w:jc w:val="center"/>
              <w:rPr>
                <w:szCs w:val="21"/>
              </w:rPr>
            </w:pPr>
          </w:p>
        </w:tc>
      </w:tr>
    </w:tbl>
    <w:p>
      <w:pPr>
        <w:pStyle w:val="2"/>
        <w:keepNext w:val="0"/>
        <w:keepLines w:val="0"/>
        <w:autoSpaceDE w:val="0"/>
        <w:autoSpaceDN w:val="0"/>
        <w:adjustRightInd w:val="0"/>
        <w:spacing w:beforeLines="50" w:after="0" w:line="360" w:lineRule="auto"/>
        <w:rPr>
          <w:rFonts w:eastAsia="宋体"/>
          <w:kern w:val="2"/>
          <w:sz w:val="30"/>
          <w:szCs w:val="28"/>
        </w:rPr>
      </w:pPr>
      <w:r>
        <w:rPr>
          <w:sz w:val="24"/>
        </w:rPr>
        <w:br w:type="page"/>
      </w:r>
      <w:bookmarkStart w:id="105" w:name="_Toc381722816"/>
      <w:bookmarkStart w:id="106" w:name="_Toc402445243"/>
      <w:bookmarkStart w:id="107" w:name="_Toc416992940"/>
      <w:bookmarkStart w:id="108" w:name="_Toc486070530"/>
      <w:bookmarkStart w:id="109" w:name="_Toc416192245"/>
      <w:r>
        <w:rPr>
          <w:rFonts w:hint="eastAsia" w:eastAsia="宋体"/>
          <w:kern w:val="2"/>
          <w:sz w:val="30"/>
          <w:szCs w:val="28"/>
        </w:rPr>
        <w:t>三</w:t>
      </w:r>
      <w:r>
        <w:rPr>
          <w:rFonts w:eastAsia="宋体"/>
          <w:kern w:val="2"/>
          <w:sz w:val="30"/>
          <w:szCs w:val="28"/>
        </w:rPr>
        <w:t>、工程概况</w:t>
      </w:r>
      <w:bookmarkEnd w:id="105"/>
      <w:r>
        <w:rPr>
          <w:rFonts w:eastAsia="宋体"/>
          <w:kern w:val="2"/>
          <w:sz w:val="30"/>
          <w:szCs w:val="28"/>
        </w:rPr>
        <w:t>及工程分析</w:t>
      </w:r>
      <w:bookmarkEnd w:id="106"/>
      <w:bookmarkEnd w:id="107"/>
      <w:bookmarkEnd w:id="108"/>
      <w:bookmarkEnd w:id="109"/>
    </w:p>
    <w:p>
      <w:pPr>
        <w:pStyle w:val="42"/>
      </w:pPr>
      <w:bookmarkStart w:id="110" w:name="_Toc486070531"/>
      <w:r>
        <w:rPr>
          <w:rStyle w:val="43"/>
          <w:rFonts w:eastAsia="宋体"/>
        </w:rPr>
        <w:t>3.1</w:t>
      </w:r>
      <w:r>
        <w:rPr>
          <w:rFonts w:hint="eastAsia"/>
        </w:rPr>
        <w:t>现有</w:t>
      </w:r>
      <w:r>
        <w:t>项目概况</w:t>
      </w:r>
      <w:bookmarkEnd w:id="110"/>
    </w:p>
    <w:p>
      <w:pPr>
        <w:pStyle w:val="4"/>
        <w:keepNext w:val="0"/>
        <w:keepLines w:val="0"/>
        <w:autoSpaceDE w:val="0"/>
        <w:autoSpaceDN w:val="0"/>
        <w:adjustRightInd w:val="0"/>
        <w:spacing w:line="360" w:lineRule="auto"/>
        <w:rPr>
          <w:rFonts w:eastAsia="宋体"/>
          <w:b/>
          <w:sz w:val="24"/>
          <w:szCs w:val="24"/>
        </w:rPr>
      </w:pPr>
      <w:bookmarkStart w:id="111" w:name="_Toc486070532"/>
      <w:r>
        <w:rPr>
          <w:rFonts w:eastAsia="宋体"/>
          <w:b/>
          <w:sz w:val="24"/>
          <w:szCs w:val="24"/>
        </w:rPr>
        <w:t>3.1.1学校基本情况简介</w:t>
      </w:r>
      <w:bookmarkEnd w:id="111"/>
    </w:p>
    <w:p>
      <w:pPr>
        <w:spacing w:line="360" w:lineRule="auto"/>
        <w:ind w:firstLine="480" w:firstLineChars="200"/>
        <w:rPr>
          <w:sz w:val="24"/>
          <w:szCs w:val="24"/>
        </w:rPr>
      </w:pPr>
      <w:r>
        <w:rPr>
          <w:sz w:val="24"/>
          <w:szCs w:val="24"/>
        </w:rPr>
        <w:t>闽侯六中坐落于福州地区大学城所在地------</w:t>
      </w:r>
      <w:r>
        <w:fldChar w:fldCharType="begin"/>
      </w:r>
      <w:r>
        <w:instrText xml:space="preserve"> HYPERLINK "http://baike.baidu.com/item/%E9%97%BD%E4%BE%AF%E5%8E%BF" \t "_blank" </w:instrText>
      </w:r>
      <w:r>
        <w:fldChar w:fldCharType="separate"/>
      </w:r>
      <w:r>
        <w:rPr>
          <w:sz w:val="24"/>
          <w:szCs w:val="24"/>
        </w:rPr>
        <w:t>闽侯县</w:t>
      </w:r>
      <w:r>
        <w:rPr>
          <w:sz w:val="24"/>
          <w:szCs w:val="24"/>
        </w:rPr>
        <w:fldChar w:fldCharType="end"/>
      </w:r>
      <w:r>
        <w:rPr>
          <w:sz w:val="24"/>
          <w:szCs w:val="24"/>
        </w:rPr>
        <w:t>上街镇赤塘山麓，学校创办于1960年秋，原校名为闽侯第十三中学，当年秋季招收初一年四个班级，近200名学生。1962年，县政府协调有关部门决定将原来设在上街赤塘山的华侨中学搬往里尾华侨农场所在地，将十三中搬迁到赤塘山，即现在校址。自力更生、勤工俭学，艰苦办校，是学校这一创办时期的显著特点。1964年，学校更名为上街中学，此校名一直延用到1989年为止。1989年秋季，向全县招生，改校名为闽侯第六中学。2004年按上级教育部门评定教师技术职称评定的精神，六中半数教师参加了职称评定。</w:t>
      </w:r>
    </w:p>
    <w:p>
      <w:pPr>
        <w:spacing w:line="360" w:lineRule="auto"/>
        <w:ind w:firstLine="480" w:firstLineChars="200"/>
        <w:rPr>
          <w:sz w:val="24"/>
          <w:szCs w:val="24"/>
        </w:rPr>
      </w:pPr>
      <w:r>
        <w:rPr>
          <w:sz w:val="24"/>
          <w:szCs w:val="24"/>
        </w:rPr>
        <w:t>闽侯第六中学专任教师中，中学高级教师14人，中学一级教师86人，市级骨干教师16人，15名教师为县各学科中心组成员。学校秉承“以人为本，科学发展”的办学理念，办学质量稳步提高，校园文化建设成绩斐然，多次被评为校园音乐周活动、暑期青少年教育工作、中学生合唱节等市先进单位；多次荣获县中小学生田径运动会完中组前三名。近十年，将近300人次的学生在县、市、省以及国家级各类学科竞赛中获奖。</w:t>
      </w:r>
    </w:p>
    <w:p>
      <w:pPr>
        <w:pStyle w:val="4"/>
        <w:keepNext w:val="0"/>
        <w:keepLines w:val="0"/>
        <w:autoSpaceDE w:val="0"/>
        <w:autoSpaceDN w:val="0"/>
        <w:adjustRightInd w:val="0"/>
        <w:spacing w:line="360" w:lineRule="auto"/>
        <w:rPr>
          <w:rFonts w:eastAsia="宋体"/>
          <w:b/>
          <w:sz w:val="24"/>
          <w:szCs w:val="24"/>
        </w:rPr>
      </w:pPr>
      <w:bookmarkStart w:id="112" w:name="_Toc486070533"/>
      <w:r>
        <w:rPr>
          <w:rFonts w:eastAsia="宋体"/>
          <w:b/>
          <w:sz w:val="24"/>
          <w:szCs w:val="24"/>
        </w:rPr>
        <w:t>3.1.2</w:t>
      </w:r>
      <w:r>
        <w:rPr>
          <w:rFonts w:hint="eastAsia" w:eastAsia="宋体"/>
          <w:b/>
          <w:sz w:val="24"/>
          <w:szCs w:val="24"/>
        </w:rPr>
        <w:t>现有</w:t>
      </w:r>
      <w:r>
        <w:rPr>
          <w:rFonts w:eastAsia="宋体"/>
          <w:b/>
          <w:sz w:val="24"/>
          <w:szCs w:val="24"/>
        </w:rPr>
        <w:t>工程内容和规模</w:t>
      </w:r>
      <w:bookmarkEnd w:id="112"/>
    </w:p>
    <w:p>
      <w:pPr>
        <w:spacing w:line="360" w:lineRule="auto"/>
        <w:ind w:firstLine="480" w:firstLineChars="200"/>
        <w:rPr>
          <w:sz w:val="24"/>
          <w:szCs w:val="24"/>
        </w:rPr>
      </w:pPr>
      <w:r>
        <w:rPr>
          <w:sz w:val="24"/>
          <w:szCs w:val="24"/>
        </w:rPr>
        <w:t>闽侯六中现有</w:t>
      </w:r>
      <w:r>
        <w:rPr>
          <w:rFonts w:hint="eastAsia"/>
          <w:sz w:val="24"/>
          <w:szCs w:val="24"/>
        </w:rPr>
        <w:t>工程内容为：</w:t>
      </w:r>
      <w:r>
        <w:rPr>
          <w:sz w:val="24"/>
        </w:rPr>
        <w:t>2栋教学楼、1栋实验楼、1栋图书馆、1栋办公楼，1栋教师周转房、</w:t>
      </w:r>
      <w:r>
        <w:rPr>
          <w:rFonts w:hint="eastAsia"/>
          <w:sz w:val="24"/>
        </w:rPr>
        <w:t>3</w:t>
      </w:r>
      <w:r>
        <w:rPr>
          <w:sz w:val="24"/>
        </w:rPr>
        <w:t>栋学生宿舍、</w:t>
      </w:r>
      <w:r>
        <w:rPr>
          <w:rFonts w:hint="eastAsia"/>
          <w:sz w:val="24"/>
        </w:rPr>
        <w:t>1栋教工宿舍楼、1栋单身教师宿舍楼，</w:t>
      </w:r>
      <w:r>
        <w:rPr>
          <w:sz w:val="24"/>
        </w:rPr>
        <w:t>配套</w:t>
      </w:r>
      <w:r>
        <w:rPr>
          <w:rFonts w:hint="eastAsia"/>
          <w:sz w:val="24"/>
        </w:rPr>
        <w:t>室外运动场</w:t>
      </w:r>
      <w:r>
        <w:rPr>
          <w:sz w:val="24"/>
        </w:rPr>
        <w:t>、篮球场等相关基础设施和配套设施</w:t>
      </w:r>
      <w:r>
        <w:rPr>
          <w:rFonts w:hint="eastAsia"/>
          <w:sz w:val="24"/>
          <w:szCs w:val="24"/>
        </w:rPr>
        <w:t>，</w:t>
      </w:r>
      <w:r>
        <w:rPr>
          <w:rFonts w:hint="eastAsia"/>
          <w:sz w:val="24"/>
        </w:rPr>
        <w:t>现有初中教学班30个、高中教学班1</w:t>
      </w:r>
      <w:r>
        <w:rPr>
          <w:sz w:val="24"/>
        </w:rPr>
        <w:t>8个教学班，</w:t>
      </w:r>
      <w:r>
        <w:rPr>
          <w:rFonts w:hint="eastAsia"/>
          <w:sz w:val="24"/>
        </w:rPr>
        <w:t>在校师生2311人</w:t>
      </w:r>
      <w:r>
        <w:rPr>
          <w:sz w:val="24"/>
          <w:szCs w:val="24"/>
        </w:rPr>
        <w:t>。现有</w:t>
      </w:r>
      <w:r>
        <w:rPr>
          <w:rFonts w:hint="eastAsia"/>
          <w:sz w:val="24"/>
          <w:szCs w:val="24"/>
        </w:rPr>
        <w:t>主要</w:t>
      </w:r>
      <w:r>
        <w:rPr>
          <w:sz w:val="24"/>
          <w:szCs w:val="24"/>
        </w:rPr>
        <w:t>建筑</w:t>
      </w:r>
      <w:r>
        <w:rPr>
          <w:rFonts w:hint="eastAsia"/>
          <w:sz w:val="24"/>
          <w:szCs w:val="24"/>
        </w:rPr>
        <w:t>基本情况</w:t>
      </w:r>
      <w:r>
        <w:rPr>
          <w:sz w:val="24"/>
          <w:szCs w:val="24"/>
        </w:rPr>
        <w:t>详见表3.1-</w:t>
      </w:r>
      <w:r>
        <w:rPr>
          <w:rFonts w:hint="eastAsia"/>
          <w:sz w:val="24"/>
          <w:szCs w:val="24"/>
        </w:rPr>
        <w:t>1</w:t>
      </w:r>
      <w:r>
        <w:rPr>
          <w:sz w:val="24"/>
          <w:szCs w:val="24"/>
        </w:rPr>
        <w:t>，已建建筑具体位置详见</w:t>
      </w:r>
      <w:r>
        <w:rPr>
          <w:rFonts w:hint="eastAsia"/>
          <w:sz w:val="24"/>
          <w:szCs w:val="24"/>
        </w:rPr>
        <w:t>项目现状</w:t>
      </w:r>
      <w:r>
        <w:rPr>
          <w:sz w:val="24"/>
          <w:szCs w:val="24"/>
        </w:rPr>
        <w:t>总平面布置图3.</w:t>
      </w:r>
      <w:r>
        <w:rPr>
          <w:rFonts w:hint="eastAsia"/>
          <w:sz w:val="24"/>
          <w:szCs w:val="24"/>
        </w:rPr>
        <w:t>1</w:t>
      </w:r>
      <w:r>
        <w:rPr>
          <w:sz w:val="24"/>
          <w:szCs w:val="24"/>
        </w:rPr>
        <w:t>-1。</w:t>
      </w:r>
    </w:p>
    <w:p>
      <w:pPr>
        <w:spacing w:before="120" w:beforeLines="50" w:line="360" w:lineRule="auto"/>
        <w:jc w:val="center"/>
        <w:rPr>
          <w:b/>
          <w:sz w:val="24"/>
          <w:szCs w:val="24"/>
        </w:rPr>
      </w:pPr>
      <w:r>
        <w:rPr>
          <w:b/>
          <w:sz w:val="24"/>
          <w:szCs w:val="24"/>
        </w:rPr>
        <w:t>表3.1-</w:t>
      </w:r>
      <w:r>
        <w:rPr>
          <w:rFonts w:hint="eastAsia"/>
          <w:b/>
          <w:sz w:val="24"/>
          <w:szCs w:val="24"/>
        </w:rPr>
        <w:t>1</w:t>
      </w:r>
      <w:r>
        <w:rPr>
          <w:b/>
          <w:sz w:val="24"/>
          <w:szCs w:val="24"/>
        </w:rPr>
        <w:t xml:space="preserve">  现有主要建筑</w:t>
      </w:r>
      <w:r>
        <w:rPr>
          <w:rFonts w:hint="eastAsia"/>
          <w:b/>
          <w:sz w:val="24"/>
          <w:szCs w:val="24"/>
        </w:rPr>
        <w:t>基本情况</w:t>
      </w:r>
      <w:r>
        <w:rPr>
          <w:b/>
          <w:sz w:val="24"/>
          <w:szCs w:val="24"/>
        </w:rPr>
        <w:t>一览表</w:t>
      </w:r>
    </w:p>
    <w:tbl>
      <w:tblPr>
        <w:tblStyle w:val="24"/>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329"/>
        <w:gridCol w:w="850"/>
        <w:gridCol w:w="3686"/>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Align w:val="center"/>
          </w:tcPr>
          <w:p>
            <w:pPr>
              <w:spacing w:line="340" w:lineRule="exact"/>
              <w:jc w:val="center"/>
              <w:rPr>
                <w:szCs w:val="21"/>
              </w:rPr>
            </w:pPr>
            <w:r>
              <w:rPr>
                <w:szCs w:val="21"/>
              </w:rPr>
              <w:t>序号</w:t>
            </w:r>
          </w:p>
        </w:tc>
        <w:tc>
          <w:tcPr>
            <w:tcW w:w="1329" w:type="dxa"/>
            <w:vAlign w:val="center"/>
          </w:tcPr>
          <w:p>
            <w:pPr>
              <w:spacing w:line="340" w:lineRule="exact"/>
              <w:jc w:val="center"/>
              <w:rPr>
                <w:szCs w:val="21"/>
              </w:rPr>
            </w:pPr>
            <w:r>
              <w:rPr>
                <w:szCs w:val="21"/>
              </w:rPr>
              <w:t>建筑物名称</w:t>
            </w:r>
          </w:p>
        </w:tc>
        <w:tc>
          <w:tcPr>
            <w:tcW w:w="850" w:type="dxa"/>
            <w:vAlign w:val="center"/>
          </w:tcPr>
          <w:p>
            <w:pPr>
              <w:spacing w:line="340" w:lineRule="exact"/>
              <w:jc w:val="center"/>
              <w:rPr>
                <w:szCs w:val="21"/>
              </w:rPr>
            </w:pPr>
            <w:r>
              <w:rPr>
                <w:rFonts w:hint="eastAsia"/>
                <w:szCs w:val="21"/>
              </w:rPr>
              <w:t>数量</w:t>
            </w:r>
          </w:p>
        </w:tc>
        <w:tc>
          <w:tcPr>
            <w:tcW w:w="3686" w:type="dxa"/>
            <w:vAlign w:val="center"/>
          </w:tcPr>
          <w:p>
            <w:pPr>
              <w:spacing w:line="340" w:lineRule="exact"/>
              <w:jc w:val="center"/>
              <w:rPr>
                <w:szCs w:val="21"/>
              </w:rPr>
            </w:pPr>
            <w:r>
              <w:rPr>
                <w:szCs w:val="21"/>
              </w:rPr>
              <w:t>主要功能规划情况</w:t>
            </w:r>
          </w:p>
        </w:tc>
        <w:tc>
          <w:tcPr>
            <w:tcW w:w="2362" w:type="dxa"/>
            <w:vAlign w:val="center"/>
          </w:tcPr>
          <w:p>
            <w:pPr>
              <w:spacing w:line="340" w:lineRule="exac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51" w:type="dxa"/>
            <w:vAlign w:val="center"/>
          </w:tcPr>
          <w:p>
            <w:pPr>
              <w:spacing w:line="340" w:lineRule="exact"/>
              <w:jc w:val="center"/>
              <w:rPr>
                <w:szCs w:val="21"/>
              </w:rPr>
            </w:pPr>
            <w:r>
              <w:rPr>
                <w:szCs w:val="21"/>
              </w:rPr>
              <w:t>1</w:t>
            </w:r>
          </w:p>
        </w:tc>
        <w:tc>
          <w:tcPr>
            <w:tcW w:w="1329" w:type="dxa"/>
            <w:vAlign w:val="center"/>
          </w:tcPr>
          <w:p>
            <w:pPr>
              <w:spacing w:line="340" w:lineRule="exact"/>
              <w:jc w:val="center"/>
              <w:rPr>
                <w:szCs w:val="21"/>
              </w:rPr>
            </w:pPr>
            <w:r>
              <w:rPr>
                <w:szCs w:val="21"/>
              </w:rPr>
              <w:t>教学楼</w:t>
            </w:r>
          </w:p>
        </w:tc>
        <w:tc>
          <w:tcPr>
            <w:tcW w:w="850" w:type="dxa"/>
            <w:vAlign w:val="center"/>
          </w:tcPr>
          <w:p>
            <w:pPr>
              <w:spacing w:line="340" w:lineRule="exact"/>
              <w:jc w:val="center"/>
              <w:rPr>
                <w:szCs w:val="21"/>
              </w:rPr>
            </w:pPr>
            <w:r>
              <w:rPr>
                <w:rFonts w:hint="eastAsia"/>
                <w:szCs w:val="21"/>
              </w:rPr>
              <w:t>2栋</w:t>
            </w:r>
          </w:p>
        </w:tc>
        <w:tc>
          <w:tcPr>
            <w:tcW w:w="3686" w:type="dxa"/>
            <w:vAlign w:val="center"/>
          </w:tcPr>
          <w:p>
            <w:pPr>
              <w:spacing w:line="340" w:lineRule="exact"/>
              <w:jc w:val="center"/>
              <w:rPr>
                <w:szCs w:val="21"/>
              </w:rPr>
            </w:pPr>
            <w:r>
              <w:rPr>
                <w:rFonts w:hint="eastAsia"/>
                <w:szCs w:val="21"/>
              </w:rPr>
              <w:t>初中实验</w:t>
            </w:r>
            <w:r>
              <w:rPr>
                <w:szCs w:val="21"/>
              </w:rPr>
              <w:t>教学使用</w:t>
            </w:r>
          </w:p>
        </w:tc>
        <w:tc>
          <w:tcPr>
            <w:tcW w:w="2362" w:type="dxa"/>
            <w:vAlign w:val="center"/>
          </w:tcPr>
          <w:p>
            <w:pPr>
              <w:spacing w:line="340" w:lineRule="exact"/>
              <w:jc w:val="center"/>
              <w:rPr>
                <w:szCs w:val="21"/>
              </w:rPr>
            </w:pPr>
            <w:r>
              <w:rPr>
                <w:rFonts w:hint="eastAsia"/>
                <w:szCs w:val="21"/>
              </w:rPr>
              <w:t>均保留，临操场南侧1栋扩建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Align w:val="center"/>
          </w:tcPr>
          <w:p>
            <w:pPr>
              <w:spacing w:line="340" w:lineRule="exact"/>
              <w:jc w:val="center"/>
              <w:rPr>
                <w:szCs w:val="21"/>
              </w:rPr>
            </w:pPr>
            <w:r>
              <w:rPr>
                <w:rFonts w:hint="eastAsia"/>
                <w:szCs w:val="21"/>
              </w:rPr>
              <w:t>2</w:t>
            </w:r>
          </w:p>
        </w:tc>
        <w:tc>
          <w:tcPr>
            <w:tcW w:w="1329" w:type="dxa"/>
            <w:vAlign w:val="center"/>
          </w:tcPr>
          <w:p>
            <w:pPr>
              <w:spacing w:line="340" w:lineRule="exact"/>
              <w:jc w:val="center"/>
              <w:rPr>
                <w:szCs w:val="21"/>
              </w:rPr>
            </w:pPr>
            <w:r>
              <w:rPr>
                <w:szCs w:val="21"/>
              </w:rPr>
              <w:t>实验楼</w:t>
            </w:r>
          </w:p>
        </w:tc>
        <w:tc>
          <w:tcPr>
            <w:tcW w:w="850" w:type="dxa"/>
            <w:vAlign w:val="center"/>
          </w:tcPr>
          <w:p>
            <w:pPr>
              <w:spacing w:line="340" w:lineRule="exact"/>
              <w:jc w:val="center"/>
              <w:rPr>
                <w:szCs w:val="21"/>
              </w:rPr>
            </w:pPr>
            <w:r>
              <w:rPr>
                <w:rFonts w:hint="eastAsia"/>
                <w:szCs w:val="21"/>
              </w:rPr>
              <w:t>1栋</w:t>
            </w:r>
          </w:p>
        </w:tc>
        <w:tc>
          <w:tcPr>
            <w:tcW w:w="3686" w:type="dxa"/>
            <w:vAlign w:val="center"/>
          </w:tcPr>
          <w:p>
            <w:pPr>
              <w:spacing w:line="340" w:lineRule="exact"/>
              <w:jc w:val="center"/>
              <w:rPr>
                <w:szCs w:val="21"/>
              </w:rPr>
            </w:pPr>
            <w:r>
              <w:rPr>
                <w:szCs w:val="21"/>
              </w:rPr>
              <w:t>实验教学使用</w:t>
            </w:r>
          </w:p>
        </w:tc>
        <w:tc>
          <w:tcPr>
            <w:tcW w:w="2362" w:type="dxa"/>
            <w:vAlign w:val="center"/>
          </w:tcPr>
          <w:p>
            <w:pPr>
              <w:spacing w:line="340" w:lineRule="exact"/>
              <w:jc w:val="center"/>
              <w:rPr>
                <w:szCs w:val="21"/>
              </w:rPr>
            </w:pPr>
            <w:r>
              <w:rPr>
                <w:rFonts w:hint="eastAsia"/>
                <w:szCs w:val="21"/>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Align w:val="center"/>
          </w:tcPr>
          <w:p>
            <w:pPr>
              <w:spacing w:line="340" w:lineRule="exact"/>
              <w:jc w:val="center"/>
              <w:rPr>
                <w:szCs w:val="21"/>
              </w:rPr>
            </w:pPr>
            <w:r>
              <w:rPr>
                <w:szCs w:val="21"/>
              </w:rPr>
              <w:t>3</w:t>
            </w:r>
          </w:p>
        </w:tc>
        <w:tc>
          <w:tcPr>
            <w:tcW w:w="1329" w:type="dxa"/>
            <w:vAlign w:val="center"/>
          </w:tcPr>
          <w:p>
            <w:pPr>
              <w:spacing w:line="340" w:lineRule="exact"/>
              <w:jc w:val="center"/>
              <w:rPr>
                <w:szCs w:val="21"/>
              </w:rPr>
            </w:pPr>
            <w:r>
              <w:rPr>
                <w:szCs w:val="21"/>
              </w:rPr>
              <w:t>图书馆</w:t>
            </w:r>
          </w:p>
        </w:tc>
        <w:tc>
          <w:tcPr>
            <w:tcW w:w="850" w:type="dxa"/>
            <w:vAlign w:val="center"/>
          </w:tcPr>
          <w:p>
            <w:pPr>
              <w:spacing w:line="340" w:lineRule="exact"/>
              <w:jc w:val="center"/>
              <w:rPr>
                <w:szCs w:val="21"/>
              </w:rPr>
            </w:pPr>
            <w:r>
              <w:rPr>
                <w:rFonts w:hint="eastAsia"/>
                <w:szCs w:val="21"/>
              </w:rPr>
              <w:t>1栋</w:t>
            </w:r>
          </w:p>
        </w:tc>
        <w:tc>
          <w:tcPr>
            <w:tcW w:w="3686" w:type="dxa"/>
            <w:vAlign w:val="center"/>
          </w:tcPr>
          <w:p>
            <w:pPr>
              <w:spacing w:line="340" w:lineRule="exact"/>
              <w:jc w:val="center"/>
              <w:rPr>
                <w:szCs w:val="21"/>
              </w:rPr>
            </w:pPr>
            <w:r>
              <w:rPr>
                <w:szCs w:val="21"/>
              </w:rPr>
              <w:t>作为图书馆、学生文学交流中心等使用</w:t>
            </w:r>
          </w:p>
        </w:tc>
        <w:tc>
          <w:tcPr>
            <w:tcW w:w="2362" w:type="dxa"/>
            <w:vAlign w:val="center"/>
          </w:tcPr>
          <w:p>
            <w:pPr>
              <w:spacing w:line="340" w:lineRule="exact"/>
              <w:jc w:val="center"/>
              <w:rPr>
                <w:szCs w:val="21"/>
              </w:rPr>
            </w:pPr>
            <w:r>
              <w:rPr>
                <w:szCs w:val="21"/>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Align w:val="center"/>
          </w:tcPr>
          <w:p>
            <w:pPr>
              <w:spacing w:line="340" w:lineRule="exact"/>
              <w:jc w:val="center"/>
              <w:rPr>
                <w:szCs w:val="21"/>
              </w:rPr>
            </w:pPr>
            <w:r>
              <w:rPr>
                <w:szCs w:val="21"/>
              </w:rPr>
              <w:t>4</w:t>
            </w:r>
          </w:p>
        </w:tc>
        <w:tc>
          <w:tcPr>
            <w:tcW w:w="1329" w:type="dxa"/>
            <w:vAlign w:val="center"/>
          </w:tcPr>
          <w:p>
            <w:pPr>
              <w:spacing w:line="340" w:lineRule="exact"/>
              <w:jc w:val="center"/>
              <w:rPr>
                <w:szCs w:val="21"/>
              </w:rPr>
            </w:pPr>
            <w:r>
              <w:rPr>
                <w:szCs w:val="21"/>
              </w:rPr>
              <w:t>办公楼</w:t>
            </w:r>
          </w:p>
        </w:tc>
        <w:tc>
          <w:tcPr>
            <w:tcW w:w="850" w:type="dxa"/>
            <w:vAlign w:val="center"/>
          </w:tcPr>
          <w:p>
            <w:pPr>
              <w:spacing w:line="340" w:lineRule="exact"/>
              <w:jc w:val="center"/>
              <w:rPr>
                <w:szCs w:val="21"/>
              </w:rPr>
            </w:pPr>
            <w:r>
              <w:rPr>
                <w:rFonts w:hint="eastAsia"/>
                <w:szCs w:val="21"/>
              </w:rPr>
              <w:t>1栋</w:t>
            </w:r>
          </w:p>
        </w:tc>
        <w:tc>
          <w:tcPr>
            <w:tcW w:w="3686" w:type="dxa"/>
            <w:vAlign w:val="center"/>
          </w:tcPr>
          <w:p>
            <w:pPr>
              <w:spacing w:line="340" w:lineRule="exact"/>
              <w:jc w:val="center"/>
              <w:rPr>
                <w:szCs w:val="21"/>
              </w:rPr>
            </w:pPr>
            <w:r>
              <w:rPr>
                <w:szCs w:val="21"/>
              </w:rPr>
              <w:t>教师办公使用</w:t>
            </w:r>
          </w:p>
        </w:tc>
        <w:tc>
          <w:tcPr>
            <w:tcW w:w="2362" w:type="dxa"/>
            <w:vAlign w:val="center"/>
          </w:tcPr>
          <w:p>
            <w:pPr>
              <w:spacing w:line="340" w:lineRule="exact"/>
              <w:jc w:val="center"/>
              <w:rPr>
                <w:szCs w:val="21"/>
              </w:rPr>
            </w:pPr>
            <w:r>
              <w:rPr>
                <w:szCs w:val="21"/>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Align w:val="center"/>
          </w:tcPr>
          <w:p>
            <w:pPr>
              <w:spacing w:line="340" w:lineRule="exact"/>
              <w:jc w:val="center"/>
              <w:rPr>
                <w:szCs w:val="21"/>
              </w:rPr>
            </w:pPr>
            <w:r>
              <w:rPr>
                <w:szCs w:val="21"/>
              </w:rPr>
              <w:t>5</w:t>
            </w:r>
          </w:p>
        </w:tc>
        <w:tc>
          <w:tcPr>
            <w:tcW w:w="1329" w:type="dxa"/>
            <w:vAlign w:val="center"/>
          </w:tcPr>
          <w:p>
            <w:pPr>
              <w:spacing w:line="340" w:lineRule="exact"/>
              <w:jc w:val="center"/>
              <w:rPr>
                <w:szCs w:val="21"/>
              </w:rPr>
            </w:pPr>
            <w:r>
              <w:rPr>
                <w:szCs w:val="21"/>
              </w:rPr>
              <w:t>教师周转房</w:t>
            </w:r>
          </w:p>
        </w:tc>
        <w:tc>
          <w:tcPr>
            <w:tcW w:w="850" w:type="dxa"/>
            <w:vAlign w:val="center"/>
          </w:tcPr>
          <w:p>
            <w:pPr>
              <w:spacing w:line="340" w:lineRule="exact"/>
              <w:jc w:val="center"/>
              <w:rPr>
                <w:szCs w:val="21"/>
              </w:rPr>
            </w:pPr>
            <w:r>
              <w:rPr>
                <w:rFonts w:hint="eastAsia"/>
                <w:szCs w:val="21"/>
              </w:rPr>
              <w:t>1栋</w:t>
            </w:r>
          </w:p>
        </w:tc>
        <w:tc>
          <w:tcPr>
            <w:tcW w:w="3686" w:type="dxa"/>
            <w:vAlign w:val="center"/>
          </w:tcPr>
          <w:p>
            <w:pPr>
              <w:spacing w:line="340" w:lineRule="exact"/>
              <w:jc w:val="center"/>
              <w:rPr>
                <w:szCs w:val="21"/>
              </w:rPr>
            </w:pPr>
            <w:r>
              <w:rPr>
                <w:szCs w:val="21"/>
              </w:rPr>
              <w:t>主要作为教师住宿楼使用</w:t>
            </w:r>
          </w:p>
        </w:tc>
        <w:tc>
          <w:tcPr>
            <w:tcW w:w="2362" w:type="dxa"/>
            <w:vAlign w:val="center"/>
          </w:tcPr>
          <w:p>
            <w:pPr>
              <w:spacing w:line="340" w:lineRule="exact"/>
              <w:jc w:val="center"/>
              <w:rPr>
                <w:szCs w:val="21"/>
              </w:rPr>
            </w:pPr>
            <w:r>
              <w:rPr>
                <w:szCs w:val="21"/>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51" w:type="dxa"/>
            <w:vAlign w:val="center"/>
          </w:tcPr>
          <w:p>
            <w:pPr>
              <w:spacing w:line="340" w:lineRule="exact"/>
              <w:jc w:val="center"/>
              <w:rPr>
                <w:szCs w:val="21"/>
              </w:rPr>
            </w:pPr>
            <w:r>
              <w:rPr>
                <w:szCs w:val="21"/>
              </w:rPr>
              <w:t>6</w:t>
            </w:r>
          </w:p>
        </w:tc>
        <w:tc>
          <w:tcPr>
            <w:tcW w:w="1329" w:type="dxa"/>
            <w:vAlign w:val="center"/>
          </w:tcPr>
          <w:p>
            <w:pPr>
              <w:spacing w:line="340" w:lineRule="exact"/>
              <w:jc w:val="center"/>
              <w:rPr>
                <w:szCs w:val="21"/>
              </w:rPr>
            </w:pPr>
            <w:r>
              <w:rPr>
                <w:szCs w:val="21"/>
              </w:rPr>
              <w:t>学生宿舍</w:t>
            </w:r>
          </w:p>
        </w:tc>
        <w:tc>
          <w:tcPr>
            <w:tcW w:w="850" w:type="dxa"/>
            <w:vAlign w:val="center"/>
          </w:tcPr>
          <w:p>
            <w:pPr>
              <w:spacing w:line="340" w:lineRule="exact"/>
              <w:jc w:val="center"/>
              <w:rPr>
                <w:szCs w:val="21"/>
              </w:rPr>
            </w:pPr>
            <w:r>
              <w:rPr>
                <w:rFonts w:hint="eastAsia"/>
                <w:szCs w:val="21"/>
              </w:rPr>
              <w:t>3栋</w:t>
            </w:r>
          </w:p>
        </w:tc>
        <w:tc>
          <w:tcPr>
            <w:tcW w:w="3686" w:type="dxa"/>
            <w:vAlign w:val="center"/>
          </w:tcPr>
          <w:p>
            <w:pPr>
              <w:spacing w:line="340" w:lineRule="exact"/>
              <w:jc w:val="center"/>
              <w:rPr>
                <w:szCs w:val="21"/>
              </w:rPr>
            </w:pPr>
            <w:r>
              <w:rPr>
                <w:szCs w:val="21"/>
              </w:rPr>
              <w:t>学生住宿、休息使用</w:t>
            </w:r>
            <w:r>
              <w:rPr>
                <w:rFonts w:hint="eastAsia"/>
                <w:szCs w:val="21"/>
              </w:rPr>
              <w:t>，临拟扩建教学楼东侧一栋</w:t>
            </w:r>
            <w:r>
              <w:rPr>
                <w:szCs w:val="21"/>
              </w:rPr>
              <w:t>一楼为超市和食堂</w:t>
            </w:r>
          </w:p>
        </w:tc>
        <w:tc>
          <w:tcPr>
            <w:tcW w:w="2362" w:type="dxa"/>
            <w:vAlign w:val="center"/>
          </w:tcPr>
          <w:p>
            <w:pPr>
              <w:spacing w:line="340" w:lineRule="exact"/>
              <w:jc w:val="center"/>
              <w:rPr>
                <w:szCs w:val="21"/>
              </w:rPr>
            </w:pPr>
            <w:r>
              <w:rPr>
                <w:rFonts w:hint="eastAsia"/>
                <w:szCs w:val="21"/>
              </w:rPr>
              <w:t>临拟扩建教学楼东侧一栋保留，其余拆除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51" w:type="dxa"/>
            <w:vAlign w:val="center"/>
          </w:tcPr>
          <w:p>
            <w:pPr>
              <w:spacing w:line="340" w:lineRule="exact"/>
              <w:jc w:val="center"/>
              <w:rPr>
                <w:szCs w:val="21"/>
              </w:rPr>
            </w:pPr>
            <w:r>
              <w:rPr>
                <w:szCs w:val="21"/>
              </w:rPr>
              <w:t>7</w:t>
            </w:r>
          </w:p>
        </w:tc>
        <w:tc>
          <w:tcPr>
            <w:tcW w:w="1329" w:type="dxa"/>
            <w:vAlign w:val="center"/>
          </w:tcPr>
          <w:p>
            <w:pPr>
              <w:spacing w:line="340" w:lineRule="exact"/>
              <w:jc w:val="center"/>
              <w:rPr>
                <w:szCs w:val="21"/>
              </w:rPr>
            </w:pPr>
            <w:r>
              <w:rPr>
                <w:rFonts w:hint="eastAsia"/>
                <w:szCs w:val="21"/>
              </w:rPr>
              <w:t>教工宿舍楼</w:t>
            </w:r>
          </w:p>
        </w:tc>
        <w:tc>
          <w:tcPr>
            <w:tcW w:w="850" w:type="dxa"/>
            <w:vAlign w:val="center"/>
          </w:tcPr>
          <w:p>
            <w:pPr>
              <w:spacing w:line="340" w:lineRule="exact"/>
              <w:jc w:val="center"/>
              <w:rPr>
                <w:szCs w:val="21"/>
              </w:rPr>
            </w:pPr>
            <w:r>
              <w:rPr>
                <w:rFonts w:hint="eastAsia"/>
                <w:szCs w:val="21"/>
              </w:rPr>
              <w:t>1栋</w:t>
            </w:r>
          </w:p>
        </w:tc>
        <w:tc>
          <w:tcPr>
            <w:tcW w:w="3686" w:type="dxa"/>
            <w:vAlign w:val="center"/>
          </w:tcPr>
          <w:p>
            <w:pPr>
              <w:spacing w:line="340" w:lineRule="exact"/>
              <w:jc w:val="center"/>
              <w:rPr>
                <w:szCs w:val="21"/>
              </w:rPr>
            </w:pPr>
            <w:r>
              <w:rPr>
                <w:szCs w:val="21"/>
              </w:rPr>
              <w:t>教师住宿用</w:t>
            </w:r>
          </w:p>
        </w:tc>
        <w:tc>
          <w:tcPr>
            <w:tcW w:w="2362" w:type="dxa"/>
            <w:vAlign w:val="center"/>
          </w:tcPr>
          <w:p>
            <w:pPr>
              <w:spacing w:line="340" w:lineRule="exact"/>
              <w:jc w:val="center"/>
              <w:rPr>
                <w:szCs w:val="21"/>
              </w:rPr>
            </w:pPr>
            <w:r>
              <w:rPr>
                <w:rFonts w:hint="eastAsia"/>
                <w:szCs w:val="21"/>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Align w:val="center"/>
          </w:tcPr>
          <w:p>
            <w:pPr>
              <w:spacing w:line="340" w:lineRule="exact"/>
              <w:jc w:val="center"/>
              <w:rPr>
                <w:szCs w:val="21"/>
              </w:rPr>
            </w:pPr>
            <w:r>
              <w:rPr>
                <w:rFonts w:hint="eastAsia"/>
                <w:szCs w:val="21"/>
              </w:rPr>
              <w:t>8</w:t>
            </w:r>
          </w:p>
        </w:tc>
        <w:tc>
          <w:tcPr>
            <w:tcW w:w="1329" w:type="dxa"/>
            <w:vAlign w:val="center"/>
          </w:tcPr>
          <w:p>
            <w:pPr>
              <w:spacing w:line="340" w:lineRule="exact"/>
              <w:jc w:val="center"/>
              <w:rPr>
                <w:szCs w:val="21"/>
              </w:rPr>
            </w:pPr>
            <w:r>
              <w:rPr>
                <w:rFonts w:hint="eastAsia"/>
                <w:szCs w:val="21"/>
              </w:rPr>
              <w:t>单身教师宿舍楼</w:t>
            </w:r>
          </w:p>
        </w:tc>
        <w:tc>
          <w:tcPr>
            <w:tcW w:w="850" w:type="dxa"/>
            <w:vAlign w:val="center"/>
          </w:tcPr>
          <w:p>
            <w:pPr>
              <w:spacing w:line="340" w:lineRule="exact"/>
              <w:jc w:val="center"/>
              <w:rPr>
                <w:szCs w:val="21"/>
              </w:rPr>
            </w:pPr>
            <w:r>
              <w:rPr>
                <w:rFonts w:hint="eastAsia"/>
                <w:szCs w:val="21"/>
              </w:rPr>
              <w:t>1栋</w:t>
            </w:r>
          </w:p>
        </w:tc>
        <w:tc>
          <w:tcPr>
            <w:tcW w:w="3686" w:type="dxa"/>
            <w:vAlign w:val="center"/>
          </w:tcPr>
          <w:p>
            <w:pPr>
              <w:spacing w:line="340" w:lineRule="exact"/>
              <w:jc w:val="center"/>
              <w:rPr>
                <w:szCs w:val="21"/>
              </w:rPr>
            </w:pPr>
            <w:r>
              <w:rPr>
                <w:rFonts w:hint="eastAsia"/>
                <w:szCs w:val="21"/>
              </w:rPr>
              <w:t>单身</w:t>
            </w:r>
            <w:r>
              <w:rPr>
                <w:szCs w:val="21"/>
              </w:rPr>
              <w:t>教师住宿用</w:t>
            </w:r>
          </w:p>
        </w:tc>
        <w:tc>
          <w:tcPr>
            <w:tcW w:w="2362" w:type="dxa"/>
            <w:vAlign w:val="center"/>
          </w:tcPr>
          <w:p>
            <w:pPr>
              <w:spacing w:line="340" w:lineRule="exact"/>
              <w:jc w:val="center"/>
              <w:rPr>
                <w:szCs w:val="21"/>
              </w:rPr>
            </w:pPr>
            <w:r>
              <w:rPr>
                <w:rFonts w:hint="eastAsia"/>
                <w:szCs w:val="21"/>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Align w:val="center"/>
          </w:tcPr>
          <w:p>
            <w:pPr>
              <w:spacing w:line="340" w:lineRule="exact"/>
              <w:jc w:val="center"/>
              <w:rPr>
                <w:szCs w:val="21"/>
              </w:rPr>
            </w:pPr>
            <w:r>
              <w:rPr>
                <w:rFonts w:hint="eastAsia"/>
                <w:szCs w:val="21"/>
              </w:rPr>
              <w:t>9</w:t>
            </w:r>
          </w:p>
        </w:tc>
        <w:tc>
          <w:tcPr>
            <w:tcW w:w="1329" w:type="dxa"/>
            <w:vAlign w:val="center"/>
          </w:tcPr>
          <w:p>
            <w:pPr>
              <w:spacing w:line="340" w:lineRule="exact"/>
              <w:jc w:val="center"/>
              <w:rPr>
                <w:szCs w:val="21"/>
              </w:rPr>
            </w:pPr>
            <w:r>
              <w:rPr>
                <w:rFonts w:hint="eastAsia"/>
                <w:szCs w:val="21"/>
              </w:rPr>
              <w:t>室外运动场</w:t>
            </w:r>
          </w:p>
        </w:tc>
        <w:tc>
          <w:tcPr>
            <w:tcW w:w="850" w:type="dxa"/>
            <w:vAlign w:val="center"/>
          </w:tcPr>
          <w:p>
            <w:pPr>
              <w:spacing w:line="340" w:lineRule="exact"/>
              <w:jc w:val="center"/>
              <w:rPr>
                <w:szCs w:val="21"/>
              </w:rPr>
            </w:pPr>
            <w:r>
              <w:rPr>
                <w:rFonts w:hint="eastAsia"/>
                <w:szCs w:val="21"/>
              </w:rPr>
              <w:t>1座</w:t>
            </w:r>
          </w:p>
        </w:tc>
        <w:tc>
          <w:tcPr>
            <w:tcW w:w="3686" w:type="dxa"/>
            <w:vAlign w:val="center"/>
          </w:tcPr>
          <w:p>
            <w:pPr>
              <w:spacing w:line="340" w:lineRule="exact"/>
              <w:jc w:val="center"/>
              <w:rPr>
                <w:szCs w:val="21"/>
              </w:rPr>
            </w:pPr>
            <w:r>
              <w:rPr>
                <w:rFonts w:hint="eastAsia"/>
                <w:szCs w:val="21"/>
              </w:rPr>
              <w:t>体育课、广播、</w:t>
            </w:r>
            <w:r>
              <w:rPr>
                <w:szCs w:val="21"/>
              </w:rPr>
              <w:t>学生</w:t>
            </w:r>
            <w:r>
              <w:rPr>
                <w:rFonts w:hint="eastAsia"/>
                <w:szCs w:val="21"/>
              </w:rPr>
              <w:t>运动</w:t>
            </w:r>
            <w:r>
              <w:rPr>
                <w:szCs w:val="21"/>
              </w:rPr>
              <w:t>使用</w:t>
            </w:r>
          </w:p>
        </w:tc>
        <w:tc>
          <w:tcPr>
            <w:tcW w:w="2362" w:type="dxa"/>
            <w:vAlign w:val="center"/>
          </w:tcPr>
          <w:p>
            <w:pPr>
              <w:spacing w:line="340" w:lineRule="exact"/>
              <w:jc w:val="center"/>
              <w:rPr>
                <w:szCs w:val="21"/>
              </w:rPr>
            </w:pPr>
            <w:r>
              <w:rPr>
                <w:rFonts w:hint="eastAsia"/>
                <w:szCs w:val="21"/>
              </w:rPr>
              <w:t>改建</w:t>
            </w:r>
          </w:p>
        </w:tc>
      </w:tr>
    </w:tbl>
    <w:p>
      <w:pPr>
        <w:pStyle w:val="4"/>
        <w:keepNext w:val="0"/>
        <w:keepLines w:val="0"/>
        <w:autoSpaceDE w:val="0"/>
        <w:autoSpaceDN w:val="0"/>
        <w:adjustRightInd w:val="0"/>
        <w:spacing w:line="360" w:lineRule="auto"/>
        <w:rPr>
          <w:rFonts w:eastAsia="宋体"/>
          <w:b/>
          <w:sz w:val="24"/>
          <w:szCs w:val="24"/>
        </w:rPr>
      </w:pPr>
      <w:bookmarkStart w:id="113" w:name="_Toc486070534"/>
      <w:r>
        <w:rPr>
          <w:rFonts w:eastAsia="宋体"/>
          <w:b/>
          <w:sz w:val="24"/>
          <w:szCs w:val="24"/>
        </w:rPr>
        <w:t>3.1.3</w:t>
      </w:r>
      <w:r>
        <w:rPr>
          <w:rFonts w:hint="eastAsia" w:eastAsia="宋体"/>
          <w:b/>
          <w:sz w:val="24"/>
          <w:szCs w:val="24"/>
        </w:rPr>
        <w:t>现有项目总平面布局</w:t>
      </w:r>
    </w:p>
    <w:p>
      <w:pPr>
        <w:spacing w:line="360" w:lineRule="auto"/>
        <w:ind w:firstLine="480" w:firstLineChars="200"/>
        <w:rPr>
          <w:sz w:val="24"/>
        </w:rPr>
      </w:pPr>
      <w:r>
        <w:rPr>
          <w:rFonts w:hint="eastAsia"/>
          <w:sz w:val="24"/>
        </w:rPr>
        <w:t>现状校园建设规模能满足该校教学需求。教学办公区域、休息区域及公共功能区域分区合理，各区互不干扰，</w:t>
      </w:r>
      <w:r>
        <w:rPr>
          <w:sz w:val="24"/>
        </w:rPr>
        <w:t>各功能区之间通过绿化景观带进行分离，形成动静分明、互不干扰的校园环境</w:t>
      </w:r>
      <w:r>
        <w:rPr>
          <w:rFonts w:hint="eastAsia"/>
          <w:sz w:val="24"/>
        </w:rPr>
        <w:t>；</w:t>
      </w:r>
      <w:r>
        <w:rPr>
          <w:sz w:val="24"/>
        </w:rPr>
        <w:t>学校内部设道路连接主入口，设分支道路与活动区</w:t>
      </w:r>
      <w:r>
        <w:rPr>
          <w:rFonts w:hint="eastAsia"/>
          <w:sz w:val="24"/>
        </w:rPr>
        <w:t>及</w:t>
      </w:r>
      <w:r>
        <w:rPr>
          <w:sz w:val="24"/>
        </w:rPr>
        <w:t>教学楼相连通</w:t>
      </w:r>
      <w:r>
        <w:rPr>
          <w:rFonts w:hint="eastAsia"/>
          <w:sz w:val="24"/>
        </w:rPr>
        <w:t>；各建筑朝向均为南偏东方向，各建筑采光良好。</w:t>
      </w:r>
      <w:r>
        <w:rPr>
          <w:sz w:val="24"/>
        </w:rPr>
        <w:t>本项目总平面布置详见图3.1-1。</w:t>
      </w:r>
    </w:p>
    <w:p>
      <w:pPr>
        <w:pStyle w:val="4"/>
        <w:keepNext w:val="0"/>
        <w:keepLines w:val="0"/>
        <w:autoSpaceDE w:val="0"/>
        <w:autoSpaceDN w:val="0"/>
        <w:adjustRightInd w:val="0"/>
        <w:spacing w:line="360" w:lineRule="auto"/>
        <w:rPr>
          <w:rFonts w:eastAsia="宋体"/>
          <w:b/>
          <w:sz w:val="24"/>
          <w:szCs w:val="24"/>
        </w:rPr>
        <w:sectPr>
          <w:headerReference r:id="rId5" w:type="default"/>
          <w:footerReference r:id="rId6" w:type="default"/>
          <w:footerReference r:id="rId7" w:type="even"/>
          <w:pgSz w:w="11907" w:h="16840"/>
          <w:pgMar w:top="1417" w:right="1418" w:bottom="1418" w:left="1701" w:header="1134" w:footer="1134" w:gutter="0"/>
          <w:pgNumType w:fmt="numberInDash" w:start="1"/>
          <w:cols w:space="720" w:num="1"/>
          <w:docGrid w:linePitch="494" w:charSpace="0"/>
        </w:sectPr>
      </w:pPr>
    </w:p>
    <w:p>
      <w:pPr>
        <w:spacing w:line="360" w:lineRule="auto"/>
        <w:jc w:val="center"/>
        <w:rPr>
          <w:sz w:val="24"/>
        </w:rPr>
      </w:pPr>
      <w:r>
        <w:rPr>
          <w:sz w:val="24"/>
        </w:rPr>
        <w:drawing>
          <wp:anchor distT="0" distB="0" distL="114300" distR="114300" simplePos="0" relativeHeight="251704320" behindDoc="0" locked="0" layoutInCell="1" allowOverlap="1">
            <wp:simplePos x="0" y="0"/>
            <wp:positionH relativeFrom="column">
              <wp:posOffset>262255</wp:posOffset>
            </wp:positionH>
            <wp:positionV relativeFrom="paragraph">
              <wp:posOffset>-292735</wp:posOffset>
            </wp:positionV>
            <wp:extent cx="8377555" cy="5520690"/>
            <wp:effectExtent l="0" t="0" r="0" b="0"/>
            <wp:wrapNone/>
            <wp:docPr id="3" name="图片 3" descr="C:\Users\Administrator\Desktop\闽侯六中\闽侯六中原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闽侯六中\闽侯六中原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377510" cy="5520905"/>
                    </a:xfrm>
                    <a:prstGeom prst="rect">
                      <a:avLst/>
                    </a:prstGeom>
                    <a:noFill/>
                    <a:ln>
                      <a:noFill/>
                    </a:ln>
                  </pic:spPr>
                </pic:pic>
              </a:graphicData>
            </a:graphic>
          </wp:anchor>
        </w:drawing>
      </w:r>
    </w:p>
    <w:p>
      <w:pPr>
        <w:spacing w:line="360" w:lineRule="auto"/>
        <w:jc w:val="center"/>
        <w:rPr>
          <w:sz w:val="24"/>
        </w:rPr>
      </w:pPr>
    </w:p>
    <w:p>
      <w:pPr>
        <w:spacing w:line="360" w:lineRule="auto"/>
        <w:jc w:val="center"/>
        <w:rPr>
          <w:sz w:val="24"/>
        </w:rPr>
      </w:pPr>
    </w:p>
    <w:p>
      <w:pPr>
        <w:spacing w:line="360" w:lineRule="auto"/>
        <w:jc w:val="center"/>
        <w:rPr>
          <w:sz w:val="24"/>
        </w:rPr>
      </w:pPr>
      <w:r>
        <w:rPr>
          <w:sz w:val="24"/>
        </w:rPr>
        <w:pict>
          <v:shape id="_x0000_s1648" o:spid="_x0000_s1648" o:spt="202" type="#_x0000_t202" style="position:absolute;left:0pt;margin-left:342.5pt;margin-top:13.15pt;height:46.7pt;width:18.6pt;z-index:251706368;mso-width-relative:margin;mso-height-relative:margin;" filled="f" stroked="f" coordsize="21600,21600">
            <v:path/>
            <v:fill on="f" focussize="0,0"/>
            <v:stroke on="f" joinstyle="miter"/>
            <v:imagedata o:title=""/>
            <o:lock v:ext="edit"/>
            <v:textbox>
              <w:txbxContent>
                <w:p>
                  <w:pPr>
                    <w:rPr>
                      <w:rFonts w:ascii="仿宋" w:hAnsi="仿宋" w:eastAsia="仿宋"/>
                      <w:b/>
                      <w:color w:val="0070C0"/>
                      <w:sz w:val="15"/>
                    </w:rPr>
                  </w:pPr>
                  <w:r>
                    <w:rPr>
                      <w:rFonts w:hint="eastAsia" w:ascii="仿宋" w:hAnsi="仿宋" w:eastAsia="仿宋"/>
                      <w:b/>
                      <w:color w:val="0070C0"/>
                      <w:sz w:val="15"/>
                    </w:rPr>
                    <w:t>学生宿舍</w:t>
                  </w:r>
                </w:p>
              </w:txbxContent>
            </v:textbox>
          </v:shape>
        </w:pict>
      </w:r>
      <w:r>
        <w:pict>
          <v:shape id="_x0000_s1643" o:spid="_x0000_s1643" o:spt="202" type="#_x0000_t202" style="position:absolute;left:0pt;margin-left:401.5pt;margin-top:4.85pt;height:50.1pt;width:18.65pt;z-index:251705344;mso-width-relative:margin;mso-height-relative:margin;" filled="f" stroked="f" coordsize="21600,21600">
            <v:path/>
            <v:fill on="f" focussize="0,0"/>
            <v:stroke on="f" joinstyle="miter"/>
            <v:imagedata o:title=""/>
            <o:lock v:ext="edit"/>
            <v:textbox>
              <w:txbxContent>
                <w:p>
                  <w:pPr>
                    <w:rPr>
                      <w:rFonts w:ascii="仿宋" w:hAnsi="仿宋" w:eastAsia="仿宋"/>
                      <w:b/>
                      <w:color w:val="0070C0"/>
                      <w:sz w:val="15"/>
                    </w:rPr>
                  </w:pPr>
                  <w:r>
                    <w:rPr>
                      <w:rFonts w:hint="eastAsia" w:ascii="仿宋" w:hAnsi="仿宋" w:eastAsia="仿宋"/>
                      <w:b/>
                      <w:color w:val="0070C0"/>
                      <w:sz w:val="15"/>
                    </w:rPr>
                    <w:t>学生宿舍</w:t>
                  </w:r>
                </w:p>
              </w:txbxContent>
            </v:textbox>
          </v:shape>
        </w:pict>
      </w:r>
    </w:p>
    <w:p>
      <w:pPr>
        <w:spacing w:line="360" w:lineRule="auto"/>
        <w:jc w:val="center"/>
        <w:rPr>
          <w:sz w:val="24"/>
        </w:rPr>
      </w:pPr>
      <w:r>
        <w:rPr>
          <w:sz w:val="24"/>
        </w:rPr>
        <w:pict>
          <v:shape id="_x0000_s1649" o:spid="_x0000_s1649" o:spt="202" type="#_x0000_t202" style="position:absolute;left:0pt;margin-left:256.85pt;margin-top:2.65pt;height:17.1pt;width:68pt;z-index:251707392;mso-width-relative:margin;mso-height-relative:margin;" filled="f" stroked="f" coordsize="21600,21600">
            <v:path/>
            <v:fill on="f" focussize="0,0"/>
            <v:stroke on="f" joinstyle="miter"/>
            <v:imagedata o:title=""/>
            <o:lock v:ext="edit"/>
            <v:textbox>
              <w:txbxContent>
                <w:p>
                  <w:pPr>
                    <w:rPr>
                      <w:rFonts w:ascii="仿宋" w:hAnsi="仿宋" w:eastAsia="仿宋"/>
                      <w:b/>
                      <w:color w:val="0070C0"/>
                      <w:sz w:val="15"/>
                    </w:rPr>
                  </w:pPr>
                  <w:r>
                    <w:rPr>
                      <w:rFonts w:hint="eastAsia" w:ascii="仿宋" w:hAnsi="仿宋" w:eastAsia="仿宋"/>
                      <w:b/>
                      <w:color w:val="0070C0"/>
                      <w:sz w:val="15"/>
                    </w:rPr>
                    <w:t>单身教工宿舍</w:t>
                  </w:r>
                </w:p>
              </w:txbxContent>
            </v:textbox>
          </v:shape>
        </w:pict>
      </w:r>
    </w:p>
    <w:p>
      <w:pPr>
        <w:spacing w:line="360" w:lineRule="auto"/>
        <w:jc w:val="center"/>
        <w:rPr>
          <w:sz w:val="24"/>
        </w:rPr>
      </w:pPr>
      <w:r>
        <w:rPr>
          <w:sz w:val="24"/>
        </w:rPr>
        <w:pict>
          <v:shape id="_x0000_s1691" o:spid="_x0000_s1691" o:spt="202" type="#_x0000_t202" style="position:absolute;left:0pt;margin-left:391.8pt;margin-top:11.05pt;height:17.1pt;width:55.3pt;z-index:251718656;mso-width-relative:margin;mso-height-relative:margin;" filled="f" stroked="f" coordsize="21600,21600">
            <v:path/>
            <v:fill on="f" focussize="0,0"/>
            <v:stroke on="f" joinstyle="miter"/>
            <v:imagedata o:title=""/>
            <o:lock v:ext="edit"/>
            <v:textbox>
              <w:txbxContent>
                <w:p>
                  <w:pPr>
                    <w:rPr>
                      <w:rFonts w:ascii="仿宋" w:hAnsi="仿宋" w:eastAsia="仿宋"/>
                      <w:b/>
                      <w:color w:val="0070C0"/>
                      <w:sz w:val="15"/>
                    </w:rPr>
                  </w:pPr>
                  <w:r>
                    <w:rPr>
                      <w:rFonts w:hint="eastAsia" w:ascii="仿宋" w:hAnsi="仿宋" w:eastAsia="仿宋"/>
                      <w:b/>
                      <w:color w:val="0070C0"/>
                      <w:sz w:val="15"/>
                    </w:rPr>
                    <w:t>教工宿舍</w:t>
                  </w:r>
                </w:p>
              </w:txbxContent>
            </v:textbox>
          </v:shape>
        </w:pict>
      </w: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b/>
          <w:sz w:val="24"/>
        </w:rPr>
      </w:pPr>
      <w:r>
        <w:rPr>
          <w:b/>
          <w:sz w:val="24"/>
        </w:rPr>
        <w:t>图</w:t>
      </w:r>
      <w:r>
        <w:rPr>
          <w:rFonts w:hint="eastAsia"/>
          <w:b/>
          <w:sz w:val="24"/>
        </w:rPr>
        <w:t>3</w:t>
      </w:r>
      <w:r>
        <w:rPr>
          <w:b/>
          <w:sz w:val="24"/>
        </w:rPr>
        <w:t>.1-</w:t>
      </w:r>
      <w:r>
        <w:rPr>
          <w:rFonts w:hint="eastAsia"/>
          <w:b/>
          <w:sz w:val="24"/>
        </w:rPr>
        <w:t>1</w:t>
      </w:r>
      <w:r>
        <w:rPr>
          <w:b/>
          <w:sz w:val="24"/>
        </w:rPr>
        <w:t xml:space="preserve">   项目</w:t>
      </w:r>
      <w:r>
        <w:rPr>
          <w:rFonts w:hint="eastAsia"/>
          <w:b/>
          <w:sz w:val="24"/>
        </w:rPr>
        <w:t>现状总平面布置示意图</w:t>
      </w:r>
    </w:p>
    <w:p>
      <w:pPr>
        <w:pStyle w:val="4"/>
        <w:keepNext w:val="0"/>
        <w:keepLines w:val="0"/>
        <w:autoSpaceDE w:val="0"/>
        <w:autoSpaceDN w:val="0"/>
        <w:adjustRightInd w:val="0"/>
        <w:spacing w:line="360" w:lineRule="auto"/>
        <w:rPr>
          <w:rFonts w:eastAsia="宋体"/>
          <w:b/>
          <w:sz w:val="24"/>
          <w:szCs w:val="24"/>
        </w:rPr>
        <w:sectPr>
          <w:pgSz w:w="16840" w:h="11907" w:orient="landscape"/>
          <w:pgMar w:top="1701" w:right="1418" w:bottom="1418" w:left="1418" w:header="1134" w:footer="1134" w:gutter="0"/>
          <w:cols w:space="720" w:num="1"/>
          <w:docGrid w:linePitch="494" w:charSpace="0"/>
        </w:sectPr>
      </w:pPr>
    </w:p>
    <w:p>
      <w:pPr>
        <w:pStyle w:val="4"/>
        <w:keepNext w:val="0"/>
        <w:keepLines w:val="0"/>
        <w:autoSpaceDE w:val="0"/>
        <w:autoSpaceDN w:val="0"/>
        <w:adjustRightInd w:val="0"/>
        <w:spacing w:line="360" w:lineRule="auto"/>
        <w:rPr>
          <w:rFonts w:eastAsia="宋体"/>
          <w:b/>
          <w:sz w:val="24"/>
          <w:szCs w:val="24"/>
        </w:rPr>
      </w:pPr>
      <w:r>
        <w:rPr>
          <w:rFonts w:eastAsia="宋体"/>
          <w:b/>
          <w:sz w:val="24"/>
          <w:szCs w:val="24"/>
        </w:rPr>
        <w:t>3.1.</w:t>
      </w:r>
      <w:r>
        <w:rPr>
          <w:rFonts w:hint="eastAsia" w:eastAsia="宋体"/>
          <w:b/>
          <w:sz w:val="24"/>
          <w:szCs w:val="24"/>
        </w:rPr>
        <w:t>4</w:t>
      </w:r>
      <w:r>
        <w:rPr>
          <w:rFonts w:eastAsia="宋体"/>
          <w:b/>
          <w:sz w:val="24"/>
          <w:szCs w:val="24"/>
        </w:rPr>
        <w:t>现有污染物产生情况及防治措施</w:t>
      </w:r>
      <w:bookmarkEnd w:id="113"/>
    </w:p>
    <w:p>
      <w:pPr>
        <w:spacing w:line="520" w:lineRule="exact"/>
        <w:ind w:firstLine="480" w:firstLineChars="200"/>
        <w:rPr>
          <w:sz w:val="24"/>
          <w:szCs w:val="24"/>
        </w:rPr>
      </w:pPr>
      <w:r>
        <w:rPr>
          <w:rFonts w:hint="eastAsia"/>
          <w:sz w:val="24"/>
          <w:szCs w:val="24"/>
        </w:rPr>
        <w:t>扩建前项目未办理环境影响评价等相关环保手续，根据建设单位提供的数据及统计资料进行源强计算，改扩建前项目产生的污染主要为废水、废气、噪声、固体废物等。</w:t>
      </w:r>
    </w:p>
    <w:p>
      <w:pPr>
        <w:spacing w:line="360" w:lineRule="auto"/>
        <w:ind w:firstLine="480" w:firstLineChars="200"/>
        <w:rPr>
          <w:sz w:val="24"/>
          <w:szCs w:val="24"/>
        </w:rPr>
      </w:pPr>
      <w:r>
        <w:rPr>
          <w:sz w:val="24"/>
          <w:szCs w:val="24"/>
        </w:rPr>
        <w:t>闽侯六中</w:t>
      </w:r>
      <w:r>
        <w:rPr>
          <w:rFonts w:hint="eastAsia"/>
          <w:sz w:val="24"/>
          <w:szCs w:val="24"/>
        </w:rPr>
        <w:t>现状</w:t>
      </w:r>
      <w:r>
        <w:rPr>
          <w:sz w:val="24"/>
          <w:szCs w:val="24"/>
        </w:rPr>
        <w:t>共设48个班</w:t>
      </w:r>
      <w:r>
        <w:rPr>
          <w:rFonts w:hint="eastAsia"/>
          <w:sz w:val="24"/>
          <w:szCs w:val="24"/>
        </w:rPr>
        <w:t>，</w:t>
      </w:r>
      <w:r>
        <w:rPr>
          <w:sz w:val="24"/>
          <w:szCs w:val="24"/>
        </w:rPr>
        <w:t>现有</w:t>
      </w:r>
      <w:r>
        <w:rPr>
          <w:rFonts w:hint="eastAsia"/>
          <w:sz w:val="24"/>
        </w:rPr>
        <w:t>在校师生2311人</w:t>
      </w:r>
      <w:r>
        <w:rPr>
          <w:sz w:val="24"/>
          <w:szCs w:val="24"/>
        </w:rPr>
        <w:t>。</w:t>
      </w:r>
      <w:r>
        <w:rPr>
          <w:sz w:val="24"/>
        </w:rPr>
        <w:t>项目原有污染源主要为废水、废气、噪声和固体废物，具体分析如下</w:t>
      </w:r>
      <w:r>
        <w:rPr>
          <w:rFonts w:hint="eastAsia"/>
          <w:sz w:val="24"/>
        </w:rPr>
        <w:t>：</w:t>
      </w:r>
    </w:p>
    <w:p>
      <w:pPr>
        <w:spacing w:line="360" w:lineRule="auto"/>
        <w:ind w:firstLine="480" w:firstLineChars="200"/>
        <w:rPr>
          <w:sz w:val="24"/>
          <w:szCs w:val="24"/>
        </w:rPr>
      </w:pPr>
      <w:r>
        <w:rPr>
          <w:rFonts w:hint="eastAsia"/>
          <w:sz w:val="24"/>
          <w:szCs w:val="24"/>
        </w:rPr>
        <w:t>（1）水污染源及处置措施</w:t>
      </w:r>
    </w:p>
    <w:p>
      <w:pPr>
        <w:snapToGrid w:val="0"/>
        <w:spacing w:line="360" w:lineRule="auto"/>
        <w:ind w:firstLine="480" w:firstLineChars="200"/>
        <w:rPr>
          <w:sz w:val="24"/>
          <w:szCs w:val="24"/>
        </w:rPr>
      </w:pPr>
      <w:r>
        <w:rPr>
          <w:sz w:val="24"/>
          <w:szCs w:val="24"/>
        </w:rPr>
        <w:t>根据现场勘查</w:t>
      </w:r>
      <w:r>
        <w:rPr>
          <w:rFonts w:hint="eastAsia"/>
          <w:sz w:val="24"/>
          <w:szCs w:val="24"/>
        </w:rPr>
        <w:t>，</w:t>
      </w:r>
      <w:r>
        <w:rPr>
          <w:sz w:val="24"/>
          <w:szCs w:val="24"/>
        </w:rPr>
        <w:t>学校目前产生的废水主要学校目前产生的废水主要来源于学校师生日常生活中产生的生活废水和实验室废水等。</w:t>
      </w:r>
    </w:p>
    <w:p>
      <w:pPr>
        <w:snapToGrid w:val="0"/>
        <w:spacing w:line="360" w:lineRule="auto"/>
        <w:ind w:firstLine="480" w:firstLineChars="200"/>
        <w:rPr>
          <w:sz w:val="24"/>
          <w:szCs w:val="24"/>
        </w:rPr>
      </w:pPr>
      <w:r>
        <w:rPr>
          <w:sz w:val="24"/>
          <w:szCs w:val="24"/>
        </w:rPr>
        <w:t>生活废水</w:t>
      </w:r>
      <w:r>
        <w:rPr>
          <w:rFonts w:hint="eastAsia"/>
          <w:sz w:val="24"/>
          <w:szCs w:val="24"/>
        </w:rPr>
        <w:t>：</w:t>
      </w:r>
      <w:r>
        <w:rPr>
          <w:sz w:val="24"/>
          <w:szCs w:val="24"/>
        </w:rPr>
        <w:t>现有</w:t>
      </w:r>
      <w:r>
        <w:rPr>
          <w:rFonts w:hint="eastAsia"/>
          <w:sz w:val="24"/>
        </w:rPr>
        <w:t>在校师生</w:t>
      </w:r>
      <w:r>
        <w:rPr>
          <w:sz w:val="24"/>
          <w:szCs w:val="24"/>
        </w:rPr>
        <w:t>2</w:t>
      </w:r>
      <w:r>
        <w:rPr>
          <w:rFonts w:hint="eastAsia"/>
          <w:sz w:val="24"/>
          <w:szCs w:val="24"/>
        </w:rPr>
        <w:t>311</w:t>
      </w:r>
      <w:r>
        <w:rPr>
          <w:sz w:val="24"/>
          <w:szCs w:val="24"/>
        </w:rPr>
        <w:t>人，住宿约</w:t>
      </w:r>
      <w:r>
        <w:rPr>
          <w:rFonts w:hint="eastAsia"/>
          <w:sz w:val="24"/>
          <w:szCs w:val="24"/>
        </w:rPr>
        <w:t>3</w:t>
      </w:r>
      <w:r>
        <w:rPr>
          <w:sz w:val="24"/>
          <w:szCs w:val="24"/>
        </w:rPr>
        <w:t>00人</w:t>
      </w:r>
      <w:r>
        <w:rPr>
          <w:rFonts w:hint="eastAsia"/>
          <w:sz w:val="24"/>
          <w:szCs w:val="24"/>
        </w:rPr>
        <w:t>。</w:t>
      </w:r>
      <w:r>
        <w:rPr>
          <w:sz w:val="24"/>
          <w:szCs w:val="24"/>
        </w:rPr>
        <w:t>根据GB50015-2003《建筑给水排水设计规范》</w:t>
      </w:r>
      <w:r>
        <w:rPr>
          <w:sz w:val="24"/>
        </w:rPr>
        <w:t>（2009修订版）</w:t>
      </w:r>
      <w:r>
        <w:rPr>
          <w:rFonts w:hint="eastAsia"/>
          <w:sz w:val="24"/>
          <w:szCs w:val="24"/>
        </w:rPr>
        <w:t>，</w:t>
      </w:r>
      <w:r>
        <w:rPr>
          <w:sz w:val="24"/>
          <w:szCs w:val="24"/>
        </w:rPr>
        <w:t>生活用水量以1</w:t>
      </w:r>
      <w:r>
        <w:rPr>
          <w:rFonts w:hint="eastAsia"/>
          <w:sz w:val="24"/>
          <w:szCs w:val="24"/>
        </w:rPr>
        <w:t>2</w:t>
      </w:r>
      <w:r>
        <w:rPr>
          <w:sz w:val="24"/>
          <w:szCs w:val="24"/>
        </w:rPr>
        <w:t>0L/d·人计，</w:t>
      </w:r>
      <w:r>
        <w:rPr>
          <w:rFonts w:hint="eastAsia"/>
          <w:sz w:val="24"/>
          <w:szCs w:val="24"/>
        </w:rPr>
        <w:t>教学</w:t>
      </w:r>
      <w:r>
        <w:rPr>
          <w:sz w:val="24"/>
          <w:szCs w:val="24"/>
        </w:rPr>
        <w:t>用水定额</w:t>
      </w:r>
      <w:r>
        <w:rPr>
          <w:sz w:val="24"/>
        </w:rPr>
        <w:t>取30</w:t>
      </w:r>
      <w:r>
        <w:rPr>
          <w:sz w:val="24"/>
          <w:szCs w:val="24"/>
        </w:rPr>
        <w:t>L/d·人计</w:t>
      </w:r>
      <w:r>
        <w:rPr>
          <w:sz w:val="24"/>
        </w:rPr>
        <w:t>，</w:t>
      </w:r>
      <w:r>
        <w:rPr>
          <w:rFonts w:hint="eastAsia"/>
          <w:sz w:val="24"/>
          <w:szCs w:val="24"/>
        </w:rPr>
        <w:t>年在校时间按200天（扣除周末及寒暑假）计算，</w:t>
      </w:r>
      <w:r>
        <w:rPr>
          <w:sz w:val="24"/>
          <w:szCs w:val="24"/>
        </w:rPr>
        <w:t>则该校现生活用水量约</w:t>
      </w:r>
      <w:r>
        <w:rPr>
          <w:rFonts w:hint="eastAsia"/>
          <w:sz w:val="24"/>
          <w:szCs w:val="24"/>
        </w:rPr>
        <w:t>105.3</w:t>
      </w:r>
      <w:r>
        <w:rPr>
          <w:sz w:val="24"/>
          <w:szCs w:val="24"/>
        </w:rPr>
        <w:t>t/d（2</w:t>
      </w:r>
      <w:r>
        <w:rPr>
          <w:rFonts w:hint="eastAsia"/>
          <w:sz w:val="24"/>
          <w:szCs w:val="24"/>
        </w:rPr>
        <w:t>1066</w:t>
      </w:r>
      <w:r>
        <w:rPr>
          <w:sz w:val="24"/>
          <w:szCs w:val="24"/>
        </w:rPr>
        <w:t>t/a），生活废水排放量均以用水量的90%计，则学校目前生活废水排放量约</w:t>
      </w:r>
      <w:r>
        <w:rPr>
          <w:rFonts w:hint="eastAsia"/>
          <w:sz w:val="24"/>
          <w:szCs w:val="24"/>
        </w:rPr>
        <w:t>94.8</w:t>
      </w:r>
      <w:r>
        <w:rPr>
          <w:sz w:val="24"/>
          <w:szCs w:val="24"/>
        </w:rPr>
        <w:t>t/d（</w:t>
      </w:r>
      <w:r>
        <w:rPr>
          <w:rFonts w:hint="eastAsia"/>
          <w:sz w:val="24"/>
          <w:szCs w:val="24"/>
        </w:rPr>
        <w:t>18959</w:t>
      </w:r>
      <w:r>
        <w:rPr>
          <w:sz w:val="24"/>
          <w:szCs w:val="24"/>
        </w:rPr>
        <w:t>t/a）</w:t>
      </w:r>
      <w:r>
        <w:rPr>
          <w:rFonts w:hint="eastAsia"/>
          <w:sz w:val="24"/>
          <w:szCs w:val="24"/>
        </w:rPr>
        <w:t>。</w:t>
      </w:r>
    </w:p>
    <w:p>
      <w:pPr>
        <w:snapToGrid w:val="0"/>
        <w:spacing w:line="360" w:lineRule="auto"/>
        <w:ind w:firstLine="480" w:firstLineChars="200"/>
        <w:rPr>
          <w:sz w:val="24"/>
          <w:szCs w:val="24"/>
        </w:rPr>
      </w:pPr>
      <w:r>
        <w:rPr>
          <w:rFonts w:hint="eastAsia"/>
          <w:sz w:val="24"/>
          <w:szCs w:val="24"/>
        </w:rPr>
        <w:t>食堂废水：</w:t>
      </w:r>
      <w:r>
        <w:rPr>
          <w:rFonts w:hint="eastAsia"/>
          <w:sz w:val="24"/>
          <w:szCs w:val="24"/>
          <w:lang w:val="zh-CN"/>
        </w:rPr>
        <w:t>项目在拟保留教学楼一层设置</w:t>
      </w:r>
      <w:r>
        <w:rPr>
          <w:rFonts w:hint="eastAsia"/>
          <w:sz w:val="24"/>
          <w:szCs w:val="24"/>
        </w:rPr>
        <w:t>食堂厨房和餐厅</w:t>
      </w:r>
      <w:r>
        <w:rPr>
          <w:rFonts w:hint="eastAsia"/>
          <w:sz w:val="24"/>
          <w:szCs w:val="24"/>
          <w:lang w:val="zh-CN"/>
        </w:rPr>
        <w:t>，供</w:t>
      </w:r>
      <w:r>
        <w:rPr>
          <w:rFonts w:hint="eastAsia"/>
          <w:sz w:val="24"/>
          <w:szCs w:val="24"/>
        </w:rPr>
        <w:t>应</w:t>
      </w:r>
      <w:r>
        <w:rPr>
          <w:rFonts w:hint="eastAsia"/>
          <w:sz w:val="24"/>
          <w:szCs w:val="24"/>
          <w:lang w:val="zh-CN"/>
        </w:rPr>
        <w:t>在校师生就餐，</w:t>
      </w:r>
      <w:r>
        <w:rPr>
          <w:rFonts w:hint="eastAsia"/>
          <w:sz w:val="24"/>
          <w:szCs w:val="24"/>
        </w:rPr>
        <w:t>每天约有300</w:t>
      </w:r>
      <w:r>
        <w:rPr>
          <w:rFonts w:hint="eastAsia"/>
          <w:sz w:val="24"/>
          <w:szCs w:val="24"/>
          <w:lang w:val="zh-CN"/>
        </w:rPr>
        <w:t>人就餐。根据GB50015-2003《建筑给水排水设计规范》（2009修订版），取20L/人·次，</w:t>
      </w:r>
      <w:r>
        <w:rPr>
          <w:rFonts w:hint="eastAsia"/>
          <w:sz w:val="24"/>
          <w:szCs w:val="24"/>
        </w:rPr>
        <w:t>一日按照两餐计</w:t>
      </w:r>
      <w:r>
        <w:rPr>
          <w:rFonts w:hint="eastAsia"/>
          <w:sz w:val="24"/>
          <w:szCs w:val="24"/>
          <w:lang w:val="zh-CN"/>
        </w:rPr>
        <w:t>，则食堂用水量为</w:t>
      </w:r>
      <w:r>
        <w:rPr>
          <w:rFonts w:hint="eastAsia"/>
          <w:sz w:val="24"/>
          <w:szCs w:val="24"/>
        </w:rPr>
        <w:t>12</w:t>
      </w:r>
      <w:r>
        <w:rPr>
          <w:rFonts w:hint="eastAsia"/>
          <w:sz w:val="24"/>
          <w:szCs w:val="24"/>
          <w:lang w:val="zh-CN"/>
        </w:rPr>
        <w:t>t/d（</w:t>
      </w:r>
      <w:r>
        <w:rPr>
          <w:rFonts w:hint="eastAsia"/>
          <w:sz w:val="24"/>
          <w:szCs w:val="24"/>
        </w:rPr>
        <w:t>2400</w:t>
      </w:r>
      <w:r>
        <w:rPr>
          <w:rFonts w:hint="eastAsia"/>
          <w:sz w:val="24"/>
          <w:szCs w:val="24"/>
          <w:lang w:val="zh-CN"/>
        </w:rPr>
        <w:t>t/a）。废水</w:t>
      </w:r>
      <w:r>
        <w:rPr>
          <w:sz w:val="24"/>
          <w:szCs w:val="24"/>
          <w:lang w:val="zh-CN"/>
        </w:rPr>
        <w:t>排放量按照</w:t>
      </w:r>
      <w:r>
        <w:rPr>
          <w:sz w:val="24"/>
          <w:szCs w:val="24"/>
        </w:rPr>
        <w:t>90%计，则</w:t>
      </w:r>
      <w:r>
        <w:rPr>
          <w:rFonts w:hint="eastAsia"/>
          <w:sz w:val="24"/>
          <w:szCs w:val="24"/>
        </w:rPr>
        <w:t>食堂废水</w:t>
      </w:r>
      <w:r>
        <w:rPr>
          <w:sz w:val="24"/>
          <w:szCs w:val="24"/>
        </w:rPr>
        <w:t>排放量为</w:t>
      </w:r>
      <w:r>
        <w:rPr>
          <w:rFonts w:hint="eastAsia"/>
          <w:sz w:val="24"/>
        </w:rPr>
        <w:t>10.8</w:t>
      </w:r>
      <w:r>
        <w:rPr>
          <w:kern w:val="0"/>
          <w:sz w:val="24"/>
          <w:szCs w:val="24"/>
        </w:rPr>
        <w:t>m</w:t>
      </w:r>
      <w:r>
        <w:rPr>
          <w:kern w:val="0"/>
          <w:sz w:val="24"/>
          <w:szCs w:val="24"/>
          <w:vertAlign w:val="superscript"/>
        </w:rPr>
        <w:t>3</w:t>
      </w:r>
      <w:r>
        <w:rPr>
          <w:kern w:val="0"/>
          <w:sz w:val="24"/>
          <w:szCs w:val="24"/>
        </w:rPr>
        <w:t>/d（</w:t>
      </w:r>
      <w:r>
        <w:rPr>
          <w:rFonts w:hint="eastAsia"/>
          <w:kern w:val="0"/>
          <w:sz w:val="24"/>
          <w:szCs w:val="24"/>
        </w:rPr>
        <w:t>2160</w:t>
      </w:r>
      <w:r>
        <w:rPr>
          <w:kern w:val="0"/>
          <w:sz w:val="24"/>
          <w:szCs w:val="24"/>
        </w:rPr>
        <w:t>m</w:t>
      </w:r>
      <w:r>
        <w:rPr>
          <w:kern w:val="0"/>
          <w:sz w:val="24"/>
          <w:szCs w:val="24"/>
          <w:vertAlign w:val="superscript"/>
        </w:rPr>
        <w:t>3</w:t>
      </w:r>
      <w:r>
        <w:rPr>
          <w:kern w:val="0"/>
          <w:sz w:val="24"/>
          <w:szCs w:val="24"/>
        </w:rPr>
        <w:t>/a）</w:t>
      </w:r>
      <w:r>
        <w:rPr>
          <w:rFonts w:hint="eastAsia"/>
          <w:kern w:val="0"/>
          <w:sz w:val="24"/>
          <w:szCs w:val="24"/>
        </w:rPr>
        <w:t>，废水经隔油池处理后排入化粪池。</w:t>
      </w:r>
    </w:p>
    <w:p>
      <w:pPr>
        <w:widowControl/>
        <w:spacing w:line="360" w:lineRule="auto"/>
        <w:ind w:firstLine="480" w:firstLineChars="200"/>
        <w:rPr>
          <w:sz w:val="24"/>
        </w:rPr>
      </w:pPr>
      <w:r>
        <w:rPr>
          <w:sz w:val="24"/>
          <w:szCs w:val="24"/>
        </w:rPr>
        <w:t>实验室废水</w:t>
      </w:r>
      <w:r>
        <w:rPr>
          <w:rFonts w:hint="eastAsia"/>
          <w:sz w:val="24"/>
          <w:szCs w:val="24"/>
        </w:rPr>
        <w:t>：</w:t>
      </w:r>
      <w:r>
        <w:rPr>
          <w:sz w:val="24"/>
          <w:szCs w:val="24"/>
        </w:rPr>
        <w:t>学校已有一栋实验楼，主要</w:t>
      </w:r>
      <w:r>
        <w:rPr>
          <w:rFonts w:hint="eastAsia"/>
          <w:sz w:val="24"/>
          <w:szCs w:val="24"/>
          <w:lang w:val="zh-CN"/>
        </w:rPr>
        <w:t>为实验室器皿清洗废水等产生的酸碱废水</w:t>
      </w:r>
      <w:r>
        <w:rPr>
          <w:sz w:val="24"/>
          <w:szCs w:val="24"/>
        </w:rPr>
        <w:t>，</w:t>
      </w:r>
      <w:r>
        <w:rPr>
          <w:rFonts w:hint="eastAsia"/>
          <w:sz w:val="24"/>
        </w:rPr>
        <w:t>废</w:t>
      </w:r>
      <w:r>
        <w:rPr>
          <w:sz w:val="24"/>
        </w:rPr>
        <w:t>水量较少，约0.5</w:t>
      </w:r>
      <w:r>
        <w:rPr>
          <w:sz w:val="24"/>
          <w:szCs w:val="24"/>
        </w:rPr>
        <w:t>t/d</w:t>
      </w:r>
      <w:r>
        <w:rPr>
          <w:rFonts w:hint="eastAsia"/>
          <w:sz w:val="24"/>
        </w:rPr>
        <w:t>（</w:t>
      </w:r>
      <w:r>
        <w:rPr>
          <w:sz w:val="24"/>
        </w:rPr>
        <w:t>100</w:t>
      </w:r>
      <w:r>
        <w:rPr>
          <w:sz w:val="24"/>
          <w:szCs w:val="24"/>
        </w:rPr>
        <w:t xml:space="preserve"> t/a）</w:t>
      </w:r>
      <w:r>
        <w:rPr>
          <w:rFonts w:hint="eastAsia"/>
          <w:sz w:val="24"/>
          <w:szCs w:val="24"/>
        </w:rPr>
        <w:t>，废水经中和池中和后排入化粪池</w:t>
      </w:r>
      <w:r>
        <w:rPr>
          <w:sz w:val="24"/>
        </w:rPr>
        <w:t>。</w:t>
      </w:r>
    </w:p>
    <w:p>
      <w:pPr>
        <w:spacing w:line="360" w:lineRule="auto"/>
        <w:ind w:firstLine="480" w:firstLineChars="200"/>
        <w:rPr>
          <w:sz w:val="24"/>
          <w:szCs w:val="24"/>
        </w:rPr>
      </w:pPr>
      <w:r>
        <w:rPr>
          <w:rFonts w:hint="eastAsia"/>
          <w:sz w:val="24"/>
          <w:szCs w:val="24"/>
        </w:rPr>
        <w:t>项目现状废水经化粪池处理后排入市政污水管网纳入大学城污水处理厂处理。</w:t>
      </w:r>
    </w:p>
    <w:p>
      <w:pPr>
        <w:spacing w:line="360" w:lineRule="auto"/>
        <w:ind w:firstLine="480" w:firstLineChars="200"/>
        <w:rPr>
          <w:sz w:val="24"/>
        </w:rPr>
      </w:pPr>
      <w:r>
        <w:rPr>
          <w:rFonts w:hint="eastAsia"/>
          <w:sz w:val="24"/>
        </w:rPr>
        <w:t>化粪池对生活污水中污染物的去除效率按COD30%、BOD</w:t>
      </w:r>
      <w:r>
        <w:rPr>
          <w:rFonts w:hint="eastAsia"/>
          <w:sz w:val="24"/>
          <w:vertAlign w:val="subscript"/>
        </w:rPr>
        <w:t>5</w:t>
      </w:r>
      <w:r>
        <w:rPr>
          <w:rFonts w:hint="eastAsia"/>
          <w:sz w:val="24"/>
        </w:rPr>
        <w:t>30%、SS35%、NH3-N0%计，隔油池对餐饮废水中动植物油去除效率按80%计。</w:t>
      </w:r>
      <w:r>
        <w:rPr>
          <w:rFonts w:hint="eastAsia" w:ascii="宋体" w:hAnsi="宋体"/>
          <w:sz w:val="24"/>
          <w:szCs w:val="24"/>
        </w:rPr>
        <w:t>该校现排放的生活废水经化粪池处理后各污染物排放情况详见表</w:t>
      </w:r>
      <w:r>
        <w:rPr>
          <w:rFonts w:hint="eastAsia"/>
          <w:sz w:val="24"/>
        </w:rPr>
        <w:t>3.1-3。</w:t>
      </w:r>
    </w:p>
    <w:p>
      <w:pPr>
        <w:pStyle w:val="32"/>
        <w:spacing w:before="120" w:beforeLines="50" w:line="360" w:lineRule="auto"/>
        <w:ind w:firstLine="482"/>
        <w:jc w:val="center"/>
        <w:rPr>
          <w:b/>
          <w:sz w:val="24"/>
          <w:szCs w:val="24"/>
        </w:rPr>
      </w:pPr>
    </w:p>
    <w:p>
      <w:pPr>
        <w:pStyle w:val="32"/>
        <w:spacing w:before="120" w:beforeLines="50" w:line="360" w:lineRule="auto"/>
        <w:ind w:firstLine="482"/>
        <w:jc w:val="center"/>
        <w:rPr>
          <w:b/>
          <w:sz w:val="24"/>
          <w:szCs w:val="24"/>
        </w:rPr>
      </w:pPr>
    </w:p>
    <w:p>
      <w:pPr>
        <w:pStyle w:val="32"/>
        <w:spacing w:before="120" w:beforeLines="50" w:line="360" w:lineRule="auto"/>
        <w:ind w:firstLine="482"/>
        <w:jc w:val="center"/>
        <w:rPr>
          <w:b/>
          <w:sz w:val="24"/>
          <w:szCs w:val="24"/>
        </w:rPr>
      </w:pPr>
    </w:p>
    <w:p>
      <w:pPr>
        <w:pStyle w:val="32"/>
        <w:spacing w:before="120" w:beforeLines="50" w:line="360" w:lineRule="auto"/>
        <w:ind w:firstLine="482"/>
        <w:jc w:val="center"/>
        <w:rPr>
          <w:b/>
          <w:sz w:val="24"/>
          <w:szCs w:val="24"/>
        </w:rPr>
      </w:pPr>
    </w:p>
    <w:p>
      <w:pPr>
        <w:pStyle w:val="32"/>
        <w:spacing w:before="120" w:beforeLines="50" w:line="360" w:lineRule="auto"/>
        <w:ind w:firstLine="482"/>
        <w:jc w:val="center"/>
        <w:rPr>
          <w:b/>
          <w:sz w:val="24"/>
          <w:szCs w:val="24"/>
        </w:rPr>
      </w:pPr>
      <w:r>
        <w:rPr>
          <w:b/>
          <w:sz w:val="24"/>
          <w:szCs w:val="24"/>
        </w:rPr>
        <w:t>表3.1-3  现有废水处理后各污染物排放情况表</w:t>
      </w:r>
    </w:p>
    <w:tbl>
      <w:tblPr>
        <w:tblStyle w:val="24"/>
        <w:tblW w:w="8860" w:type="dxa"/>
        <w:tblInd w:w="93" w:type="dxa"/>
        <w:tblLayout w:type="autofit"/>
        <w:tblCellMar>
          <w:top w:w="0" w:type="dxa"/>
          <w:left w:w="108" w:type="dxa"/>
          <w:bottom w:w="0" w:type="dxa"/>
          <w:right w:w="108" w:type="dxa"/>
        </w:tblCellMar>
      </w:tblPr>
      <w:tblGrid>
        <w:gridCol w:w="1080"/>
        <w:gridCol w:w="1080"/>
        <w:gridCol w:w="1080"/>
        <w:gridCol w:w="1300"/>
        <w:gridCol w:w="1080"/>
        <w:gridCol w:w="1080"/>
        <w:gridCol w:w="1080"/>
        <w:gridCol w:w="1080"/>
      </w:tblGrid>
      <w:tr>
        <w:tblPrEx>
          <w:tblCellMar>
            <w:top w:w="0" w:type="dxa"/>
            <w:left w:w="108" w:type="dxa"/>
            <w:bottom w:w="0" w:type="dxa"/>
            <w:right w:w="108" w:type="dxa"/>
          </w:tblCellMar>
        </w:tblPrEx>
        <w:trPr>
          <w:trHeight w:val="285" w:hRule="atLeast"/>
        </w:trPr>
        <w:tc>
          <w:tcPr>
            <w:tcW w:w="1080" w:type="dxa"/>
            <w:vMerge w:val="restart"/>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项目</w:t>
            </w:r>
          </w:p>
        </w:tc>
        <w:tc>
          <w:tcPr>
            <w:tcW w:w="1080" w:type="dxa"/>
            <w:vMerge w:val="restart"/>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废水量</w:t>
            </w:r>
            <w:r>
              <w:rPr>
                <w:color w:val="000000"/>
                <w:kern w:val="0"/>
                <w:szCs w:val="21"/>
              </w:rPr>
              <w:t>t/a</w:t>
            </w:r>
          </w:p>
        </w:tc>
        <w:tc>
          <w:tcPr>
            <w:tcW w:w="1080" w:type="dxa"/>
            <w:vMerge w:val="restart"/>
            <w:tcBorders>
              <w:top w:val="single" w:color="000000" w:sz="8" w:space="0"/>
              <w:left w:val="single" w:color="auto" w:sz="8" w:space="0"/>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单位</w:t>
            </w:r>
          </w:p>
        </w:tc>
        <w:tc>
          <w:tcPr>
            <w:tcW w:w="5620"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主要污染物</w:t>
            </w:r>
          </w:p>
        </w:tc>
      </w:tr>
      <w:tr>
        <w:tblPrEx>
          <w:tblCellMar>
            <w:top w:w="0" w:type="dxa"/>
            <w:left w:w="108" w:type="dxa"/>
            <w:bottom w:w="0" w:type="dxa"/>
            <w:right w:w="108" w:type="dxa"/>
          </w:tblCellMar>
        </w:tblPrEx>
        <w:trPr>
          <w:trHeight w:val="315" w:hRule="atLeast"/>
        </w:trPr>
        <w:tc>
          <w:tcPr>
            <w:tcW w:w="1080"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80"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80" w:type="dxa"/>
            <w:vMerge w:val="continue"/>
            <w:tcBorders>
              <w:top w:val="single" w:color="000000" w:sz="8" w:space="0"/>
              <w:left w:val="single" w:color="auto" w:sz="8" w:space="0"/>
              <w:bottom w:val="single" w:color="000000" w:sz="8" w:space="0"/>
              <w:right w:val="single" w:color="000000" w:sz="8" w:space="0"/>
            </w:tcBorders>
            <w:vAlign w:val="center"/>
          </w:tcPr>
          <w:p>
            <w:pPr>
              <w:widowControl/>
              <w:jc w:val="left"/>
              <w:rPr>
                <w:rFonts w:ascii="宋体" w:hAnsi="宋体" w:cs="宋体"/>
                <w:color w:val="000000"/>
                <w:kern w:val="0"/>
                <w:szCs w:val="21"/>
              </w:rPr>
            </w:pPr>
          </w:p>
        </w:tc>
        <w:tc>
          <w:tcPr>
            <w:tcW w:w="1300" w:type="dxa"/>
            <w:tcBorders>
              <w:top w:val="nil"/>
              <w:left w:val="nil"/>
              <w:bottom w:val="single" w:color="auto" w:sz="8" w:space="0"/>
              <w:right w:val="single" w:color="auto" w:sz="8" w:space="0"/>
            </w:tcBorders>
            <w:shd w:val="clear" w:color="auto" w:fill="auto"/>
            <w:vAlign w:val="center"/>
          </w:tcPr>
          <w:p>
            <w:pPr>
              <w:widowControl/>
              <w:jc w:val="center"/>
              <w:rPr>
                <w:bCs/>
                <w:color w:val="000000"/>
                <w:kern w:val="0"/>
                <w:szCs w:val="21"/>
              </w:rPr>
            </w:pPr>
            <w:r>
              <w:rPr>
                <w:bCs/>
                <w:color w:val="000000"/>
                <w:kern w:val="0"/>
                <w:szCs w:val="21"/>
              </w:rPr>
              <w:t>COD</w:t>
            </w:r>
            <w:r>
              <w:rPr>
                <w:bCs/>
                <w:color w:val="000000"/>
                <w:kern w:val="0"/>
                <w:szCs w:val="21"/>
                <w:vertAlign w:val="subscript"/>
              </w:rPr>
              <w:t>cr</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bCs/>
                <w:color w:val="000000"/>
                <w:kern w:val="0"/>
                <w:szCs w:val="21"/>
              </w:rPr>
            </w:pPr>
            <w:r>
              <w:rPr>
                <w:bCs/>
                <w:color w:val="000000"/>
                <w:kern w:val="0"/>
                <w:szCs w:val="21"/>
              </w:rPr>
              <w:t>BOD</w:t>
            </w:r>
            <w:r>
              <w:rPr>
                <w:bCs/>
                <w:color w:val="000000"/>
                <w:kern w:val="0"/>
                <w:szCs w:val="21"/>
                <w:vertAlign w:val="subscript"/>
              </w:rPr>
              <w:t>5</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bCs/>
                <w:color w:val="000000"/>
                <w:kern w:val="0"/>
                <w:szCs w:val="21"/>
              </w:rPr>
            </w:pPr>
            <w:r>
              <w:rPr>
                <w:bCs/>
                <w:color w:val="000000"/>
                <w:kern w:val="0"/>
                <w:szCs w:val="21"/>
              </w:rPr>
              <w:t>SS</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氨氮</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动植物油</w:t>
            </w:r>
          </w:p>
        </w:tc>
      </w:tr>
      <w:tr>
        <w:tblPrEx>
          <w:tblCellMar>
            <w:top w:w="0" w:type="dxa"/>
            <w:left w:w="108" w:type="dxa"/>
            <w:bottom w:w="0" w:type="dxa"/>
            <w:right w:w="108" w:type="dxa"/>
          </w:tblCellMar>
        </w:tblPrEx>
        <w:trPr>
          <w:trHeight w:val="540" w:hRule="atLeast"/>
        </w:trPr>
        <w:tc>
          <w:tcPr>
            <w:tcW w:w="10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生活污水</w:t>
            </w:r>
          </w:p>
        </w:tc>
        <w:tc>
          <w:tcPr>
            <w:tcW w:w="10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color w:val="000000"/>
                <w:kern w:val="0"/>
                <w:sz w:val="22"/>
                <w:szCs w:val="22"/>
              </w:rPr>
            </w:pPr>
            <w:r>
              <w:rPr>
                <w:color w:val="000000"/>
                <w:kern w:val="0"/>
                <w:sz w:val="22"/>
                <w:szCs w:val="22"/>
              </w:rPr>
              <w:t>18959</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产生浓度</w:t>
            </w:r>
            <w:r>
              <w:rPr>
                <w:color w:val="000000"/>
                <w:kern w:val="0"/>
                <w:szCs w:val="21"/>
              </w:rPr>
              <w:t>(mg/l)</w:t>
            </w:r>
          </w:p>
        </w:tc>
        <w:tc>
          <w:tcPr>
            <w:tcW w:w="130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400</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200</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220</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35</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r>
      <w:tr>
        <w:tblPrEx>
          <w:tblCellMar>
            <w:top w:w="0" w:type="dxa"/>
            <w:left w:w="108" w:type="dxa"/>
            <w:bottom w:w="0" w:type="dxa"/>
            <w:right w:w="108"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2"/>
                <w:szCs w:val="22"/>
              </w:rPr>
            </w:pP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产生量</w:t>
            </w:r>
            <w:r>
              <w:rPr>
                <w:color w:val="000000"/>
                <w:kern w:val="0"/>
                <w:szCs w:val="21"/>
              </w:rPr>
              <w:t>(t/a)</w:t>
            </w:r>
          </w:p>
        </w:tc>
        <w:tc>
          <w:tcPr>
            <w:tcW w:w="130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7.58</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3.79</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4.17</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0.66</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r>
      <w:tr>
        <w:tblPrEx>
          <w:tblCellMar>
            <w:top w:w="0" w:type="dxa"/>
            <w:left w:w="108" w:type="dxa"/>
            <w:bottom w:w="0" w:type="dxa"/>
            <w:right w:w="108" w:type="dxa"/>
          </w:tblCellMar>
        </w:tblPrEx>
        <w:trPr>
          <w:trHeight w:val="525" w:hRule="atLeast"/>
        </w:trPr>
        <w:tc>
          <w:tcPr>
            <w:tcW w:w="10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食堂废水</w:t>
            </w:r>
          </w:p>
        </w:tc>
        <w:tc>
          <w:tcPr>
            <w:tcW w:w="10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color w:val="000000"/>
                <w:kern w:val="0"/>
                <w:sz w:val="22"/>
                <w:szCs w:val="22"/>
              </w:rPr>
            </w:pPr>
            <w:r>
              <w:rPr>
                <w:color w:val="000000"/>
                <w:kern w:val="0"/>
                <w:sz w:val="22"/>
                <w:szCs w:val="22"/>
              </w:rPr>
              <w:t>2160</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产生浓度</w:t>
            </w:r>
            <w:r>
              <w:rPr>
                <w:color w:val="000000"/>
                <w:kern w:val="0"/>
                <w:szCs w:val="21"/>
              </w:rPr>
              <w:t>(mg/l)</w:t>
            </w:r>
          </w:p>
        </w:tc>
        <w:tc>
          <w:tcPr>
            <w:tcW w:w="130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1000</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500</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400</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15</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150</w:t>
            </w:r>
          </w:p>
        </w:tc>
      </w:tr>
      <w:tr>
        <w:tblPrEx>
          <w:tblCellMar>
            <w:top w:w="0" w:type="dxa"/>
            <w:left w:w="108" w:type="dxa"/>
            <w:bottom w:w="0" w:type="dxa"/>
            <w:right w:w="108"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2"/>
                <w:szCs w:val="22"/>
              </w:rPr>
            </w:pP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产生量</w:t>
            </w:r>
            <w:r>
              <w:rPr>
                <w:color w:val="000000"/>
                <w:kern w:val="0"/>
                <w:szCs w:val="21"/>
              </w:rPr>
              <w:t>(t/a)</w:t>
            </w:r>
          </w:p>
        </w:tc>
        <w:tc>
          <w:tcPr>
            <w:tcW w:w="130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2.16</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1.08</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0.86</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0.032</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0.32</w:t>
            </w:r>
          </w:p>
        </w:tc>
      </w:tr>
      <w:tr>
        <w:tblPrEx>
          <w:tblCellMar>
            <w:top w:w="0" w:type="dxa"/>
            <w:left w:w="108" w:type="dxa"/>
            <w:bottom w:w="0" w:type="dxa"/>
            <w:right w:w="108" w:type="dxa"/>
          </w:tblCellMar>
        </w:tblPrEx>
        <w:trPr>
          <w:trHeight w:val="540" w:hRule="atLeast"/>
        </w:trPr>
        <w:tc>
          <w:tcPr>
            <w:tcW w:w="10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实验室废水</w:t>
            </w:r>
          </w:p>
        </w:tc>
        <w:tc>
          <w:tcPr>
            <w:tcW w:w="10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100</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产生浓度</w:t>
            </w:r>
            <w:r>
              <w:rPr>
                <w:color w:val="000000"/>
                <w:kern w:val="0"/>
                <w:szCs w:val="21"/>
              </w:rPr>
              <w:t>(mg/l)</w:t>
            </w:r>
          </w:p>
        </w:tc>
        <w:tc>
          <w:tcPr>
            <w:tcW w:w="130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600</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200</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r>
      <w:tr>
        <w:tblPrEx>
          <w:tblCellMar>
            <w:top w:w="0" w:type="dxa"/>
            <w:left w:w="108" w:type="dxa"/>
            <w:bottom w:w="0" w:type="dxa"/>
            <w:right w:w="108"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Cs w:val="21"/>
              </w:rPr>
            </w:pP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产生量</w:t>
            </w:r>
            <w:r>
              <w:rPr>
                <w:color w:val="000000"/>
                <w:kern w:val="0"/>
                <w:szCs w:val="21"/>
              </w:rPr>
              <w:t>(t/a)</w:t>
            </w:r>
          </w:p>
        </w:tc>
        <w:tc>
          <w:tcPr>
            <w:tcW w:w="130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0.06</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0.02</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r>
      <w:tr>
        <w:tblPrEx>
          <w:tblCellMar>
            <w:top w:w="0" w:type="dxa"/>
            <w:left w:w="108" w:type="dxa"/>
            <w:bottom w:w="0" w:type="dxa"/>
            <w:right w:w="108" w:type="dxa"/>
          </w:tblCellMar>
        </w:tblPrEx>
        <w:trPr>
          <w:trHeight w:val="630" w:hRule="atLeast"/>
        </w:trPr>
        <w:tc>
          <w:tcPr>
            <w:tcW w:w="10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化粪池处理出水</w:t>
            </w:r>
          </w:p>
        </w:tc>
        <w:tc>
          <w:tcPr>
            <w:tcW w:w="1080" w:type="dxa"/>
            <w:vMerge w:val="restart"/>
            <w:tcBorders>
              <w:top w:val="nil"/>
              <w:left w:val="single" w:color="auto" w:sz="8" w:space="0"/>
              <w:bottom w:val="single" w:color="000000" w:sz="8" w:space="0"/>
              <w:right w:val="single" w:color="auto" w:sz="4" w:space="0"/>
            </w:tcBorders>
            <w:shd w:val="clear" w:color="auto" w:fill="auto"/>
            <w:vAlign w:val="center"/>
          </w:tcPr>
          <w:p>
            <w:pPr>
              <w:widowControl/>
              <w:jc w:val="center"/>
              <w:rPr>
                <w:color w:val="000000"/>
                <w:kern w:val="0"/>
                <w:szCs w:val="21"/>
              </w:rPr>
            </w:pPr>
            <w:r>
              <w:rPr>
                <w:color w:val="000000"/>
                <w:kern w:val="0"/>
                <w:szCs w:val="21"/>
              </w:rPr>
              <w:t>21219</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排放浓度</w:t>
            </w:r>
            <w:r>
              <w:rPr>
                <w:color w:val="000000"/>
                <w:kern w:val="0"/>
                <w:szCs w:val="21"/>
              </w:rPr>
              <w:t>(mg/l)</w:t>
            </w:r>
          </w:p>
        </w:tc>
        <w:tc>
          <w:tcPr>
            <w:tcW w:w="1300" w:type="dxa"/>
            <w:tcBorders>
              <w:top w:val="nil"/>
              <w:left w:val="single" w:color="auto" w:sz="4" w:space="0"/>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323</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16</w:t>
            </w:r>
            <w:r>
              <w:rPr>
                <w:rFonts w:hint="eastAsia"/>
                <w:color w:val="000000"/>
                <w:kern w:val="0"/>
                <w:szCs w:val="21"/>
              </w:rPr>
              <w:t>1</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15</w:t>
            </w:r>
            <w:r>
              <w:rPr>
                <w:rFonts w:hint="eastAsia"/>
                <w:color w:val="000000"/>
                <w:kern w:val="0"/>
                <w:szCs w:val="21"/>
              </w:rPr>
              <w:t>5</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3</w:t>
            </w:r>
            <w:r>
              <w:rPr>
                <w:rFonts w:hint="eastAsia"/>
                <w:color w:val="000000"/>
                <w:kern w:val="0"/>
                <w:szCs w:val="21"/>
              </w:rPr>
              <w:t>3</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3</w:t>
            </w:r>
          </w:p>
        </w:tc>
      </w:tr>
      <w:tr>
        <w:tblPrEx>
          <w:tblCellMar>
            <w:top w:w="0" w:type="dxa"/>
            <w:left w:w="108" w:type="dxa"/>
            <w:bottom w:w="0" w:type="dxa"/>
            <w:right w:w="108" w:type="dxa"/>
          </w:tblCellMar>
        </w:tblPrEx>
        <w:trPr>
          <w:trHeight w:val="540"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color w:val="000000"/>
                <w:kern w:val="0"/>
                <w:szCs w:val="21"/>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产生量</w:t>
            </w:r>
            <w:r>
              <w:rPr>
                <w:color w:val="000000"/>
                <w:kern w:val="0"/>
                <w:szCs w:val="21"/>
              </w:rPr>
              <w:t>(t/a)</w:t>
            </w:r>
          </w:p>
        </w:tc>
        <w:tc>
          <w:tcPr>
            <w:tcW w:w="1300" w:type="dxa"/>
            <w:tcBorders>
              <w:top w:val="nil"/>
              <w:left w:val="single" w:color="auto" w:sz="4" w:space="0"/>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6.86</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3.41</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3.2</w:t>
            </w:r>
            <w:r>
              <w:rPr>
                <w:rFonts w:hint="eastAsia"/>
                <w:color w:val="000000"/>
                <w:kern w:val="0"/>
                <w:szCs w:val="21"/>
              </w:rPr>
              <w:t>9</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w:t>
            </w:r>
            <w:r>
              <w:rPr>
                <w:rFonts w:hint="eastAsia"/>
                <w:color w:val="000000"/>
                <w:kern w:val="0"/>
                <w:szCs w:val="21"/>
              </w:rPr>
              <w:t>70</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0.06</w:t>
            </w:r>
            <w:r>
              <w:rPr>
                <w:rFonts w:hint="eastAsia"/>
                <w:color w:val="000000"/>
                <w:kern w:val="0"/>
                <w:szCs w:val="21"/>
              </w:rPr>
              <w:t>5</w:t>
            </w:r>
          </w:p>
        </w:tc>
      </w:tr>
      <w:tr>
        <w:tblPrEx>
          <w:tblCellMar>
            <w:top w:w="0" w:type="dxa"/>
            <w:left w:w="108" w:type="dxa"/>
            <w:bottom w:w="0" w:type="dxa"/>
            <w:right w:w="108" w:type="dxa"/>
          </w:tblCellMar>
        </w:tblPrEx>
        <w:trPr>
          <w:trHeight w:val="720" w:hRule="atLeast"/>
        </w:trPr>
        <w:tc>
          <w:tcPr>
            <w:tcW w:w="10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污水处理厂出水</w:t>
            </w:r>
          </w:p>
        </w:tc>
        <w:tc>
          <w:tcPr>
            <w:tcW w:w="10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21219</w:t>
            </w:r>
          </w:p>
        </w:tc>
        <w:tc>
          <w:tcPr>
            <w:tcW w:w="1080"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产生浓度</w:t>
            </w:r>
            <w:r>
              <w:rPr>
                <w:color w:val="000000"/>
                <w:kern w:val="0"/>
                <w:szCs w:val="21"/>
              </w:rPr>
              <w:t>(mg/l)</w:t>
            </w:r>
          </w:p>
        </w:tc>
        <w:tc>
          <w:tcPr>
            <w:tcW w:w="130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50</w:t>
            </w:r>
          </w:p>
        </w:tc>
        <w:tc>
          <w:tcPr>
            <w:tcW w:w="108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10</w:t>
            </w:r>
          </w:p>
        </w:tc>
        <w:tc>
          <w:tcPr>
            <w:tcW w:w="108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10</w:t>
            </w:r>
          </w:p>
        </w:tc>
        <w:tc>
          <w:tcPr>
            <w:tcW w:w="108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5</w:t>
            </w:r>
          </w:p>
        </w:tc>
        <w:tc>
          <w:tcPr>
            <w:tcW w:w="108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1</w:t>
            </w:r>
          </w:p>
        </w:tc>
      </w:tr>
      <w:tr>
        <w:tblPrEx>
          <w:tblCellMar>
            <w:top w:w="0" w:type="dxa"/>
            <w:left w:w="108" w:type="dxa"/>
            <w:bottom w:w="0" w:type="dxa"/>
            <w:right w:w="108" w:type="dxa"/>
          </w:tblCellMar>
        </w:tblPrEx>
        <w:trPr>
          <w:trHeight w:val="435"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Cs w:val="21"/>
              </w:rPr>
            </w:pP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产生量</w:t>
            </w:r>
            <w:r>
              <w:rPr>
                <w:color w:val="000000"/>
                <w:kern w:val="0"/>
                <w:szCs w:val="21"/>
              </w:rPr>
              <w:t>(t/a)</w:t>
            </w:r>
          </w:p>
        </w:tc>
        <w:tc>
          <w:tcPr>
            <w:tcW w:w="130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1.06</w:t>
            </w:r>
          </w:p>
        </w:tc>
        <w:tc>
          <w:tcPr>
            <w:tcW w:w="108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0.21</w:t>
            </w:r>
          </w:p>
        </w:tc>
        <w:tc>
          <w:tcPr>
            <w:tcW w:w="108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0.21</w:t>
            </w:r>
          </w:p>
        </w:tc>
        <w:tc>
          <w:tcPr>
            <w:tcW w:w="108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0.11</w:t>
            </w:r>
          </w:p>
        </w:tc>
        <w:tc>
          <w:tcPr>
            <w:tcW w:w="108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0.021</w:t>
            </w:r>
          </w:p>
        </w:tc>
      </w:tr>
      <w:tr>
        <w:tblPrEx>
          <w:tblCellMar>
            <w:top w:w="0" w:type="dxa"/>
            <w:left w:w="108" w:type="dxa"/>
            <w:bottom w:w="0" w:type="dxa"/>
            <w:right w:w="108" w:type="dxa"/>
          </w:tblCellMar>
        </w:tblPrEx>
        <w:trPr>
          <w:trHeight w:val="540"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核定总量</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21219</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排放总量（</w:t>
            </w:r>
            <w:r>
              <w:rPr>
                <w:color w:val="000000"/>
                <w:kern w:val="0"/>
                <w:szCs w:val="21"/>
              </w:rPr>
              <w:t>t/a</w:t>
            </w:r>
            <w:r>
              <w:rPr>
                <w:rFonts w:hint="eastAsia" w:ascii="宋体" w:hAnsi="宋体" w:cs="宋体"/>
                <w:color w:val="000000"/>
                <w:kern w:val="0"/>
                <w:szCs w:val="21"/>
              </w:rPr>
              <w:t>）</w:t>
            </w:r>
          </w:p>
        </w:tc>
        <w:tc>
          <w:tcPr>
            <w:tcW w:w="130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1.06</w:t>
            </w:r>
          </w:p>
        </w:tc>
        <w:tc>
          <w:tcPr>
            <w:tcW w:w="108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0.21</w:t>
            </w:r>
          </w:p>
        </w:tc>
        <w:tc>
          <w:tcPr>
            <w:tcW w:w="108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0.21</w:t>
            </w:r>
          </w:p>
        </w:tc>
        <w:tc>
          <w:tcPr>
            <w:tcW w:w="108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0.11</w:t>
            </w:r>
          </w:p>
        </w:tc>
        <w:tc>
          <w:tcPr>
            <w:tcW w:w="1080"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0.021</w:t>
            </w:r>
          </w:p>
        </w:tc>
      </w:tr>
    </w:tbl>
    <w:p>
      <w:pPr>
        <w:spacing w:line="360" w:lineRule="auto"/>
        <w:ind w:firstLine="480" w:firstLineChars="200"/>
        <w:rPr>
          <w:sz w:val="24"/>
          <w:szCs w:val="24"/>
        </w:rPr>
      </w:pPr>
      <w:r>
        <w:rPr>
          <w:rFonts w:hint="eastAsia"/>
          <w:sz w:val="24"/>
          <w:szCs w:val="24"/>
        </w:rPr>
        <w:t>（2）大气污染源及及防治措施</w:t>
      </w:r>
    </w:p>
    <w:p>
      <w:pPr>
        <w:adjustRightInd w:val="0"/>
        <w:snapToGrid w:val="0"/>
        <w:spacing w:line="360" w:lineRule="auto"/>
        <w:ind w:firstLine="480" w:firstLineChars="200"/>
        <w:rPr>
          <w:rFonts w:ascii="宋体" w:hAnsi="宋体"/>
          <w:sz w:val="24"/>
        </w:rPr>
      </w:pPr>
      <w:r>
        <w:rPr>
          <w:rFonts w:hint="eastAsia"/>
          <w:sz w:val="24"/>
        </w:rPr>
        <w:t>该校</w:t>
      </w:r>
      <w:r>
        <w:rPr>
          <w:sz w:val="24"/>
        </w:rPr>
        <w:t>废气主要为</w:t>
      </w:r>
      <w:r>
        <w:rPr>
          <w:rFonts w:hint="eastAsia" w:ascii="宋体" w:hAnsi="宋体"/>
          <w:sz w:val="24"/>
        </w:rPr>
        <w:t>食堂产生的油烟废气和实验室废气。</w:t>
      </w:r>
    </w:p>
    <w:p>
      <w:pPr>
        <w:adjustRightInd w:val="0"/>
        <w:snapToGrid w:val="0"/>
        <w:spacing w:line="360" w:lineRule="auto"/>
        <w:ind w:firstLine="480" w:firstLineChars="200"/>
        <w:rPr>
          <w:rFonts w:ascii="宋体" w:hAnsi="宋体"/>
          <w:sz w:val="24"/>
        </w:rPr>
      </w:pPr>
      <w:r>
        <w:rPr>
          <w:rFonts w:hint="eastAsia"/>
          <w:sz w:val="24"/>
          <w:szCs w:val="24"/>
        </w:rPr>
        <w:fldChar w:fldCharType="begin"/>
      </w:r>
      <w:r>
        <w:rPr>
          <w:rFonts w:hint="eastAsia"/>
          <w:sz w:val="24"/>
          <w:szCs w:val="24"/>
        </w:rPr>
        <w:instrText xml:space="preserve"> = 1 \* GB3 \* MERGEFORMAT </w:instrText>
      </w:r>
      <w:r>
        <w:rPr>
          <w:rFonts w:hint="eastAsia"/>
          <w:sz w:val="24"/>
          <w:szCs w:val="24"/>
        </w:rPr>
        <w:fldChar w:fldCharType="separate"/>
      </w:r>
      <w:r>
        <w:rPr>
          <w:rFonts w:hint="eastAsia"/>
          <w:sz w:val="24"/>
          <w:szCs w:val="24"/>
        </w:rPr>
        <w:t>①</w:t>
      </w:r>
      <w:r>
        <w:rPr>
          <w:rFonts w:hint="eastAsia"/>
          <w:sz w:val="24"/>
          <w:szCs w:val="24"/>
        </w:rPr>
        <w:fldChar w:fldCharType="end"/>
      </w:r>
      <w:r>
        <w:rPr>
          <w:rFonts w:hint="eastAsia"/>
          <w:sz w:val="24"/>
          <w:szCs w:val="24"/>
        </w:rPr>
        <w:t>实验室废气</w:t>
      </w:r>
    </w:p>
    <w:p>
      <w:pPr>
        <w:adjustRightInd w:val="0"/>
        <w:snapToGrid w:val="0"/>
        <w:spacing w:line="360" w:lineRule="auto"/>
        <w:ind w:firstLine="480" w:firstLineChars="200"/>
        <w:rPr>
          <w:sz w:val="24"/>
        </w:rPr>
      </w:pPr>
      <w:r>
        <w:rPr>
          <w:rFonts w:hint="eastAsia"/>
          <w:sz w:val="24"/>
        </w:rPr>
        <w:t>学校现状设置有化学实验课程，</w:t>
      </w:r>
      <w:r>
        <w:rPr>
          <w:sz w:val="24"/>
        </w:rPr>
        <w:t>实验室存在挥发性药品，实验过程产生极少量废气</w:t>
      </w:r>
      <w:r>
        <w:rPr>
          <w:rFonts w:hint="eastAsia"/>
          <w:sz w:val="24"/>
        </w:rPr>
        <w:t>，</w:t>
      </w:r>
      <w:r>
        <w:rPr>
          <w:sz w:val="24"/>
        </w:rPr>
        <w:t>由于废气排放量很小，通过门窗自然通风，对外界影响不大。</w:t>
      </w:r>
    </w:p>
    <w:p>
      <w:pPr>
        <w:adjustRightInd w:val="0"/>
        <w:snapToGrid w:val="0"/>
        <w:spacing w:line="360" w:lineRule="auto"/>
        <w:ind w:firstLine="480" w:firstLineChars="200"/>
        <w:rPr>
          <w:sz w:val="24"/>
        </w:rPr>
      </w:pPr>
      <w:r>
        <w:rPr>
          <w:rFonts w:hint="eastAsia"/>
          <w:sz w:val="24"/>
          <w:szCs w:val="24"/>
        </w:rPr>
        <w:fldChar w:fldCharType="begin"/>
      </w:r>
      <w:r>
        <w:rPr>
          <w:rFonts w:hint="eastAsia"/>
          <w:sz w:val="24"/>
          <w:szCs w:val="24"/>
        </w:rPr>
        <w:instrText xml:space="preserve"> = 2 \* GB3 \* MERGEFORMAT </w:instrText>
      </w:r>
      <w:r>
        <w:rPr>
          <w:rFonts w:hint="eastAsia"/>
          <w:sz w:val="24"/>
          <w:szCs w:val="24"/>
        </w:rPr>
        <w:fldChar w:fldCharType="separate"/>
      </w:r>
      <w:r>
        <w:rPr>
          <w:rFonts w:hint="eastAsia"/>
          <w:sz w:val="24"/>
          <w:szCs w:val="24"/>
        </w:rPr>
        <w:t>②</w:t>
      </w:r>
      <w:r>
        <w:rPr>
          <w:rFonts w:hint="eastAsia"/>
          <w:sz w:val="24"/>
          <w:szCs w:val="24"/>
        </w:rPr>
        <w:fldChar w:fldCharType="end"/>
      </w:r>
      <w:r>
        <w:rPr>
          <w:rFonts w:hint="eastAsia"/>
          <w:sz w:val="24"/>
        </w:rPr>
        <w:t>食堂油烟</w:t>
      </w:r>
    </w:p>
    <w:p>
      <w:pPr>
        <w:adjustRightInd w:val="0"/>
        <w:snapToGrid w:val="0"/>
        <w:spacing w:line="360" w:lineRule="auto"/>
        <w:ind w:firstLine="480" w:firstLineChars="200"/>
        <w:rPr>
          <w:rFonts w:ascii="宋体" w:hAnsi="宋体"/>
          <w:sz w:val="24"/>
        </w:rPr>
      </w:pPr>
      <w:r>
        <w:rPr>
          <w:rFonts w:hint="eastAsia" w:ascii="宋体" w:hAnsi="宋体"/>
          <w:sz w:val="24"/>
          <w:szCs w:val="24"/>
        </w:rPr>
        <w:t>学校现状拟保留学生宿舍一楼设有一座食堂，</w:t>
      </w:r>
      <w:r>
        <w:rPr>
          <w:rFonts w:hint="eastAsia"/>
          <w:sz w:val="24"/>
        </w:rPr>
        <w:t>设置6个基本灶头</w:t>
      </w:r>
      <w:r>
        <w:rPr>
          <w:rFonts w:hint="eastAsia" w:ascii="宋体" w:hAnsi="宋体"/>
          <w:sz w:val="24"/>
          <w:szCs w:val="24"/>
        </w:rPr>
        <w:t>，根据GB18483-2001《饮食业油烟排放标准（试行）》表1中饮食业单位的规模划分，属“中型”规模的饮食业单位；根据现场勘查，该</w:t>
      </w:r>
      <w:r>
        <w:rPr>
          <w:rFonts w:hint="eastAsia" w:ascii="宋体" w:hAnsi="宋体"/>
          <w:sz w:val="24"/>
        </w:rPr>
        <w:t>食堂目前排放的油烟废气已采取经集气罩收集后，由引风机引入烟道最终经相应配套的油烟净化装置后引至楼顶高空排放，可</w:t>
      </w:r>
      <w:r>
        <w:rPr>
          <w:rFonts w:hint="eastAsia" w:ascii="宋体" w:hAnsi="宋体"/>
          <w:sz w:val="24"/>
          <w:szCs w:val="24"/>
        </w:rPr>
        <w:t>确保油烟排放浓度达到GB18483-2001《饮食业油烟排放标准（试行）》中最高允许排放浓度2.0mg/m</w:t>
      </w:r>
      <w:r>
        <w:rPr>
          <w:rFonts w:hint="eastAsia" w:ascii="宋体" w:hAnsi="宋体"/>
          <w:sz w:val="24"/>
          <w:szCs w:val="24"/>
          <w:vertAlign w:val="superscript"/>
        </w:rPr>
        <w:t>3</w:t>
      </w:r>
      <w:r>
        <w:rPr>
          <w:rFonts w:hint="eastAsia" w:ascii="宋体" w:hAnsi="宋体"/>
          <w:sz w:val="24"/>
          <w:szCs w:val="24"/>
        </w:rPr>
        <w:t>，</w:t>
      </w:r>
      <w:r>
        <w:rPr>
          <w:rFonts w:hint="eastAsia" w:ascii="宋体" w:hAnsi="宋体"/>
          <w:sz w:val="24"/>
        </w:rPr>
        <w:t>对周边环境影响不大。</w:t>
      </w:r>
    </w:p>
    <w:p>
      <w:pPr>
        <w:spacing w:line="360" w:lineRule="auto"/>
        <w:ind w:firstLine="480" w:firstLineChars="200"/>
        <w:rPr>
          <w:sz w:val="24"/>
        </w:rPr>
      </w:pPr>
      <w:r>
        <w:rPr>
          <w:sz w:val="24"/>
        </w:rPr>
        <w:t>（</w:t>
      </w:r>
      <w:r>
        <w:rPr>
          <w:rFonts w:hint="eastAsia"/>
          <w:sz w:val="24"/>
        </w:rPr>
        <w:t>3</w:t>
      </w:r>
      <w:r>
        <w:rPr>
          <w:sz w:val="24"/>
        </w:rPr>
        <w:t>）备用柴油发电机废气</w:t>
      </w:r>
    </w:p>
    <w:p>
      <w:pPr>
        <w:spacing w:line="360" w:lineRule="auto"/>
        <w:ind w:firstLine="480" w:firstLineChars="200"/>
        <w:rPr>
          <w:sz w:val="24"/>
        </w:rPr>
      </w:pPr>
      <w:r>
        <w:rPr>
          <w:rFonts w:hint="eastAsia" w:ascii="宋体" w:hAnsi="宋体"/>
          <w:sz w:val="24"/>
          <w:szCs w:val="24"/>
        </w:rPr>
        <w:t>学校现状学生宿舍南侧</w:t>
      </w:r>
      <w:r>
        <w:rPr>
          <w:sz w:val="24"/>
        </w:rPr>
        <w:t>地面一层配电房旁设置1间发电机房，共设置1台</w:t>
      </w:r>
      <w:r>
        <w:rPr>
          <w:rFonts w:hint="eastAsia"/>
          <w:sz w:val="24"/>
        </w:rPr>
        <w:t>400</w:t>
      </w:r>
      <w:r>
        <w:rPr>
          <w:sz w:val="24"/>
        </w:rPr>
        <w:t>KW自启动柴油发电机组，采用轻质柴油(含硫率&lt;0.2％)。柴油发电机仅在停电时运行发电时，将排放含有SO</w:t>
      </w:r>
      <w:r>
        <w:rPr>
          <w:sz w:val="24"/>
          <w:vertAlign w:val="subscript"/>
        </w:rPr>
        <w:t>2</w:t>
      </w:r>
      <w:r>
        <w:rPr>
          <w:sz w:val="24"/>
        </w:rPr>
        <w:t>、NO</w:t>
      </w:r>
      <w:r>
        <w:rPr>
          <w:sz w:val="24"/>
          <w:vertAlign w:val="subscript"/>
        </w:rPr>
        <w:t>X</w:t>
      </w:r>
      <w:r>
        <w:rPr>
          <w:sz w:val="24"/>
        </w:rPr>
        <w:t>等污染物的废气。烟气经过消声器处理后由排烟管道引至</w:t>
      </w:r>
      <w:r>
        <w:rPr>
          <w:rFonts w:hint="eastAsia"/>
          <w:sz w:val="24"/>
        </w:rPr>
        <w:t>发电机房屋顶排放</w:t>
      </w:r>
      <w:r>
        <w:rPr>
          <w:sz w:val="24"/>
        </w:rPr>
        <w:t>。由于发电机只在停电时使用，且运行也是短暂的，不进行源强计算。</w:t>
      </w:r>
    </w:p>
    <w:p>
      <w:pPr>
        <w:adjustRightInd w:val="0"/>
        <w:snapToGrid w:val="0"/>
        <w:spacing w:line="360" w:lineRule="auto"/>
        <w:ind w:firstLine="480" w:firstLineChars="200"/>
        <w:rPr>
          <w:sz w:val="24"/>
          <w:szCs w:val="24"/>
        </w:rPr>
      </w:pPr>
      <w:r>
        <w:rPr>
          <w:rFonts w:hint="eastAsia"/>
          <w:sz w:val="24"/>
          <w:szCs w:val="24"/>
        </w:rPr>
        <w:t>（3）</w:t>
      </w:r>
      <w:r>
        <w:rPr>
          <w:sz w:val="24"/>
          <w:szCs w:val="24"/>
        </w:rPr>
        <w:t>噪声</w:t>
      </w:r>
    </w:p>
    <w:p>
      <w:pPr>
        <w:adjustRightInd w:val="0"/>
        <w:snapToGrid w:val="0"/>
        <w:spacing w:line="360" w:lineRule="auto"/>
        <w:ind w:firstLine="480" w:firstLineChars="200"/>
        <w:rPr>
          <w:sz w:val="24"/>
        </w:rPr>
      </w:pPr>
      <w:r>
        <w:rPr>
          <w:sz w:val="24"/>
        </w:rPr>
        <w:t>项目</w:t>
      </w:r>
      <w:r>
        <w:rPr>
          <w:rFonts w:hint="eastAsia"/>
          <w:sz w:val="24"/>
        </w:rPr>
        <w:t>现状</w:t>
      </w:r>
      <w:r>
        <w:rPr>
          <w:rFonts w:hint="eastAsia"/>
          <w:sz w:val="24"/>
          <w:szCs w:val="24"/>
        </w:rPr>
        <w:t>噪声污染主要为</w:t>
      </w:r>
      <w:r>
        <w:rPr>
          <w:sz w:val="24"/>
        </w:rPr>
        <w:t>校区配套设备</w:t>
      </w:r>
      <w:r>
        <w:rPr>
          <w:rFonts w:hint="eastAsia"/>
          <w:sz w:val="24"/>
        </w:rPr>
        <w:t>噪声和</w:t>
      </w:r>
      <w:r>
        <w:rPr>
          <w:rFonts w:hint="eastAsia"/>
          <w:sz w:val="24"/>
          <w:szCs w:val="24"/>
        </w:rPr>
        <w:t>教学活动产生的噪声。</w:t>
      </w:r>
      <w:r>
        <w:rPr>
          <w:sz w:val="24"/>
        </w:rPr>
        <w:t>主要为人群喧哗声、广播声、运动操场</w:t>
      </w:r>
      <w:r>
        <w:rPr>
          <w:rFonts w:hint="eastAsia"/>
          <w:sz w:val="24"/>
        </w:rPr>
        <w:t>噪声，</w:t>
      </w:r>
      <w:r>
        <w:rPr>
          <w:sz w:val="24"/>
        </w:rPr>
        <w:t>水泵、风机</w:t>
      </w:r>
      <w:r>
        <w:rPr>
          <w:rFonts w:hint="eastAsia"/>
          <w:sz w:val="24"/>
        </w:rPr>
        <w:t>、</w:t>
      </w:r>
      <w:r>
        <w:rPr>
          <w:sz w:val="24"/>
        </w:rPr>
        <w:t>食堂排风扇、空调外挂机</w:t>
      </w:r>
      <w:r>
        <w:rPr>
          <w:rFonts w:hint="eastAsia"/>
          <w:sz w:val="24"/>
        </w:rPr>
        <w:t>、变配电房</w:t>
      </w:r>
      <w:r>
        <w:rPr>
          <w:sz w:val="24"/>
        </w:rPr>
        <w:t>等运行时产生</w:t>
      </w:r>
      <w:r>
        <w:rPr>
          <w:rFonts w:hint="eastAsia"/>
          <w:sz w:val="24"/>
        </w:rPr>
        <w:t>的噪声，</w:t>
      </w:r>
      <w:r>
        <w:rPr>
          <w:sz w:val="24"/>
        </w:rPr>
        <w:t>可达到70～90dB(A)</w:t>
      </w:r>
      <w:r>
        <w:rPr>
          <w:rFonts w:hint="eastAsia"/>
          <w:sz w:val="24"/>
        </w:rPr>
        <w:t>。</w:t>
      </w:r>
      <w:r>
        <w:rPr>
          <w:sz w:val="24"/>
        </w:rPr>
        <w:t>教学活动的噪声经距离衰减，设备噪声经有效减振、隔声、消声后，不会对区域声环境产生</w:t>
      </w:r>
      <w:r>
        <w:rPr>
          <w:rFonts w:hint="eastAsia"/>
          <w:sz w:val="24"/>
        </w:rPr>
        <w:t>明显</w:t>
      </w:r>
      <w:r>
        <w:rPr>
          <w:sz w:val="24"/>
        </w:rPr>
        <w:t>影响</w:t>
      </w:r>
      <w:r>
        <w:rPr>
          <w:rFonts w:hint="eastAsia"/>
          <w:sz w:val="24"/>
        </w:rPr>
        <w:t>。</w:t>
      </w:r>
    </w:p>
    <w:p>
      <w:pPr>
        <w:adjustRightInd w:val="0"/>
        <w:snapToGrid w:val="0"/>
        <w:spacing w:line="360" w:lineRule="auto"/>
        <w:ind w:firstLine="480" w:firstLineChars="200"/>
        <w:rPr>
          <w:sz w:val="24"/>
          <w:szCs w:val="24"/>
        </w:rPr>
      </w:pPr>
      <w:r>
        <w:rPr>
          <w:rFonts w:hint="eastAsia"/>
          <w:sz w:val="24"/>
          <w:szCs w:val="24"/>
        </w:rPr>
        <w:t>（4）</w:t>
      </w:r>
      <w:r>
        <w:rPr>
          <w:sz w:val="24"/>
          <w:szCs w:val="24"/>
        </w:rPr>
        <w:t>固体废物</w:t>
      </w:r>
    </w:p>
    <w:p>
      <w:pPr>
        <w:spacing w:line="360" w:lineRule="auto"/>
        <w:ind w:firstLine="480" w:firstLineChars="200"/>
        <w:rPr>
          <w:sz w:val="24"/>
        </w:rPr>
      </w:pPr>
      <w:r>
        <w:rPr>
          <w:sz w:val="24"/>
        </w:rPr>
        <w:t>学校</w:t>
      </w:r>
      <w:r>
        <w:rPr>
          <w:rFonts w:hint="eastAsia"/>
          <w:sz w:val="24"/>
        </w:rPr>
        <w:t>现状</w:t>
      </w:r>
      <w:r>
        <w:rPr>
          <w:sz w:val="24"/>
        </w:rPr>
        <w:t>固体废物主要为生活垃圾</w:t>
      </w:r>
      <w:r>
        <w:rPr>
          <w:rFonts w:hint="eastAsia"/>
          <w:sz w:val="24"/>
        </w:rPr>
        <w:t>、实</w:t>
      </w:r>
      <w:r>
        <w:rPr>
          <w:sz w:val="24"/>
        </w:rPr>
        <w:t>验室废弃物</w:t>
      </w:r>
      <w:r>
        <w:rPr>
          <w:rFonts w:hint="eastAsia"/>
          <w:sz w:val="24"/>
        </w:rPr>
        <w:t>和</w:t>
      </w:r>
      <w:r>
        <w:rPr>
          <w:sz w:val="24"/>
          <w:szCs w:val="24"/>
        </w:rPr>
        <w:t>食堂垃圾</w:t>
      </w:r>
      <w:r>
        <w:rPr>
          <w:sz w:val="24"/>
        </w:rPr>
        <w:t>。</w:t>
      </w:r>
    </w:p>
    <w:p>
      <w:pPr>
        <w:adjustRightInd w:val="0"/>
        <w:snapToGrid w:val="0"/>
        <w:spacing w:line="360" w:lineRule="auto"/>
        <w:ind w:firstLine="480" w:firstLineChars="200"/>
        <w:rPr>
          <w:rFonts w:ascii="宋体" w:hAnsi="宋体"/>
          <w:sz w:val="24"/>
        </w:rPr>
      </w:pPr>
      <w:r>
        <w:rPr>
          <w:rFonts w:hint="eastAsia"/>
          <w:sz w:val="24"/>
          <w:szCs w:val="24"/>
        </w:rPr>
        <w:fldChar w:fldCharType="begin"/>
      </w:r>
      <w:r>
        <w:rPr>
          <w:rFonts w:hint="eastAsia"/>
          <w:sz w:val="24"/>
          <w:szCs w:val="24"/>
        </w:rPr>
        <w:instrText xml:space="preserve"> = 1 \* GB3 \* MERGEFORMAT </w:instrText>
      </w:r>
      <w:r>
        <w:rPr>
          <w:rFonts w:hint="eastAsia"/>
          <w:sz w:val="24"/>
          <w:szCs w:val="24"/>
        </w:rPr>
        <w:fldChar w:fldCharType="separate"/>
      </w:r>
      <w:r>
        <w:rPr>
          <w:rFonts w:hint="eastAsia"/>
          <w:sz w:val="24"/>
          <w:szCs w:val="24"/>
        </w:rPr>
        <w:t>①</w:t>
      </w:r>
      <w:r>
        <w:rPr>
          <w:rFonts w:hint="eastAsia"/>
          <w:sz w:val="24"/>
          <w:szCs w:val="24"/>
        </w:rPr>
        <w:fldChar w:fldCharType="end"/>
      </w:r>
      <w:r>
        <w:rPr>
          <w:sz w:val="24"/>
        </w:rPr>
        <w:t>生活垃圾</w:t>
      </w:r>
    </w:p>
    <w:p>
      <w:pPr>
        <w:adjustRightInd w:val="0"/>
        <w:snapToGrid w:val="0"/>
        <w:spacing w:line="360" w:lineRule="auto"/>
        <w:ind w:firstLine="480" w:firstLineChars="200"/>
        <w:rPr>
          <w:sz w:val="24"/>
        </w:rPr>
      </w:pPr>
      <w:r>
        <w:rPr>
          <w:sz w:val="24"/>
        </w:rPr>
        <w:t>学校现有师生人数2</w:t>
      </w:r>
      <w:r>
        <w:rPr>
          <w:rFonts w:hint="eastAsia"/>
          <w:sz w:val="24"/>
        </w:rPr>
        <w:t>311</w:t>
      </w:r>
      <w:r>
        <w:rPr>
          <w:sz w:val="24"/>
        </w:rPr>
        <w:t>人，</w:t>
      </w:r>
      <w:r>
        <w:rPr>
          <w:sz w:val="24"/>
          <w:szCs w:val="24"/>
        </w:rPr>
        <w:t>生活垃圾产生系数按0.5kg/人·d，</w:t>
      </w:r>
      <w:r>
        <w:rPr>
          <w:rFonts w:hint="eastAsia"/>
          <w:sz w:val="24"/>
          <w:szCs w:val="24"/>
        </w:rPr>
        <w:t>年在校时间按200天计，</w:t>
      </w:r>
      <w:r>
        <w:rPr>
          <w:sz w:val="24"/>
          <w:szCs w:val="24"/>
        </w:rPr>
        <w:t>则产生生活垃圾等固体废物约</w:t>
      </w:r>
      <w:r>
        <w:rPr>
          <w:rFonts w:hint="eastAsia"/>
          <w:sz w:val="24"/>
          <w:szCs w:val="24"/>
        </w:rPr>
        <w:t>1155.5</w:t>
      </w:r>
      <w:r>
        <w:rPr>
          <w:sz w:val="24"/>
          <w:szCs w:val="24"/>
        </w:rPr>
        <w:t>kg/d（</w:t>
      </w:r>
      <w:r>
        <w:rPr>
          <w:rFonts w:hint="eastAsia"/>
          <w:sz w:val="24"/>
          <w:szCs w:val="24"/>
        </w:rPr>
        <w:t>231.1</w:t>
      </w:r>
      <w:r>
        <w:rPr>
          <w:sz w:val="24"/>
          <w:szCs w:val="24"/>
        </w:rPr>
        <w:t>t/a）</w:t>
      </w:r>
      <w:r>
        <w:rPr>
          <w:sz w:val="24"/>
        </w:rPr>
        <w:t>。</w:t>
      </w:r>
    </w:p>
    <w:p>
      <w:pPr>
        <w:spacing w:line="360" w:lineRule="auto"/>
        <w:ind w:firstLine="480" w:firstLineChars="200"/>
        <w:rPr>
          <w:sz w:val="24"/>
        </w:rPr>
      </w:pPr>
      <w:r>
        <w:rPr>
          <w:rFonts w:hint="eastAsia"/>
          <w:sz w:val="24"/>
          <w:szCs w:val="24"/>
        </w:rPr>
        <w:fldChar w:fldCharType="begin"/>
      </w:r>
      <w:r>
        <w:rPr>
          <w:rFonts w:hint="eastAsia"/>
          <w:sz w:val="24"/>
          <w:szCs w:val="24"/>
        </w:rPr>
        <w:instrText xml:space="preserve"> = 2 \* GB3 \* MERGEFORMAT </w:instrText>
      </w:r>
      <w:r>
        <w:rPr>
          <w:rFonts w:hint="eastAsia"/>
          <w:sz w:val="24"/>
          <w:szCs w:val="24"/>
        </w:rPr>
        <w:fldChar w:fldCharType="separate"/>
      </w:r>
      <w:r>
        <w:rPr>
          <w:rFonts w:hint="eastAsia"/>
          <w:sz w:val="24"/>
          <w:szCs w:val="24"/>
        </w:rPr>
        <w:t>②</w:t>
      </w:r>
      <w:r>
        <w:rPr>
          <w:rFonts w:hint="eastAsia"/>
          <w:sz w:val="24"/>
          <w:szCs w:val="24"/>
        </w:rPr>
        <w:fldChar w:fldCharType="end"/>
      </w:r>
      <w:r>
        <w:rPr>
          <w:rFonts w:hint="eastAsia"/>
          <w:sz w:val="24"/>
        </w:rPr>
        <w:t>实</w:t>
      </w:r>
      <w:r>
        <w:rPr>
          <w:sz w:val="24"/>
        </w:rPr>
        <w:t>验室废弃物</w:t>
      </w:r>
    </w:p>
    <w:p>
      <w:pPr>
        <w:spacing w:line="360" w:lineRule="auto"/>
        <w:ind w:firstLine="480"/>
        <w:rPr>
          <w:sz w:val="24"/>
          <w:szCs w:val="24"/>
        </w:rPr>
      </w:pPr>
      <w:r>
        <w:rPr>
          <w:sz w:val="24"/>
          <w:szCs w:val="24"/>
        </w:rPr>
        <w:t>实验过程产生的</w:t>
      </w:r>
      <w:r>
        <w:rPr>
          <w:rFonts w:hint="eastAsia"/>
          <w:sz w:val="24"/>
        </w:rPr>
        <w:t>重金属（主要为</w:t>
      </w:r>
      <w:r>
        <w:rPr>
          <w:sz w:val="24"/>
        </w:rPr>
        <w:t>Cu</w:t>
      </w:r>
      <w:r>
        <w:rPr>
          <w:rFonts w:hint="eastAsia"/>
          <w:sz w:val="24"/>
        </w:rPr>
        <w:t>和</w:t>
      </w:r>
      <w:r>
        <w:rPr>
          <w:sz w:val="24"/>
        </w:rPr>
        <w:t>Ag</w:t>
      </w:r>
      <w:r>
        <w:rPr>
          <w:rFonts w:hint="eastAsia"/>
          <w:sz w:val="24"/>
        </w:rPr>
        <w:t>）</w:t>
      </w:r>
      <w:r>
        <w:rPr>
          <w:sz w:val="24"/>
          <w:szCs w:val="24"/>
        </w:rPr>
        <w:t>废</w:t>
      </w:r>
      <w:r>
        <w:rPr>
          <w:rFonts w:hint="eastAsia"/>
          <w:sz w:val="24"/>
          <w:szCs w:val="24"/>
        </w:rPr>
        <w:t>液，</w:t>
      </w:r>
      <w:r>
        <w:rPr>
          <w:sz w:val="24"/>
          <w:szCs w:val="24"/>
        </w:rPr>
        <w:t>产生量</w:t>
      </w:r>
      <w:r>
        <w:rPr>
          <w:rFonts w:hint="eastAsia"/>
          <w:sz w:val="24"/>
          <w:szCs w:val="24"/>
        </w:rPr>
        <w:t>约</w:t>
      </w:r>
      <w:r>
        <w:rPr>
          <w:sz w:val="24"/>
          <w:szCs w:val="24"/>
        </w:rPr>
        <w:t>为0.0</w:t>
      </w:r>
      <w:r>
        <w:rPr>
          <w:rFonts w:hint="eastAsia"/>
          <w:sz w:val="24"/>
          <w:szCs w:val="24"/>
        </w:rPr>
        <w:t>2</w:t>
      </w:r>
      <w:r>
        <w:rPr>
          <w:sz w:val="24"/>
          <w:szCs w:val="24"/>
        </w:rPr>
        <w:t>m</w:t>
      </w:r>
      <w:r>
        <w:rPr>
          <w:sz w:val="24"/>
          <w:szCs w:val="24"/>
          <w:vertAlign w:val="superscript"/>
        </w:rPr>
        <w:t>3</w:t>
      </w:r>
      <w:r>
        <w:rPr>
          <w:sz w:val="24"/>
          <w:szCs w:val="24"/>
        </w:rPr>
        <w:t>/d（</w:t>
      </w:r>
      <w:r>
        <w:rPr>
          <w:rFonts w:hint="eastAsia"/>
          <w:sz w:val="24"/>
          <w:szCs w:val="24"/>
        </w:rPr>
        <w:t>4.0t</w:t>
      </w:r>
      <w:r>
        <w:rPr>
          <w:sz w:val="24"/>
          <w:szCs w:val="24"/>
        </w:rPr>
        <w:t>/a），其属于“HW49其他废物”中“研究、开发和教学活动中，化学和生物实验室产生的废物”（900-047-49），应作为危险废物委托有危废处置资质的单位处理</w:t>
      </w:r>
      <w:r>
        <w:rPr>
          <w:rFonts w:hint="eastAsia"/>
          <w:sz w:val="24"/>
          <w:szCs w:val="24"/>
        </w:rPr>
        <w:t>。</w:t>
      </w:r>
    </w:p>
    <w:p>
      <w:pPr>
        <w:spacing w:line="360" w:lineRule="auto"/>
        <w:ind w:firstLine="480" w:firstLineChars="200"/>
        <w:rPr>
          <w:sz w:val="24"/>
        </w:rPr>
      </w:pPr>
      <w:r>
        <w:rPr>
          <w:sz w:val="24"/>
          <w:szCs w:val="24"/>
        </w:rPr>
        <w:t>实验</w:t>
      </w:r>
      <w:r>
        <w:rPr>
          <w:rFonts w:hint="eastAsia"/>
          <w:sz w:val="24"/>
          <w:szCs w:val="24"/>
        </w:rPr>
        <w:t>过程中还会产生少量废</w:t>
      </w:r>
      <w:r>
        <w:rPr>
          <w:sz w:val="24"/>
          <w:szCs w:val="24"/>
        </w:rPr>
        <w:t>试剂瓶</w:t>
      </w:r>
      <w:r>
        <w:rPr>
          <w:rFonts w:hint="eastAsia"/>
          <w:sz w:val="24"/>
          <w:szCs w:val="24"/>
        </w:rPr>
        <w:t>及其包装物</w:t>
      </w:r>
      <w:r>
        <w:rPr>
          <w:sz w:val="24"/>
          <w:szCs w:val="24"/>
        </w:rPr>
        <w:t>等危险废物</w:t>
      </w:r>
      <w:r>
        <w:rPr>
          <w:rFonts w:hint="eastAsia"/>
          <w:sz w:val="24"/>
          <w:szCs w:val="24"/>
        </w:rPr>
        <w:t>（危废编号：HW49-900-041-49），</w:t>
      </w:r>
      <w:r>
        <w:rPr>
          <w:sz w:val="24"/>
          <w:szCs w:val="24"/>
        </w:rPr>
        <w:t>实验室危险废物产生量</w:t>
      </w:r>
      <w:r>
        <w:rPr>
          <w:rFonts w:hint="eastAsia"/>
          <w:sz w:val="24"/>
          <w:szCs w:val="24"/>
        </w:rPr>
        <w:t>为0.2t/a，定期委托具有危险废物处置资质的单位进行清运和处置</w:t>
      </w:r>
      <w:r>
        <w:rPr>
          <w:sz w:val="24"/>
          <w:szCs w:val="24"/>
        </w:rPr>
        <w:t>。</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szCs w:val="24"/>
        </w:rPr>
        <w:t>食堂垃圾</w:t>
      </w:r>
    </w:p>
    <w:p>
      <w:pPr>
        <w:spacing w:line="360" w:lineRule="auto"/>
        <w:ind w:firstLine="480" w:firstLineChars="200"/>
        <w:rPr>
          <w:sz w:val="24"/>
          <w:szCs w:val="24"/>
        </w:rPr>
      </w:pPr>
      <w:r>
        <w:rPr>
          <w:sz w:val="24"/>
          <w:szCs w:val="24"/>
        </w:rPr>
        <w:t>食堂固废主要为餐前、餐后垃圾及废弃油脂。人均餐厨垃圾产生量</w:t>
      </w:r>
      <w:r>
        <w:rPr>
          <w:rFonts w:hint="eastAsia"/>
          <w:sz w:val="24"/>
          <w:szCs w:val="24"/>
        </w:rPr>
        <w:t>约</w:t>
      </w:r>
      <w:r>
        <w:rPr>
          <w:sz w:val="24"/>
          <w:szCs w:val="24"/>
        </w:rPr>
        <w:t>为0.3kg/人·d，项目就餐人数达</w:t>
      </w:r>
      <w:r>
        <w:rPr>
          <w:rFonts w:hint="eastAsia"/>
          <w:sz w:val="24"/>
          <w:szCs w:val="24"/>
        </w:rPr>
        <w:t>300</w:t>
      </w:r>
      <w:r>
        <w:rPr>
          <w:sz w:val="24"/>
          <w:szCs w:val="24"/>
        </w:rPr>
        <w:t>人，则餐厨垃圾产生量为</w:t>
      </w:r>
      <w:r>
        <w:rPr>
          <w:rFonts w:hint="eastAsia"/>
          <w:sz w:val="24"/>
          <w:szCs w:val="24"/>
        </w:rPr>
        <w:t>18</w:t>
      </w:r>
      <w:r>
        <w:rPr>
          <w:sz w:val="24"/>
          <w:szCs w:val="24"/>
        </w:rPr>
        <w:t>t/a。</w:t>
      </w:r>
    </w:p>
    <w:p>
      <w:pPr>
        <w:spacing w:line="360" w:lineRule="auto"/>
        <w:ind w:firstLine="480"/>
        <w:rPr>
          <w:sz w:val="24"/>
          <w:szCs w:val="24"/>
        </w:rPr>
      </w:pPr>
      <w:r>
        <w:rPr>
          <w:sz w:val="24"/>
          <w:szCs w:val="24"/>
        </w:rPr>
        <w:fldChar w:fldCharType="begin"/>
      </w:r>
      <w:r>
        <w:rPr>
          <w:sz w:val="24"/>
          <w:szCs w:val="24"/>
        </w:rPr>
        <w:instrText xml:space="preserve"> </w:instrText>
      </w:r>
      <w:r>
        <w:rPr>
          <w:rFonts w:hint="eastAsia"/>
          <w:sz w:val="24"/>
          <w:szCs w:val="24"/>
        </w:rPr>
        <w:instrText xml:space="preserve">= 4 \* GB3</w:instrText>
      </w:r>
      <w:r>
        <w:rPr>
          <w:sz w:val="24"/>
          <w:szCs w:val="24"/>
        </w:rPr>
        <w:instrText xml:space="preserve"> </w:instrText>
      </w:r>
      <w:r>
        <w:rPr>
          <w:sz w:val="24"/>
          <w:szCs w:val="24"/>
        </w:rPr>
        <w:fldChar w:fldCharType="separate"/>
      </w:r>
      <w:r>
        <w:rPr>
          <w:rFonts w:hint="eastAsia"/>
          <w:sz w:val="24"/>
          <w:szCs w:val="24"/>
        </w:rPr>
        <w:t>④</w:t>
      </w:r>
      <w:r>
        <w:rPr>
          <w:sz w:val="24"/>
          <w:szCs w:val="24"/>
        </w:rPr>
        <w:fldChar w:fldCharType="end"/>
      </w:r>
      <w:r>
        <w:rPr>
          <w:sz w:val="24"/>
          <w:szCs w:val="24"/>
        </w:rPr>
        <w:t>化粪池污泥</w:t>
      </w:r>
    </w:p>
    <w:p>
      <w:pPr>
        <w:spacing w:line="360" w:lineRule="auto"/>
        <w:ind w:firstLine="480"/>
        <w:rPr>
          <w:sz w:val="24"/>
          <w:szCs w:val="24"/>
        </w:rPr>
      </w:pPr>
      <w:r>
        <w:rPr>
          <w:sz w:val="24"/>
          <w:szCs w:val="24"/>
        </w:rPr>
        <w:t>化粪池污泥半年清掏一次，年产生污泥量约为</w:t>
      </w:r>
      <w:r>
        <w:rPr>
          <w:rFonts w:hint="eastAsia"/>
          <w:sz w:val="24"/>
          <w:szCs w:val="24"/>
        </w:rPr>
        <w:t>80t</w:t>
      </w:r>
      <w:r>
        <w:rPr>
          <w:sz w:val="24"/>
          <w:szCs w:val="24"/>
        </w:rPr>
        <w:t>。</w:t>
      </w:r>
    </w:p>
    <w:p>
      <w:pPr>
        <w:spacing w:line="360" w:lineRule="auto"/>
        <w:ind w:firstLine="480" w:firstLineChars="200"/>
        <w:rPr>
          <w:sz w:val="24"/>
          <w:szCs w:val="24"/>
        </w:rPr>
      </w:pPr>
      <w:r>
        <w:rPr>
          <w:sz w:val="24"/>
          <w:szCs w:val="24"/>
        </w:rPr>
        <w:t>该校产生的生活垃圾</w:t>
      </w:r>
      <w:r>
        <w:rPr>
          <w:rFonts w:hint="eastAsia"/>
          <w:sz w:val="24"/>
          <w:szCs w:val="24"/>
        </w:rPr>
        <w:t>及餐厨垃圾</w:t>
      </w:r>
      <w:r>
        <w:rPr>
          <w:sz w:val="24"/>
          <w:szCs w:val="24"/>
        </w:rPr>
        <w:t>分类收集，袋装处理，定点堆放，已委托环卫部门统一清运。</w:t>
      </w:r>
    </w:p>
    <w:p>
      <w:pPr>
        <w:pStyle w:val="4"/>
        <w:keepNext w:val="0"/>
        <w:keepLines w:val="0"/>
        <w:autoSpaceDE w:val="0"/>
        <w:autoSpaceDN w:val="0"/>
        <w:adjustRightInd w:val="0"/>
        <w:spacing w:line="360" w:lineRule="auto"/>
        <w:rPr>
          <w:rFonts w:eastAsia="宋体"/>
          <w:b/>
          <w:sz w:val="24"/>
          <w:szCs w:val="24"/>
        </w:rPr>
      </w:pPr>
      <w:bookmarkStart w:id="114" w:name="_Toc486070535"/>
      <w:r>
        <w:rPr>
          <w:rFonts w:eastAsia="宋体"/>
          <w:b/>
          <w:sz w:val="24"/>
          <w:szCs w:val="24"/>
        </w:rPr>
        <w:t>3.1.</w:t>
      </w:r>
      <w:r>
        <w:rPr>
          <w:rFonts w:hint="eastAsia" w:eastAsia="宋体"/>
          <w:b/>
          <w:sz w:val="24"/>
          <w:szCs w:val="24"/>
        </w:rPr>
        <w:t>5</w:t>
      </w:r>
      <w:r>
        <w:rPr>
          <w:rFonts w:eastAsia="宋体"/>
          <w:b/>
          <w:sz w:val="24"/>
          <w:szCs w:val="24"/>
        </w:rPr>
        <w:t>学校现状存在的主要环境问题</w:t>
      </w:r>
      <w:bookmarkEnd w:id="114"/>
    </w:p>
    <w:p>
      <w:pPr>
        <w:autoSpaceDE w:val="0"/>
        <w:autoSpaceDN w:val="0"/>
        <w:spacing w:line="460" w:lineRule="exact"/>
        <w:ind w:firstLine="480" w:firstLineChars="200"/>
        <w:rPr>
          <w:sz w:val="24"/>
          <w:szCs w:val="24"/>
        </w:rPr>
      </w:pPr>
      <w:r>
        <w:rPr>
          <w:sz w:val="24"/>
        </w:rPr>
        <w:t>学校现阶段产生的环境污染物排放量不大，所在区域上街镇的相关排水规划中已将闽侯六中排水纳入了市政污水处理厂的纳污范围，平时做好实验室药品管理和完善实验规章制度，总体</w:t>
      </w:r>
      <w:r>
        <w:rPr>
          <w:sz w:val="24"/>
          <w:szCs w:val="24"/>
        </w:rPr>
        <w:t>对学校周边环境的影响不大。</w:t>
      </w:r>
      <w:bookmarkStart w:id="115" w:name="_Toc416992941"/>
    </w:p>
    <w:p>
      <w:pPr>
        <w:pStyle w:val="42"/>
      </w:pPr>
      <w:bookmarkStart w:id="116" w:name="_Toc486070536"/>
      <w:r>
        <w:rPr>
          <w:rStyle w:val="43"/>
          <w:rFonts w:eastAsia="宋体"/>
        </w:rPr>
        <w:t>3.</w:t>
      </w:r>
      <w:bookmarkEnd w:id="115"/>
      <w:r>
        <w:rPr>
          <w:rStyle w:val="43"/>
          <w:rFonts w:eastAsia="宋体"/>
        </w:rPr>
        <w:t>2改扩建</w:t>
      </w:r>
      <w:r>
        <w:t>项目概况</w:t>
      </w:r>
      <w:bookmarkEnd w:id="116"/>
    </w:p>
    <w:p>
      <w:pPr>
        <w:pStyle w:val="4"/>
        <w:keepNext w:val="0"/>
        <w:keepLines w:val="0"/>
        <w:autoSpaceDE w:val="0"/>
        <w:autoSpaceDN w:val="0"/>
        <w:adjustRightInd w:val="0"/>
        <w:spacing w:line="360" w:lineRule="auto"/>
        <w:rPr>
          <w:rFonts w:eastAsia="宋体"/>
          <w:b/>
          <w:sz w:val="24"/>
          <w:szCs w:val="24"/>
        </w:rPr>
      </w:pPr>
      <w:bookmarkStart w:id="117" w:name="_Toc400958099"/>
      <w:bookmarkStart w:id="118" w:name="_Toc402431679"/>
      <w:bookmarkStart w:id="119" w:name="_Toc486070537"/>
      <w:bookmarkStart w:id="120" w:name="_Toc402445245"/>
      <w:bookmarkStart w:id="121" w:name="_Toc472321489"/>
      <w:bookmarkStart w:id="122" w:name="_Toc152846892"/>
      <w:bookmarkStart w:id="123" w:name="_Toc129939568"/>
      <w:bookmarkStart w:id="124" w:name="_Toc130199502"/>
      <w:bookmarkStart w:id="125" w:name="_Toc158124814"/>
      <w:bookmarkStart w:id="126" w:name="_Toc130138878"/>
      <w:r>
        <w:rPr>
          <w:rFonts w:eastAsia="宋体"/>
          <w:b/>
          <w:sz w:val="24"/>
          <w:szCs w:val="24"/>
        </w:rPr>
        <w:t>3.2.1工程基本情况</w:t>
      </w:r>
      <w:bookmarkEnd w:id="117"/>
      <w:bookmarkEnd w:id="118"/>
      <w:bookmarkEnd w:id="119"/>
      <w:bookmarkEnd w:id="120"/>
      <w:bookmarkEnd w:id="121"/>
    </w:p>
    <w:p>
      <w:pPr>
        <w:spacing w:line="360" w:lineRule="auto"/>
        <w:ind w:firstLine="480" w:firstLineChars="200"/>
        <w:rPr>
          <w:sz w:val="24"/>
        </w:rPr>
      </w:pPr>
      <w:r>
        <w:rPr>
          <w:sz w:val="24"/>
        </w:rPr>
        <w:t>（1）项目名称：闽侯六中校园扩建项目；</w:t>
      </w:r>
    </w:p>
    <w:p>
      <w:pPr>
        <w:spacing w:line="360" w:lineRule="auto"/>
        <w:ind w:firstLine="480" w:firstLineChars="200"/>
        <w:rPr>
          <w:sz w:val="24"/>
        </w:rPr>
      </w:pPr>
      <w:r>
        <w:rPr>
          <w:sz w:val="24"/>
        </w:rPr>
        <w:t>（2）建设单位：闽侯县第六中学；</w:t>
      </w:r>
    </w:p>
    <w:p>
      <w:pPr>
        <w:spacing w:line="360" w:lineRule="auto"/>
        <w:ind w:firstLine="480" w:firstLineChars="200"/>
        <w:rPr>
          <w:sz w:val="24"/>
        </w:rPr>
      </w:pPr>
      <w:r>
        <w:rPr>
          <w:sz w:val="24"/>
        </w:rPr>
        <w:t>（3）建设性质：改扩建；</w:t>
      </w:r>
    </w:p>
    <w:p>
      <w:pPr>
        <w:spacing w:line="360" w:lineRule="auto"/>
        <w:ind w:firstLine="480" w:firstLineChars="200"/>
        <w:rPr>
          <w:sz w:val="24"/>
        </w:rPr>
      </w:pPr>
      <w:r>
        <w:rPr>
          <w:sz w:val="24"/>
        </w:rPr>
        <w:t>（3）建设地点：闽侯县上街镇；</w:t>
      </w:r>
    </w:p>
    <w:p>
      <w:pPr>
        <w:spacing w:line="360" w:lineRule="auto"/>
        <w:ind w:firstLine="480" w:firstLineChars="200"/>
        <w:rPr>
          <w:sz w:val="24"/>
        </w:rPr>
      </w:pPr>
      <w:r>
        <w:rPr>
          <w:sz w:val="24"/>
        </w:rPr>
        <w:t>（4）</w:t>
      </w:r>
      <w:r>
        <w:rPr>
          <w:rFonts w:hint="eastAsia"/>
          <w:sz w:val="24"/>
        </w:rPr>
        <w:t>土地用途</w:t>
      </w:r>
      <w:r>
        <w:rPr>
          <w:sz w:val="24"/>
        </w:rPr>
        <w:t>：</w:t>
      </w:r>
      <w:r>
        <w:rPr>
          <w:rFonts w:hint="eastAsia"/>
          <w:sz w:val="24"/>
          <w:szCs w:val="24"/>
        </w:rPr>
        <w:t>科教用地（A3）</w:t>
      </w:r>
      <w:r>
        <w:rPr>
          <w:sz w:val="24"/>
        </w:rPr>
        <w:t>；</w:t>
      </w:r>
    </w:p>
    <w:p>
      <w:pPr>
        <w:spacing w:line="360" w:lineRule="auto"/>
        <w:ind w:firstLine="480" w:firstLineChars="200"/>
        <w:rPr>
          <w:sz w:val="24"/>
        </w:rPr>
      </w:pPr>
      <w:r>
        <w:rPr>
          <w:sz w:val="24"/>
        </w:rPr>
        <w:t>（5）建设起止年限：项目建设期为</w:t>
      </w:r>
      <w:r>
        <w:rPr>
          <w:rFonts w:hint="eastAsia"/>
          <w:sz w:val="24"/>
        </w:rPr>
        <w:t>16</w:t>
      </w:r>
      <w:r>
        <w:rPr>
          <w:sz w:val="24"/>
        </w:rPr>
        <w:t>个月，即201</w:t>
      </w:r>
      <w:r>
        <w:rPr>
          <w:rFonts w:hint="eastAsia"/>
          <w:sz w:val="24"/>
        </w:rPr>
        <w:t>8</w:t>
      </w:r>
      <w:r>
        <w:rPr>
          <w:sz w:val="24"/>
        </w:rPr>
        <w:t>年</w:t>
      </w:r>
      <w:r>
        <w:rPr>
          <w:rFonts w:hint="eastAsia"/>
          <w:sz w:val="24"/>
        </w:rPr>
        <w:t>9</w:t>
      </w:r>
      <w:r>
        <w:rPr>
          <w:sz w:val="24"/>
        </w:rPr>
        <w:t>月至2019年</w:t>
      </w:r>
      <w:r>
        <w:rPr>
          <w:rFonts w:hint="eastAsia"/>
          <w:sz w:val="24"/>
        </w:rPr>
        <w:t>12</w:t>
      </w:r>
      <w:r>
        <w:rPr>
          <w:sz w:val="24"/>
        </w:rPr>
        <w:t>月；</w:t>
      </w:r>
    </w:p>
    <w:p>
      <w:pPr>
        <w:spacing w:line="360" w:lineRule="auto"/>
        <w:ind w:firstLine="480" w:firstLineChars="200"/>
        <w:rPr>
          <w:sz w:val="24"/>
        </w:rPr>
      </w:pPr>
      <w:r>
        <w:rPr>
          <w:sz w:val="24"/>
        </w:rPr>
        <w:t>（7）投资规模：本项目</w:t>
      </w:r>
      <w:r>
        <w:rPr>
          <w:rFonts w:hint="eastAsia"/>
          <w:sz w:val="24"/>
        </w:rPr>
        <w:t>总</w:t>
      </w:r>
      <w:r>
        <w:rPr>
          <w:sz w:val="24"/>
        </w:rPr>
        <w:t>投资为13041.38万元人民币；</w:t>
      </w:r>
    </w:p>
    <w:p>
      <w:pPr>
        <w:spacing w:line="360" w:lineRule="auto"/>
        <w:ind w:firstLine="480" w:firstLineChars="200"/>
        <w:rPr>
          <w:sz w:val="24"/>
        </w:rPr>
      </w:pPr>
      <w:r>
        <w:rPr>
          <w:sz w:val="24"/>
        </w:rPr>
        <w:t>（8）人员定额：建成后由原规划办学48个教学班，</w:t>
      </w:r>
      <w:r>
        <w:rPr>
          <w:rFonts w:hint="eastAsia"/>
          <w:sz w:val="24"/>
        </w:rPr>
        <w:t>师生</w:t>
      </w:r>
      <w:r>
        <w:rPr>
          <w:sz w:val="24"/>
        </w:rPr>
        <w:t>2</w:t>
      </w:r>
      <w:r>
        <w:rPr>
          <w:rFonts w:hint="eastAsia"/>
          <w:sz w:val="24"/>
        </w:rPr>
        <w:t>311</w:t>
      </w:r>
      <w:r>
        <w:rPr>
          <w:sz w:val="24"/>
        </w:rPr>
        <w:t>人，扩大为高中</w:t>
      </w:r>
      <w:r>
        <w:rPr>
          <w:rFonts w:hint="eastAsia"/>
          <w:sz w:val="24"/>
        </w:rPr>
        <w:t>30</w:t>
      </w:r>
      <w:r>
        <w:rPr>
          <w:sz w:val="24"/>
        </w:rPr>
        <w:t>个班，初中48个班，</w:t>
      </w:r>
      <w:r>
        <w:rPr>
          <w:rFonts w:hint="eastAsia"/>
          <w:sz w:val="24"/>
        </w:rPr>
        <w:t>师生42</w:t>
      </w:r>
      <w:r>
        <w:rPr>
          <w:sz w:val="24"/>
        </w:rPr>
        <w:t>00人</w:t>
      </w:r>
      <w:r>
        <w:rPr>
          <w:rFonts w:hint="eastAsia"/>
          <w:sz w:val="24"/>
        </w:rPr>
        <w:t>，其中学生3900人，教职工300人</w:t>
      </w:r>
      <w:r>
        <w:rPr>
          <w:sz w:val="24"/>
        </w:rPr>
        <w:t>；设置</w:t>
      </w:r>
      <w:r>
        <w:rPr>
          <w:rFonts w:hint="eastAsia"/>
          <w:sz w:val="24"/>
        </w:rPr>
        <w:t>田径运动场及体育馆、篮球场、看台等运动场所，高中部综合楼、食堂、学生宿舍楼、教师周转房等校舍</w:t>
      </w:r>
      <w:r>
        <w:rPr>
          <w:sz w:val="24"/>
        </w:rPr>
        <w:t>；</w:t>
      </w:r>
    </w:p>
    <w:p>
      <w:pPr>
        <w:spacing w:line="360" w:lineRule="auto"/>
        <w:ind w:firstLine="480" w:firstLineChars="200"/>
        <w:rPr>
          <w:sz w:val="24"/>
        </w:rPr>
      </w:pPr>
      <w:r>
        <w:rPr>
          <w:sz w:val="24"/>
        </w:rPr>
        <w:t>（9）在校时间：200天（扣除周末及寒暑假）；</w:t>
      </w:r>
    </w:p>
    <w:p>
      <w:pPr>
        <w:spacing w:line="360" w:lineRule="auto"/>
        <w:ind w:firstLine="480" w:firstLineChars="200"/>
        <w:rPr>
          <w:sz w:val="24"/>
        </w:rPr>
      </w:pPr>
      <w:r>
        <w:rPr>
          <w:sz w:val="24"/>
        </w:rPr>
        <w:t>（10）用地面积和建筑面积：</w:t>
      </w:r>
      <w:r>
        <w:rPr>
          <w:rFonts w:hint="eastAsia"/>
          <w:sz w:val="24"/>
        </w:rPr>
        <w:t>扩建项目完成后校区总用地面积79712.45平方米（119.5707亩），其中：原校区用地面积38710.05平方米，新征用地面积41002.4平方米</w:t>
      </w:r>
      <w:r>
        <w:rPr>
          <w:sz w:val="24"/>
        </w:rPr>
        <w:t>。</w:t>
      </w:r>
      <w:r>
        <w:rPr>
          <w:rFonts w:hint="eastAsia"/>
          <w:sz w:val="24"/>
        </w:rPr>
        <w:t>扩建项目完成后校区建成后总建筑面积42516.00平方米，其中：保留已建建筑面积17791.00平方米，新建建筑面积24725.00平方米；</w:t>
      </w:r>
    </w:p>
    <w:p>
      <w:pPr>
        <w:spacing w:line="360" w:lineRule="auto"/>
        <w:ind w:firstLine="480" w:firstLineChars="200"/>
        <w:rPr>
          <w:sz w:val="24"/>
        </w:rPr>
      </w:pPr>
      <w:r>
        <w:rPr>
          <w:sz w:val="24"/>
        </w:rPr>
        <w:t>（11）建设内容：闽侯六中</w:t>
      </w:r>
      <w:r>
        <w:rPr>
          <w:rFonts w:hint="eastAsia"/>
          <w:sz w:val="24"/>
        </w:rPr>
        <w:t>扩建项目主要建设高中部综合楼（含教师办公楼）、体育馆、食堂、学生宿舍楼、教师周转房、室外运动场、地下室和配套建设相关的公用工程和设施，包括：道路、给排水、供电、通讯、土石方工程等，二期扩建现有教学楼。</w:t>
      </w:r>
    </w:p>
    <w:p>
      <w:pPr>
        <w:pStyle w:val="4"/>
        <w:keepNext w:val="0"/>
        <w:keepLines w:val="0"/>
        <w:autoSpaceDE w:val="0"/>
        <w:autoSpaceDN w:val="0"/>
        <w:adjustRightInd w:val="0"/>
        <w:spacing w:line="360" w:lineRule="auto"/>
        <w:rPr>
          <w:rFonts w:eastAsia="宋体"/>
          <w:b/>
          <w:sz w:val="24"/>
          <w:szCs w:val="24"/>
        </w:rPr>
      </w:pPr>
      <w:bookmarkStart w:id="127" w:name="_Toc400958100"/>
      <w:bookmarkStart w:id="128" w:name="_Toc402431680"/>
      <w:bookmarkStart w:id="129" w:name="_Toc402445246"/>
      <w:bookmarkStart w:id="130" w:name="_Toc472321490"/>
      <w:bookmarkStart w:id="131" w:name="_Toc486070538"/>
      <w:r>
        <w:rPr>
          <w:rFonts w:eastAsia="宋体"/>
          <w:b/>
          <w:sz w:val="24"/>
          <w:szCs w:val="24"/>
        </w:rPr>
        <w:t>3.2.2工程主要技术指标</w:t>
      </w:r>
      <w:bookmarkEnd w:id="127"/>
      <w:bookmarkEnd w:id="128"/>
      <w:bookmarkEnd w:id="129"/>
      <w:bookmarkEnd w:id="130"/>
      <w:bookmarkEnd w:id="131"/>
    </w:p>
    <w:p>
      <w:pPr>
        <w:spacing w:line="360" w:lineRule="auto"/>
        <w:ind w:firstLine="480" w:firstLineChars="200"/>
        <w:rPr>
          <w:sz w:val="24"/>
        </w:rPr>
      </w:pPr>
      <w:r>
        <w:rPr>
          <w:sz w:val="24"/>
        </w:rPr>
        <w:t>本项目主要技术指标见表3.2-1。</w:t>
      </w:r>
    </w:p>
    <w:p>
      <w:pPr>
        <w:spacing w:line="360" w:lineRule="auto"/>
        <w:jc w:val="center"/>
        <w:rPr>
          <w:b/>
          <w:sz w:val="24"/>
        </w:rPr>
      </w:pPr>
    </w:p>
    <w:p>
      <w:pPr>
        <w:spacing w:line="360" w:lineRule="auto"/>
        <w:jc w:val="center"/>
        <w:rPr>
          <w:b/>
          <w:sz w:val="24"/>
        </w:rPr>
      </w:pPr>
    </w:p>
    <w:p>
      <w:pPr>
        <w:spacing w:line="360" w:lineRule="auto"/>
        <w:jc w:val="center"/>
        <w:rPr>
          <w:b/>
          <w:sz w:val="24"/>
        </w:rPr>
      </w:pPr>
    </w:p>
    <w:p>
      <w:pPr>
        <w:spacing w:line="360" w:lineRule="auto"/>
        <w:jc w:val="center"/>
        <w:rPr>
          <w:b/>
          <w:sz w:val="24"/>
        </w:rPr>
      </w:pPr>
      <w:r>
        <w:rPr>
          <w:b/>
          <w:sz w:val="24"/>
        </w:rPr>
        <w:t>表3.2-1  主要技术经济指标一览表</w:t>
      </w:r>
    </w:p>
    <w:tbl>
      <w:tblPr>
        <w:tblStyle w:val="24"/>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080"/>
        <w:gridCol w:w="1080"/>
        <w:gridCol w:w="1604"/>
        <w:gridCol w:w="1130"/>
        <w:gridCol w:w="1559"/>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58"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序号</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指标名称</w:t>
            </w:r>
          </w:p>
        </w:tc>
        <w:tc>
          <w:tcPr>
            <w:tcW w:w="1130"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单位</w:t>
            </w:r>
          </w:p>
        </w:tc>
        <w:tc>
          <w:tcPr>
            <w:tcW w:w="1559"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指标值</w:t>
            </w:r>
          </w:p>
        </w:tc>
        <w:tc>
          <w:tcPr>
            <w:tcW w:w="1088"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shd w:val="clear" w:color="auto" w:fill="auto"/>
            <w:vAlign w:val="center"/>
          </w:tcPr>
          <w:p>
            <w:pPr>
              <w:widowControl/>
              <w:jc w:val="center"/>
              <w:rPr>
                <w:color w:val="000000"/>
                <w:kern w:val="0"/>
                <w:szCs w:val="21"/>
              </w:rPr>
            </w:pPr>
            <w:r>
              <w:rPr>
                <w:color w:val="000000"/>
                <w:kern w:val="0"/>
                <w:szCs w:val="21"/>
              </w:rPr>
              <w:t>1</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总用地面积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kern w:val="0"/>
                <w:szCs w:val="21"/>
              </w:rPr>
            </w:pPr>
            <w:r>
              <w:rPr>
                <w:kern w:val="0"/>
                <w:szCs w:val="21"/>
              </w:rPr>
              <w:t>79712.45</w:t>
            </w:r>
          </w:p>
        </w:tc>
        <w:tc>
          <w:tcPr>
            <w:tcW w:w="1088" w:type="dxa"/>
            <w:shd w:val="clear" w:color="auto" w:fill="auto"/>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其中</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原校区用地面积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kern w:val="0"/>
                <w:szCs w:val="21"/>
              </w:rPr>
            </w:pPr>
            <w:r>
              <w:rPr>
                <w:kern w:val="0"/>
                <w:szCs w:val="21"/>
              </w:rPr>
              <w:t>38710.05</w:t>
            </w:r>
          </w:p>
        </w:tc>
        <w:tc>
          <w:tcPr>
            <w:tcW w:w="1088" w:type="dxa"/>
            <w:shd w:val="clear" w:color="auto" w:fill="auto"/>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continue"/>
            <w:vAlign w:val="center"/>
          </w:tcPr>
          <w:p>
            <w:pPr>
              <w:widowControl/>
              <w:jc w:val="left"/>
              <w:rPr>
                <w:rFonts w:ascii="宋体" w:hAnsi="宋体" w:cs="宋体"/>
                <w:color w:val="000000"/>
                <w:kern w:val="0"/>
                <w:szCs w:val="21"/>
              </w:rPr>
            </w:pP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新征用地面积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kern w:val="0"/>
                <w:szCs w:val="21"/>
              </w:rPr>
            </w:pPr>
            <w:r>
              <w:rPr>
                <w:kern w:val="0"/>
                <w:szCs w:val="21"/>
              </w:rPr>
              <w:t>41002.4</w:t>
            </w:r>
          </w:p>
        </w:tc>
        <w:tc>
          <w:tcPr>
            <w:tcW w:w="1088" w:type="dxa"/>
            <w:shd w:val="clear" w:color="auto" w:fill="auto"/>
            <w:vAlign w:val="center"/>
          </w:tcPr>
          <w:p>
            <w:pPr>
              <w:widowControl/>
              <w:jc w:val="center"/>
              <w:rPr>
                <w:color w:val="000000"/>
                <w:kern w:val="0"/>
                <w:szCs w:val="21"/>
              </w:rPr>
            </w:pPr>
            <w:r>
              <w:rPr>
                <w:rFonts w:hint="eastAsia"/>
                <w:color w:val="000000"/>
                <w:kern w:val="0"/>
                <w:szCs w:val="21"/>
              </w:rPr>
              <w:t>61.50亩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shd w:val="clear" w:color="auto" w:fill="auto"/>
            <w:vAlign w:val="center"/>
          </w:tcPr>
          <w:p>
            <w:pPr>
              <w:widowControl/>
              <w:jc w:val="center"/>
              <w:rPr>
                <w:color w:val="000000"/>
                <w:kern w:val="0"/>
                <w:szCs w:val="21"/>
              </w:rPr>
            </w:pPr>
            <w:r>
              <w:rPr>
                <w:color w:val="000000"/>
                <w:kern w:val="0"/>
                <w:szCs w:val="21"/>
              </w:rPr>
              <w:t>1.1</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文物保护区用地面积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21889.7</w:t>
            </w:r>
          </w:p>
        </w:tc>
        <w:tc>
          <w:tcPr>
            <w:tcW w:w="1088" w:type="dxa"/>
            <w:shd w:val="clear" w:color="auto" w:fill="auto"/>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shd w:val="clear" w:color="auto" w:fill="auto"/>
            <w:vAlign w:val="center"/>
          </w:tcPr>
          <w:p>
            <w:pPr>
              <w:widowControl/>
              <w:jc w:val="center"/>
              <w:rPr>
                <w:color w:val="000000"/>
                <w:kern w:val="0"/>
                <w:szCs w:val="21"/>
              </w:rPr>
            </w:pPr>
            <w:r>
              <w:rPr>
                <w:color w:val="000000"/>
                <w:kern w:val="0"/>
                <w:szCs w:val="21"/>
              </w:rPr>
              <w:t>1.2</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坡地面积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1799.75</w:t>
            </w:r>
          </w:p>
        </w:tc>
        <w:tc>
          <w:tcPr>
            <w:tcW w:w="1088" w:type="dxa"/>
            <w:shd w:val="clear" w:color="auto" w:fill="auto"/>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shd w:val="clear" w:color="auto" w:fill="auto"/>
            <w:vAlign w:val="center"/>
          </w:tcPr>
          <w:p>
            <w:pPr>
              <w:widowControl/>
              <w:jc w:val="center"/>
              <w:rPr>
                <w:color w:val="000000"/>
                <w:kern w:val="0"/>
                <w:szCs w:val="21"/>
              </w:rPr>
            </w:pPr>
            <w:r>
              <w:rPr>
                <w:color w:val="000000"/>
                <w:kern w:val="0"/>
                <w:szCs w:val="21"/>
              </w:rPr>
              <w:t>2</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可用建筑用地面积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56024.4</w:t>
            </w:r>
          </w:p>
        </w:tc>
        <w:tc>
          <w:tcPr>
            <w:tcW w:w="1088" w:type="dxa"/>
            <w:shd w:val="clear" w:color="auto" w:fill="auto"/>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其中</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可比用地面积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48101.5</w:t>
            </w:r>
          </w:p>
        </w:tc>
        <w:tc>
          <w:tcPr>
            <w:tcW w:w="1088" w:type="dxa"/>
            <w:shd w:val="clear" w:color="auto" w:fill="auto"/>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continue"/>
            <w:vAlign w:val="center"/>
          </w:tcPr>
          <w:p>
            <w:pPr>
              <w:widowControl/>
              <w:jc w:val="left"/>
              <w:rPr>
                <w:rFonts w:ascii="宋体" w:hAnsi="宋体" w:cs="宋体"/>
                <w:color w:val="000000"/>
                <w:kern w:val="0"/>
                <w:szCs w:val="21"/>
              </w:rPr>
            </w:pP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室外运动场面积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7922.9</w:t>
            </w:r>
          </w:p>
        </w:tc>
        <w:tc>
          <w:tcPr>
            <w:tcW w:w="1088" w:type="dxa"/>
            <w:shd w:val="clear" w:color="auto" w:fill="auto"/>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shd w:val="clear" w:color="auto" w:fill="auto"/>
            <w:vAlign w:val="center"/>
          </w:tcPr>
          <w:p>
            <w:pPr>
              <w:widowControl/>
              <w:jc w:val="center"/>
              <w:rPr>
                <w:color w:val="000000"/>
                <w:kern w:val="0"/>
                <w:szCs w:val="21"/>
              </w:rPr>
            </w:pPr>
            <w:r>
              <w:rPr>
                <w:color w:val="000000"/>
                <w:kern w:val="0"/>
                <w:szCs w:val="21"/>
              </w:rPr>
              <w:t>3</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总建筑面积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42516</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其中</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计容建筑面积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38486</w:t>
            </w:r>
          </w:p>
        </w:tc>
        <w:tc>
          <w:tcPr>
            <w:tcW w:w="1088" w:type="dxa"/>
            <w:shd w:val="clear" w:color="auto" w:fill="auto"/>
            <w:vAlign w:val="center"/>
          </w:tcPr>
          <w:p>
            <w:pPr>
              <w:widowControl/>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continue"/>
            <w:vAlign w:val="center"/>
          </w:tcPr>
          <w:p>
            <w:pPr>
              <w:widowControl/>
              <w:jc w:val="left"/>
              <w:rPr>
                <w:rFonts w:ascii="宋体" w:hAnsi="宋体" w:cs="宋体"/>
                <w:color w:val="000000"/>
                <w:kern w:val="0"/>
                <w:szCs w:val="21"/>
              </w:rPr>
            </w:pPr>
          </w:p>
        </w:tc>
        <w:tc>
          <w:tcPr>
            <w:tcW w:w="1080"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其中</w:t>
            </w:r>
          </w:p>
        </w:tc>
        <w:tc>
          <w:tcPr>
            <w:tcW w:w="2684" w:type="dxa"/>
            <w:gridSpan w:val="2"/>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新建建筑面积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20695</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continue"/>
            <w:vAlign w:val="center"/>
          </w:tcPr>
          <w:p>
            <w:pPr>
              <w:widowControl/>
              <w:jc w:val="left"/>
              <w:rPr>
                <w:rFonts w:ascii="宋体" w:hAnsi="宋体" w:cs="宋体"/>
                <w:color w:val="000000"/>
                <w:kern w:val="0"/>
                <w:szCs w:val="21"/>
              </w:rPr>
            </w:pPr>
          </w:p>
        </w:tc>
        <w:tc>
          <w:tcPr>
            <w:tcW w:w="1080" w:type="dxa"/>
            <w:vMerge w:val="continue"/>
            <w:vAlign w:val="center"/>
          </w:tcPr>
          <w:p>
            <w:pPr>
              <w:widowControl/>
              <w:jc w:val="left"/>
              <w:rPr>
                <w:rFonts w:ascii="宋体" w:hAnsi="宋体" w:cs="宋体"/>
                <w:color w:val="000000"/>
                <w:kern w:val="0"/>
                <w:szCs w:val="21"/>
              </w:rPr>
            </w:pPr>
          </w:p>
        </w:tc>
        <w:tc>
          <w:tcPr>
            <w:tcW w:w="1080"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其中</w:t>
            </w:r>
          </w:p>
        </w:tc>
        <w:tc>
          <w:tcPr>
            <w:tcW w:w="1604"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高中部综合楼（含教师办公楼）</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10130</w:t>
            </w:r>
          </w:p>
        </w:tc>
        <w:tc>
          <w:tcPr>
            <w:tcW w:w="1088" w:type="dxa"/>
            <w:shd w:val="clear" w:color="auto" w:fill="auto"/>
            <w:vAlign w:val="center"/>
          </w:tcPr>
          <w:p>
            <w:pPr>
              <w:widowControl/>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continue"/>
            <w:vAlign w:val="center"/>
          </w:tcPr>
          <w:p>
            <w:pPr>
              <w:widowControl/>
              <w:jc w:val="left"/>
              <w:rPr>
                <w:rFonts w:ascii="宋体" w:hAnsi="宋体" w:cs="宋体"/>
                <w:color w:val="000000"/>
                <w:kern w:val="0"/>
                <w:szCs w:val="21"/>
              </w:rPr>
            </w:pPr>
          </w:p>
        </w:tc>
        <w:tc>
          <w:tcPr>
            <w:tcW w:w="1080" w:type="dxa"/>
            <w:vMerge w:val="continue"/>
            <w:vAlign w:val="center"/>
          </w:tcPr>
          <w:p>
            <w:pPr>
              <w:widowControl/>
              <w:jc w:val="left"/>
              <w:rPr>
                <w:rFonts w:ascii="宋体" w:hAnsi="宋体" w:cs="宋体"/>
                <w:color w:val="000000"/>
                <w:kern w:val="0"/>
                <w:szCs w:val="21"/>
              </w:rPr>
            </w:pPr>
          </w:p>
        </w:tc>
        <w:tc>
          <w:tcPr>
            <w:tcW w:w="1080" w:type="dxa"/>
            <w:vMerge w:val="continue"/>
            <w:vAlign w:val="center"/>
          </w:tcPr>
          <w:p>
            <w:pPr>
              <w:widowControl/>
              <w:jc w:val="left"/>
              <w:rPr>
                <w:rFonts w:ascii="宋体" w:hAnsi="宋体" w:cs="宋体"/>
                <w:color w:val="000000"/>
                <w:kern w:val="0"/>
                <w:szCs w:val="21"/>
              </w:rPr>
            </w:pPr>
          </w:p>
        </w:tc>
        <w:tc>
          <w:tcPr>
            <w:tcW w:w="1604"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体育馆</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2100</w:t>
            </w:r>
          </w:p>
        </w:tc>
        <w:tc>
          <w:tcPr>
            <w:tcW w:w="1088" w:type="dxa"/>
            <w:shd w:val="clear" w:color="auto" w:fill="auto"/>
            <w:vAlign w:val="center"/>
          </w:tcPr>
          <w:p>
            <w:pPr>
              <w:widowControl/>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continue"/>
            <w:vAlign w:val="center"/>
          </w:tcPr>
          <w:p>
            <w:pPr>
              <w:widowControl/>
              <w:jc w:val="left"/>
              <w:rPr>
                <w:rFonts w:ascii="宋体" w:hAnsi="宋体" w:cs="宋体"/>
                <w:color w:val="000000"/>
                <w:kern w:val="0"/>
                <w:szCs w:val="21"/>
              </w:rPr>
            </w:pPr>
          </w:p>
        </w:tc>
        <w:tc>
          <w:tcPr>
            <w:tcW w:w="1080" w:type="dxa"/>
            <w:vMerge w:val="continue"/>
            <w:vAlign w:val="center"/>
          </w:tcPr>
          <w:p>
            <w:pPr>
              <w:widowControl/>
              <w:jc w:val="left"/>
              <w:rPr>
                <w:rFonts w:ascii="宋体" w:hAnsi="宋体" w:cs="宋体"/>
                <w:color w:val="000000"/>
                <w:kern w:val="0"/>
                <w:szCs w:val="21"/>
              </w:rPr>
            </w:pPr>
          </w:p>
        </w:tc>
        <w:tc>
          <w:tcPr>
            <w:tcW w:w="1080" w:type="dxa"/>
            <w:vMerge w:val="continue"/>
            <w:vAlign w:val="center"/>
          </w:tcPr>
          <w:p>
            <w:pPr>
              <w:widowControl/>
              <w:jc w:val="left"/>
              <w:rPr>
                <w:rFonts w:ascii="宋体" w:hAnsi="宋体" w:cs="宋体"/>
                <w:color w:val="000000"/>
                <w:kern w:val="0"/>
                <w:szCs w:val="21"/>
              </w:rPr>
            </w:pPr>
          </w:p>
        </w:tc>
        <w:tc>
          <w:tcPr>
            <w:tcW w:w="1604"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主席台、看台</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480</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continue"/>
            <w:vAlign w:val="center"/>
          </w:tcPr>
          <w:p>
            <w:pPr>
              <w:widowControl/>
              <w:jc w:val="left"/>
              <w:rPr>
                <w:rFonts w:ascii="宋体" w:hAnsi="宋体" w:cs="宋体"/>
                <w:color w:val="000000"/>
                <w:kern w:val="0"/>
                <w:szCs w:val="21"/>
              </w:rPr>
            </w:pPr>
          </w:p>
        </w:tc>
        <w:tc>
          <w:tcPr>
            <w:tcW w:w="1080" w:type="dxa"/>
            <w:vMerge w:val="continue"/>
            <w:vAlign w:val="center"/>
          </w:tcPr>
          <w:p>
            <w:pPr>
              <w:widowControl/>
              <w:jc w:val="left"/>
              <w:rPr>
                <w:rFonts w:ascii="宋体" w:hAnsi="宋体" w:cs="宋体"/>
                <w:color w:val="000000"/>
                <w:kern w:val="0"/>
                <w:szCs w:val="21"/>
              </w:rPr>
            </w:pPr>
          </w:p>
        </w:tc>
        <w:tc>
          <w:tcPr>
            <w:tcW w:w="1080" w:type="dxa"/>
            <w:vMerge w:val="continue"/>
            <w:vAlign w:val="center"/>
          </w:tcPr>
          <w:p>
            <w:pPr>
              <w:widowControl/>
              <w:jc w:val="left"/>
              <w:rPr>
                <w:rFonts w:ascii="宋体" w:hAnsi="宋体" w:cs="宋体"/>
                <w:color w:val="000000"/>
                <w:kern w:val="0"/>
                <w:szCs w:val="21"/>
              </w:rPr>
            </w:pPr>
          </w:p>
        </w:tc>
        <w:tc>
          <w:tcPr>
            <w:tcW w:w="1604"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学生、教师周转房</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7945</w:t>
            </w:r>
          </w:p>
        </w:tc>
        <w:tc>
          <w:tcPr>
            <w:tcW w:w="1088" w:type="dxa"/>
            <w:shd w:val="clear" w:color="auto" w:fill="auto"/>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continue"/>
            <w:vAlign w:val="center"/>
          </w:tcPr>
          <w:p>
            <w:pPr>
              <w:widowControl/>
              <w:jc w:val="left"/>
              <w:rPr>
                <w:rFonts w:ascii="宋体" w:hAnsi="宋体" w:cs="宋体"/>
                <w:color w:val="000000"/>
                <w:kern w:val="0"/>
                <w:szCs w:val="21"/>
              </w:rPr>
            </w:pPr>
          </w:p>
        </w:tc>
        <w:tc>
          <w:tcPr>
            <w:tcW w:w="1080" w:type="dxa"/>
            <w:vMerge w:val="continue"/>
            <w:vAlign w:val="center"/>
          </w:tcPr>
          <w:p>
            <w:pPr>
              <w:widowControl/>
              <w:jc w:val="left"/>
              <w:rPr>
                <w:rFonts w:ascii="宋体" w:hAnsi="宋体" w:cs="宋体"/>
                <w:color w:val="000000"/>
                <w:kern w:val="0"/>
                <w:szCs w:val="21"/>
              </w:rPr>
            </w:pPr>
          </w:p>
        </w:tc>
        <w:tc>
          <w:tcPr>
            <w:tcW w:w="1080" w:type="dxa"/>
            <w:vMerge w:val="continue"/>
            <w:vAlign w:val="center"/>
          </w:tcPr>
          <w:p>
            <w:pPr>
              <w:widowControl/>
              <w:jc w:val="left"/>
              <w:rPr>
                <w:rFonts w:ascii="宋体" w:hAnsi="宋体" w:cs="宋体"/>
                <w:color w:val="000000"/>
                <w:kern w:val="0"/>
                <w:szCs w:val="21"/>
              </w:rPr>
            </w:pPr>
          </w:p>
        </w:tc>
        <w:tc>
          <w:tcPr>
            <w:tcW w:w="1604"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门卫</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40</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continue"/>
            <w:vAlign w:val="center"/>
          </w:tcPr>
          <w:p>
            <w:pPr>
              <w:widowControl/>
              <w:jc w:val="left"/>
              <w:rPr>
                <w:rFonts w:ascii="宋体" w:hAnsi="宋体" w:cs="宋体"/>
                <w:color w:val="000000"/>
                <w:kern w:val="0"/>
                <w:szCs w:val="21"/>
              </w:rPr>
            </w:pPr>
          </w:p>
        </w:tc>
        <w:tc>
          <w:tcPr>
            <w:tcW w:w="1080" w:type="dxa"/>
            <w:vMerge w:val="continue"/>
            <w:vAlign w:val="center"/>
          </w:tcPr>
          <w:p>
            <w:pPr>
              <w:widowControl/>
              <w:jc w:val="left"/>
              <w:rPr>
                <w:rFonts w:ascii="宋体" w:hAnsi="宋体" w:cs="宋体"/>
                <w:color w:val="000000"/>
                <w:kern w:val="0"/>
                <w:szCs w:val="21"/>
              </w:rPr>
            </w:pPr>
          </w:p>
        </w:tc>
        <w:tc>
          <w:tcPr>
            <w:tcW w:w="2684" w:type="dxa"/>
            <w:gridSpan w:val="2"/>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已建建筑面积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17791</w:t>
            </w:r>
          </w:p>
        </w:tc>
        <w:tc>
          <w:tcPr>
            <w:tcW w:w="1088" w:type="dxa"/>
            <w:shd w:val="clear" w:color="auto" w:fill="auto"/>
            <w:vAlign w:val="center"/>
          </w:tcPr>
          <w:p>
            <w:pPr>
              <w:widowControl/>
              <w:jc w:val="center"/>
              <w:rPr>
                <w:color w:val="000000"/>
                <w:kern w:val="0"/>
                <w:sz w:val="20"/>
              </w:rPr>
            </w:pPr>
            <w:r>
              <w:rPr>
                <w:rFonts w:hint="eastAsia" w:ascii="宋体" w:hAnsi="宋体"/>
                <w:color w:val="000000"/>
                <w:kern w:val="0"/>
                <w:sz w:val="20"/>
              </w:rPr>
              <w:t>拆除面积</w:t>
            </w:r>
            <w:r>
              <w:rPr>
                <w:color w:val="000000"/>
                <w:kern w:val="0"/>
                <w:sz w:val="20"/>
              </w:rPr>
              <w:t>2806m</w:t>
            </w:r>
            <w:r>
              <w:rPr>
                <w:color w:val="000000"/>
                <w:kern w:val="0"/>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continue"/>
            <w:vAlign w:val="center"/>
          </w:tcPr>
          <w:p>
            <w:pPr>
              <w:widowControl/>
              <w:jc w:val="left"/>
              <w:rPr>
                <w:rFonts w:ascii="宋体" w:hAnsi="宋体" w:cs="宋体"/>
                <w:color w:val="000000"/>
                <w:kern w:val="0"/>
                <w:szCs w:val="21"/>
              </w:rPr>
            </w:pP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不计容建筑面积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4030</w:t>
            </w:r>
          </w:p>
        </w:tc>
        <w:tc>
          <w:tcPr>
            <w:tcW w:w="1088" w:type="dxa"/>
            <w:shd w:val="clear" w:color="auto" w:fill="auto"/>
            <w:vAlign w:val="center"/>
          </w:tcPr>
          <w:p>
            <w:pPr>
              <w:widowControl/>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vMerge w:val="continue"/>
            <w:vAlign w:val="center"/>
          </w:tcPr>
          <w:p>
            <w:pPr>
              <w:widowControl/>
              <w:jc w:val="left"/>
              <w:rPr>
                <w:rFonts w:ascii="宋体" w:hAnsi="宋体" w:cs="宋体"/>
                <w:color w:val="000000"/>
                <w:kern w:val="0"/>
                <w:szCs w:val="21"/>
              </w:rPr>
            </w:pPr>
          </w:p>
        </w:tc>
        <w:tc>
          <w:tcPr>
            <w:tcW w:w="1080"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其中</w:t>
            </w:r>
          </w:p>
        </w:tc>
        <w:tc>
          <w:tcPr>
            <w:tcW w:w="2684" w:type="dxa"/>
            <w:gridSpan w:val="2"/>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地下室建筑面积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4030</w:t>
            </w:r>
          </w:p>
        </w:tc>
        <w:tc>
          <w:tcPr>
            <w:tcW w:w="1088" w:type="dxa"/>
            <w:shd w:val="clear" w:color="auto" w:fill="auto"/>
            <w:vAlign w:val="center"/>
          </w:tcPr>
          <w:p>
            <w:pPr>
              <w:widowControl/>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8" w:type="dxa"/>
            <w:shd w:val="clear" w:color="auto" w:fill="auto"/>
            <w:vAlign w:val="center"/>
          </w:tcPr>
          <w:p>
            <w:pPr>
              <w:widowControl/>
              <w:jc w:val="center"/>
              <w:rPr>
                <w:color w:val="000000"/>
                <w:kern w:val="0"/>
                <w:szCs w:val="21"/>
              </w:rPr>
            </w:pPr>
            <w:r>
              <w:rPr>
                <w:color w:val="000000"/>
                <w:kern w:val="0"/>
                <w:szCs w:val="21"/>
              </w:rPr>
              <w:t>4</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建筑占地面积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10076</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58"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其中</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已建建筑占地面积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3952</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58" w:type="dxa"/>
            <w:vMerge w:val="continue"/>
            <w:vAlign w:val="center"/>
          </w:tcPr>
          <w:p>
            <w:pPr>
              <w:widowControl/>
              <w:jc w:val="left"/>
              <w:rPr>
                <w:rFonts w:ascii="宋体" w:hAnsi="宋体" w:cs="宋体"/>
                <w:color w:val="000000"/>
                <w:kern w:val="0"/>
                <w:szCs w:val="21"/>
              </w:rPr>
            </w:pP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新建建筑占地面积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color w:val="000000"/>
                <w:kern w:val="0"/>
                <w:szCs w:val="21"/>
              </w:rPr>
              <w:t>6124</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58" w:type="dxa"/>
            <w:shd w:val="clear" w:color="auto" w:fill="auto"/>
            <w:vAlign w:val="center"/>
          </w:tcPr>
          <w:p>
            <w:pPr>
              <w:widowControl/>
              <w:jc w:val="center"/>
              <w:rPr>
                <w:color w:val="000000"/>
                <w:kern w:val="0"/>
                <w:sz w:val="20"/>
              </w:rPr>
            </w:pPr>
            <w:r>
              <w:rPr>
                <w:color w:val="000000"/>
                <w:kern w:val="0"/>
                <w:sz w:val="20"/>
              </w:rPr>
              <w:t>5</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可比容积率</w:t>
            </w:r>
          </w:p>
        </w:tc>
        <w:tc>
          <w:tcPr>
            <w:tcW w:w="1130" w:type="dxa"/>
            <w:shd w:val="clear" w:color="auto" w:fill="auto"/>
            <w:vAlign w:val="center"/>
          </w:tcPr>
          <w:p>
            <w:pPr>
              <w:widowControl/>
              <w:jc w:val="center"/>
              <w:rPr>
                <w:color w:val="000000"/>
                <w:kern w:val="0"/>
                <w:szCs w:val="21"/>
              </w:rPr>
            </w:pPr>
            <w:r>
              <w:rPr>
                <w:color w:val="000000"/>
                <w:kern w:val="0"/>
                <w:szCs w:val="21"/>
              </w:rPr>
              <w:t>/</w:t>
            </w:r>
          </w:p>
        </w:tc>
        <w:tc>
          <w:tcPr>
            <w:tcW w:w="1559" w:type="dxa"/>
            <w:shd w:val="clear" w:color="auto" w:fill="auto"/>
            <w:vAlign w:val="center"/>
          </w:tcPr>
          <w:p>
            <w:pPr>
              <w:widowControl/>
              <w:jc w:val="center"/>
              <w:rPr>
                <w:color w:val="000000"/>
                <w:kern w:val="0"/>
                <w:szCs w:val="21"/>
              </w:rPr>
            </w:pPr>
            <w:r>
              <w:rPr>
                <w:color w:val="000000"/>
                <w:kern w:val="0"/>
                <w:szCs w:val="21"/>
              </w:rPr>
              <w:t>0.8</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58"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可比建筑密度</w:t>
            </w:r>
          </w:p>
        </w:tc>
        <w:tc>
          <w:tcPr>
            <w:tcW w:w="1130" w:type="dxa"/>
            <w:shd w:val="clear" w:color="auto" w:fill="auto"/>
            <w:vAlign w:val="center"/>
          </w:tcPr>
          <w:p>
            <w:pPr>
              <w:widowControl/>
              <w:jc w:val="center"/>
              <w:rPr>
                <w:color w:val="000000"/>
                <w:kern w:val="0"/>
                <w:szCs w:val="21"/>
              </w:rPr>
            </w:pPr>
            <w:r>
              <w:rPr>
                <w:color w:val="000000"/>
                <w:kern w:val="0"/>
                <w:szCs w:val="21"/>
              </w:rPr>
              <w:t>%</w:t>
            </w:r>
          </w:p>
        </w:tc>
        <w:tc>
          <w:tcPr>
            <w:tcW w:w="1559" w:type="dxa"/>
            <w:shd w:val="clear" w:color="auto" w:fill="auto"/>
            <w:vAlign w:val="center"/>
          </w:tcPr>
          <w:p>
            <w:pPr>
              <w:widowControl/>
              <w:jc w:val="center"/>
              <w:rPr>
                <w:color w:val="000000"/>
                <w:kern w:val="0"/>
                <w:szCs w:val="21"/>
              </w:rPr>
            </w:pPr>
            <w:r>
              <w:rPr>
                <w:color w:val="000000"/>
                <w:kern w:val="0"/>
                <w:szCs w:val="21"/>
              </w:rPr>
              <w:t>20.95</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58"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绿地率</w:t>
            </w:r>
          </w:p>
        </w:tc>
        <w:tc>
          <w:tcPr>
            <w:tcW w:w="1130" w:type="dxa"/>
            <w:shd w:val="clear" w:color="auto" w:fill="auto"/>
            <w:vAlign w:val="center"/>
          </w:tcPr>
          <w:p>
            <w:pPr>
              <w:widowControl/>
              <w:jc w:val="center"/>
              <w:rPr>
                <w:color w:val="000000"/>
                <w:kern w:val="0"/>
                <w:szCs w:val="21"/>
              </w:rPr>
            </w:pPr>
            <w:r>
              <w:rPr>
                <w:color w:val="000000"/>
                <w:kern w:val="0"/>
                <w:szCs w:val="21"/>
              </w:rPr>
              <w:t>%</w:t>
            </w:r>
          </w:p>
        </w:tc>
        <w:tc>
          <w:tcPr>
            <w:tcW w:w="1559" w:type="dxa"/>
            <w:shd w:val="clear" w:color="auto" w:fill="auto"/>
            <w:vAlign w:val="center"/>
          </w:tcPr>
          <w:p>
            <w:pPr>
              <w:widowControl/>
              <w:jc w:val="center"/>
              <w:rPr>
                <w:color w:val="000000"/>
                <w:kern w:val="0"/>
                <w:szCs w:val="21"/>
              </w:rPr>
            </w:pPr>
            <w:r>
              <w:rPr>
                <w:color w:val="000000"/>
                <w:kern w:val="0"/>
                <w:szCs w:val="21"/>
              </w:rPr>
              <w:t>30</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58"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绿地面积</w:t>
            </w:r>
          </w:p>
        </w:tc>
        <w:tc>
          <w:tcPr>
            <w:tcW w:w="1130" w:type="dxa"/>
            <w:shd w:val="clear" w:color="auto" w:fill="auto"/>
            <w:vAlign w:val="center"/>
          </w:tcPr>
          <w:p>
            <w:pPr>
              <w:widowControl/>
              <w:jc w:val="center"/>
              <w:rPr>
                <w:color w:val="000000"/>
                <w:kern w:val="0"/>
                <w:szCs w:val="21"/>
              </w:rPr>
            </w:pPr>
            <w:r>
              <w:rPr>
                <w:color w:val="000000"/>
                <w:kern w:val="0"/>
                <w:szCs w:val="21"/>
              </w:rPr>
              <w:t>m</w:t>
            </w:r>
            <w:r>
              <w:rPr>
                <w:color w:val="000000"/>
                <w:kern w:val="0"/>
                <w:szCs w:val="21"/>
                <w:vertAlign w:val="superscript"/>
              </w:rPr>
              <w:t>2</w:t>
            </w:r>
          </w:p>
        </w:tc>
        <w:tc>
          <w:tcPr>
            <w:tcW w:w="1559" w:type="dxa"/>
            <w:shd w:val="clear" w:color="auto" w:fill="auto"/>
            <w:vAlign w:val="center"/>
          </w:tcPr>
          <w:p>
            <w:pPr>
              <w:widowControl/>
              <w:jc w:val="center"/>
              <w:rPr>
                <w:color w:val="000000"/>
                <w:kern w:val="0"/>
                <w:szCs w:val="21"/>
              </w:rPr>
            </w:pPr>
            <w:r>
              <w:rPr>
                <w:rFonts w:hint="eastAsia"/>
                <w:color w:val="000000"/>
                <w:kern w:val="0"/>
                <w:szCs w:val="21"/>
              </w:rPr>
              <w:t>23914</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58"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机动车停车位</w:t>
            </w:r>
          </w:p>
        </w:tc>
        <w:tc>
          <w:tcPr>
            <w:tcW w:w="1130"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辆</w:t>
            </w:r>
          </w:p>
        </w:tc>
        <w:tc>
          <w:tcPr>
            <w:tcW w:w="1559" w:type="dxa"/>
            <w:shd w:val="clear" w:color="auto" w:fill="auto"/>
            <w:vAlign w:val="center"/>
          </w:tcPr>
          <w:p>
            <w:pPr>
              <w:widowControl/>
              <w:jc w:val="center"/>
              <w:rPr>
                <w:color w:val="000000"/>
                <w:kern w:val="0"/>
                <w:szCs w:val="21"/>
              </w:rPr>
            </w:pPr>
            <w:r>
              <w:rPr>
                <w:color w:val="000000"/>
                <w:kern w:val="0"/>
                <w:szCs w:val="21"/>
              </w:rPr>
              <w:t>140</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58"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其中</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地面停车位</w:t>
            </w:r>
          </w:p>
        </w:tc>
        <w:tc>
          <w:tcPr>
            <w:tcW w:w="1130"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辆</w:t>
            </w:r>
          </w:p>
        </w:tc>
        <w:tc>
          <w:tcPr>
            <w:tcW w:w="1559" w:type="dxa"/>
            <w:shd w:val="clear" w:color="auto" w:fill="auto"/>
            <w:vAlign w:val="center"/>
          </w:tcPr>
          <w:p>
            <w:pPr>
              <w:widowControl/>
              <w:jc w:val="center"/>
              <w:rPr>
                <w:color w:val="000000"/>
                <w:kern w:val="0"/>
                <w:szCs w:val="21"/>
              </w:rPr>
            </w:pPr>
            <w:r>
              <w:rPr>
                <w:color w:val="000000"/>
                <w:kern w:val="0"/>
                <w:szCs w:val="21"/>
              </w:rPr>
              <w:t>63</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58" w:type="dxa"/>
            <w:vMerge w:val="continue"/>
            <w:vAlign w:val="center"/>
          </w:tcPr>
          <w:p>
            <w:pPr>
              <w:widowControl/>
              <w:jc w:val="left"/>
              <w:rPr>
                <w:rFonts w:ascii="宋体" w:hAnsi="宋体" w:cs="宋体"/>
                <w:color w:val="000000"/>
                <w:kern w:val="0"/>
                <w:szCs w:val="21"/>
              </w:rPr>
            </w:pP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地下停车位</w:t>
            </w:r>
          </w:p>
        </w:tc>
        <w:tc>
          <w:tcPr>
            <w:tcW w:w="1130"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辆</w:t>
            </w:r>
          </w:p>
        </w:tc>
        <w:tc>
          <w:tcPr>
            <w:tcW w:w="1559" w:type="dxa"/>
            <w:shd w:val="clear" w:color="auto" w:fill="auto"/>
            <w:vAlign w:val="center"/>
          </w:tcPr>
          <w:p>
            <w:pPr>
              <w:widowControl/>
              <w:jc w:val="center"/>
              <w:rPr>
                <w:color w:val="000000"/>
                <w:kern w:val="0"/>
                <w:szCs w:val="21"/>
              </w:rPr>
            </w:pPr>
            <w:r>
              <w:rPr>
                <w:color w:val="000000"/>
                <w:kern w:val="0"/>
                <w:szCs w:val="21"/>
              </w:rPr>
              <w:t>77</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58" w:type="dxa"/>
            <w:shd w:val="clear" w:color="auto" w:fill="auto"/>
            <w:vAlign w:val="center"/>
          </w:tcPr>
          <w:p>
            <w:pPr>
              <w:widowControl/>
              <w:jc w:val="center"/>
              <w:rPr>
                <w:color w:val="000000"/>
                <w:kern w:val="0"/>
                <w:szCs w:val="21"/>
              </w:rPr>
            </w:pPr>
            <w:r>
              <w:rPr>
                <w:color w:val="000000"/>
                <w:kern w:val="0"/>
                <w:szCs w:val="21"/>
              </w:rPr>
              <w:t>10</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非机动车停车数</w:t>
            </w:r>
          </w:p>
        </w:tc>
        <w:tc>
          <w:tcPr>
            <w:tcW w:w="1130"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辆</w:t>
            </w:r>
          </w:p>
        </w:tc>
        <w:tc>
          <w:tcPr>
            <w:tcW w:w="1559" w:type="dxa"/>
            <w:shd w:val="clear" w:color="auto" w:fill="auto"/>
            <w:vAlign w:val="center"/>
          </w:tcPr>
          <w:p>
            <w:pPr>
              <w:widowControl/>
              <w:jc w:val="center"/>
              <w:rPr>
                <w:color w:val="000000"/>
                <w:kern w:val="0"/>
                <w:szCs w:val="21"/>
              </w:rPr>
            </w:pPr>
            <w:r>
              <w:rPr>
                <w:color w:val="000000"/>
                <w:kern w:val="0"/>
                <w:szCs w:val="21"/>
              </w:rPr>
              <w:t>1560</w:t>
            </w:r>
          </w:p>
        </w:tc>
        <w:tc>
          <w:tcPr>
            <w:tcW w:w="1088" w:type="dxa"/>
            <w:shd w:val="clear" w:color="auto" w:fill="auto"/>
            <w:vAlign w:val="center"/>
          </w:tcPr>
          <w:p>
            <w:pPr>
              <w:widowControl/>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58" w:type="dxa"/>
            <w:shd w:val="clear" w:color="auto" w:fill="auto"/>
            <w:vAlign w:val="center"/>
          </w:tcPr>
          <w:p>
            <w:pPr>
              <w:widowControl/>
              <w:jc w:val="center"/>
              <w:rPr>
                <w:color w:val="000000"/>
                <w:kern w:val="0"/>
                <w:szCs w:val="21"/>
              </w:rPr>
            </w:pPr>
            <w:r>
              <w:rPr>
                <w:color w:val="000000"/>
                <w:kern w:val="0"/>
                <w:szCs w:val="21"/>
              </w:rPr>
              <w:t>11</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办学规模（班级数）</w:t>
            </w:r>
          </w:p>
        </w:tc>
        <w:tc>
          <w:tcPr>
            <w:tcW w:w="1130"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班</w:t>
            </w:r>
          </w:p>
        </w:tc>
        <w:tc>
          <w:tcPr>
            <w:tcW w:w="1559" w:type="dxa"/>
            <w:shd w:val="clear" w:color="auto" w:fill="auto"/>
            <w:vAlign w:val="center"/>
          </w:tcPr>
          <w:p>
            <w:pPr>
              <w:widowControl/>
              <w:jc w:val="center"/>
              <w:rPr>
                <w:color w:val="000000"/>
                <w:kern w:val="0"/>
                <w:szCs w:val="21"/>
              </w:rPr>
            </w:pPr>
            <w:r>
              <w:rPr>
                <w:color w:val="000000"/>
                <w:kern w:val="0"/>
                <w:szCs w:val="21"/>
              </w:rPr>
              <w:t>78</w:t>
            </w:r>
          </w:p>
        </w:tc>
        <w:tc>
          <w:tcPr>
            <w:tcW w:w="1088" w:type="dxa"/>
            <w:shd w:val="clear" w:color="auto" w:fill="auto"/>
            <w:vAlign w:val="center"/>
          </w:tcPr>
          <w:p>
            <w:pPr>
              <w:widowControl/>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58"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其中</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初中部</w:t>
            </w:r>
          </w:p>
        </w:tc>
        <w:tc>
          <w:tcPr>
            <w:tcW w:w="1130"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班</w:t>
            </w:r>
          </w:p>
        </w:tc>
        <w:tc>
          <w:tcPr>
            <w:tcW w:w="1559" w:type="dxa"/>
            <w:shd w:val="clear" w:color="auto" w:fill="auto"/>
            <w:vAlign w:val="center"/>
          </w:tcPr>
          <w:p>
            <w:pPr>
              <w:widowControl/>
              <w:jc w:val="center"/>
              <w:rPr>
                <w:color w:val="000000"/>
                <w:kern w:val="0"/>
                <w:szCs w:val="21"/>
              </w:rPr>
            </w:pPr>
            <w:r>
              <w:rPr>
                <w:color w:val="000000"/>
                <w:kern w:val="0"/>
                <w:szCs w:val="21"/>
              </w:rPr>
              <w:t>48</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58" w:type="dxa"/>
            <w:vMerge w:val="continue"/>
            <w:vAlign w:val="center"/>
          </w:tcPr>
          <w:p>
            <w:pPr>
              <w:widowControl/>
              <w:jc w:val="left"/>
              <w:rPr>
                <w:rFonts w:ascii="宋体" w:hAnsi="宋体" w:cs="宋体"/>
                <w:color w:val="000000"/>
                <w:kern w:val="0"/>
                <w:szCs w:val="21"/>
              </w:rPr>
            </w:pP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高中部</w:t>
            </w:r>
          </w:p>
        </w:tc>
        <w:tc>
          <w:tcPr>
            <w:tcW w:w="1130"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班</w:t>
            </w:r>
          </w:p>
        </w:tc>
        <w:tc>
          <w:tcPr>
            <w:tcW w:w="1559" w:type="dxa"/>
            <w:shd w:val="clear" w:color="auto" w:fill="auto"/>
            <w:vAlign w:val="center"/>
          </w:tcPr>
          <w:p>
            <w:pPr>
              <w:widowControl/>
              <w:jc w:val="center"/>
              <w:rPr>
                <w:color w:val="000000"/>
                <w:kern w:val="0"/>
                <w:szCs w:val="21"/>
              </w:rPr>
            </w:pPr>
            <w:r>
              <w:rPr>
                <w:color w:val="000000"/>
                <w:kern w:val="0"/>
                <w:szCs w:val="21"/>
              </w:rPr>
              <w:t>30</w:t>
            </w:r>
          </w:p>
        </w:tc>
        <w:tc>
          <w:tcPr>
            <w:tcW w:w="1088" w:type="dxa"/>
            <w:shd w:val="clear" w:color="auto" w:fill="auto"/>
            <w:vAlign w:val="center"/>
          </w:tcPr>
          <w:p>
            <w:pPr>
              <w:widowControl/>
              <w:jc w:val="center"/>
              <w:rPr>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58" w:type="dxa"/>
            <w:shd w:val="clear" w:color="auto" w:fill="auto"/>
            <w:vAlign w:val="center"/>
          </w:tcPr>
          <w:p>
            <w:pPr>
              <w:widowControl/>
              <w:jc w:val="center"/>
              <w:rPr>
                <w:color w:val="000000"/>
                <w:kern w:val="0"/>
                <w:szCs w:val="21"/>
              </w:rPr>
            </w:pPr>
            <w:r>
              <w:rPr>
                <w:color w:val="000000"/>
                <w:kern w:val="0"/>
                <w:szCs w:val="21"/>
              </w:rPr>
              <w:t>10</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师生人数</w:t>
            </w:r>
          </w:p>
        </w:tc>
        <w:tc>
          <w:tcPr>
            <w:tcW w:w="1130"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人</w:t>
            </w:r>
          </w:p>
        </w:tc>
        <w:tc>
          <w:tcPr>
            <w:tcW w:w="1559" w:type="dxa"/>
            <w:shd w:val="clear" w:color="auto" w:fill="auto"/>
            <w:vAlign w:val="center"/>
          </w:tcPr>
          <w:p>
            <w:pPr>
              <w:widowControl/>
              <w:jc w:val="center"/>
              <w:rPr>
                <w:color w:val="000000"/>
                <w:kern w:val="0"/>
                <w:szCs w:val="21"/>
              </w:rPr>
            </w:pPr>
            <w:r>
              <w:rPr>
                <w:rFonts w:hint="eastAsia"/>
                <w:color w:val="000000"/>
                <w:kern w:val="0"/>
                <w:szCs w:val="21"/>
              </w:rPr>
              <w:t>42</w:t>
            </w:r>
            <w:r>
              <w:rPr>
                <w:color w:val="000000"/>
                <w:kern w:val="0"/>
                <w:szCs w:val="21"/>
              </w:rPr>
              <w:t>00</w:t>
            </w:r>
          </w:p>
        </w:tc>
        <w:tc>
          <w:tcPr>
            <w:tcW w:w="1088"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其中教师300人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58" w:type="dxa"/>
            <w:shd w:val="clear" w:color="auto" w:fill="auto"/>
            <w:vAlign w:val="center"/>
          </w:tcPr>
          <w:p>
            <w:pPr>
              <w:widowControl/>
              <w:jc w:val="center"/>
              <w:rPr>
                <w:color w:val="000000"/>
                <w:kern w:val="0"/>
                <w:szCs w:val="21"/>
              </w:rPr>
            </w:pPr>
            <w:r>
              <w:rPr>
                <w:color w:val="000000"/>
                <w:kern w:val="0"/>
                <w:szCs w:val="21"/>
              </w:rPr>
              <w:t>11</w:t>
            </w:r>
          </w:p>
        </w:tc>
        <w:tc>
          <w:tcPr>
            <w:tcW w:w="3764" w:type="dxa"/>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项目总投资</w:t>
            </w:r>
          </w:p>
        </w:tc>
        <w:tc>
          <w:tcPr>
            <w:tcW w:w="1130"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万元</w:t>
            </w:r>
          </w:p>
        </w:tc>
        <w:tc>
          <w:tcPr>
            <w:tcW w:w="1559" w:type="dxa"/>
            <w:shd w:val="clear" w:color="auto" w:fill="auto"/>
            <w:vAlign w:val="center"/>
          </w:tcPr>
          <w:p>
            <w:pPr>
              <w:widowControl/>
              <w:jc w:val="center"/>
              <w:rPr>
                <w:color w:val="000000"/>
                <w:kern w:val="0"/>
                <w:szCs w:val="21"/>
              </w:rPr>
            </w:pPr>
            <w:r>
              <w:rPr>
                <w:color w:val="000000"/>
                <w:kern w:val="0"/>
                <w:szCs w:val="21"/>
              </w:rPr>
              <w:t>13041.38</w:t>
            </w:r>
          </w:p>
        </w:tc>
        <w:tc>
          <w:tcPr>
            <w:tcW w:w="1088" w:type="dxa"/>
            <w:shd w:val="clear" w:color="auto" w:fill="auto"/>
            <w:vAlign w:val="center"/>
          </w:tcPr>
          <w:p>
            <w:pPr>
              <w:widowControl/>
              <w:jc w:val="center"/>
              <w:rPr>
                <w:rFonts w:ascii="宋体" w:hAnsi="宋体" w:cs="宋体"/>
                <w:color w:val="000000"/>
                <w:kern w:val="0"/>
                <w:szCs w:val="21"/>
              </w:rPr>
            </w:pPr>
          </w:p>
        </w:tc>
      </w:tr>
    </w:tbl>
    <w:p>
      <w:pPr>
        <w:pStyle w:val="4"/>
        <w:keepNext w:val="0"/>
        <w:keepLines w:val="0"/>
        <w:autoSpaceDE w:val="0"/>
        <w:autoSpaceDN w:val="0"/>
        <w:adjustRightInd w:val="0"/>
        <w:spacing w:line="360" w:lineRule="auto"/>
        <w:rPr>
          <w:rFonts w:eastAsia="宋体"/>
          <w:b/>
          <w:sz w:val="24"/>
          <w:szCs w:val="24"/>
        </w:rPr>
      </w:pPr>
      <w:bookmarkStart w:id="132" w:name="_Toc400958101"/>
      <w:bookmarkStart w:id="133" w:name="_Toc402445247"/>
      <w:bookmarkStart w:id="134" w:name="_Toc402431681"/>
      <w:bookmarkStart w:id="135" w:name="_Toc486070539"/>
      <w:bookmarkStart w:id="136" w:name="_Toc472321491"/>
      <w:r>
        <w:rPr>
          <w:rFonts w:eastAsia="宋体"/>
          <w:b/>
          <w:sz w:val="24"/>
          <w:szCs w:val="24"/>
        </w:rPr>
        <w:t>3.2.3</w:t>
      </w:r>
      <w:bookmarkEnd w:id="132"/>
      <w:bookmarkEnd w:id="133"/>
      <w:bookmarkEnd w:id="134"/>
      <w:r>
        <w:rPr>
          <w:rFonts w:eastAsia="宋体"/>
          <w:b/>
          <w:sz w:val="24"/>
          <w:szCs w:val="24"/>
        </w:rPr>
        <w:t>平面布置</w:t>
      </w:r>
      <w:bookmarkEnd w:id="135"/>
      <w:bookmarkEnd w:id="136"/>
    </w:p>
    <w:p>
      <w:pPr>
        <w:spacing w:line="360" w:lineRule="auto"/>
        <w:ind w:firstLine="480" w:firstLineChars="200"/>
        <w:rPr>
          <w:sz w:val="24"/>
        </w:rPr>
      </w:pPr>
      <w:r>
        <w:rPr>
          <w:rFonts w:hint="eastAsia"/>
          <w:sz w:val="24"/>
        </w:rPr>
        <w:t>本次新建主要建筑包括为1栋高中部综合楼（含实验室）、1栋体育馆、1栋学生教师周转房（含食堂）等，</w:t>
      </w:r>
      <w:r>
        <w:rPr>
          <w:sz w:val="24"/>
        </w:rPr>
        <w:t>各栋楼楼层平面布局详见下表3.2-2：</w:t>
      </w:r>
    </w:p>
    <w:p>
      <w:pPr>
        <w:spacing w:line="360" w:lineRule="auto"/>
        <w:jc w:val="center"/>
        <w:rPr>
          <w:b/>
          <w:sz w:val="24"/>
        </w:rPr>
      </w:pPr>
      <w:r>
        <w:rPr>
          <w:b/>
          <w:sz w:val="24"/>
        </w:rPr>
        <w:t>表3.2-2  主要</w:t>
      </w:r>
      <w:r>
        <w:rPr>
          <w:rFonts w:hint="eastAsia"/>
          <w:b/>
          <w:sz w:val="24"/>
        </w:rPr>
        <w:t>建筑功能布局</w:t>
      </w:r>
      <w:r>
        <w:rPr>
          <w:b/>
          <w:sz w:val="24"/>
        </w:rPr>
        <w:t>一览表</w:t>
      </w:r>
    </w:p>
    <w:tbl>
      <w:tblPr>
        <w:tblStyle w:val="24"/>
        <w:tblW w:w="850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1790"/>
        <w:gridCol w:w="4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985" w:type="dxa"/>
            <w:vAlign w:val="center"/>
          </w:tcPr>
          <w:p>
            <w:pPr>
              <w:pStyle w:val="8"/>
              <w:jc w:val="center"/>
            </w:pPr>
            <w:r>
              <w:t>建筑名</w:t>
            </w:r>
          </w:p>
        </w:tc>
        <w:tc>
          <w:tcPr>
            <w:tcW w:w="1790" w:type="dxa"/>
            <w:vAlign w:val="center"/>
          </w:tcPr>
          <w:p>
            <w:pPr>
              <w:pStyle w:val="8"/>
              <w:jc w:val="center"/>
            </w:pPr>
            <w:r>
              <w:t>楼层</w:t>
            </w:r>
          </w:p>
        </w:tc>
        <w:tc>
          <w:tcPr>
            <w:tcW w:w="4730" w:type="dxa"/>
            <w:vAlign w:val="center"/>
          </w:tcPr>
          <w:p>
            <w:pPr>
              <w:pStyle w:val="8"/>
              <w:jc w:val="center"/>
            </w:pPr>
            <w:r>
              <w:t>功能布局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85" w:type="dxa"/>
            <w:vMerge w:val="restart"/>
            <w:vAlign w:val="center"/>
          </w:tcPr>
          <w:p>
            <w:pPr>
              <w:pStyle w:val="8"/>
              <w:jc w:val="center"/>
            </w:pPr>
            <w:r>
              <w:t>高中部综合楼</w:t>
            </w:r>
          </w:p>
          <w:p>
            <w:pPr>
              <w:pStyle w:val="8"/>
              <w:jc w:val="center"/>
            </w:pPr>
            <w:r>
              <w:rPr>
                <w:rFonts w:hint="eastAsia"/>
              </w:rPr>
              <w:t>（含实验室）</w:t>
            </w:r>
          </w:p>
        </w:tc>
        <w:tc>
          <w:tcPr>
            <w:tcW w:w="1790" w:type="dxa"/>
            <w:vAlign w:val="center"/>
          </w:tcPr>
          <w:p>
            <w:pPr>
              <w:pStyle w:val="8"/>
              <w:jc w:val="center"/>
            </w:pPr>
            <w:r>
              <w:t>1F</w:t>
            </w:r>
          </w:p>
        </w:tc>
        <w:tc>
          <w:tcPr>
            <w:tcW w:w="4730" w:type="dxa"/>
            <w:vAlign w:val="center"/>
          </w:tcPr>
          <w:p>
            <w:pPr>
              <w:pStyle w:val="8"/>
              <w:jc w:val="center"/>
            </w:pPr>
            <w:r>
              <w:rPr>
                <w:rFonts w:hint="eastAsia"/>
              </w:rPr>
              <w:t>教室、仪器室、化学实验室、准备室、实验办公室等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85" w:type="dxa"/>
            <w:vMerge w:val="continue"/>
            <w:vAlign w:val="center"/>
          </w:tcPr>
          <w:p>
            <w:pPr>
              <w:pStyle w:val="8"/>
              <w:jc w:val="center"/>
            </w:pPr>
          </w:p>
        </w:tc>
        <w:tc>
          <w:tcPr>
            <w:tcW w:w="1790" w:type="dxa"/>
            <w:vAlign w:val="center"/>
          </w:tcPr>
          <w:p>
            <w:pPr>
              <w:pStyle w:val="8"/>
              <w:jc w:val="center"/>
            </w:pPr>
            <w:r>
              <w:t>2F</w:t>
            </w:r>
          </w:p>
        </w:tc>
        <w:tc>
          <w:tcPr>
            <w:tcW w:w="4730" w:type="dxa"/>
            <w:vAlign w:val="center"/>
          </w:tcPr>
          <w:p>
            <w:pPr>
              <w:pStyle w:val="8"/>
              <w:jc w:val="center"/>
            </w:pPr>
            <w:r>
              <w:rPr>
                <w:rFonts w:hint="eastAsia"/>
              </w:rPr>
              <w:t>括教室、仪器室、生态馆、生物实验室、准备室、实验办公室、生物标本室、生物组培实验室等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985" w:type="dxa"/>
            <w:vMerge w:val="continue"/>
            <w:vAlign w:val="center"/>
          </w:tcPr>
          <w:p>
            <w:pPr>
              <w:pStyle w:val="8"/>
              <w:jc w:val="center"/>
            </w:pPr>
          </w:p>
        </w:tc>
        <w:tc>
          <w:tcPr>
            <w:tcW w:w="1790" w:type="dxa"/>
            <w:vAlign w:val="center"/>
          </w:tcPr>
          <w:p>
            <w:pPr>
              <w:pStyle w:val="8"/>
              <w:jc w:val="center"/>
            </w:pPr>
            <w:r>
              <w:t>3F</w:t>
            </w:r>
          </w:p>
        </w:tc>
        <w:tc>
          <w:tcPr>
            <w:tcW w:w="4730" w:type="dxa"/>
            <w:vAlign w:val="center"/>
          </w:tcPr>
          <w:p>
            <w:pPr>
              <w:pStyle w:val="8"/>
              <w:jc w:val="center"/>
            </w:pPr>
            <w:r>
              <w:rPr>
                <w:rFonts w:hint="eastAsia"/>
              </w:rPr>
              <w:t>教室、仪器室、物理实验室、准备室、实验办公室、教研室等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985" w:type="dxa"/>
            <w:vMerge w:val="continue"/>
            <w:vAlign w:val="center"/>
          </w:tcPr>
          <w:p>
            <w:pPr>
              <w:pStyle w:val="8"/>
              <w:jc w:val="center"/>
            </w:pPr>
          </w:p>
        </w:tc>
        <w:tc>
          <w:tcPr>
            <w:tcW w:w="1790" w:type="dxa"/>
            <w:vAlign w:val="center"/>
          </w:tcPr>
          <w:p>
            <w:pPr>
              <w:pStyle w:val="8"/>
              <w:jc w:val="center"/>
            </w:pPr>
            <w:r>
              <w:t>4F</w:t>
            </w:r>
          </w:p>
        </w:tc>
        <w:tc>
          <w:tcPr>
            <w:tcW w:w="4730" w:type="dxa"/>
            <w:vAlign w:val="center"/>
          </w:tcPr>
          <w:p>
            <w:pPr>
              <w:pStyle w:val="8"/>
              <w:jc w:val="center"/>
            </w:pPr>
            <w:r>
              <w:rPr>
                <w:rFonts w:hint="eastAsia"/>
              </w:rPr>
              <w:t>教室、历史教室、地理教室、科技活动室、书法教室、教研室等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85" w:type="dxa"/>
            <w:vMerge w:val="continue"/>
            <w:vAlign w:val="center"/>
          </w:tcPr>
          <w:p>
            <w:pPr>
              <w:pStyle w:val="8"/>
              <w:jc w:val="center"/>
            </w:pPr>
          </w:p>
        </w:tc>
        <w:tc>
          <w:tcPr>
            <w:tcW w:w="1790" w:type="dxa"/>
            <w:vAlign w:val="center"/>
          </w:tcPr>
          <w:p>
            <w:pPr>
              <w:pStyle w:val="8"/>
              <w:jc w:val="center"/>
            </w:pPr>
            <w:r>
              <w:t>5F</w:t>
            </w:r>
          </w:p>
        </w:tc>
        <w:tc>
          <w:tcPr>
            <w:tcW w:w="4730" w:type="dxa"/>
            <w:vAlign w:val="center"/>
          </w:tcPr>
          <w:p>
            <w:pPr>
              <w:pStyle w:val="8"/>
              <w:jc w:val="center"/>
            </w:pPr>
            <w:r>
              <w:rPr>
                <w:rFonts w:hint="eastAsia"/>
              </w:rPr>
              <w:t>教室、计算机教室、机器人专用教室、模型制作室、教研室等用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85" w:type="dxa"/>
            <w:vMerge w:val="restart"/>
            <w:vAlign w:val="center"/>
          </w:tcPr>
          <w:p>
            <w:pPr>
              <w:pStyle w:val="8"/>
              <w:jc w:val="center"/>
              <w:rPr>
                <w:szCs w:val="28"/>
              </w:rPr>
            </w:pPr>
            <w:r>
              <w:rPr>
                <w:rFonts w:hint="eastAsia"/>
              </w:rPr>
              <w:t>体育馆</w:t>
            </w:r>
          </w:p>
        </w:tc>
        <w:tc>
          <w:tcPr>
            <w:tcW w:w="1790" w:type="dxa"/>
            <w:vAlign w:val="center"/>
          </w:tcPr>
          <w:p>
            <w:pPr>
              <w:pStyle w:val="8"/>
              <w:jc w:val="center"/>
            </w:pPr>
            <w:r>
              <w:t>1F</w:t>
            </w:r>
          </w:p>
        </w:tc>
        <w:tc>
          <w:tcPr>
            <w:tcW w:w="4730" w:type="dxa"/>
            <w:vAlign w:val="center"/>
          </w:tcPr>
          <w:p>
            <w:pPr>
              <w:pStyle w:val="8"/>
              <w:jc w:val="center"/>
            </w:pPr>
            <w:r>
              <w:rPr>
                <w:rFonts w:hint="eastAsia"/>
              </w:rPr>
              <w:t>体育馆一层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985" w:type="dxa"/>
            <w:vMerge w:val="continue"/>
            <w:vAlign w:val="center"/>
          </w:tcPr>
          <w:p>
            <w:pPr>
              <w:pStyle w:val="8"/>
              <w:jc w:val="center"/>
            </w:pPr>
          </w:p>
        </w:tc>
        <w:tc>
          <w:tcPr>
            <w:tcW w:w="1790" w:type="dxa"/>
            <w:vAlign w:val="center"/>
          </w:tcPr>
          <w:p>
            <w:pPr>
              <w:pStyle w:val="8"/>
              <w:jc w:val="center"/>
            </w:pPr>
            <w:r>
              <w:t>2F</w:t>
            </w:r>
          </w:p>
        </w:tc>
        <w:tc>
          <w:tcPr>
            <w:tcW w:w="4730" w:type="dxa"/>
            <w:vAlign w:val="center"/>
          </w:tcPr>
          <w:p>
            <w:pPr>
              <w:pStyle w:val="8"/>
              <w:jc w:val="center"/>
            </w:pPr>
            <w:r>
              <w:rPr>
                <w:rFonts w:hint="eastAsia"/>
              </w:rPr>
              <w:t>体育馆二层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85" w:type="dxa"/>
            <w:vMerge w:val="restart"/>
            <w:vAlign w:val="center"/>
          </w:tcPr>
          <w:p>
            <w:pPr>
              <w:pStyle w:val="8"/>
              <w:jc w:val="center"/>
            </w:pPr>
            <w:r>
              <w:rPr>
                <w:rFonts w:hint="eastAsia"/>
              </w:rPr>
              <w:t>学生、教师周转房</w:t>
            </w:r>
          </w:p>
        </w:tc>
        <w:tc>
          <w:tcPr>
            <w:tcW w:w="1790" w:type="dxa"/>
            <w:vAlign w:val="center"/>
          </w:tcPr>
          <w:p>
            <w:pPr>
              <w:pStyle w:val="8"/>
              <w:jc w:val="center"/>
            </w:pPr>
            <w:r>
              <w:t>1F</w:t>
            </w:r>
          </w:p>
        </w:tc>
        <w:tc>
          <w:tcPr>
            <w:tcW w:w="4730" w:type="dxa"/>
            <w:vAlign w:val="center"/>
          </w:tcPr>
          <w:p>
            <w:pPr>
              <w:pStyle w:val="8"/>
              <w:jc w:val="center"/>
            </w:pPr>
            <w:r>
              <w:rPr>
                <w:rFonts w:hint="eastAsia"/>
              </w:rPr>
              <w:t>食堂、配电房、发动机房等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85" w:type="dxa"/>
            <w:vMerge w:val="continue"/>
            <w:vAlign w:val="center"/>
          </w:tcPr>
          <w:p>
            <w:pPr>
              <w:pStyle w:val="8"/>
              <w:jc w:val="center"/>
            </w:pPr>
          </w:p>
        </w:tc>
        <w:tc>
          <w:tcPr>
            <w:tcW w:w="1790" w:type="dxa"/>
            <w:vAlign w:val="center"/>
          </w:tcPr>
          <w:p>
            <w:pPr>
              <w:pStyle w:val="8"/>
              <w:jc w:val="center"/>
            </w:pPr>
            <w:r>
              <w:t>2</w:t>
            </w:r>
            <w:r>
              <w:rPr>
                <w:rFonts w:hint="eastAsia"/>
              </w:rPr>
              <w:t>-6</w:t>
            </w:r>
            <w:r>
              <w:t>F</w:t>
            </w:r>
          </w:p>
        </w:tc>
        <w:tc>
          <w:tcPr>
            <w:tcW w:w="4730" w:type="dxa"/>
            <w:vAlign w:val="center"/>
          </w:tcPr>
          <w:p>
            <w:pPr>
              <w:pStyle w:val="8"/>
              <w:jc w:val="center"/>
            </w:pPr>
            <w:r>
              <w:rPr>
                <w:rFonts w:hint="eastAsia"/>
              </w:rPr>
              <w:t>学生宿舍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85" w:type="dxa"/>
            <w:vMerge w:val="continue"/>
            <w:vAlign w:val="center"/>
          </w:tcPr>
          <w:p>
            <w:pPr>
              <w:pStyle w:val="8"/>
              <w:jc w:val="center"/>
            </w:pPr>
          </w:p>
        </w:tc>
        <w:tc>
          <w:tcPr>
            <w:tcW w:w="1790" w:type="dxa"/>
            <w:vAlign w:val="center"/>
          </w:tcPr>
          <w:p>
            <w:pPr>
              <w:pStyle w:val="8"/>
              <w:jc w:val="center"/>
            </w:pPr>
            <w:r>
              <w:rPr>
                <w:rFonts w:hint="eastAsia"/>
              </w:rPr>
              <w:t>7-11</w:t>
            </w:r>
            <w:r>
              <w:t>F</w:t>
            </w:r>
          </w:p>
        </w:tc>
        <w:tc>
          <w:tcPr>
            <w:tcW w:w="4730" w:type="dxa"/>
            <w:vAlign w:val="center"/>
          </w:tcPr>
          <w:p>
            <w:pPr>
              <w:pStyle w:val="8"/>
              <w:jc w:val="center"/>
            </w:pPr>
            <w:r>
              <w:rPr>
                <w:rFonts w:hint="eastAsia"/>
              </w:rPr>
              <w:t>教师周转房</w:t>
            </w:r>
          </w:p>
        </w:tc>
      </w:tr>
    </w:tbl>
    <w:p>
      <w:pPr>
        <w:spacing w:line="360" w:lineRule="auto"/>
        <w:jc w:val="center"/>
        <w:rPr>
          <w:b/>
          <w:sz w:val="24"/>
        </w:rPr>
      </w:pPr>
    </w:p>
    <w:p>
      <w:pPr>
        <w:spacing w:line="360" w:lineRule="auto"/>
        <w:ind w:firstLine="480" w:firstLineChars="200"/>
        <w:rPr>
          <w:sz w:val="24"/>
        </w:rPr>
        <w:sectPr>
          <w:pgSz w:w="11907" w:h="16840"/>
          <w:pgMar w:top="1418" w:right="1418" w:bottom="1418" w:left="1701" w:header="1134" w:footer="1134" w:gutter="0"/>
          <w:cols w:space="720" w:num="1"/>
          <w:docGrid w:linePitch="494" w:charSpace="0"/>
        </w:sectPr>
      </w:pPr>
      <w:r>
        <w:rPr>
          <w:sz w:val="24"/>
        </w:rPr>
        <w:t>本项目总平面布置详见图3.2-1，地下室平面布置详见图3.2-2</w:t>
      </w:r>
      <w:r>
        <w:rPr>
          <w:rFonts w:hint="eastAsia"/>
          <w:sz w:val="24"/>
        </w:rPr>
        <w:t>，</w:t>
      </w:r>
      <w:r>
        <w:rPr>
          <w:sz w:val="24"/>
        </w:rPr>
        <w:t>项目管综平面图详见图</w:t>
      </w:r>
      <w:r>
        <w:rPr>
          <w:rFonts w:hint="eastAsia"/>
          <w:sz w:val="24"/>
        </w:rPr>
        <w:t>3.2-3。</w:t>
      </w:r>
    </w:p>
    <w:p>
      <w:pPr>
        <w:spacing w:line="360" w:lineRule="auto"/>
        <w:jc w:val="center"/>
        <w:rPr>
          <w:b/>
          <w:sz w:val="24"/>
        </w:rPr>
      </w:pPr>
      <w:r>
        <w:rPr>
          <w:b/>
          <w:sz w:val="24"/>
        </w:rPr>
        <w:pict>
          <v:shape id="_x0000_s1682" o:spid="_x0000_s1682" o:spt="202" type="#_x0000_t202" style="position:absolute;left:0pt;margin-left:556.6pt;margin-top:253.9pt;height:15.45pt;width:77.1pt;z-index:251714560;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食堂油烟</w:t>
                  </w:r>
                </w:p>
              </w:txbxContent>
            </v:textbox>
          </v:shape>
        </w:pict>
      </w:r>
      <w:r>
        <w:rPr>
          <w:b/>
          <w:sz w:val="24"/>
        </w:rPr>
        <w:pict>
          <v:shape id="_x0000_s1683" o:spid="_x0000_s1683" o:spt="5" type="#_x0000_t5" style="position:absolute;left:0pt;margin-left:606.5pt;margin-top:277.35pt;height:9.8pt;width:10.7pt;z-index:251715584;mso-width-relative:page;mso-height-relative:page;" fillcolor="#FF0000" filled="t" coordsize="21600,21600">
            <v:path/>
            <v:fill on="t" focussize="0,0"/>
            <v:stroke joinstyle="miter"/>
            <v:imagedata o:title=""/>
            <o:lock v:ext="edit"/>
          </v:shape>
        </w:pict>
      </w:r>
      <w:r>
        <w:rPr>
          <w:b/>
          <w:sz w:val="24"/>
        </w:rPr>
        <w:pict>
          <v:shape id="_x0000_s1671" o:spid="_x0000_s1671" o:spt="202" type="#_x0000_t202" style="position:absolute;left:0pt;margin-left:519.25pt;margin-top:271.7pt;height:15.45pt;width:77.1pt;z-index:251712512;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b/>
                      <w:color w:val="FF0000"/>
                      <w:sz w:val="18"/>
                      <w:szCs w:val="18"/>
                    </w:rPr>
                    <w:t>柴油发电机机烟囱</w:t>
                  </w:r>
                </w:p>
              </w:txbxContent>
            </v:textbox>
          </v:shape>
        </w:pict>
      </w:r>
      <w:r>
        <w:rPr>
          <w:b/>
          <w:sz w:val="24"/>
        </w:rPr>
        <w:pict>
          <v:shape id="_x0000_s1672" o:spid="_x0000_s1672" o:spt="5" type="#_x0000_t5" style="position:absolute;left:0pt;margin-left:569.15pt;margin-top:295.15pt;height:9.8pt;width:10.7pt;z-index:251713536;mso-width-relative:page;mso-height-relative:page;" fillcolor="#FF0000" filled="t" coordsize="21600,21600">
            <v:path/>
            <v:fill on="t" focussize="0,0"/>
            <v:stroke joinstyle="miter"/>
            <v:imagedata o:title=""/>
            <o:lock v:ext="edit"/>
          </v:shape>
        </w:pict>
      </w:r>
      <w:r>
        <w:rPr>
          <w:b/>
          <w:sz w:val="24"/>
        </w:rPr>
        <w:drawing>
          <wp:inline distT="0" distB="0" distL="0" distR="0">
            <wp:extent cx="12824460" cy="8253095"/>
            <wp:effectExtent l="0" t="0" r="0" b="0"/>
            <wp:docPr id="11" name="图片 11" descr="C:\Users\Administrator\Desktop\闽侯6中zp去底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闽侯6中zp去底2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t="2300" b="6595"/>
                    <a:stretch>
                      <a:fillRect/>
                    </a:stretch>
                  </pic:blipFill>
                  <pic:spPr>
                    <a:xfrm>
                      <a:off x="0" y="0"/>
                      <a:ext cx="12856995" cy="8274209"/>
                    </a:xfrm>
                    <a:prstGeom prst="rect">
                      <a:avLst/>
                    </a:prstGeom>
                    <a:noFill/>
                    <a:ln>
                      <a:noFill/>
                    </a:ln>
                  </pic:spPr>
                </pic:pic>
              </a:graphicData>
            </a:graphic>
          </wp:inline>
        </w:drawing>
      </w:r>
    </w:p>
    <w:p>
      <w:pPr>
        <w:spacing w:line="360" w:lineRule="auto"/>
        <w:jc w:val="center"/>
        <w:rPr>
          <w:b/>
          <w:sz w:val="24"/>
        </w:rPr>
      </w:pPr>
      <w:r>
        <w:rPr>
          <w:b/>
          <w:sz w:val="24"/>
        </w:rPr>
        <w:pict>
          <v:rect id="_x0000_s1545" o:spid="_x0000_s1545" o:spt="1" style="position:absolute;left:0pt;margin-left:633.7pt;margin-top:250.45pt;height:20.25pt;width:41.7pt;rotation:2386085f;z-index:251672576;mso-width-relative:page;mso-height-relative:page;" fillcolor="#000000" filled="t" coordsize="21600,21600">
            <v:path/>
            <v:fill type="pattern" on="t" o:title="浅色下对角线" focussize="0,0" recolor="t" r:id="rId19"/>
            <v:stroke/>
            <v:imagedata o:title=""/>
            <o:lock v:ext="edit"/>
            <v:textbox>
              <w:txbxContent>
                <w:p>
                  <w:pPr>
                    <w:rPr>
                      <w:b/>
                      <w:color w:val="FF0000"/>
                      <w:sz w:val="15"/>
                    </w:rPr>
                  </w:pPr>
                  <w:r>
                    <w:rPr>
                      <w:rFonts w:hint="eastAsia"/>
                      <w:b/>
                      <w:color w:val="FF0000"/>
                      <w:sz w:val="15"/>
                    </w:rPr>
                    <w:t>化粪池</w:t>
                  </w:r>
                </w:p>
              </w:txbxContent>
            </v:textbox>
          </v:rect>
        </w:pict>
      </w:r>
      <w:r>
        <w:rPr>
          <w:b/>
          <w:sz w:val="24"/>
        </w:rPr>
        <w:pict>
          <v:shape id="_x0000_s1546" o:spid="_x0000_s1546" o:spt="202" type="#_x0000_t202" style="position:absolute;left:0pt;margin-left:548.5pt;margin-top:374.25pt;height:15.45pt;width:77.1pt;z-index:251673600;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rFonts w:hint="eastAsia"/>
                      <w:b/>
                      <w:color w:val="FF0000"/>
                      <w:sz w:val="18"/>
                      <w:szCs w:val="18"/>
                    </w:rPr>
                    <w:t>备用</w:t>
                  </w:r>
                  <w:r>
                    <w:rPr>
                      <w:b/>
                      <w:color w:val="FF0000"/>
                      <w:sz w:val="18"/>
                      <w:szCs w:val="18"/>
                    </w:rPr>
                    <w:t>柴油机烟囱</w:t>
                  </w:r>
                </w:p>
              </w:txbxContent>
            </v:textbox>
          </v:shape>
        </w:pict>
      </w:r>
      <w:r>
        <w:rPr>
          <w:b/>
          <w:sz w:val="24"/>
        </w:rPr>
        <w:pict>
          <v:shape id="_x0000_s1543" o:spid="_x0000_s1543" o:spt="5" type="#_x0000_t5" style="position:absolute;left:0pt;margin-left:546.45pt;margin-top:379.9pt;height:9.8pt;width:10.7pt;z-index:251670528;mso-width-relative:page;mso-height-relative:page;" fillcolor="#FF0000" filled="t" coordsize="21600,21600">
            <v:path/>
            <v:fill on="t" focussize="0,0"/>
            <v:stroke joinstyle="miter"/>
            <v:imagedata o:title=""/>
            <o:lock v:ext="edit"/>
          </v:shape>
        </w:pict>
      </w:r>
      <w:r>
        <w:rPr>
          <w:b/>
          <w:sz w:val="24"/>
        </w:rPr>
        <w:pict>
          <v:shape id="_x0000_s1544" o:spid="_x0000_s1544" o:spt="202" type="#_x0000_t202" style="position:absolute;left:0pt;margin-left:562.45pt;margin-top:253.75pt;height:15.45pt;width:77.1pt;z-index:251671552;mso-width-relative:margin;mso-height-relative:margin;" stroked="f" coordsize="21600,21600">
            <v:path/>
            <v:fill opacity="0f" focussize="0,0"/>
            <v:stroke on="f" joinstyle="miter"/>
            <v:imagedata o:title=""/>
            <o:lock v:ext="edit"/>
            <v:textbox inset="0mm,0mm,0mm,0mm">
              <w:txbxContent>
                <w:p>
                  <w:pPr>
                    <w:jc w:val="center"/>
                    <w:rPr>
                      <w:b/>
                      <w:color w:val="FF0000"/>
                      <w:sz w:val="18"/>
                      <w:szCs w:val="18"/>
                    </w:rPr>
                  </w:pPr>
                  <w:r>
                    <w:rPr>
                      <w:b/>
                      <w:color w:val="FF0000"/>
                      <w:sz w:val="18"/>
                      <w:szCs w:val="18"/>
                    </w:rPr>
                    <w:t>食堂烟囱</w:t>
                  </w:r>
                </w:p>
              </w:txbxContent>
            </v:textbox>
          </v:shape>
        </w:pict>
      </w:r>
      <w:r>
        <w:rPr>
          <w:b/>
          <w:sz w:val="24"/>
        </w:rPr>
        <w:pict>
          <v:shape id="_x0000_s1547" o:spid="_x0000_s1547" o:spt="5" type="#_x0000_t5" style="position:absolute;left:0pt;margin-left:578.15pt;margin-top:265.45pt;height:9.8pt;width:10.7pt;z-index:251674624;mso-width-relative:page;mso-height-relative:page;" fillcolor="#FF0000" filled="t" coordsize="21600,21600">
            <v:path/>
            <v:fill on="t" focussize="0,0"/>
            <v:stroke joinstyle="miter"/>
            <v:imagedata o:title=""/>
            <o:lock v:ext="edit"/>
          </v:shape>
        </w:pict>
      </w:r>
      <w:r>
        <w:rPr>
          <w:b/>
          <w:sz w:val="24"/>
        </w:rPr>
        <w:t>图3.2-1  项目总平面布置图</w:t>
      </w:r>
    </w:p>
    <w:p>
      <w:pPr>
        <w:spacing w:line="360" w:lineRule="auto"/>
        <w:jc w:val="center"/>
        <w:rPr>
          <w:b/>
          <w:sz w:val="24"/>
        </w:rPr>
      </w:pPr>
      <w:r>
        <w:rPr>
          <w:b/>
          <w:sz w:val="24"/>
        </w:rPr>
        <w:pict>
          <v:shape id="_x0000_s1686" o:spid="_x0000_s1686" o:spt="202" type="#_x0000_t202" style="position:absolute;left:0pt;margin-left:666.25pt;margin-top:231.75pt;height:11.7pt;width:36.85pt;z-index:251717632;mso-width-relative:margin;mso-height-relative:margin;" stroked="t" coordsize="21600,21600">
            <v:path/>
            <v:fill opacity="0f" focussize="0,0"/>
            <v:stroke color="#000000" joinstyle="miter"/>
            <v:imagedata o:title=""/>
            <o:lock v:ext="edit"/>
            <v:textbox inset="0mm,0mm,0mm,0mm">
              <w:txbxContent>
                <w:p>
                  <w:pPr>
                    <w:jc w:val="center"/>
                    <w:rPr>
                      <w:b/>
                      <w:color w:val="FF0000"/>
                      <w:sz w:val="18"/>
                      <w:szCs w:val="18"/>
                    </w:rPr>
                  </w:pPr>
                  <w:r>
                    <w:rPr>
                      <w:rFonts w:hint="eastAsia"/>
                      <w:b/>
                      <w:color w:val="FF0000"/>
                      <w:sz w:val="18"/>
                      <w:szCs w:val="18"/>
                    </w:rPr>
                    <w:t>隔油池</w:t>
                  </w:r>
                </w:p>
              </w:txbxContent>
            </v:textbox>
          </v:shape>
        </w:pict>
      </w:r>
      <w:r>
        <w:rPr>
          <w:b/>
          <w:sz w:val="24"/>
        </w:rPr>
        <w:pict>
          <v:shape id="_x0000_s1684" o:spid="_x0000_s1684" o:spt="202" type="#_x0000_t202" style="position:absolute;left:0pt;margin-left:852.25pt;margin-top:382.5pt;height:11.7pt;width:36.85pt;z-index:251716608;mso-width-relative:margin;mso-height-relative:margin;" stroked="t" coordsize="21600,21600">
            <v:path/>
            <v:fill opacity="0f" focussize="0,0"/>
            <v:stroke color="#000000" joinstyle="miter"/>
            <v:imagedata o:title=""/>
            <o:lock v:ext="edit"/>
            <v:textbox inset="0mm,0mm,0mm,0mm">
              <w:txbxContent>
                <w:p>
                  <w:pPr>
                    <w:jc w:val="center"/>
                    <w:rPr>
                      <w:b/>
                      <w:color w:val="FF0000"/>
                      <w:sz w:val="18"/>
                      <w:szCs w:val="18"/>
                    </w:rPr>
                  </w:pPr>
                  <w:r>
                    <w:rPr>
                      <w:rFonts w:hint="eastAsia"/>
                      <w:b/>
                      <w:color w:val="FF0000"/>
                      <w:sz w:val="18"/>
                      <w:szCs w:val="18"/>
                    </w:rPr>
                    <w:t>化粪池</w:t>
                  </w:r>
                </w:p>
              </w:txbxContent>
            </v:textbox>
          </v:shape>
        </w:pict>
      </w:r>
      <w:r>
        <w:rPr>
          <w:b/>
          <w:sz w:val="24"/>
        </w:rPr>
        <w:drawing>
          <wp:inline distT="0" distB="0" distL="0" distR="0">
            <wp:extent cx="12420600" cy="8338820"/>
            <wp:effectExtent l="0" t="0" r="0" b="0"/>
            <wp:docPr id="13" name="图片 13" descr="C:\Users\Administrator\Desktop\闽侯6中管综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闽侯6中管综图.jpg"/>
                    <pic:cNvPicPr>
                      <a:picLocks noChangeAspect="1" noChangeArrowheads="1"/>
                    </pic:cNvPicPr>
                  </pic:nvPicPr>
                  <pic:blipFill>
                    <a:blip r:embed="rId20" cstate="print">
                      <a:extLst>
                        <a:ext uri="{28A0092B-C50C-407E-A947-70E740481C1C}">
                          <a14:useLocalDpi xmlns:a14="http://schemas.microsoft.com/office/drawing/2010/main" val="0"/>
                        </a:ext>
                      </a:extLst>
                    </a:blip>
                    <a:srcRect t="1511" b="3518"/>
                    <a:stretch>
                      <a:fillRect/>
                    </a:stretch>
                  </pic:blipFill>
                  <pic:spPr>
                    <a:xfrm>
                      <a:off x="0" y="0"/>
                      <a:ext cx="12419411" cy="8338590"/>
                    </a:xfrm>
                    <a:prstGeom prst="rect">
                      <a:avLst/>
                    </a:prstGeom>
                    <a:noFill/>
                    <a:ln>
                      <a:noFill/>
                    </a:ln>
                  </pic:spPr>
                </pic:pic>
              </a:graphicData>
            </a:graphic>
          </wp:inline>
        </w:drawing>
      </w:r>
    </w:p>
    <w:p>
      <w:pPr>
        <w:spacing w:line="360" w:lineRule="auto"/>
        <w:jc w:val="center"/>
        <w:rPr>
          <w:color w:val="000000"/>
          <w:sz w:val="24"/>
        </w:rPr>
        <w:sectPr>
          <w:pgSz w:w="23814" w:h="16839" w:orient="landscape"/>
          <w:pgMar w:top="1701" w:right="1418" w:bottom="1418" w:left="1418" w:header="1134" w:footer="1134" w:gutter="0"/>
          <w:cols w:space="720" w:num="1"/>
          <w:docGrid w:linePitch="494" w:charSpace="0"/>
        </w:sectPr>
      </w:pPr>
      <w:r>
        <w:rPr>
          <w:b/>
          <w:color w:val="000000"/>
          <w:sz w:val="24"/>
        </w:rPr>
        <w:t>图3.2-3  项目管综平面图</w:t>
      </w:r>
    </w:p>
    <w:p>
      <w:pPr>
        <w:pStyle w:val="4"/>
        <w:keepNext w:val="0"/>
        <w:keepLines w:val="0"/>
        <w:autoSpaceDE w:val="0"/>
        <w:autoSpaceDN w:val="0"/>
        <w:adjustRightInd w:val="0"/>
        <w:spacing w:line="360" w:lineRule="auto"/>
        <w:rPr>
          <w:rFonts w:eastAsia="宋体"/>
          <w:b/>
          <w:sz w:val="24"/>
          <w:szCs w:val="24"/>
        </w:rPr>
      </w:pPr>
      <w:bookmarkStart w:id="137" w:name="_Toc472321492"/>
      <w:bookmarkStart w:id="138" w:name="_Toc486070540"/>
      <w:r>
        <w:rPr>
          <w:rFonts w:eastAsia="宋体"/>
          <w:b/>
          <w:sz w:val="24"/>
          <w:szCs w:val="24"/>
        </w:rPr>
        <w:t>3.2.4 功能区规划</w:t>
      </w:r>
      <w:bookmarkEnd w:id="137"/>
      <w:bookmarkEnd w:id="138"/>
    </w:p>
    <w:p>
      <w:pPr>
        <w:spacing w:line="360" w:lineRule="auto"/>
        <w:ind w:firstLine="480" w:firstLineChars="200"/>
        <w:rPr>
          <w:color w:val="4F6228" w:themeColor="accent3" w:themeShade="80"/>
          <w:sz w:val="24"/>
        </w:rPr>
      </w:pPr>
      <w:r>
        <w:rPr>
          <w:rFonts w:hint="eastAsia"/>
          <w:sz w:val="24"/>
        </w:rPr>
        <w:t>结合场地的现状，校园共分为三个功能区：生活区，体育活动区，教学区。生活区位于场地中部，由教师周转房及学生宿舍组成。体育活动区位于场地西北部，由体育馆、300 米田径场、篮球场等组成。教学区位于场地南侧，分高中教学区及初中教学区（原校区），含拟建的高中部综合楼。</w:t>
      </w:r>
      <w:r>
        <w:rPr>
          <w:sz w:val="24"/>
        </w:rPr>
        <w:t>本项目</w:t>
      </w:r>
      <w:r>
        <w:rPr>
          <w:rFonts w:hint="eastAsia"/>
          <w:sz w:val="24"/>
        </w:rPr>
        <w:t>将扩</w:t>
      </w:r>
      <w:r>
        <w:rPr>
          <w:sz w:val="24"/>
        </w:rPr>
        <w:t>建</w:t>
      </w:r>
      <w:r>
        <w:rPr>
          <w:rFonts w:hint="eastAsia"/>
          <w:sz w:val="24"/>
        </w:rPr>
        <w:t>1栋高中部综合楼（含实验室）、1栋体育馆、1栋学生教师周转房（含食堂）等</w:t>
      </w:r>
      <w:r>
        <w:rPr>
          <w:sz w:val="24"/>
        </w:rPr>
        <w:t>。其中</w:t>
      </w:r>
      <w:r>
        <w:rPr>
          <w:rFonts w:hint="eastAsia"/>
          <w:sz w:val="24"/>
        </w:rPr>
        <w:t>在食堂一层建有配电房及发电机房</w:t>
      </w:r>
      <w:r>
        <w:rPr>
          <w:sz w:val="24"/>
        </w:rPr>
        <w:t>，主要</w:t>
      </w:r>
      <w:r>
        <w:rPr>
          <w:rFonts w:hint="eastAsia"/>
          <w:sz w:val="24"/>
        </w:rPr>
        <w:t>新增</w:t>
      </w:r>
      <w:r>
        <w:rPr>
          <w:sz w:val="24"/>
        </w:rPr>
        <w:t>设备一览表见表3.2-3。</w:t>
      </w:r>
    </w:p>
    <w:p>
      <w:pPr>
        <w:spacing w:line="360" w:lineRule="auto"/>
        <w:jc w:val="center"/>
        <w:rPr>
          <w:sz w:val="24"/>
        </w:rPr>
      </w:pPr>
      <w:r>
        <w:rPr>
          <w:b/>
          <w:sz w:val="24"/>
        </w:rPr>
        <w:t>表3.2-3  主要</w:t>
      </w:r>
      <w:r>
        <w:rPr>
          <w:rFonts w:hint="eastAsia"/>
          <w:b/>
          <w:sz w:val="24"/>
        </w:rPr>
        <w:t>新增</w:t>
      </w:r>
      <w:r>
        <w:rPr>
          <w:b/>
          <w:sz w:val="24"/>
        </w:rPr>
        <w:t>设备一览表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850"/>
        <w:gridCol w:w="6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pct"/>
            <w:shd w:val="clear" w:color="auto" w:fill="auto"/>
          </w:tcPr>
          <w:p>
            <w:pPr>
              <w:widowControl/>
              <w:jc w:val="center"/>
              <w:rPr>
                <w:kern w:val="0"/>
                <w:szCs w:val="21"/>
              </w:rPr>
            </w:pPr>
            <w:r>
              <w:rPr>
                <w:kern w:val="0"/>
                <w:szCs w:val="21"/>
              </w:rPr>
              <w:t>设备名称</w:t>
            </w:r>
          </w:p>
        </w:tc>
        <w:tc>
          <w:tcPr>
            <w:tcW w:w="472" w:type="pct"/>
            <w:shd w:val="clear" w:color="auto" w:fill="auto"/>
          </w:tcPr>
          <w:p>
            <w:pPr>
              <w:widowControl/>
              <w:jc w:val="center"/>
              <w:rPr>
                <w:kern w:val="0"/>
                <w:szCs w:val="21"/>
              </w:rPr>
            </w:pPr>
            <w:r>
              <w:rPr>
                <w:kern w:val="0"/>
                <w:szCs w:val="21"/>
              </w:rPr>
              <w:t>数量</w:t>
            </w:r>
          </w:p>
        </w:tc>
        <w:tc>
          <w:tcPr>
            <w:tcW w:w="3366" w:type="pct"/>
            <w:shd w:val="clear" w:color="auto" w:fill="auto"/>
          </w:tcPr>
          <w:p>
            <w:pPr>
              <w:widowControl/>
              <w:jc w:val="center"/>
              <w:rPr>
                <w:kern w:val="0"/>
                <w:szCs w:val="21"/>
              </w:rPr>
            </w:pPr>
            <w:r>
              <w:rPr>
                <w:kern w:val="0"/>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pct"/>
            <w:shd w:val="clear" w:color="auto" w:fill="auto"/>
          </w:tcPr>
          <w:p>
            <w:pPr>
              <w:widowControl/>
              <w:jc w:val="center"/>
              <w:rPr>
                <w:kern w:val="0"/>
                <w:szCs w:val="21"/>
              </w:rPr>
            </w:pPr>
            <w:r>
              <w:rPr>
                <w:kern w:val="0"/>
                <w:szCs w:val="21"/>
              </w:rPr>
              <w:t>生活水泵</w:t>
            </w:r>
          </w:p>
        </w:tc>
        <w:tc>
          <w:tcPr>
            <w:tcW w:w="472" w:type="pct"/>
            <w:shd w:val="clear" w:color="auto" w:fill="auto"/>
          </w:tcPr>
          <w:p>
            <w:pPr>
              <w:widowControl/>
              <w:jc w:val="center"/>
              <w:rPr>
                <w:kern w:val="0"/>
                <w:szCs w:val="21"/>
              </w:rPr>
            </w:pPr>
            <w:r>
              <w:rPr>
                <w:kern w:val="0"/>
                <w:szCs w:val="21"/>
              </w:rPr>
              <w:t>1台</w:t>
            </w:r>
          </w:p>
        </w:tc>
        <w:tc>
          <w:tcPr>
            <w:tcW w:w="3366" w:type="pct"/>
            <w:shd w:val="clear" w:color="auto" w:fill="auto"/>
          </w:tcPr>
          <w:p>
            <w:pPr>
              <w:widowControl/>
              <w:jc w:val="center"/>
              <w:rPr>
                <w:kern w:val="0"/>
                <w:szCs w:val="21"/>
              </w:rPr>
            </w:pPr>
            <w:r>
              <w:rPr>
                <w:kern w:val="0"/>
                <w:szCs w:val="21"/>
              </w:rPr>
              <w:t>生活水泵房</w:t>
            </w:r>
            <w:r>
              <w:rPr>
                <w:rFonts w:hint="eastAsia"/>
                <w:kern w:val="0"/>
                <w:szCs w:val="21"/>
              </w:rPr>
              <w:t>（地下室）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pct"/>
            <w:shd w:val="clear" w:color="auto" w:fill="auto"/>
          </w:tcPr>
          <w:p>
            <w:pPr>
              <w:widowControl/>
              <w:jc w:val="center"/>
              <w:rPr>
                <w:kern w:val="0"/>
                <w:szCs w:val="21"/>
              </w:rPr>
            </w:pPr>
            <w:r>
              <w:rPr>
                <w:kern w:val="0"/>
                <w:szCs w:val="21"/>
              </w:rPr>
              <w:t>消防加压泵</w:t>
            </w:r>
          </w:p>
        </w:tc>
        <w:tc>
          <w:tcPr>
            <w:tcW w:w="472" w:type="pct"/>
            <w:shd w:val="clear" w:color="auto" w:fill="auto"/>
          </w:tcPr>
          <w:p>
            <w:pPr>
              <w:widowControl/>
              <w:jc w:val="center"/>
              <w:rPr>
                <w:kern w:val="0"/>
                <w:szCs w:val="21"/>
              </w:rPr>
            </w:pPr>
            <w:r>
              <w:rPr>
                <w:kern w:val="0"/>
                <w:szCs w:val="21"/>
              </w:rPr>
              <w:t>1台</w:t>
            </w:r>
          </w:p>
        </w:tc>
        <w:tc>
          <w:tcPr>
            <w:tcW w:w="3366" w:type="pct"/>
            <w:shd w:val="clear" w:color="auto" w:fill="auto"/>
          </w:tcPr>
          <w:p>
            <w:pPr>
              <w:widowControl/>
              <w:jc w:val="center"/>
              <w:rPr>
                <w:kern w:val="0"/>
                <w:szCs w:val="21"/>
              </w:rPr>
            </w:pPr>
            <w:r>
              <w:rPr>
                <w:kern w:val="0"/>
                <w:szCs w:val="21"/>
              </w:rPr>
              <w:t>消防水泵房</w:t>
            </w:r>
            <w:r>
              <w:rPr>
                <w:rFonts w:hint="eastAsia"/>
                <w:kern w:val="0"/>
                <w:szCs w:val="21"/>
              </w:rPr>
              <w:t>（地下室）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pct"/>
            <w:shd w:val="clear" w:color="auto" w:fill="auto"/>
          </w:tcPr>
          <w:p>
            <w:pPr>
              <w:widowControl/>
              <w:jc w:val="center"/>
              <w:rPr>
                <w:kern w:val="0"/>
                <w:szCs w:val="21"/>
              </w:rPr>
            </w:pPr>
            <w:r>
              <w:rPr>
                <w:kern w:val="0"/>
                <w:szCs w:val="21"/>
              </w:rPr>
              <w:t>变压器</w:t>
            </w:r>
          </w:p>
        </w:tc>
        <w:tc>
          <w:tcPr>
            <w:tcW w:w="472" w:type="pct"/>
            <w:shd w:val="clear" w:color="auto" w:fill="auto"/>
          </w:tcPr>
          <w:p>
            <w:pPr>
              <w:widowControl/>
              <w:jc w:val="center"/>
              <w:rPr>
                <w:kern w:val="0"/>
                <w:szCs w:val="21"/>
              </w:rPr>
            </w:pPr>
            <w:r>
              <w:rPr>
                <w:rFonts w:hint="eastAsia"/>
                <w:kern w:val="0"/>
                <w:szCs w:val="21"/>
              </w:rPr>
              <w:t>2</w:t>
            </w:r>
            <w:r>
              <w:rPr>
                <w:kern w:val="0"/>
                <w:szCs w:val="21"/>
              </w:rPr>
              <w:t>台</w:t>
            </w:r>
          </w:p>
        </w:tc>
        <w:tc>
          <w:tcPr>
            <w:tcW w:w="3366" w:type="pct"/>
            <w:shd w:val="clear" w:color="auto" w:fill="auto"/>
          </w:tcPr>
          <w:p>
            <w:pPr>
              <w:widowControl/>
              <w:jc w:val="center"/>
              <w:rPr>
                <w:kern w:val="0"/>
                <w:szCs w:val="21"/>
              </w:rPr>
            </w:pPr>
            <w:r>
              <w:rPr>
                <w:rFonts w:hint="eastAsia"/>
                <w:kern w:val="0"/>
                <w:szCs w:val="21"/>
              </w:rPr>
              <w:t>2</w:t>
            </w:r>
            <w:r>
              <w:rPr>
                <w:kern w:val="0"/>
                <w:szCs w:val="21"/>
              </w:rPr>
              <w:t>台</w:t>
            </w:r>
            <w:r>
              <w:rPr>
                <w:rFonts w:hint="eastAsia"/>
                <w:kern w:val="0"/>
                <w:szCs w:val="21"/>
              </w:rPr>
              <w:t>1000</w:t>
            </w:r>
            <w:r>
              <w:rPr>
                <w:kern w:val="0"/>
                <w:szCs w:val="21"/>
              </w:rPr>
              <w:t>kVA干式变压器，设在</w:t>
            </w:r>
            <w:r>
              <w:rPr>
                <w:rFonts w:hint="eastAsia"/>
                <w:kern w:val="0"/>
                <w:szCs w:val="21"/>
              </w:rPr>
              <w:t>食堂</w:t>
            </w:r>
            <w:r>
              <w:rPr>
                <w:kern w:val="0"/>
                <w:szCs w:val="21"/>
              </w:rPr>
              <w:t>配电房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pct"/>
            <w:shd w:val="clear" w:color="auto" w:fill="auto"/>
          </w:tcPr>
          <w:p>
            <w:pPr>
              <w:widowControl/>
              <w:tabs>
                <w:tab w:val="left" w:pos="645"/>
                <w:tab w:val="center" w:pos="938"/>
              </w:tabs>
              <w:jc w:val="left"/>
              <w:rPr>
                <w:kern w:val="0"/>
                <w:szCs w:val="21"/>
              </w:rPr>
            </w:pPr>
            <w:r>
              <w:rPr>
                <w:kern w:val="0"/>
                <w:szCs w:val="21"/>
              </w:rPr>
              <w:tab/>
            </w:r>
            <w:r>
              <w:rPr>
                <w:kern w:val="0"/>
                <w:szCs w:val="21"/>
              </w:rPr>
              <w:tab/>
            </w:r>
            <w:r>
              <w:rPr>
                <w:kern w:val="0"/>
                <w:szCs w:val="21"/>
              </w:rPr>
              <w:t>风机</w:t>
            </w:r>
          </w:p>
        </w:tc>
        <w:tc>
          <w:tcPr>
            <w:tcW w:w="472" w:type="pct"/>
            <w:shd w:val="clear" w:color="auto" w:fill="auto"/>
          </w:tcPr>
          <w:p>
            <w:pPr>
              <w:widowControl/>
              <w:jc w:val="center"/>
              <w:rPr>
                <w:kern w:val="0"/>
                <w:szCs w:val="21"/>
              </w:rPr>
            </w:pPr>
            <w:r>
              <w:rPr>
                <w:rFonts w:hint="eastAsia"/>
                <w:kern w:val="0"/>
                <w:szCs w:val="21"/>
              </w:rPr>
              <w:t>若干</w:t>
            </w:r>
          </w:p>
        </w:tc>
        <w:tc>
          <w:tcPr>
            <w:tcW w:w="3366" w:type="pct"/>
            <w:shd w:val="clear" w:color="auto" w:fill="auto"/>
          </w:tcPr>
          <w:p>
            <w:pPr>
              <w:widowControl/>
              <w:jc w:val="center"/>
              <w:rPr>
                <w:kern w:val="0"/>
                <w:szCs w:val="21"/>
              </w:rPr>
            </w:pPr>
            <w:r>
              <w:rPr>
                <w:kern w:val="0"/>
                <w:szCs w:val="21"/>
              </w:rPr>
              <w:t>地下室</w:t>
            </w:r>
            <w:r>
              <w:rPr>
                <w:rFonts w:hint="eastAsia"/>
                <w:kern w:val="0"/>
                <w:szCs w:val="21"/>
              </w:rPr>
              <w:t>、各楼层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pct"/>
            <w:shd w:val="clear" w:color="auto" w:fill="auto"/>
          </w:tcPr>
          <w:p>
            <w:pPr>
              <w:widowControl/>
              <w:jc w:val="center"/>
              <w:rPr>
                <w:kern w:val="0"/>
                <w:szCs w:val="21"/>
              </w:rPr>
            </w:pPr>
            <w:r>
              <w:rPr>
                <w:rFonts w:hint="eastAsia"/>
                <w:kern w:val="0"/>
                <w:szCs w:val="21"/>
              </w:rPr>
              <w:t>备用</w:t>
            </w:r>
            <w:r>
              <w:rPr>
                <w:kern w:val="0"/>
                <w:szCs w:val="21"/>
              </w:rPr>
              <w:t>柴油发电机</w:t>
            </w:r>
          </w:p>
        </w:tc>
        <w:tc>
          <w:tcPr>
            <w:tcW w:w="472" w:type="pct"/>
            <w:shd w:val="clear" w:color="auto" w:fill="auto"/>
          </w:tcPr>
          <w:p>
            <w:pPr>
              <w:widowControl/>
              <w:jc w:val="center"/>
              <w:rPr>
                <w:kern w:val="0"/>
                <w:szCs w:val="21"/>
              </w:rPr>
            </w:pPr>
            <w:r>
              <w:rPr>
                <w:kern w:val="0"/>
                <w:szCs w:val="21"/>
              </w:rPr>
              <w:t>1台</w:t>
            </w:r>
          </w:p>
        </w:tc>
        <w:tc>
          <w:tcPr>
            <w:tcW w:w="3366" w:type="pct"/>
            <w:shd w:val="clear" w:color="auto" w:fill="auto"/>
          </w:tcPr>
          <w:p>
            <w:pPr>
              <w:widowControl/>
              <w:jc w:val="center"/>
              <w:rPr>
                <w:kern w:val="0"/>
                <w:szCs w:val="21"/>
              </w:rPr>
            </w:pPr>
            <w:r>
              <w:rPr>
                <w:rFonts w:hint="eastAsia"/>
                <w:kern w:val="0"/>
                <w:szCs w:val="21"/>
              </w:rPr>
              <w:t>400</w:t>
            </w:r>
            <w:r>
              <w:rPr>
                <w:kern w:val="0"/>
                <w:szCs w:val="21"/>
              </w:rPr>
              <w:t>kW柴油发电机，设在</w:t>
            </w:r>
            <w:r>
              <w:rPr>
                <w:rFonts w:hint="eastAsia"/>
                <w:kern w:val="0"/>
                <w:szCs w:val="21"/>
              </w:rPr>
              <w:t>食堂</w:t>
            </w:r>
            <w:r>
              <w:rPr>
                <w:kern w:val="0"/>
                <w:szCs w:val="21"/>
              </w:rPr>
              <w:t>发电机房</w:t>
            </w:r>
          </w:p>
        </w:tc>
      </w:tr>
      <w:bookmarkEnd w:id="122"/>
      <w:bookmarkEnd w:id="123"/>
      <w:bookmarkEnd w:id="124"/>
      <w:bookmarkEnd w:id="125"/>
      <w:bookmarkEnd w:id="126"/>
    </w:tbl>
    <w:p>
      <w:pPr>
        <w:pStyle w:val="4"/>
        <w:keepNext w:val="0"/>
        <w:keepLines w:val="0"/>
        <w:autoSpaceDE w:val="0"/>
        <w:autoSpaceDN w:val="0"/>
        <w:adjustRightInd w:val="0"/>
        <w:spacing w:line="360" w:lineRule="auto"/>
        <w:rPr>
          <w:rFonts w:eastAsia="宋体"/>
          <w:b/>
          <w:sz w:val="24"/>
          <w:szCs w:val="24"/>
        </w:rPr>
      </w:pPr>
      <w:bookmarkStart w:id="139" w:name="_Toc472321493"/>
      <w:bookmarkStart w:id="140" w:name="_Toc486070541"/>
      <w:r>
        <w:rPr>
          <w:rFonts w:hint="eastAsia" w:eastAsia="宋体"/>
          <w:b/>
          <w:sz w:val="24"/>
          <w:szCs w:val="24"/>
        </w:rPr>
        <w:t>3.2.5 实验室的主要功能</w:t>
      </w:r>
    </w:p>
    <w:p>
      <w:pPr>
        <w:spacing w:line="520" w:lineRule="exact"/>
        <w:ind w:firstLine="482"/>
        <w:rPr>
          <w:sz w:val="24"/>
          <w:szCs w:val="24"/>
        </w:rPr>
      </w:pPr>
      <w:r>
        <w:rPr>
          <w:rFonts w:hint="eastAsia"/>
          <w:sz w:val="24"/>
          <w:szCs w:val="24"/>
        </w:rPr>
        <w:t>本项目拟新建一栋高中部综合楼，在1~3层分别设置化学、生物、物理专用实验室，现有实验楼主要作为初中实验教学使用。</w:t>
      </w:r>
    </w:p>
    <w:p>
      <w:pPr>
        <w:spacing w:line="520" w:lineRule="exact"/>
        <w:ind w:firstLine="482"/>
        <w:rPr>
          <w:sz w:val="24"/>
          <w:szCs w:val="24"/>
        </w:rPr>
      </w:pPr>
      <w:r>
        <w:rPr>
          <w:rFonts w:hint="eastAsia"/>
          <w:sz w:val="24"/>
          <w:szCs w:val="24"/>
        </w:rPr>
        <w:t>（1）物理实验室为高中教学常规实验</w:t>
      </w:r>
    </w:p>
    <w:p>
      <w:pPr>
        <w:spacing w:line="520" w:lineRule="exact"/>
        <w:ind w:firstLine="482"/>
        <w:rPr>
          <w:sz w:val="24"/>
          <w:szCs w:val="24"/>
        </w:rPr>
      </w:pPr>
      <w:r>
        <w:rPr>
          <w:rFonts w:hint="eastAsia"/>
          <w:sz w:val="24"/>
          <w:szCs w:val="24"/>
        </w:rPr>
        <w:t>高中实验室常做的重点实验为游标卡尺和螺旋测微器的测量、验证机械能量守恒定律、测定重力加速度、测金属的电阻率、改装电流表、使用示波器等实验。</w:t>
      </w:r>
    </w:p>
    <w:p>
      <w:pPr>
        <w:spacing w:line="520" w:lineRule="exact"/>
        <w:ind w:firstLine="482"/>
        <w:rPr>
          <w:sz w:val="24"/>
          <w:szCs w:val="24"/>
        </w:rPr>
      </w:pPr>
      <w:r>
        <w:rPr>
          <w:rFonts w:hint="eastAsia"/>
          <w:sz w:val="24"/>
          <w:szCs w:val="24"/>
        </w:rPr>
        <w:t>（2）化学实验室为高中教学常规实验</w:t>
      </w:r>
    </w:p>
    <w:p>
      <w:pPr>
        <w:spacing w:line="520" w:lineRule="exact"/>
        <w:ind w:firstLine="482"/>
        <w:rPr>
          <w:sz w:val="24"/>
          <w:szCs w:val="24"/>
        </w:rPr>
      </w:pPr>
      <w:r>
        <w:rPr>
          <w:rFonts w:hint="eastAsia"/>
          <w:sz w:val="24"/>
          <w:szCs w:val="24"/>
        </w:rPr>
        <w:t>高中实验室常做的重点实验有化合反应、分解反应、置换反应、复分解反应等实验，主要用到的原料有氯化钠、硫酸铜、氢氧化钠、氯化铵、氢氧化钙、盐酸、乙醇、硫酸、硝酸等，设置专门药品储存室、危险化学品储存室。</w:t>
      </w:r>
    </w:p>
    <w:p>
      <w:pPr>
        <w:spacing w:line="520" w:lineRule="exact"/>
        <w:ind w:firstLine="482"/>
        <w:rPr>
          <w:sz w:val="24"/>
          <w:szCs w:val="24"/>
        </w:rPr>
      </w:pPr>
      <w:r>
        <w:rPr>
          <w:rFonts w:hint="eastAsia"/>
          <w:sz w:val="24"/>
          <w:szCs w:val="24"/>
        </w:rPr>
        <w:t>（3）生物实验室为高中教学常规实验</w:t>
      </w:r>
    </w:p>
    <w:p>
      <w:pPr>
        <w:spacing w:line="520" w:lineRule="exact"/>
        <w:ind w:firstLine="482"/>
        <w:rPr>
          <w:sz w:val="24"/>
          <w:szCs w:val="24"/>
        </w:rPr>
      </w:pPr>
      <w:r>
        <w:rPr>
          <w:rFonts w:hint="eastAsia"/>
          <w:sz w:val="24"/>
          <w:szCs w:val="24"/>
        </w:rPr>
        <w:t>高中实验室常做的重点实验有高中实验室常做的重点实验有使用显微镜观察动植物细胞的结构、检测生物组织中成分、叶绿素的提取与分离、观察微生物种群结构等。</w:t>
      </w:r>
    </w:p>
    <w:p>
      <w:pPr>
        <w:pStyle w:val="4"/>
        <w:keepNext w:val="0"/>
        <w:keepLines w:val="0"/>
        <w:autoSpaceDE w:val="0"/>
        <w:autoSpaceDN w:val="0"/>
        <w:adjustRightInd w:val="0"/>
        <w:spacing w:line="360" w:lineRule="auto"/>
        <w:rPr>
          <w:rFonts w:eastAsia="宋体"/>
          <w:b/>
          <w:sz w:val="24"/>
          <w:szCs w:val="24"/>
        </w:rPr>
      </w:pPr>
      <w:r>
        <w:rPr>
          <w:rFonts w:eastAsia="宋体"/>
          <w:b/>
          <w:sz w:val="24"/>
          <w:szCs w:val="24"/>
        </w:rPr>
        <w:t>3.2.</w:t>
      </w:r>
      <w:r>
        <w:rPr>
          <w:rFonts w:hint="eastAsia" w:eastAsia="宋体"/>
          <w:b/>
          <w:sz w:val="24"/>
          <w:szCs w:val="24"/>
        </w:rPr>
        <w:t>6</w:t>
      </w:r>
      <w:r>
        <w:rPr>
          <w:rFonts w:eastAsia="宋体"/>
          <w:b/>
          <w:sz w:val="24"/>
          <w:szCs w:val="24"/>
        </w:rPr>
        <w:t>公用工程</w:t>
      </w:r>
      <w:bookmarkEnd w:id="139"/>
      <w:bookmarkEnd w:id="140"/>
    </w:p>
    <w:p>
      <w:pPr>
        <w:spacing w:line="360" w:lineRule="auto"/>
        <w:jc w:val="left"/>
        <w:outlineLvl w:val="3"/>
        <w:rPr>
          <w:b/>
          <w:sz w:val="24"/>
          <w:szCs w:val="24"/>
        </w:rPr>
      </w:pPr>
      <w:r>
        <w:rPr>
          <w:b/>
          <w:sz w:val="24"/>
          <w:szCs w:val="24"/>
        </w:rPr>
        <w:t>3.2.</w:t>
      </w:r>
      <w:r>
        <w:rPr>
          <w:rFonts w:hint="eastAsia"/>
          <w:b/>
          <w:sz w:val="24"/>
          <w:szCs w:val="24"/>
        </w:rPr>
        <w:t>6</w:t>
      </w:r>
      <w:r>
        <w:rPr>
          <w:b/>
          <w:sz w:val="24"/>
          <w:szCs w:val="24"/>
        </w:rPr>
        <w:t>.1给排水工程</w:t>
      </w:r>
    </w:p>
    <w:p>
      <w:pPr>
        <w:widowControl/>
        <w:spacing w:line="360" w:lineRule="auto"/>
        <w:ind w:firstLine="480" w:firstLineChars="200"/>
        <w:rPr>
          <w:sz w:val="24"/>
        </w:rPr>
      </w:pPr>
      <w:r>
        <w:rPr>
          <w:sz w:val="24"/>
        </w:rPr>
        <w:t>（1）给水工程</w:t>
      </w:r>
    </w:p>
    <w:p>
      <w:pPr>
        <w:widowControl/>
        <w:spacing w:line="360" w:lineRule="auto"/>
        <w:ind w:firstLine="480" w:firstLineChars="200"/>
        <w:rPr>
          <w:sz w:val="24"/>
        </w:rPr>
      </w:pPr>
      <w:r>
        <w:rPr>
          <w:sz w:val="24"/>
        </w:rPr>
        <w:t>项目采用市政给水作为校区给水水源。由东侧规划路市政给水的南段引入一根DN</w:t>
      </w:r>
      <w:r>
        <w:rPr>
          <w:rFonts w:hint="eastAsia"/>
          <w:sz w:val="24"/>
        </w:rPr>
        <w:t>20</w:t>
      </w:r>
      <w:r>
        <w:rPr>
          <w:sz w:val="24"/>
        </w:rPr>
        <w:t>0的给水管供各栋楼的生活、消防、绿化等用水，并在四周形成环状供水管网（管径DN1</w:t>
      </w:r>
      <w:r>
        <w:rPr>
          <w:rFonts w:hint="eastAsia"/>
          <w:sz w:val="24"/>
        </w:rPr>
        <w:t>0</w:t>
      </w:r>
      <w:r>
        <w:rPr>
          <w:sz w:val="24"/>
        </w:rPr>
        <w:t>0）。室外给水系统与市政管网接口处的常年最低水压为0.2</w:t>
      </w:r>
      <w:r>
        <w:rPr>
          <w:rFonts w:hint="eastAsia"/>
          <w:sz w:val="24"/>
        </w:rPr>
        <w:t>5</w:t>
      </w:r>
      <w:r>
        <w:rPr>
          <w:sz w:val="24"/>
        </w:rPr>
        <w:t>MPa。</w:t>
      </w:r>
      <w:r>
        <w:rPr>
          <w:rFonts w:hint="eastAsia"/>
          <w:sz w:val="24"/>
        </w:rPr>
        <w:t>地面1-3层及地下室</w:t>
      </w:r>
      <w:r>
        <w:rPr>
          <w:sz w:val="24"/>
        </w:rPr>
        <w:t>由市政管网直接供水。</w:t>
      </w:r>
      <w:r>
        <w:rPr>
          <w:rFonts w:hint="eastAsia"/>
          <w:sz w:val="24"/>
        </w:rPr>
        <w:t>4</w:t>
      </w:r>
      <w:r>
        <w:rPr>
          <w:sz w:val="24"/>
        </w:rPr>
        <w:t>层及</w:t>
      </w:r>
      <w:r>
        <w:rPr>
          <w:rFonts w:hint="eastAsia"/>
          <w:sz w:val="24"/>
        </w:rPr>
        <w:t>4层</w:t>
      </w:r>
      <w:r>
        <w:rPr>
          <w:sz w:val="24"/>
        </w:rPr>
        <w:t>以上采用变频加压供水。且本项目于地下泵房内设置</w:t>
      </w:r>
      <w:r>
        <w:rPr>
          <w:rFonts w:hint="eastAsia"/>
          <w:sz w:val="24"/>
        </w:rPr>
        <w:t>55t生活水池。</w:t>
      </w:r>
    </w:p>
    <w:p>
      <w:pPr>
        <w:widowControl/>
        <w:spacing w:line="360" w:lineRule="auto"/>
        <w:ind w:firstLine="480" w:firstLineChars="200"/>
        <w:rPr>
          <w:sz w:val="24"/>
        </w:rPr>
      </w:pPr>
      <w:r>
        <w:rPr>
          <w:sz w:val="24"/>
        </w:rPr>
        <w:t>本项目用水主要来自</w:t>
      </w:r>
      <w:r>
        <w:rPr>
          <w:rFonts w:hint="eastAsia"/>
          <w:sz w:val="24"/>
        </w:rPr>
        <w:t>校园教学、</w:t>
      </w:r>
      <w:r>
        <w:rPr>
          <w:sz w:val="24"/>
        </w:rPr>
        <w:t>生活用水</w:t>
      </w:r>
      <w:r>
        <w:rPr>
          <w:rFonts w:hint="eastAsia"/>
          <w:sz w:val="24"/>
        </w:rPr>
        <w:t>，实验室用水，</w:t>
      </w:r>
      <w:r>
        <w:rPr>
          <w:sz w:val="24"/>
        </w:rPr>
        <w:t>食堂用水和绿化用水等。</w:t>
      </w:r>
    </w:p>
    <w:p>
      <w:pPr>
        <w:widowControl/>
        <w:spacing w:line="360" w:lineRule="auto"/>
        <w:ind w:firstLine="480" w:firstLineChars="200"/>
        <w:rPr>
          <w:sz w:val="24"/>
        </w:rPr>
      </w:pPr>
      <w:r>
        <w:rPr>
          <w:sz w:val="24"/>
        </w:rPr>
        <w:t>①生活用水：项目建设后</w:t>
      </w:r>
      <w:r>
        <w:rPr>
          <w:rFonts w:hint="eastAsia"/>
          <w:sz w:val="24"/>
        </w:rPr>
        <w:t>师生420</w:t>
      </w:r>
      <w:r>
        <w:rPr>
          <w:sz w:val="24"/>
        </w:rPr>
        <w:t>0人，住宿人数约</w:t>
      </w:r>
      <w:r>
        <w:rPr>
          <w:rFonts w:hint="eastAsia"/>
          <w:sz w:val="24"/>
        </w:rPr>
        <w:t>700</w:t>
      </w:r>
      <w:r>
        <w:rPr>
          <w:sz w:val="24"/>
        </w:rPr>
        <w:t>人，在校时间为200天（扣除周末及寒暑假）。根据GB50015-2003《建筑给水排水设计规范》（2009修订版），本项目生活用水量以1</w:t>
      </w:r>
      <w:r>
        <w:rPr>
          <w:rFonts w:hint="eastAsia"/>
          <w:sz w:val="24"/>
        </w:rPr>
        <w:t>2</w:t>
      </w:r>
      <w:r>
        <w:rPr>
          <w:sz w:val="24"/>
        </w:rPr>
        <w:t>0L/</w:t>
      </w:r>
      <w:r>
        <w:rPr>
          <w:rFonts w:hint="eastAsia"/>
          <w:sz w:val="24"/>
        </w:rPr>
        <w:t>（</w:t>
      </w:r>
      <w:r>
        <w:rPr>
          <w:sz w:val="24"/>
        </w:rPr>
        <w:t>d·人</w:t>
      </w:r>
      <w:r>
        <w:rPr>
          <w:rFonts w:hint="eastAsia"/>
          <w:sz w:val="24"/>
        </w:rPr>
        <w:t>）</w:t>
      </w:r>
      <w:r>
        <w:rPr>
          <w:sz w:val="24"/>
        </w:rPr>
        <w:t>计，</w:t>
      </w:r>
      <w:r>
        <w:rPr>
          <w:rFonts w:hint="eastAsia"/>
          <w:sz w:val="24"/>
        </w:rPr>
        <w:t>教学</w:t>
      </w:r>
      <w:r>
        <w:rPr>
          <w:sz w:val="24"/>
        </w:rPr>
        <w:t>用水定额按30L/</w:t>
      </w:r>
      <w:r>
        <w:rPr>
          <w:rFonts w:hint="eastAsia"/>
          <w:sz w:val="24"/>
        </w:rPr>
        <w:t>（</w:t>
      </w:r>
      <w:r>
        <w:rPr>
          <w:sz w:val="24"/>
        </w:rPr>
        <w:t>d·人</w:t>
      </w:r>
      <w:r>
        <w:rPr>
          <w:rFonts w:hint="eastAsia"/>
          <w:sz w:val="24"/>
        </w:rPr>
        <w:t>）</w:t>
      </w:r>
      <w:r>
        <w:rPr>
          <w:sz w:val="24"/>
        </w:rPr>
        <w:t>计，则生活用水为</w:t>
      </w:r>
      <w:r>
        <w:rPr>
          <w:rFonts w:hint="eastAsia"/>
          <w:sz w:val="24"/>
        </w:rPr>
        <w:t>210t</w:t>
      </w:r>
      <w:r>
        <w:rPr>
          <w:sz w:val="24"/>
        </w:rPr>
        <w:t>/d（</w:t>
      </w:r>
      <w:r>
        <w:rPr>
          <w:rFonts w:hint="eastAsia"/>
          <w:sz w:val="24"/>
        </w:rPr>
        <w:t>42000</w:t>
      </w:r>
      <w:r>
        <w:rPr>
          <w:sz w:val="24"/>
        </w:rPr>
        <w:t>t/a）。</w:t>
      </w:r>
    </w:p>
    <w:p>
      <w:pPr>
        <w:widowControl/>
        <w:spacing w:line="360" w:lineRule="auto"/>
        <w:ind w:firstLine="480" w:firstLineChars="200"/>
        <w:rPr>
          <w:sz w:val="24"/>
        </w:rPr>
      </w:pPr>
      <w:r>
        <w:rPr>
          <w:sz w:val="24"/>
        </w:rPr>
        <w:t>②食堂用水：项目</w:t>
      </w:r>
      <w:r>
        <w:rPr>
          <w:rFonts w:hint="eastAsia"/>
          <w:sz w:val="24"/>
        </w:rPr>
        <w:t>分别</w:t>
      </w:r>
      <w:r>
        <w:rPr>
          <w:sz w:val="24"/>
        </w:rPr>
        <w:t>在学生教师</w:t>
      </w:r>
      <w:r>
        <w:rPr>
          <w:rFonts w:hint="eastAsia"/>
          <w:sz w:val="24"/>
        </w:rPr>
        <w:t>周转房</w:t>
      </w:r>
      <w:r>
        <w:rPr>
          <w:sz w:val="24"/>
        </w:rPr>
        <w:t>一层</w:t>
      </w:r>
      <w:r>
        <w:rPr>
          <w:rFonts w:hint="eastAsia"/>
          <w:sz w:val="24"/>
        </w:rPr>
        <w:t>及拟保留学生宿舍1层</w:t>
      </w:r>
      <w:r>
        <w:rPr>
          <w:sz w:val="24"/>
        </w:rPr>
        <w:t>设有食堂，供在校师生就餐，</w:t>
      </w:r>
      <w:r>
        <w:rPr>
          <w:rFonts w:hint="eastAsia"/>
          <w:sz w:val="24"/>
        </w:rPr>
        <w:t>可容纳约700名</w:t>
      </w:r>
      <w:r>
        <w:rPr>
          <w:sz w:val="24"/>
        </w:rPr>
        <w:t>师生就餐。根据GB50015-2003《建筑给水排水设计规范》（2009修订版），食堂用水定额为20～25L/</w:t>
      </w:r>
      <w:r>
        <w:rPr>
          <w:rFonts w:hint="eastAsia"/>
          <w:sz w:val="24"/>
        </w:rPr>
        <w:t>（</w:t>
      </w:r>
      <w:r>
        <w:rPr>
          <w:sz w:val="24"/>
        </w:rPr>
        <w:t>人·次</w:t>
      </w:r>
      <w:r>
        <w:rPr>
          <w:rFonts w:hint="eastAsia"/>
          <w:sz w:val="24"/>
        </w:rPr>
        <w:t>）</w:t>
      </w:r>
      <w:r>
        <w:rPr>
          <w:sz w:val="24"/>
        </w:rPr>
        <w:t>，本评价取20L/</w:t>
      </w:r>
      <w:r>
        <w:rPr>
          <w:rFonts w:hint="eastAsia"/>
          <w:sz w:val="24"/>
        </w:rPr>
        <w:t>（</w:t>
      </w:r>
      <w:r>
        <w:rPr>
          <w:sz w:val="24"/>
        </w:rPr>
        <w:t>人·次</w:t>
      </w:r>
      <w:r>
        <w:rPr>
          <w:rFonts w:hint="eastAsia"/>
          <w:sz w:val="24"/>
        </w:rPr>
        <w:t>）</w:t>
      </w:r>
      <w:r>
        <w:rPr>
          <w:sz w:val="24"/>
        </w:rPr>
        <w:t>，按一日三餐计</w:t>
      </w:r>
      <w:r>
        <w:rPr>
          <w:rFonts w:hint="eastAsia"/>
          <w:sz w:val="24"/>
        </w:rPr>
        <w:t>，</w:t>
      </w:r>
      <w:r>
        <w:rPr>
          <w:sz w:val="24"/>
        </w:rPr>
        <w:t>则食堂用水量为</w:t>
      </w:r>
      <w:r>
        <w:rPr>
          <w:rFonts w:hint="eastAsia"/>
          <w:sz w:val="24"/>
        </w:rPr>
        <w:t>42t</w:t>
      </w:r>
      <w:r>
        <w:rPr>
          <w:sz w:val="24"/>
        </w:rPr>
        <w:t>/d（</w:t>
      </w:r>
      <w:r>
        <w:rPr>
          <w:rFonts w:hint="eastAsia"/>
          <w:sz w:val="24"/>
        </w:rPr>
        <w:t>8400</w:t>
      </w:r>
      <w:r>
        <w:rPr>
          <w:sz w:val="24"/>
        </w:rPr>
        <w:t xml:space="preserve"> </w:t>
      </w:r>
      <w:r>
        <w:rPr>
          <w:rFonts w:hint="eastAsia"/>
          <w:sz w:val="24"/>
        </w:rPr>
        <w:t>t</w:t>
      </w:r>
      <w:r>
        <w:rPr>
          <w:sz w:val="24"/>
        </w:rPr>
        <w:t>/a）。</w:t>
      </w:r>
    </w:p>
    <w:p>
      <w:pPr>
        <w:widowControl/>
        <w:spacing w:line="360" w:lineRule="auto"/>
        <w:ind w:firstLine="480" w:firstLineChars="200"/>
        <w:rPr>
          <w:kern w:val="0"/>
          <w:sz w:val="24"/>
          <w:szCs w:val="24"/>
        </w:rPr>
      </w:pPr>
      <w:r>
        <w:rPr>
          <w:rFonts w:hint="eastAsia" w:ascii="宋体" w:hAnsi="宋体" w:cs="宋体"/>
          <w:sz w:val="24"/>
        </w:rPr>
        <w:t>③</w:t>
      </w:r>
      <w:r>
        <w:rPr>
          <w:sz w:val="24"/>
        </w:rPr>
        <w:t>实验室用水：根据建设单位提供资料，本项目实验室用水主要为</w:t>
      </w:r>
      <w:r>
        <w:rPr>
          <w:rFonts w:hint="eastAsia"/>
          <w:sz w:val="24"/>
        </w:rPr>
        <w:t>中学化学实验仪器</w:t>
      </w:r>
      <w:r>
        <w:rPr>
          <w:sz w:val="24"/>
        </w:rPr>
        <w:t>清洗用水，</w:t>
      </w:r>
      <w:r>
        <w:rPr>
          <w:rFonts w:hint="eastAsia"/>
          <w:sz w:val="24"/>
        </w:rPr>
        <w:t>本项目实验内容较多，涉及初高中内容，且</w:t>
      </w:r>
      <w:r>
        <w:rPr>
          <w:sz w:val="24"/>
        </w:rPr>
        <w:t>用水量较少，</w:t>
      </w:r>
      <w:r>
        <w:rPr>
          <w:rFonts w:hint="eastAsia"/>
          <w:sz w:val="24"/>
        </w:rPr>
        <w:t>难以定量分析，类比</w:t>
      </w:r>
      <w:r>
        <w:rPr>
          <w:rFonts w:hint="eastAsia"/>
          <w:sz w:val="24"/>
          <w:szCs w:val="24"/>
          <w:lang w:val="zh-CN"/>
        </w:rPr>
        <w:t>《</w:t>
      </w:r>
      <w:r>
        <w:rPr>
          <w:rFonts w:hint="eastAsia"/>
          <w:sz w:val="24"/>
          <w:lang w:val="zh-CN"/>
        </w:rPr>
        <w:t>温州高中部扩建项目环境影响报告表</w:t>
      </w:r>
      <w:r>
        <w:rPr>
          <w:rFonts w:hint="eastAsia"/>
          <w:sz w:val="24"/>
          <w:szCs w:val="24"/>
          <w:lang w:val="zh-CN"/>
        </w:rPr>
        <w:t>》（</w:t>
      </w:r>
      <w:r>
        <w:rPr>
          <w:rFonts w:hint="eastAsia"/>
          <w:sz w:val="24"/>
          <w:szCs w:val="24"/>
        </w:rPr>
        <w:t>2017年</w:t>
      </w:r>
      <w:r>
        <w:rPr>
          <w:rFonts w:hint="eastAsia"/>
          <w:sz w:val="24"/>
          <w:szCs w:val="24"/>
          <w:lang w:val="zh-CN"/>
        </w:rPr>
        <w:t>）：共高中4000名学生，实验用水量为4m</w:t>
      </w:r>
      <w:r>
        <w:rPr>
          <w:rFonts w:hint="eastAsia"/>
          <w:sz w:val="24"/>
          <w:szCs w:val="24"/>
          <w:vertAlign w:val="superscript"/>
          <w:lang w:val="zh-CN"/>
        </w:rPr>
        <w:t>3</w:t>
      </w:r>
      <w:r>
        <w:rPr>
          <w:rFonts w:hint="eastAsia"/>
          <w:sz w:val="24"/>
          <w:szCs w:val="24"/>
          <w:lang w:val="zh-CN"/>
        </w:rPr>
        <w:t>/d；《</w:t>
      </w:r>
      <w:r>
        <w:rPr>
          <w:rFonts w:hint="eastAsia"/>
          <w:sz w:val="24"/>
          <w:lang w:val="zh-CN"/>
        </w:rPr>
        <w:t>同安新城东海二中项目环境影响报告表</w:t>
      </w:r>
      <w:r>
        <w:rPr>
          <w:rFonts w:hint="eastAsia"/>
          <w:sz w:val="24"/>
          <w:szCs w:val="24"/>
          <w:lang w:val="zh-CN"/>
        </w:rPr>
        <w:t>》（</w:t>
      </w:r>
      <w:r>
        <w:rPr>
          <w:rFonts w:hint="eastAsia"/>
          <w:sz w:val="24"/>
          <w:szCs w:val="24"/>
        </w:rPr>
        <w:t>2017年</w:t>
      </w:r>
      <w:r>
        <w:rPr>
          <w:rFonts w:hint="eastAsia"/>
          <w:sz w:val="24"/>
          <w:szCs w:val="24"/>
          <w:lang w:val="zh-CN"/>
        </w:rPr>
        <w:t>）：</w:t>
      </w:r>
      <w:r>
        <w:rPr>
          <w:rFonts w:hint="eastAsia"/>
          <w:sz w:val="24"/>
          <w:lang w:val="zh-CN"/>
        </w:rPr>
        <w:t>共初中1800名学生，实验室用水 1m</w:t>
      </w:r>
      <w:r>
        <w:rPr>
          <w:rFonts w:hint="eastAsia"/>
          <w:sz w:val="24"/>
          <w:vertAlign w:val="superscript"/>
          <w:lang w:val="zh-CN"/>
        </w:rPr>
        <w:t>3</w:t>
      </w:r>
      <w:r>
        <w:rPr>
          <w:rFonts w:hint="eastAsia"/>
          <w:sz w:val="24"/>
          <w:lang w:val="zh-CN"/>
        </w:rPr>
        <w:t>/d。本项目初中48个班学生约2400人，高中30个班学生约1500人，故本项目实验室废水约2.83m</w:t>
      </w:r>
      <w:r>
        <w:rPr>
          <w:rFonts w:hint="eastAsia"/>
          <w:sz w:val="24"/>
          <w:vertAlign w:val="superscript"/>
          <w:lang w:val="zh-CN"/>
        </w:rPr>
        <w:t>3</w:t>
      </w:r>
      <w:r>
        <w:rPr>
          <w:rFonts w:hint="eastAsia"/>
          <w:sz w:val="24"/>
          <w:lang w:val="zh-CN"/>
        </w:rPr>
        <w:t>/d（566.67</w:t>
      </w:r>
      <w:r>
        <w:rPr>
          <w:rFonts w:hint="eastAsia"/>
          <w:sz w:val="24"/>
        </w:rPr>
        <w:t xml:space="preserve"> t</w:t>
      </w:r>
      <w:r>
        <w:rPr>
          <w:sz w:val="24"/>
        </w:rPr>
        <w:t>/a</w:t>
      </w:r>
      <w:r>
        <w:rPr>
          <w:rFonts w:hint="eastAsia"/>
          <w:sz w:val="24"/>
          <w:lang w:val="zh-CN"/>
        </w:rPr>
        <w:t>），</w:t>
      </w:r>
      <w:r>
        <w:rPr>
          <w:rFonts w:hint="eastAsia"/>
          <w:sz w:val="24"/>
          <w:szCs w:val="24"/>
          <w:lang w:val="zh-CN"/>
        </w:rPr>
        <w:t>统一收集后，经实验室配套建设的中和池预处理后排入，最终排入大学城污水处理厂处理</w:t>
      </w:r>
      <w:r>
        <w:rPr>
          <w:rFonts w:hint="eastAsia"/>
          <w:sz w:val="24"/>
        </w:rPr>
        <w:t>。</w:t>
      </w:r>
    </w:p>
    <w:p>
      <w:pPr>
        <w:widowControl/>
        <w:spacing w:line="360" w:lineRule="auto"/>
        <w:ind w:firstLine="480" w:firstLineChars="200"/>
        <w:rPr>
          <w:sz w:val="24"/>
        </w:rPr>
      </w:pPr>
      <w:r>
        <w:rPr>
          <w:rFonts w:hint="eastAsia"/>
          <w:sz w:val="24"/>
          <w:szCs w:val="24"/>
        </w:rPr>
        <w:t>其中</w:t>
      </w:r>
      <w:r>
        <w:rPr>
          <w:rFonts w:hint="eastAsia"/>
          <w:sz w:val="24"/>
          <w:szCs w:val="24"/>
          <w:lang w:val="zh-CN"/>
        </w:rPr>
        <w:t>实验过程产生的极少含重金属（主要为</w:t>
      </w:r>
      <w:r>
        <w:rPr>
          <w:rFonts w:hint="eastAsia"/>
          <w:sz w:val="24"/>
          <w:szCs w:val="24"/>
        </w:rPr>
        <w:t>Ag和Cu</w:t>
      </w:r>
      <w:r>
        <w:rPr>
          <w:rFonts w:hint="eastAsia"/>
          <w:sz w:val="24"/>
          <w:szCs w:val="24"/>
          <w:lang w:val="zh-CN"/>
        </w:rPr>
        <w:t>）等废液，根据《国家危险废物名录》（2016年8月1日实施），其属于为“HW49 其他废物”中“研究、开发和教学活动中，化学和生物实验室产生的废物”（900-047-49），应作为危险废物委托有相关危废处置资质的单位处理</w:t>
      </w:r>
      <w:r>
        <w:rPr>
          <w:rFonts w:hint="eastAsia"/>
          <w:sz w:val="24"/>
          <w:szCs w:val="24"/>
        </w:rPr>
        <w:t>。</w:t>
      </w:r>
    </w:p>
    <w:p>
      <w:pPr>
        <w:widowControl/>
        <w:spacing w:line="360" w:lineRule="auto"/>
        <w:ind w:firstLine="480" w:firstLineChars="200"/>
        <w:rPr>
          <w:sz w:val="24"/>
        </w:rPr>
      </w:pPr>
      <w:r>
        <w:rPr>
          <w:sz w:val="24"/>
        </w:rPr>
        <w:t>④绿化用水：本项目</w:t>
      </w:r>
      <w:r>
        <w:rPr>
          <w:rFonts w:hint="eastAsia"/>
          <w:sz w:val="24"/>
        </w:rPr>
        <w:t>总</w:t>
      </w:r>
      <w:r>
        <w:rPr>
          <w:sz w:val="24"/>
        </w:rPr>
        <w:t>绿地面积为</w:t>
      </w:r>
      <w:r>
        <w:rPr>
          <w:rFonts w:hint="eastAsia"/>
          <w:sz w:val="24"/>
        </w:rPr>
        <w:t>23914</w:t>
      </w:r>
      <w:r>
        <w:rPr>
          <w:sz w:val="24"/>
        </w:rPr>
        <w:t>m</w:t>
      </w:r>
      <w:r>
        <w:rPr>
          <w:sz w:val="24"/>
          <w:vertAlign w:val="superscript"/>
        </w:rPr>
        <w:t>2</w:t>
      </w:r>
      <w:r>
        <w:rPr>
          <w:sz w:val="24"/>
        </w:rPr>
        <w:t>，根据GB50015-2003《建筑给水排水设计规范》（2009修订版），绿化浇灌用水定额为1～3L/m</w:t>
      </w:r>
      <w:r>
        <w:rPr>
          <w:sz w:val="24"/>
          <w:vertAlign w:val="superscript"/>
        </w:rPr>
        <w:t>2</w:t>
      </w:r>
      <w:r>
        <w:rPr>
          <w:sz w:val="24"/>
        </w:rPr>
        <w:t>·d，本项目取2</w:t>
      </w:r>
      <w:r>
        <w:rPr>
          <w:rFonts w:hint="eastAsia"/>
          <w:sz w:val="24"/>
        </w:rPr>
        <w:t xml:space="preserve"> </w:t>
      </w:r>
      <w:r>
        <w:rPr>
          <w:sz w:val="24"/>
        </w:rPr>
        <w:t>L/</w:t>
      </w:r>
      <w:r>
        <w:rPr>
          <w:rFonts w:hint="eastAsia"/>
          <w:sz w:val="24"/>
        </w:rPr>
        <w:t>（</w:t>
      </w:r>
      <w:r>
        <w:rPr>
          <w:sz w:val="24"/>
        </w:rPr>
        <w:t>m</w:t>
      </w:r>
      <w:r>
        <w:rPr>
          <w:sz w:val="24"/>
          <w:vertAlign w:val="superscript"/>
        </w:rPr>
        <w:t>2</w:t>
      </w:r>
      <w:r>
        <w:rPr>
          <w:sz w:val="24"/>
        </w:rPr>
        <w:t>·d</w:t>
      </w:r>
      <w:r>
        <w:rPr>
          <w:rFonts w:hint="eastAsia"/>
          <w:sz w:val="24"/>
        </w:rPr>
        <w:t>）</w:t>
      </w:r>
      <w:r>
        <w:rPr>
          <w:sz w:val="24"/>
        </w:rPr>
        <w:t>，则用水量为</w:t>
      </w:r>
      <w:r>
        <w:rPr>
          <w:rFonts w:hint="eastAsia"/>
          <w:sz w:val="24"/>
        </w:rPr>
        <w:t>47.83t</w:t>
      </w:r>
      <w:r>
        <w:rPr>
          <w:sz w:val="24"/>
        </w:rPr>
        <w:t>/d，按</w:t>
      </w:r>
      <w:r>
        <w:rPr>
          <w:rFonts w:hint="eastAsia"/>
          <w:sz w:val="24"/>
        </w:rPr>
        <w:t>年200</w:t>
      </w:r>
      <w:r>
        <w:rPr>
          <w:sz w:val="24"/>
        </w:rPr>
        <w:t>d估算，则年用水量为</w:t>
      </w:r>
      <w:r>
        <w:rPr>
          <w:rFonts w:hint="eastAsia"/>
          <w:sz w:val="24"/>
        </w:rPr>
        <w:t>9565.6t</w:t>
      </w:r>
      <w:r>
        <w:rPr>
          <w:sz w:val="24"/>
        </w:rPr>
        <w:t>/a。</w:t>
      </w:r>
    </w:p>
    <w:p>
      <w:pPr>
        <w:widowControl/>
        <w:spacing w:line="360" w:lineRule="auto"/>
        <w:ind w:firstLine="480" w:firstLineChars="200"/>
        <w:rPr>
          <w:b/>
          <w:sz w:val="24"/>
        </w:rPr>
      </w:pPr>
      <w:r>
        <w:rPr>
          <w:rFonts w:hint="eastAsia"/>
          <w:sz w:val="24"/>
        </w:rPr>
        <w:t>未预见用水量按总用水量的10%计算，</w:t>
      </w:r>
      <w:r>
        <w:rPr>
          <w:rFonts w:hint="eastAsia"/>
          <w:sz w:val="24"/>
          <w:szCs w:val="24"/>
          <w:lang w:val="zh-CN"/>
        </w:rPr>
        <w:t>废水</w:t>
      </w:r>
      <w:r>
        <w:rPr>
          <w:sz w:val="24"/>
          <w:szCs w:val="24"/>
          <w:lang w:val="zh-CN"/>
        </w:rPr>
        <w:t>排放量按照</w:t>
      </w:r>
      <w:r>
        <w:rPr>
          <w:sz w:val="24"/>
          <w:szCs w:val="24"/>
        </w:rPr>
        <w:t>90%计，</w:t>
      </w:r>
      <w:r>
        <w:rPr>
          <w:rFonts w:hint="eastAsia"/>
          <w:sz w:val="24"/>
        </w:rPr>
        <w:t>具体用水量详见表</w:t>
      </w:r>
      <w:r>
        <w:rPr>
          <w:sz w:val="24"/>
        </w:rPr>
        <w:t>3.2-4。</w:t>
      </w:r>
    </w:p>
    <w:p>
      <w:pPr>
        <w:spacing w:line="360" w:lineRule="auto"/>
        <w:jc w:val="center"/>
        <w:rPr>
          <w:sz w:val="24"/>
        </w:rPr>
      </w:pPr>
      <w:r>
        <w:rPr>
          <w:b/>
          <w:sz w:val="24"/>
        </w:rPr>
        <w:t>表3.2-4    项目用</w:t>
      </w:r>
      <w:r>
        <w:rPr>
          <w:rFonts w:hint="eastAsia"/>
          <w:b/>
          <w:sz w:val="24"/>
        </w:rPr>
        <w:t>排</w:t>
      </w:r>
      <w:r>
        <w:rPr>
          <w:b/>
          <w:sz w:val="24"/>
        </w:rPr>
        <w:t>水量年消耗统计表</w:t>
      </w:r>
    </w:p>
    <w:tbl>
      <w:tblPr>
        <w:tblStyle w:val="24"/>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755"/>
        <w:gridCol w:w="935"/>
        <w:gridCol w:w="975"/>
        <w:gridCol w:w="522"/>
        <w:gridCol w:w="744"/>
        <w:gridCol w:w="852"/>
        <w:gridCol w:w="818"/>
        <w:gridCol w:w="1623"/>
        <w:gridCol w:w="855"/>
        <w:gridCol w:w="739"/>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3" w:hRule="atLeast"/>
        </w:trPr>
        <w:tc>
          <w:tcPr>
            <w:tcW w:w="958" w:type="pct"/>
            <w:gridSpan w:val="2"/>
            <w:vMerge w:val="restart"/>
            <w:tcBorders>
              <w:top w:val="single" w:color="auto" w:sz="12" w:space="0"/>
              <w:bottom w:val="single" w:color="auto" w:sz="4" w:space="0"/>
              <w:right w:val="single" w:color="auto" w:sz="4" w:space="0"/>
            </w:tcBorders>
            <w:vAlign w:val="center"/>
          </w:tcPr>
          <w:p>
            <w:pPr>
              <w:widowControl/>
              <w:jc w:val="center"/>
              <w:rPr>
                <w:b/>
                <w:bCs/>
                <w:kern w:val="0"/>
                <w:szCs w:val="21"/>
              </w:rPr>
            </w:pPr>
            <w:r>
              <w:rPr>
                <w:b/>
                <w:bCs/>
                <w:kern w:val="0"/>
                <w:szCs w:val="21"/>
              </w:rPr>
              <w:t>用水单位</w:t>
            </w:r>
          </w:p>
        </w:tc>
        <w:tc>
          <w:tcPr>
            <w:tcW w:w="553" w:type="pct"/>
            <w:vMerge w:val="restart"/>
            <w:tcBorders>
              <w:top w:val="single" w:color="auto" w:sz="12" w:space="0"/>
              <w:left w:val="single" w:color="auto" w:sz="4" w:space="0"/>
              <w:bottom w:val="single" w:color="auto" w:sz="4" w:space="0"/>
              <w:right w:val="single" w:color="auto" w:sz="4" w:space="0"/>
            </w:tcBorders>
            <w:vAlign w:val="center"/>
          </w:tcPr>
          <w:p>
            <w:pPr>
              <w:widowControl/>
              <w:jc w:val="center"/>
              <w:rPr>
                <w:b/>
                <w:bCs/>
                <w:kern w:val="0"/>
                <w:szCs w:val="21"/>
              </w:rPr>
            </w:pPr>
            <w:r>
              <w:rPr>
                <w:b/>
                <w:bCs/>
                <w:kern w:val="0"/>
                <w:szCs w:val="21"/>
              </w:rPr>
              <w:t>用水标准</w:t>
            </w:r>
          </w:p>
        </w:tc>
        <w:tc>
          <w:tcPr>
            <w:tcW w:w="296" w:type="pct"/>
            <w:vMerge w:val="restart"/>
            <w:tcBorders>
              <w:top w:val="single" w:color="auto" w:sz="12" w:space="0"/>
              <w:left w:val="single" w:color="auto" w:sz="4" w:space="0"/>
              <w:bottom w:val="single" w:color="auto" w:sz="4" w:space="0"/>
              <w:right w:val="single" w:color="auto" w:sz="4" w:space="0"/>
            </w:tcBorders>
            <w:vAlign w:val="center"/>
          </w:tcPr>
          <w:p>
            <w:pPr>
              <w:widowControl/>
              <w:jc w:val="center"/>
              <w:rPr>
                <w:b/>
                <w:bCs/>
                <w:kern w:val="0"/>
                <w:szCs w:val="21"/>
              </w:rPr>
            </w:pPr>
            <w:r>
              <w:rPr>
                <w:b/>
                <w:bCs/>
                <w:kern w:val="0"/>
                <w:szCs w:val="21"/>
              </w:rPr>
              <w:t>单位</w:t>
            </w:r>
          </w:p>
        </w:tc>
        <w:tc>
          <w:tcPr>
            <w:tcW w:w="422" w:type="pct"/>
            <w:vMerge w:val="restart"/>
            <w:tcBorders>
              <w:top w:val="single" w:color="auto" w:sz="12" w:space="0"/>
              <w:left w:val="single" w:color="auto" w:sz="4" w:space="0"/>
              <w:bottom w:val="single" w:color="auto" w:sz="4" w:space="0"/>
              <w:right w:val="single" w:color="auto" w:sz="4" w:space="0"/>
            </w:tcBorders>
            <w:vAlign w:val="center"/>
          </w:tcPr>
          <w:p>
            <w:pPr>
              <w:widowControl/>
              <w:jc w:val="center"/>
              <w:rPr>
                <w:b/>
                <w:bCs/>
                <w:kern w:val="0"/>
                <w:szCs w:val="21"/>
              </w:rPr>
            </w:pPr>
            <w:r>
              <w:rPr>
                <w:b/>
                <w:bCs/>
                <w:kern w:val="0"/>
                <w:szCs w:val="21"/>
              </w:rPr>
              <w:t>规模</w:t>
            </w:r>
          </w:p>
        </w:tc>
        <w:tc>
          <w:tcPr>
            <w:tcW w:w="947" w:type="pct"/>
            <w:gridSpan w:val="2"/>
            <w:tcBorders>
              <w:top w:val="single" w:color="auto" w:sz="12" w:space="0"/>
              <w:left w:val="single" w:color="auto" w:sz="4" w:space="0"/>
              <w:bottom w:val="single" w:color="auto" w:sz="4" w:space="0"/>
              <w:right w:val="single" w:color="auto" w:sz="4" w:space="0"/>
            </w:tcBorders>
            <w:vAlign w:val="center"/>
          </w:tcPr>
          <w:p>
            <w:pPr>
              <w:widowControl/>
              <w:jc w:val="center"/>
              <w:rPr>
                <w:b/>
                <w:bCs/>
                <w:kern w:val="0"/>
                <w:szCs w:val="21"/>
              </w:rPr>
            </w:pPr>
            <w:r>
              <w:rPr>
                <w:b/>
                <w:bCs/>
                <w:kern w:val="0"/>
                <w:szCs w:val="21"/>
              </w:rPr>
              <w:t>用水量</w:t>
            </w:r>
          </w:p>
        </w:tc>
        <w:tc>
          <w:tcPr>
            <w:tcW w:w="920" w:type="pct"/>
            <w:vMerge w:val="restart"/>
            <w:tcBorders>
              <w:top w:val="single" w:color="auto" w:sz="12" w:space="0"/>
              <w:left w:val="single" w:color="auto" w:sz="4" w:space="0"/>
              <w:bottom w:val="single" w:color="auto" w:sz="4" w:space="0"/>
              <w:right w:val="single" w:color="auto" w:sz="4" w:space="0"/>
            </w:tcBorders>
            <w:vAlign w:val="center"/>
          </w:tcPr>
          <w:p>
            <w:pPr>
              <w:widowControl/>
              <w:jc w:val="center"/>
              <w:rPr>
                <w:b/>
                <w:bCs/>
                <w:kern w:val="0"/>
                <w:szCs w:val="21"/>
              </w:rPr>
            </w:pPr>
            <w:r>
              <w:rPr>
                <w:b/>
                <w:bCs/>
                <w:kern w:val="0"/>
                <w:szCs w:val="21"/>
              </w:rPr>
              <w:t>排污系数</w:t>
            </w:r>
          </w:p>
        </w:tc>
        <w:tc>
          <w:tcPr>
            <w:tcW w:w="904" w:type="pct"/>
            <w:gridSpan w:val="2"/>
            <w:tcBorders>
              <w:top w:val="single" w:color="auto" w:sz="12" w:space="0"/>
              <w:left w:val="single" w:color="auto" w:sz="4" w:space="0"/>
              <w:bottom w:val="single" w:color="auto" w:sz="4" w:space="0"/>
            </w:tcBorders>
            <w:vAlign w:val="center"/>
          </w:tcPr>
          <w:p>
            <w:pPr>
              <w:widowControl/>
              <w:jc w:val="center"/>
              <w:rPr>
                <w:b/>
                <w:bCs/>
                <w:kern w:val="0"/>
                <w:szCs w:val="21"/>
              </w:rPr>
            </w:pPr>
            <w:r>
              <w:rPr>
                <w:b/>
                <w:bCs/>
                <w:kern w:val="0"/>
                <w:szCs w:val="21"/>
              </w:rPr>
              <w:t>排水量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3" w:hRule="atLeast"/>
        </w:trPr>
        <w:tc>
          <w:tcPr>
            <w:tcW w:w="958" w:type="pct"/>
            <w:gridSpan w:val="2"/>
            <w:vMerge w:val="continue"/>
            <w:tcBorders>
              <w:top w:val="single" w:color="auto" w:sz="4" w:space="0"/>
              <w:bottom w:val="single" w:color="auto" w:sz="4" w:space="0"/>
              <w:right w:val="single" w:color="auto" w:sz="4" w:space="0"/>
            </w:tcBorders>
            <w:vAlign w:val="center"/>
          </w:tcPr>
          <w:p>
            <w:pPr>
              <w:widowControl/>
              <w:jc w:val="center"/>
              <w:rPr>
                <w:b/>
                <w:bCs/>
                <w:kern w:val="0"/>
                <w:szCs w:val="21"/>
              </w:rPr>
            </w:pPr>
          </w:p>
        </w:tc>
        <w:tc>
          <w:tcPr>
            <w:tcW w:w="553"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kern w:val="0"/>
                <w:szCs w:val="21"/>
              </w:rPr>
            </w:pPr>
          </w:p>
        </w:tc>
        <w:tc>
          <w:tcPr>
            <w:tcW w:w="296"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kern w:val="0"/>
                <w:szCs w:val="21"/>
              </w:rPr>
            </w:pPr>
          </w:p>
        </w:tc>
        <w:tc>
          <w:tcPr>
            <w:tcW w:w="422"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kern w:val="0"/>
                <w:szCs w:val="21"/>
              </w:rPr>
            </w:pPr>
          </w:p>
        </w:tc>
        <w:tc>
          <w:tcPr>
            <w:tcW w:w="483" w:type="pct"/>
            <w:tcBorders>
              <w:top w:val="single" w:color="auto" w:sz="4" w:space="0"/>
              <w:left w:val="single" w:color="auto" w:sz="4" w:space="0"/>
              <w:bottom w:val="single" w:color="auto" w:sz="4" w:space="0"/>
              <w:right w:val="single" w:color="auto" w:sz="4" w:space="0"/>
            </w:tcBorders>
            <w:vAlign w:val="center"/>
          </w:tcPr>
          <w:p>
            <w:pPr>
              <w:widowControl/>
              <w:jc w:val="center"/>
              <w:rPr>
                <w:b/>
                <w:bCs/>
                <w:kern w:val="0"/>
                <w:szCs w:val="21"/>
              </w:rPr>
            </w:pPr>
            <w:r>
              <w:rPr>
                <w:b/>
                <w:bCs/>
                <w:kern w:val="0"/>
                <w:szCs w:val="21"/>
              </w:rPr>
              <w:t>（t/d）</w:t>
            </w:r>
          </w:p>
        </w:tc>
        <w:tc>
          <w:tcPr>
            <w:tcW w:w="464" w:type="pct"/>
            <w:tcBorders>
              <w:top w:val="single" w:color="auto" w:sz="4" w:space="0"/>
              <w:left w:val="single" w:color="auto" w:sz="4" w:space="0"/>
              <w:bottom w:val="single" w:color="auto" w:sz="4" w:space="0"/>
              <w:right w:val="single" w:color="auto" w:sz="4" w:space="0"/>
            </w:tcBorders>
            <w:vAlign w:val="center"/>
          </w:tcPr>
          <w:p>
            <w:pPr>
              <w:widowControl/>
              <w:jc w:val="center"/>
              <w:rPr>
                <w:b/>
                <w:bCs/>
                <w:kern w:val="0"/>
                <w:szCs w:val="21"/>
              </w:rPr>
            </w:pPr>
            <w:r>
              <w:rPr>
                <w:b/>
                <w:bCs/>
                <w:kern w:val="0"/>
                <w:szCs w:val="21"/>
              </w:rPr>
              <w:t>（t/a）</w:t>
            </w:r>
          </w:p>
        </w:tc>
        <w:tc>
          <w:tcPr>
            <w:tcW w:w="92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kern w:val="0"/>
                <w:szCs w:val="21"/>
              </w:rPr>
            </w:pPr>
          </w:p>
        </w:tc>
        <w:tc>
          <w:tcPr>
            <w:tcW w:w="485" w:type="pct"/>
            <w:tcBorders>
              <w:top w:val="single" w:color="auto" w:sz="4" w:space="0"/>
              <w:left w:val="single" w:color="auto" w:sz="4" w:space="0"/>
              <w:bottom w:val="single" w:color="auto" w:sz="4" w:space="0"/>
              <w:right w:val="single" w:color="auto" w:sz="4" w:space="0"/>
            </w:tcBorders>
            <w:vAlign w:val="center"/>
          </w:tcPr>
          <w:p>
            <w:pPr>
              <w:widowControl/>
              <w:jc w:val="center"/>
              <w:rPr>
                <w:b/>
                <w:bCs/>
                <w:kern w:val="0"/>
                <w:szCs w:val="21"/>
              </w:rPr>
            </w:pPr>
            <w:r>
              <w:rPr>
                <w:b/>
                <w:bCs/>
                <w:kern w:val="0"/>
                <w:szCs w:val="21"/>
              </w:rPr>
              <w:t>（t/d）</w:t>
            </w:r>
          </w:p>
        </w:tc>
        <w:tc>
          <w:tcPr>
            <w:tcW w:w="419" w:type="pct"/>
            <w:tcBorders>
              <w:top w:val="single" w:color="auto" w:sz="4" w:space="0"/>
              <w:left w:val="single" w:color="auto" w:sz="4" w:space="0"/>
              <w:bottom w:val="single" w:color="auto" w:sz="4" w:space="0"/>
            </w:tcBorders>
            <w:vAlign w:val="center"/>
          </w:tcPr>
          <w:p>
            <w:pPr>
              <w:widowControl/>
              <w:jc w:val="center"/>
              <w:rPr>
                <w:kern w:val="0"/>
                <w:szCs w:val="21"/>
              </w:rPr>
            </w:pPr>
            <w:r>
              <w:rPr>
                <w:b/>
                <w:bCs/>
                <w:kern w:val="0"/>
                <w:szCs w:val="21"/>
              </w:rPr>
              <w:t>（t/a）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28" w:type="pct"/>
            <w:vMerge w:val="restart"/>
            <w:tcBorders>
              <w:top w:val="single" w:color="auto" w:sz="4" w:space="0"/>
              <w:bottom w:val="single" w:color="auto" w:sz="4" w:space="0"/>
              <w:right w:val="single" w:color="auto" w:sz="4" w:space="0"/>
            </w:tcBorders>
            <w:shd w:val="clear" w:color="auto" w:fill="FFFFFF"/>
            <w:vAlign w:val="center"/>
          </w:tcPr>
          <w:p>
            <w:pPr>
              <w:widowControl/>
              <w:jc w:val="center"/>
              <w:rPr>
                <w:kern w:val="0"/>
                <w:szCs w:val="21"/>
              </w:rPr>
            </w:pPr>
            <w:r>
              <w:rPr>
                <w:kern w:val="0"/>
                <w:szCs w:val="21"/>
              </w:rPr>
              <w:t>生活</w:t>
            </w:r>
          </w:p>
          <w:p>
            <w:pPr>
              <w:widowControl/>
              <w:jc w:val="center"/>
              <w:rPr>
                <w:kern w:val="0"/>
                <w:szCs w:val="21"/>
              </w:rPr>
            </w:pPr>
            <w:r>
              <w:rPr>
                <w:kern w:val="0"/>
                <w:szCs w:val="21"/>
              </w:rPr>
              <w:t>用水</w:t>
            </w:r>
          </w:p>
        </w:tc>
        <w:tc>
          <w:tcPr>
            <w:tcW w:w="530"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kern w:val="0"/>
                <w:szCs w:val="21"/>
              </w:rPr>
            </w:pPr>
            <w:r>
              <w:rPr>
                <w:kern w:val="0"/>
                <w:szCs w:val="21"/>
              </w:rPr>
              <w:t>住宿</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1</w:t>
            </w:r>
            <w:r>
              <w:rPr>
                <w:rFonts w:hint="eastAsia"/>
                <w:kern w:val="0"/>
                <w:szCs w:val="21"/>
              </w:rPr>
              <w:t>2</w:t>
            </w:r>
            <w:r>
              <w:rPr>
                <w:kern w:val="0"/>
                <w:szCs w:val="21"/>
              </w:rPr>
              <w:t>0L/（人</w:t>
            </w:r>
            <w:r>
              <w:rPr>
                <w:szCs w:val="21"/>
              </w:rPr>
              <w:t>·</w:t>
            </w:r>
            <w:r>
              <w:rPr>
                <w:kern w:val="0"/>
                <w:szCs w:val="21"/>
              </w:rPr>
              <w:t>d）</w:t>
            </w:r>
          </w:p>
        </w:tc>
        <w:tc>
          <w:tcPr>
            <w:tcW w:w="296"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人</w:t>
            </w:r>
          </w:p>
        </w:tc>
        <w:tc>
          <w:tcPr>
            <w:tcW w:w="42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kern w:val="0"/>
                <w:szCs w:val="21"/>
              </w:rPr>
            </w:pPr>
            <w:r>
              <w:rPr>
                <w:rFonts w:hint="eastAsia"/>
                <w:kern w:val="0"/>
                <w:szCs w:val="21"/>
              </w:rPr>
              <w:t>7</w:t>
            </w:r>
            <w:r>
              <w:rPr>
                <w:kern w:val="0"/>
                <w:szCs w:val="21"/>
              </w:rPr>
              <w:t>00</w:t>
            </w:r>
          </w:p>
        </w:tc>
        <w:tc>
          <w:tcPr>
            <w:tcW w:w="483"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210</w:t>
            </w:r>
          </w:p>
        </w:tc>
        <w:tc>
          <w:tcPr>
            <w:tcW w:w="464"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42000</w:t>
            </w:r>
          </w:p>
        </w:tc>
        <w:tc>
          <w:tcPr>
            <w:tcW w:w="920" w:type="pct"/>
            <w:vMerge w:val="restar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0.9</w:t>
            </w:r>
          </w:p>
        </w:tc>
        <w:tc>
          <w:tcPr>
            <w:tcW w:w="485" w:type="pct"/>
            <w:vMerge w:val="restar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189</w:t>
            </w:r>
          </w:p>
        </w:tc>
        <w:tc>
          <w:tcPr>
            <w:tcW w:w="419" w:type="pct"/>
            <w:vMerge w:val="restart"/>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37800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28" w:type="pct"/>
            <w:vMerge w:val="continue"/>
            <w:tcBorders>
              <w:top w:val="single" w:color="auto" w:sz="4" w:space="0"/>
              <w:bottom w:val="single" w:color="auto" w:sz="4" w:space="0"/>
              <w:right w:val="single" w:color="auto" w:sz="4" w:space="0"/>
            </w:tcBorders>
            <w:shd w:val="clear" w:color="auto" w:fill="FFFFFF"/>
            <w:vAlign w:val="center"/>
          </w:tcPr>
          <w:p>
            <w:pPr>
              <w:widowControl/>
              <w:jc w:val="center"/>
              <w:rPr>
                <w:kern w:val="0"/>
                <w:szCs w:val="21"/>
              </w:rPr>
            </w:pPr>
          </w:p>
        </w:tc>
        <w:tc>
          <w:tcPr>
            <w:tcW w:w="530"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kern w:val="0"/>
                <w:szCs w:val="21"/>
              </w:rPr>
            </w:pPr>
            <w:r>
              <w:rPr>
                <w:rFonts w:hint="eastAsia"/>
                <w:kern w:val="0"/>
                <w:szCs w:val="21"/>
              </w:rPr>
              <w:t>教学</w:t>
            </w:r>
          </w:p>
        </w:tc>
        <w:tc>
          <w:tcPr>
            <w:tcW w:w="553"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30L/（人</w:t>
            </w:r>
            <w:r>
              <w:rPr>
                <w:szCs w:val="21"/>
              </w:rPr>
              <w:t>·</w:t>
            </w:r>
            <w:r>
              <w:rPr>
                <w:kern w:val="0"/>
                <w:szCs w:val="21"/>
              </w:rPr>
              <w:t>d）</w:t>
            </w:r>
          </w:p>
        </w:tc>
        <w:tc>
          <w:tcPr>
            <w:tcW w:w="296"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人</w:t>
            </w:r>
          </w:p>
        </w:tc>
        <w:tc>
          <w:tcPr>
            <w:tcW w:w="42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kern w:val="0"/>
                <w:szCs w:val="21"/>
              </w:rPr>
            </w:pPr>
            <w:r>
              <w:rPr>
                <w:rFonts w:hint="eastAsia"/>
                <w:kern w:val="0"/>
                <w:szCs w:val="21"/>
              </w:rPr>
              <w:t>42</w:t>
            </w:r>
            <w:r>
              <w:rPr>
                <w:kern w:val="0"/>
                <w:szCs w:val="21"/>
              </w:rPr>
              <w:t>00</w:t>
            </w:r>
          </w:p>
        </w:tc>
        <w:tc>
          <w:tcPr>
            <w:tcW w:w="483"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p>
        </w:tc>
        <w:tc>
          <w:tcPr>
            <w:tcW w:w="464"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p>
        </w:tc>
        <w:tc>
          <w:tcPr>
            <w:tcW w:w="920"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p>
        </w:tc>
        <w:tc>
          <w:tcPr>
            <w:tcW w:w="485"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p>
        </w:tc>
        <w:tc>
          <w:tcPr>
            <w:tcW w:w="419" w:type="pct"/>
            <w:vMerge w:val="continue"/>
            <w:tcBorders>
              <w:top w:val="single" w:color="auto" w:sz="4" w:space="0"/>
              <w:left w:val="single" w:color="auto" w:sz="4" w:space="0"/>
              <w:bottom w:val="single" w:color="auto" w:sz="4" w:space="0"/>
            </w:tcBorders>
            <w:vAlign w:val="center"/>
          </w:tcPr>
          <w:p>
            <w:pPr>
              <w:jc w:val="center"/>
              <w:rPr>
                <w:color w:val="00000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58" w:type="pct"/>
            <w:gridSpan w:val="2"/>
            <w:tcBorders>
              <w:top w:val="single" w:color="auto" w:sz="4" w:space="0"/>
              <w:bottom w:val="single" w:color="auto" w:sz="4" w:space="0"/>
              <w:right w:val="single" w:color="auto" w:sz="4" w:space="0"/>
            </w:tcBorders>
            <w:shd w:val="clear" w:color="auto" w:fill="FFFFFF"/>
            <w:vAlign w:val="center"/>
          </w:tcPr>
          <w:p>
            <w:pPr>
              <w:widowControl/>
              <w:jc w:val="center"/>
              <w:rPr>
                <w:kern w:val="0"/>
                <w:szCs w:val="21"/>
              </w:rPr>
            </w:pPr>
            <w:r>
              <w:rPr>
                <w:kern w:val="0"/>
                <w:szCs w:val="21"/>
              </w:rPr>
              <w:t>实验室用水</w:t>
            </w:r>
          </w:p>
        </w:tc>
        <w:tc>
          <w:tcPr>
            <w:tcW w:w="553"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w:t>
            </w:r>
          </w:p>
        </w:tc>
        <w:tc>
          <w:tcPr>
            <w:tcW w:w="296"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人</w:t>
            </w:r>
          </w:p>
        </w:tc>
        <w:tc>
          <w:tcPr>
            <w:tcW w:w="42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kern w:val="0"/>
                <w:szCs w:val="21"/>
              </w:rPr>
            </w:pPr>
            <w:r>
              <w:rPr>
                <w:rFonts w:hint="eastAsia"/>
                <w:kern w:val="0"/>
                <w:szCs w:val="21"/>
              </w:rPr>
              <w:t>39</w:t>
            </w:r>
            <w:r>
              <w:rPr>
                <w:kern w:val="0"/>
                <w:szCs w:val="21"/>
              </w:rPr>
              <w:t>00</w:t>
            </w:r>
          </w:p>
        </w:tc>
        <w:tc>
          <w:tcPr>
            <w:tcW w:w="483"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2.83</w:t>
            </w:r>
          </w:p>
        </w:tc>
        <w:tc>
          <w:tcPr>
            <w:tcW w:w="464"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566.67</w:t>
            </w:r>
          </w:p>
        </w:tc>
        <w:tc>
          <w:tcPr>
            <w:tcW w:w="920"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0.9</w:t>
            </w:r>
          </w:p>
        </w:tc>
        <w:tc>
          <w:tcPr>
            <w:tcW w:w="485"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2.55</w:t>
            </w:r>
          </w:p>
        </w:tc>
        <w:tc>
          <w:tcPr>
            <w:tcW w:w="419" w:type="pct"/>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510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58" w:type="pct"/>
            <w:gridSpan w:val="2"/>
            <w:tcBorders>
              <w:top w:val="single" w:color="auto" w:sz="4" w:space="0"/>
              <w:bottom w:val="single" w:color="auto" w:sz="4" w:space="0"/>
              <w:right w:val="single" w:color="auto" w:sz="4" w:space="0"/>
            </w:tcBorders>
            <w:shd w:val="clear" w:color="auto" w:fill="FFFFFF"/>
            <w:vAlign w:val="center"/>
          </w:tcPr>
          <w:p>
            <w:pPr>
              <w:widowControl/>
              <w:jc w:val="center"/>
              <w:rPr>
                <w:kern w:val="0"/>
                <w:szCs w:val="21"/>
              </w:rPr>
            </w:pPr>
            <w:r>
              <w:rPr>
                <w:kern w:val="0"/>
                <w:szCs w:val="21"/>
              </w:rPr>
              <w:t>食堂用水</w:t>
            </w:r>
          </w:p>
        </w:tc>
        <w:tc>
          <w:tcPr>
            <w:tcW w:w="553"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60L/（人</w:t>
            </w:r>
            <w:r>
              <w:rPr>
                <w:szCs w:val="21"/>
              </w:rPr>
              <w:t>·</w:t>
            </w:r>
            <w:r>
              <w:rPr>
                <w:kern w:val="0"/>
                <w:szCs w:val="21"/>
              </w:rPr>
              <w:t>d）</w:t>
            </w:r>
          </w:p>
        </w:tc>
        <w:tc>
          <w:tcPr>
            <w:tcW w:w="296"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人</w:t>
            </w:r>
          </w:p>
        </w:tc>
        <w:tc>
          <w:tcPr>
            <w:tcW w:w="42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kern w:val="0"/>
                <w:szCs w:val="21"/>
              </w:rPr>
            </w:pPr>
            <w:r>
              <w:rPr>
                <w:rFonts w:hint="eastAsia"/>
                <w:kern w:val="0"/>
                <w:szCs w:val="21"/>
              </w:rPr>
              <w:t>7</w:t>
            </w:r>
            <w:r>
              <w:rPr>
                <w:kern w:val="0"/>
                <w:szCs w:val="21"/>
              </w:rPr>
              <w:t>00</w:t>
            </w:r>
          </w:p>
        </w:tc>
        <w:tc>
          <w:tcPr>
            <w:tcW w:w="483"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42</w:t>
            </w:r>
          </w:p>
        </w:tc>
        <w:tc>
          <w:tcPr>
            <w:tcW w:w="464"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8400</w:t>
            </w:r>
          </w:p>
        </w:tc>
        <w:tc>
          <w:tcPr>
            <w:tcW w:w="920"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0.9</w:t>
            </w:r>
          </w:p>
        </w:tc>
        <w:tc>
          <w:tcPr>
            <w:tcW w:w="485"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37.8</w:t>
            </w:r>
          </w:p>
        </w:tc>
        <w:tc>
          <w:tcPr>
            <w:tcW w:w="419" w:type="pct"/>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7560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58" w:type="pct"/>
            <w:gridSpan w:val="2"/>
            <w:tcBorders>
              <w:top w:val="single" w:color="auto" w:sz="4" w:space="0"/>
              <w:bottom w:val="single" w:color="auto" w:sz="4" w:space="0"/>
              <w:right w:val="single" w:color="auto" w:sz="4" w:space="0"/>
            </w:tcBorders>
            <w:shd w:val="clear" w:color="auto" w:fill="FFFFFF"/>
            <w:vAlign w:val="center"/>
          </w:tcPr>
          <w:p>
            <w:pPr>
              <w:widowControl/>
              <w:jc w:val="center"/>
              <w:rPr>
                <w:kern w:val="0"/>
                <w:szCs w:val="21"/>
              </w:rPr>
            </w:pPr>
            <w:r>
              <w:rPr>
                <w:kern w:val="0"/>
                <w:szCs w:val="21"/>
              </w:rPr>
              <w:t>绿化用水</w:t>
            </w:r>
          </w:p>
        </w:tc>
        <w:tc>
          <w:tcPr>
            <w:tcW w:w="553"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2L/（m</w:t>
            </w:r>
            <w:r>
              <w:rPr>
                <w:kern w:val="0"/>
                <w:szCs w:val="21"/>
                <w:vertAlign w:val="superscript"/>
              </w:rPr>
              <w:t>2</w:t>
            </w:r>
            <w:r>
              <w:rPr>
                <w:kern w:val="0"/>
                <w:szCs w:val="21"/>
              </w:rPr>
              <w:t>.d）</w:t>
            </w:r>
          </w:p>
        </w:tc>
        <w:tc>
          <w:tcPr>
            <w:tcW w:w="296"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w:t>
            </w:r>
          </w:p>
        </w:tc>
        <w:tc>
          <w:tcPr>
            <w:tcW w:w="42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kern w:val="0"/>
                <w:szCs w:val="21"/>
              </w:rPr>
            </w:pPr>
            <w:r>
              <w:rPr>
                <w:rFonts w:hint="eastAsia"/>
                <w:kern w:val="0"/>
                <w:szCs w:val="21"/>
              </w:rPr>
              <w:t>23914</w:t>
            </w:r>
          </w:p>
        </w:tc>
        <w:tc>
          <w:tcPr>
            <w:tcW w:w="483"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47.83</w:t>
            </w:r>
          </w:p>
        </w:tc>
        <w:tc>
          <w:tcPr>
            <w:tcW w:w="464"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9565.6</w:t>
            </w:r>
          </w:p>
        </w:tc>
        <w:tc>
          <w:tcPr>
            <w:tcW w:w="920"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0</w:t>
            </w:r>
          </w:p>
        </w:tc>
        <w:tc>
          <w:tcPr>
            <w:tcW w:w="485"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0</w:t>
            </w:r>
          </w:p>
        </w:tc>
        <w:tc>
          <w:tcPr>
            <w:tcW w:w="419" w:type="pct"/>
            <w:tcBorders>
              <w:top w:val="single" w:color="auto" w:sz="4" w:space="0"/>
              <w:left w:val="single" w:color="auto" w:sz="4" w:space="0"/>
              <w:bottom w:val="single" w:color="auto" w:sz="4" w:space="0"/>
            </w:tcBorders>
            <w:vAlign w:val="center"/>
          </w:tcPr>
          <w:p>
            <w:pPr>
              <w:widowControl/>
              <w:jc w:val="center"/>
              <w:rPr>
                <w:kern w:val="0"/>
                <w:szCs w:val="21"/>
              </w:rPr>
            </w:pPr>
            <w:r>
              <w:rPr>
                <w:kern w:val="0"/>
                <w:szCs w:val="21"/>
              </w:rPr>
              <w:t>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2229" w:type="pct"/>
            <w:gridSpan w:val="5"/>
            <w:tcBorders>
              <w:top w:val="single" w:color="auto" w:sz="4" w:space="0"/>
              <w:bottom w:val="single" w:color="auto" w:sz="4" w:space="0"/>
              <w:right w:val="single" w:color="auto" w:sz="4" w:space="0"/>
            </w:tcBorders>
            <w:vAlign w:val="center"/>
          </w:tcPr>
          <w:p>
            <w:pPr>
              <w:widowControl/>
              <w:jc w:val="center"/>
              <w:rPr>
                <w:kern w:val="0"/>
                <w:szCs w:val="21"/>
              </w:rPr>
            </w:pPr>
            <w:r>
              <w:rPr>
                <w:kern w:val="0"/>
                <w:szCs w:val="21"/>
              </w:rPr>
              <w:t>小计</w:t>
            </w:r>
          </w:p>
        </w:tc>
        <w:tc>
          <w:tcPr>
            <w:tcW w:w="483"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302.66</w:t>
            </w:r>
          </w:p>
        </w:tc>
        <w:tc>
          <w:tcPr>
            <w:tcW w:w="464"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60532.27</w:t>
            </w:r>
          </w:p>
        </w:tc>
        <w:tc>
          <w:tcPr>
            <w:tcW w:w="920"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w:t>
            </w:r>
          </w:p>
        </w:tc>
        <w:tc>
          <w:tcPr>
            <w:tcW w:w="485"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229.35</w:t>
            </w:r>
          </w:p>
        </w:tc>
        <w:tc>
          <w:tcPr>
            <w:tcW w:w="419" w:type="pct"/>
            <w:tcBorders>
              <w:top w:val="single" w:color="auto" w:sz="4" w:space="0"/>
              <w:left w:val="single" w:color="auto" w:sz="4" w:space="0"/>
              <w:bottom w:val="single" w:color="auto" w:sz="4" w:space="0"/>
            </w:tcBorders>
            <w:vAlign w:val="center"/>
          </w:tcPr>
          <w:p>
            <w:pPr>
              <w:widowControl/>
              <w:jc w:val="center"/>
              <w:rPr>
                <w:kern w:val="0"/>
                <w:szCs w:val="21"/>
              </w:rPr>
            </w:pPr>
            <w:r>
              <w:rPr>
                <w:rFonts w:hint="eastAsia"/>
                <w:kern w:val="0"/>
                <w:szCs w:val="21"/>
              </w:rPr>
              <w:t>45870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958" w:type="pct"/>
            <w:gridSpan w:val="2"/>
            <w:tcBorders>
              <w:top w:val="single" w:color="auto" w:sz="4" w:space="0"/>
              <w:bottom w:val="single" w:color="auto" w:sz="4" w:space="0"/>
              <w:right w:val="single" w:color="auto" w:sz="4" w:space="0"/>
            </w:tcBorders>
            <w:vAlign w:val="center"/>
          </w:tcPr>
          <w:p>
            <w:pPr>
              <w:widowControl/>
              <w:jc w:val="center"/>
              <w:rPr>
                <w:kern w:val="0"/>
                <w:szCs w:val="21"/>
              </w:rPr>
            </w:pPr>
            <w:r>
              <w:rPr>
                <w:kern w:val="0"/>
                <w:szCs w:val="21"/>
              </w:rPr>
              <w:t>未预见水量</w:t>
            </w:r>
          </w:p>
        </w:tc>
        <w:tc>
          <w:tcPr>
            <w:tcW w:w="1271" w:type="pct"/>
            <w:gridSpan w:val="3"/>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按总用水量10%计量</w:t>
            </w:r>
          </w:p>
        </w:tc>
        <w:tc>
          <w:tcPr>
            <w:tcW w:w="483"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30.27</w:t>
            </w:r>
          </w:p>
        </w:tc>
        <w:tc>
          <w:tcPr>
            <w:tcW w:w="464"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6053.23</w:t>
            </w:r>
          </w:p>
        </w:tc>
        <w:tc>
          <w:tcPr>
            <w:tcW w:w="920"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w:t>
            </w:r>
          </w:p>
        </w:tc>
        <w:tc>
          <w:tcPr>
            <w:tcW w:w="485"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22.94</w:t>
            </w:r>
          </w:p>
        </w:tc>
        <w:tc>
          <w:tcPr>
            <w:tcW w:w="419" w:type="pct"/>
            <w:tcBorders>
              <w:top w:val="single" w:color="auto" w:sz="4" w:space="0"/>
              <w:left w:val="single" w:color="auto" w:sz="4" w:space="0"/>
              <w:bottom w:val="single" w:color="auto" w:sz="4" w:space="0"/>
            </w:tcBorders>
            <w:vAlign w:val="center"/>
          </w:tcPr>
          <w:p>
            <w:pPr>
              <w:widowControl/>
              <w:jc w:val="center"/>
              <w:rPr>
                <w:kern w:val="0"/>
                <w:szCs w:val="21"/>
              </w:rPr>
            </w:pPr>
            <w:r>
              <w:rPr>
                <w:rFonts w:hint="eastAsia"/>
                <w:kern w:val="0"/>
                <w:szCs w:val="21"/>
              </w:rPr>
              <w:t>4587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2229" w:type="pct"/>
            <w:gridSpan w:val="5"/>
            <w:tcBorders>
              <w:top w:val="single" w:color="auto" w:sz="4" w:space="0"/>
              <w:bottom w:val="single" w:color="auto" w:sz="12" w:space="0"/>
              <w:right w:val="single" w:color="auto" w:sz="4" w:space="0"/>
            </w:tcBorders>
            <w:vAlign w:val="center"/>
          </w:tcPr>
          <w:p>
            <w:pPr>
              <w:widowControl/>
              <w:jc w:val="center"/>
              <w:rPr>
                <w:rFonts w:eastAsia="Times New Roman"/>
                <w:kern w:val="0"/>
                <w:szCs w:val="21"/>
              </w:rPr>
            </w:pPr>
            <w:r>
              <w:rPr>
                <w:bCs/>
                <w:kern w:val="0"/>
                <w:szCs w:val="21"/>
              </w:rPr>
              <w:t>合计</w:t>
            </w:r>
          </w:p>
        </w:tc>
        <w:tc>
          <w:tcPr>
            <w:tcW w:w="483" w:type="pct"/>
            <w:tcBorders>
              <w:top w:val="single" w:color="auto" w:sz="4" w:space="0"/>
              <w:left w:val="single" w:color="auto" w:sz="4" w:space="0"/>
              <w:bottom w:val="single" w:color="auto" w:sz="12" w:space="0"/>
              <w:right w:val="single" w:color="auto" w:sz="4" w:space="0"/>
            </w:tcBorders>
            <w:vAlign w:val="center"/>
          </w:tcPr>
          <w:p>
            <w:pPr>
              <w:widowControl/>
              <w:jc w:val="center"/>
              <w:rPr>
                <w:bCs/>
                <w:kern w:val="0"/>
                <w:szCs w:val="21"/>
              </w:rPr>
            </w:pPr>
            <w:r>
              <w:rPr>
                <w:rFonts w:hint="eastAsia"/>
                <w:bCs/>
                <w:kern w:val="0"/>
                <w:szCs w:val="21"/>
              </w:rPr>
              <w:t>332.93</w:t>
            </w:r>
          </w:p>
        </w:tc>
        <w:tc>
          <w:tcPr>
            <w:tcW w:w="464" w:type="pct"/>
            <w:tcBorders>
              <w:top w:val="single" w:color="auto" w:sz="4" w:space="0"/>
              <w:left w:val="single" w:color="auto" w:sz="4" w:space="0"/>
              <w:bottom w:val="single" w:color="auto" w:sz="12" w:space="0"/>
              <w:right w:val="single" w:color="auto" w:sz="4" w:space="0"/>
            </w:tcBorders>
            <w:vAlign w:val="center"/>
          </w:tcPr>
          <w:p>
            <w:pPr>
              <w:widowControl/>
              <w:jc w:val="center"/>
              <w:rPr>
                <w:bCs/>
                <w:kern w:val="0"/>
                <w:szCs w:val="21"/>
              </w:rPr>
            </w:pPr>
            <w:r>
              <w:rPr>
                <w:rFonts w:hint="eastAsia"/>
                <w:bCs/>
                <w:kern w:val="0"/>
                <w:szCs w:val="21"/>
              </w:rPr>
              <w:t>66585.49</w:t>
            </w:r>
          </w:p>
        </w:tc>
        <w:tc>
          <w:tcPr>
            <w:tcW w:w="920" w:type="pct"/>
            <w:tcBorders>
              <w:top w:val="single" w:color="auto" w:sz="4" w:space="0"/>
              <w:left w:val="single" w:color="auto" w:sz="4" w:space="0"/>
              <w:bottom w:val="single" w:color="auto" w:sz="12" w:space="0"/>
              <w:right w:val="single" w:color="auto" w:sz="4" w:space="0"/>
            </w:tcBorders>
            <w:vAlign w:val="center"/>
          </w:tcPr>
          <w:p>
            <w:pPr>
              <w:widowControl/>
              <w:jc w:val="center"/>
              <w:rPr>
                <w:kern w:val="0"/>
                <w:szCs w:val="21"/>
              </w:rPr>
            </w:pPr>
            <w:r>
              <w:rPr>
                <w:kern w:val="0"/>
                <w:szCs w:val="21"/>
              </w:rPr>
              <w:t>/</w:t>
            </w:r>
          </w:p>
        </w:tc>
        <w:tc>
          <w:tcPr>
            <w:tcW w:w="485" w:type="pct"/>
            <w:tcBorders>
              <w:top w:val="single" w:color="auto" w:sz="4" w:space="0"/>
              <w:left w:val="single" w:color="auto" w:sz="4" w:space="0"/>
              <w:bottom w:val="single" w:color="auto" w:sz="12" w:space="0"/>
              <w:right w:val="single" w:color="auto" w:sz="4" w:space="0"/>
            </w:tcBorders>
            <w:vAlign w:val="center"/>
          </w:tcPr>
          <w:p>
            <w:pPr>
              <w:widowControl/>
              <w:jc w:val="center"/>
              <w:rPr>
                <w:kern w:val="0"/>
                <w:szCs w:val="21"/>
              </w:rPr>
            </w:pPr>
            <w:r>
              <w:rPr>
                <w:rFonts w:hint="eastAsia"/>
                <w:kern w:val="0"/>
                <w:szCs w:val="21"/>
              </w:rPr>
              <w:t>252.29</w:t>
            </w:r>
          </w:p>
        </w:tc>
        <w:tc>
          <w:tcPr>
            <w:tcW w:w="419" w:type="pct"/>
            <w:tcBorders>
              <w:top w:val="single" w:color="auto" w:sz="4" w:space="0"/>
              <w:left w:val="single" w:color="auto" w:sz="4" w:space="0"/>
              <w:bottom w:val="single" w:color="auto" w:sz="12" w:space="0"/>
            </w:tcBorders>
            <w:vAlign w:val="center"/>
          </w:tcPr>
          <w:p>
            <w:pPr>
              <w:widowControl/>
              <w:jc w:val="center"/>
              <w:rPr>
                <w:kern w:val="0"/>
                <w:szCs w:val="21"/>
              </w:rPr>
            </w:pPr>
            <w:r>
              <w:rPr>
                <w:rFonts w:hint="eastAsia"/>
                <w:kern w:val="0"/>
                <w:szCs w:val="21"/>
              </w:rPr>
              <w:t>50457</w:t>
            </w:r>
          </w:p>
        </w:tc>
      </w:tr>
    </w:tbl>
    <w:p>
      <w:pPr>
        <w:pStyle w:val="6"/>
        <w:rPr>
          <w:sz w:val="21"/>
          <w:szCs w:val="21"/>
        </w:rPr>
      </w:pPr>
      <w:r>
        <w:rPr>
          <w:rFonts w:hint="eastAsia" w:ascii="仿宋" w:hAnsi="仿宋" w:eastAsia="仿宋"/>
          <w:b/>
          <w:bCs/>
          <w:sz w:val="21"/>
          <w:szCs w:val="21"/>
        </w:rPr>
        <w:t>备注：实验过程中产生的实验废液（含重金属的）应委托有危险废物处置单位处理。</w:t>
      </w:r>
    </w:p>
    <w:p>
      <w:pPr>
        <w:widowControl/>
        <w:spacing w:line="360" w:lineRule="auto"/>
        <w:jc w:val="center"/>
        <w:rPr>
          <w:sz w:val="24"/>
        </w:rPr>
      </w:pPr>
      <w:r>
        <w:rPr>
          <w:sz w:val="24"/>
        </w:rPr>
        <w:object>
          <v:shape id="_x0000_i1025" o:spt="75" type="#_x0000_t75" style="height:235.5pt;width:458.25pt;" o:ole="t" filled="f" o:preferrelative="t" stroked="f" coordsize="21600,21600">
            <v:path/>
            <v:fill on="f" focussize="0,0"/>
            <v:stroke on="f" joinstyle="miter"/>
            <v:imagedata r:id="rId22" o:title=""/>
            <o:lock v:ext="edit" aspectratio="t"/>
            <w10:wrap type="none"/>
            <w10:anchorlock/>
          </v:shape>
          <o:OLEObject Type="Embed" ProgID="Visio.Drawing.11" ShapeID="_x0000_i1025" DrawAspect="Content" ObjectID="_1468075725" r:id="rId21">
            <o:LockedField>false</o:LockedField>
          </o:OLEObject>
        </w:object>
      </w:r>
      <w:r>
        <w:rPr>
          <w:b/>
          <w:sz w:val="24"/>
        </w:rPr>
        <w:t>图</w:t>
      </w:r>
      <w:r>
        <w:rPr>
          <w:rFonts w:hint="eastAsia"/>
          <w:b/>
          <w:sz w:val="24"/>
        </w:rPr>
        <w:t>3.2-3  项目水平衡图（单位：t/d）</w:t>
      </w:r>
    </w:p>
    <w:p>
      <w:pPr>
        <w:widowControl/>
        <w:spacing w:line="360" w:lineRule="auto"/>
        <w:ind w:firstLine="480" w:firstLineChars="200"/>
        <w:rPr>
          <w:sz w:val="24"/>
          <w:szCs w:val="24"/>
        </w:rPr>
      </w:pPr>
      <w:r>
        <w:rPr>
          <w:sz w:val="24"/>
          <w:szCs w:val="24"/>
        </w:rPr>
        <w:t>（2）排水工程</w:t>
      </w:r>
    </w:p>
    <w:p>
      <w:pPr>
        <w:widowControl/>
        <w:spacing w:line="360" w:lineRule="auto"/>
        <w:ind w:firstLine="480" w:firstLineChars="200"/>
        <w:rPr>
          <w:sz w:val="24"/>
          <w:szCs w:val="24"/>
        </w:rPr>
      </w:pPr>
      <w:r>
        <w:rPr>
          <w:sz w:val="24"/>
          <w:szCs w:val="24"/>
        </w:rPr>
        <w:t>本工程室内排水采用污废合流制，室外排水采用雨、污分流制。</w:t>
      </w:r>
    </w:p>
    <w:p>
      <w:pPr>
        <w:widowControl/>
        <w:spacing w:line="360" w:lineRule="auto"/>
        <w:ind w:firstLine="480" w:firstLineChars="200"/>
        <w:rPr>
          <w:sz w:val="24"/>
        </w:rPr>
      </w:pPr>
      <w:r>
        <w:rPr>
          <w:sz w:val="24"/>
          <w:szCs w:val="24"/>
        </w:rPr>
        <w:t>本项目污水产生量约为</w:t>
      </w:r>
      <w:r>
        <w:rPr>
          <w:rFonts w:hint="eastAsia"/>
          <w:sz w:val="24"/>
          <w:szCs w:val="24"/>
        </w:rPr>
        <w:t>252.29</w:t>
      </w:r>
      <w:r>
        <w:rPr>
          <w:rFonts w:hint="eastAsia"/>
          <w:sz w:val="24"/>
        </w:rPr>
        <w:t>t</w:t>
      </w:r>
      <w:r>
        <w:rPr>
          <w:sz w:val="24"/>
          <w:szCs w:val="24"/>
        </w:rPr>
        <w:t>/d（</w:t>
      </w:r>
      <w:r>
        <w:rPr>
          <w:rFonts w:hint="eastAsia"/>
          <w:sz w:val="24"/>
          <w:szCs w:val="24"/>
        </w:rPr>
        <w:t>50457</w:t>
      </w:r>
      <w:r>
        <w:rPr>
          <w:rFonts w:hint="eastAsia"/>
          <w:sz w:val="24"/>
        </w:rPr>
        <w:t>t</w:t>
      </w:r>
      <w:r>
        <w:rPr>
          <w:sz w:val="24"/>
          <w:szCs w:val="24"/>
        </w:rPr>
        <w:t>/a），其中食堂废水先经隔油池预处理，实验室废水经中和池预处理，之后一同与生活污水一起进入化粪池，经化粪池处理后，排入市政污水管道。</w:t>
      </w:r>
    </w:p>
    <w:p>
      <w:pPr>
        <w:widowControl/>
        <w:spacing w:line="360" w:lineRule="auto"/>
        <w:ind w:firstLine="480" w:firstLineChars="200"/>
        <w:rPr>
          <w:sz w:val="24"/>
        </w:rPr>
      </w:pPr>
      <w:r>
        <w:rPr>
          <w:rFonts w:hint="eastAsia"/>
          <w:sz w:val="24"/>
          <w:szCs w:val="24"/>
        </w:rPr>
        <w:t>校区内雨水及屋面雨水经室外雨水口、雨水检查井及室外雨水管道收集，接入东侧规划路市政雨水管网。</w:t>
      </w:r>
    </w:p>
    <w:p>
      <w:pPr>
        <w:spacing w:line="360" w:lineRule="auto"/>
        <w:jc w:val="left"/>
        <w:outlineLvl w:val="3"/>
        <w:rPr>
          <w:b/>
          <w:sz w:val="24"/>
          <w:szCs w:val="24"/>
        </w:rPr>
      </w:pPr>
      <w:r>
        <w:rPr>
          <w:b/>
          <w:sz w:val="24"/>
          <w:szCs w:val="24"/>
        </w:rPr>
        <w:t>3.2.</w:t>
      </w:r>
      <w:r>
        <w:rPr>
          <w:rFonts w:hint="eastAsia"/>
          <w:b/>
          <w:sz w:val="24"/>
          <w:szCs w:val="24"/>
        </w:rPr>
        <w:t>6</w:t>
      </w:r>
      <w:r>
        <w:rPr>
          <w:b/>
          <w:sz w:val="24"/>
          <w:szCs w:val="24"/>
        </w:rPr>
        <w:t>.2</w:t>
      </w:r>
      <w:r>
        <w:rPr>
          <w:rFonts w:hint="eastAsia"/>
          <w:b/>
          <w:sz w:val="24"/>
          <w:szCs w:val="24"/>
        </w:rPr>
        <w:t>变、配电系统</w:t>
      </w:r>
    </w:p>
    <w:p>
      <w:pPr>
        <w:spacing w:line="360" w:lineRule="auto"/>
        <w:ind w:firstLine="600"/>
        <w:rPr>
          <w:sz w:val="24"/>
        </w:rPr>
      </w:pPr>
      <w:r>
        <w:rPr>
          <w:sz w:val="24"/>
        </w:rPr>
        <w:t>本项目</w:t>
      </w:r>
      <w:r>
        <w:rPr>
          <w:rFonts w:hint="eastAsia"/>
          <w:sz w:val="24"/>
        </w:rPr>
        <w:t>现有一个配电房、一个发电机房，均位于拟建高中部综合楼西侧，内为1</w:t>
      </w:r>
      <w:r>
        <w:rPr>
          <w:sz w:val="24"/>
        </w:rPr>
        <w:t>台</w:t>
      </w:r>
      <w:r>
        <w:rPr>
          <w:rFonts w:hint="eastAsia"/>
          <w:sz w:val="24"/>
        </w:rPr>
        <w:t>800</w:t>
      </w:r>
      <w:r>
        <w:rPr>
          <w:sz w:val="24"/>
        </w:rPr>
        <w:t>kVA干式变压器</w:t>
      </w:r>
      <w:r>
        <w:rPr>
          <w:rFonts w:hint="eastAsia"/>
          <w:sz w:val="24"/>
        </w:rPr>
        <w:t>及1台20</w:t>
      </w:r>
      <w:r>
        <w:rPr>
          <w:sz w:val="24"/>
        </w:rPr>
        <w:t>0kW柴油发电机</w:t>
      </w:r>
      <w:r>
        <w:rPr>
          <w:rFonts w:hint="eastAsia"/>
          <w:sz w:val="24"/>
        </w:rPr>
        <w:t>。</w:t>
      </w:r>
    </w:p>
    <w:p>
      <w:pPr>
        <w:spacing w:line="360" w:lineRule="auto"/>
        <w:ind w:firstLine="600"/>
        <w:rPr>
          <w:sz w:val="24"/>
        </w:rPr>
      </w:pPr>
      <w:r>
        <w:rPr>
          <w:rFonts w:hint="eastAsia"/>
          <w:sz w:val="24"/>
        </w:rPr>
        <w:t>项目拟</w:t>
      </w:r>
      <w:r>
        <w:rPr>
          <w:sz w:val="24"/>
        </w:rPr>
        <w:t>采用一路</w:t>
      </w:r>
      <w:r>
        <w:rPr>
          <w:rFonts w:hint="eastAsia"/>
          <w:sz w:val="24"/>
        </w:rPr>
        <w:t>10KV市政高压电源供电</w:t>
      </w:r>
      <w:r>
        <w:rPr>
          <w:sz w:val="24"/>
        </w:rPr>
        <w:t>，</w:t>
      </w:r>
      <w:r>
        <w:rPr>
          <w:rFonts w:hint="eastAsia"/>
          <w:sz w:val="24"/>
        </w:rPr>
        <w:t>在</w:t>
      </w:r>
      <w:r>
        <w:rPr>
          <w:sz w:val="24"/>
        </w:rPr>
        <w:t>学生教师中转房一层</w:t>
      </w:r>
      <w:r>
        <w:rPr>
          <w:rFonts w:hint="eastAsia"/>
          <w:sz w:val="24"/>
        </w:rPr>
        <w:t>食堂新建</w:t>
      </w:r>
      <w:r>
        <w:rPr>
          <w:sz w:val="24"/>
        </w:rPr>
        <w:t>一个变配电房</w:t>
      </w:r>
      <w:r>
        <w:rPr>
          <w:rFonts w:hint="eastAsia"/>
          <w:sz w:val="24"/>
        </w:rPr>
        <w:t>（45</w:t>
      </w:r>
      <w:r>
        <w:rPr>
          <w:sz w:val="24"/>
          <w:szCs w:val="24"/>
        </w:rPr>
        <w:t>m</w:t>
      </w:r>
      <w:r>
        <w:rPr>
          <w:sz w:val="24"/>
          <w:szCs w:val="24"/>
          <w:vertAlign w:val="superscript"/>
        </w:rPr>
        <w:t>2</w:t>
      </w:r>
      <w:r>
        <w:rPr>
          <w:sz w:val="24"/>
          <w:szCs w:val="24"/>
        </w:rPr>
        <w:t>，</w:t>
      </w:r>
      <w:r>
        <w:rPr>
          <w:rFonts w:hint="eastAsia"/>
          <w:sz w:val="24"/>
          <w:szCs w:val="24"/>
        </w:rPr>
        <w:t>净高不小于3.9m</w:t>
      </w:r>
      <w:r>
        <w:rPr>
          <w:rFonts w:hint="eastAsia"/>
          <w:sz w:val="24"/>
        </w:rPr>
        <w:t>）、一个发电机房（120</w:t>
      </w:r>
      <w:r>
        <w:rPr>
          <w:sz w:val="24"/>
          <w:szCs w:val="24"/>
        </w:rPr>
        <w:t>m</w:t>
      </w:r>
      <w:r>
        <w:rPr>
          <w:sz w:val="24"/>
          <w:szCs w:val="24"/>
          <w:vertAlign w:val="superscript"/>
        </w:rPr>
        <w:t>2</w:t>
      </w:r>
      <w:r>
        <w:rPr>
          <w:sz w:val="24"/>
          <w:szCs w:val="24"/>
        </w:rPr>
        <w:t>，</w:t>
      </w:r>
      <w:r>
        <w:rPr>
          <w:rFonts w:hint="eastAsia"/>
          <w:sz w:val="24"/>
          <w:szCs w:val="24"/>
        </w:rPr>
        <w:t>净高不小于3.9m</w:t>
      </w:r>
      <w:r>
        <w:rPr>
          <w:rFonts w:hint="eastAsia"/>
          <w:sz w:val="24"/>
        </w:rPr>
        <w:t>），</w:t>
      </w:r>
      <w:r>
        <w:rPr>
          <w:sz w:val="24"/>
        </w:rPr>
        <w:t>设2台1</w:t>
      </w:r>
      <w:r>
        <w:rPr>
          <w:rFonts w:hint="eastAsia"/>
          <w:sz w:val="24"/>
        </w:rPr>
        <w:t>000</w:t>
      </w:r>
      <w:r>
        <w:rPr>
          <w:sz w:val="24"/>
        </w:rPr>
        <w:t>kVA干式变压器</w:t>
      </w:r>
      <w:r>
        <w:rPr>
          <w:rFonts w:hint="eastAsia"/>
          <w:sz w:val="24"/>
        </w:rPr>
        <w:t>和</w:t>
      </w:r>
      <w:r>
        <w:rPr>
          <w:sz w:val="24"/>
        </w:rPr>
        <w:t>1台</w:t>
      </w:r>
      <w:r>
        <w:rPr>
          <w:rFonts w:hint="eastAsia"/>
          <w:sz w:val="24"/>
        </w:rPr>
        <w:t>40</w:t>
      </w:r>
      <w:r>
        <w:rPr>
          <w:sz w:val="24"/>
        </w:rPr>
        <w:t>0kW柴油发电机。</w:t>
      </w:r>
    </w:p>
    <w:p>
      <w:pPr>
        <w:spacing w:line="360" w:lineRule="auto"/>
        <w:ind w:firstLine="600"/>
        <w:rPr>
          <w:sz w:val="24"/>
        </w:rPr>
      </w:pPr>
      <w:r>
        <w:rPr>
          <w:sz w:val="24"/>
        </w:rPr>
        <w:t>室外电缆原则上直埋地敷设或沿电力排管敷设，室内供电线路沿墙明配，配电支线一般采用BV—500型绝缘芯线在穿PVC管沿墙、地、顶暗敷。</w:t>
      </w:r>
    </w:p>
    <w:p>
      <w:pPr>
        <w:spacing w:line="360" w:lineRule="auto"/>
        <w:jc w:val="left"/>
        <w:outlineLvl w:val="3"/>
        <w:rPr>
          <w:b/>
          <w:sz w:val="24"/>
          <w:szCs w:val="24"/>
        </w:rPr>
      </w:pPr>
      <w:r>
        <w:rPr>
          <w:b/>
          <w:sz w:val="24"/>
          <w:szCs w:val="24"/>
        </w:rPr>
        <w:t>3.2.</w:t>
      </w:r>
      <w:r>
        <w:rPr>
          <w:rFonts w:hint="eastAsia"/>
          <w:b/>
          <w:sz w:val="24"/>
          <w:szCs w:val="24"/>
        </w:rPr>
        <w:t>6</w:t>
      </w:r>
      <w:r>
        <w:rPr>
          <w:b/>
          <w:sz w:val="24"/>
          <w:szCs w:val="24"/>
        </w:rPr>
        <w:t>.3</w:t>
      </w:r>
      <w:r>
        <w:rPr>
          <w:rFonts w:hint="eastAsia"/>
          <w:b/>
          <w:sz w:val="24"/>
          <w:szCs w:val="24"/>
        </w:rPr>
        <w:t>暖通设计</w:t>
      </w:r>
    </w:p>
    <w:p>
      <w:pPr>
        <w:spacing w:line="520" w:lineRule="exact"/>
        <w:ind w:firstLine="480" w:firstLineChars="200"/>
        <w:rPr>
          <w:sz w:val="24"/>
          <w:szCs w:val="24"/>
        </w:rPr>
      </w:pPr>
      <w:r>
        <w:rPr>
          <w:sz w:val="24"/>
          <w:szCs w:val="24"/>
        </w:rPr>
        <w:t>（1）</w:t>
      </w:r>
      <w:r>
        <w:rPr>
          <w:rFonts w:hint="eastAsia"/>
          <w:sz w:val="24"/>
          <w:szCs w:val="24"/>
        </w:rPr>
        <w:t>空调系统</w:t>
      </w:r>
    </w:p>
    <w:p>
      <w:pPr>
        <w:spacing w:line="520" w:lineRule="exact"/>
        <w:ind w:firstLine="480" w:firstLineChars="200"/>
        <w:rPr>
          <w:sz w:val="24"/>
        </w:rPr>
      </w:pPr>
      <w:r>
        <w:rPr>
          <w:sz w:val="24"/>
          <w:szCs w:val="24"/>
        </w:rPr>
        <w:t>体育馆内各场馆采用多联式空调系统</w:t>
      </w:r>
      <w:r>
        <w:rPr>
          <w:rFonts w:hint="eastAsia"/>
          <w:sz w:val="24"/>
          <w:szCs w:val="24"/>
        </w:rPr>
        <w:t>，</w:t>
      </w:r>
      <w:r>
        <w:rPr>
          <w:sz w:val="24"/>
          <w:szCs w:val="24"/>
        </w:rPr>
        <w:t>办公室、教室、实验室</w:t>
      </w:r>
      <w:r>
        <w:rPr>
          <w:rFonts w:hint="eastAsia"/>
          <w:sz w:val="24"/>
          <w:szCs w:val="24"/>
        </w:rPr>
        <w:t>、</w:t>
      </w:r>
      <w:r>
        <w:rPr>
          <w:sz w:val="24"/>
          <w:szCs w:val="24"/>
        </w:rPr>
        <w:t>宿舍采用分体式空调，</w:t>
      </w:r>
      <w:r>
        <w:rPr>
          <w:sz w:val="24"/>
        </w:rPr>
        <w:t>电梯机房、消控中心设置独立的整体式局部空调系统。</w:t>
      </w:r>
    </w:p>
    <w:p>
      <w:pPr>
        <w:spacing w:line="520" w:lineRule="exact"/>
        <w:ind w:firstLine="480" w:firstLineChars="200"/>
        <w:rPr>
          <w:sz w:val="24"/>
          <w:szCs w:val="24"/>
        </w:rPr>
      </w:pPr>
      <w:r>
        <w:rPr>
          <w:rFonts w:hint="eastAsia"/>
          <w:sz w:val="24"/>
          <w:szCs w:val="24"/>
        </w:rPr>
        <w:t>体育馆</w:t>
      </w:r>
      <w:r>
        <w:rPr>
          <w:sz w:val="24"/>
          <w:szCs w:val="24"/>
        </w:rPr>
        <w:t>室外机</w:t>
      </w:r>
      <w:r>
        <w:rPr>
          <w:rFonts w:hint="eastAsia"/>
          <w:sz w:val="24"/>
          <w:szCs w:val="24"/>
        </w:rPr>
        <w:t>设置于</w:t>
      </w:r>
      <w:r>
        <w:rPr>
          <w:sz w:val="24"/>
          <w:szCs w:val="24"/>
        </w:rPr>
        <w:t>一层室外</w:t>
      </w:r>
      <w:r>
        <w:rPr>
          <w:rFonts w:hint="eastAsia"/>
          <w:sz w:val="24"/>
          <w:szCs w:val="24"/>
        </w:rPr>
        <w:t>，其余设置于各楼层</w:t>
      </w:r>
      <w:r>
        <w:rPr>
          <w:sz w:val="24"/>
          <w:szCs w:val="24"/>
        </w:rPr>
        <w:t>。本工程新风采用全热交换器，部分新风负荷由室内机承担。</w:t>
      </w:r>
    </w:p>
    <w:p>
      <w:pPr>
        <w:spacing w:line="520" w:lineRule="exact"/>
        <w:ind w:firstLine="480" w:firstLineChars="200"/>
        <w:rPr>
          <w:sz w:val="24"/>
          <w:szCs w:val="24"/>
        </w:rPr>
      </w:pPr>
      <w:r>
        <w:rPr>
          <w:sz w:val="24"/>
          <w:szCs w:val="24"/>
        </w:rPr>
        <w:t>（2）通风系统</w:t>
      </w:r>
    </w:p>
    <w:p>
      <w:pPr>
        <w:spacing w:line="520" w:lineRule="exact"/>
        <w:ind w:firstLine="480" w:firstLineChars="200"/>
        <w:rPr>
          <w:sz w:val="24"/>
          <w:szCs w:val="24"/>
        </w:rPr>
      </w:pPr>
      <w:r>
        <w:rPr>
          <w:sz w:val="24"/>
          <w:szCs w:val="24"/>
        </w:rPr>
        <w:t>①地下车库均按5次/h和6次/h 换气次数设置送排风系统。风机选用低噪音</w:t>
      </w:r>
      <w:r>
        <w:rPr>
          <w:rFonts w:hint="eastAsia"/>
          <w:sz w:val="24"/>
          <w:szCs w:val="24"/>
        </w:rPr>
        <w:t>机械</w:t>
      </w:r>
      <w:r>
        <w:rPr>
          <w:sz w:val="24"/>
          <w:szCs w:val="24"/>
        </w:rPr>
        <w:t>风机。</w:t>
      </w:r>
    </w:p>
    <w:p>
      <w:pPr>
        <w:spacing w:line="520" w:lineRule="exact"/>
        <w:ind w:firstLine="480" w:firstLineChars="200"/>
        <w:rPr>
          <w:sz w:val="24"/>
          <w:szCs w:val="24"/>
        </w:rPr>
      </w:pPr>
      <w:r>
        <w:rPr>
          <w:sz w:val="24"/>
          <w:szCs w:val="24"/>
        </w:rPr>
        <w:t>②实验室设机械排风系统，</w:t>
      </w:r>
      <w:r>
        <w:rPr>
          <w:rFonts w:hint="eastAsia"/>
          <w:sz w:val="24"/>
          <w:szCs w:val="24"/>
        </w:rPr>
        <w:t>实验过程中使用，</w:t>
      </w:r>
      <w:r>
        <w:rPr>
          <w:sz w:val="24"/>
          <w:szCs w:val="24"/>
        </w:rPr>
        <w:t>排气量按10次/时。</w:t>
      </w:r>
      <w:r>
        <w:rPr>
          <w:rFonts w:hint="eastAsia"/>
          <w:sz w:val="24"/>
          <w:szCs w:val="24"/>
        </w:rPr>
        <w:t>。</w:t>
      </w:r>
    </w:p>
    <w:p>
      <w:pPr>
        <w:spacing w:line="520" w:lineRule="exact"/>
        <w:ind w:firstLine="480" w:firstLineChars="200"/>
        <w:rPr>
          <w:sz w:val="24"/>
          <w:szCs w:val="24"/>
        </w:rPr>
      </w:pPr>
      <w:r>
        <w:rPr>
          <w:sz w:val="24"/>
          <w:szCs w:val="24"/>
        </w:rPr>
        <w:t>③卫生间</w:t>
      </w:r>
      <w:r>
        <w:rPr>
          <w:rFonts w:hint="eastAsia"/>
          <w:sz w:val="24"/>
          <w:szCs w:val="24"/>
        </w:rPr>
        <w:t>、更衣室</w:t>
      </w:r>
      <w:r>
        <w:rPr>
          <w:sz w:val="24"/>
        </w:rPr>
        <w:t>、开水间</w:t>
      </w:r>
      <w:r>
        <w:rPr>
          <w:rFonts w:hint="eastAsia"/>
          <w:sz w:val="24"/>
          <w:szCs w:val="24"/>
        </w:rPr>
        <w:t>等</w:t>
      </w:r>
      <w:r>
        <w:rPr>
          <w:sz w:val="24"/>
          <w:szCs w:val="24"/>
        </w:rPr>
        <w:t>设</w:t>
      </w:r>
      <w:r>
        <w:rPr>
          <w:rFonts w:hint="eastAsia"/>
          <w:sz w:val="24"/>
          <w:szCs w:val="24"/>
        </w:rPr>
        <w:t>独立机械</w:t>
      </w:r>
      <w:r>
        <w:rPr>
          <w:sz w:val="24"/>
          <w:szCs w:val="24"/>
        </w:rPr>
        <w:t>排风系统，排风机为管道式排气扇或导管式排气扇</w:t>
      </w:r>
      <w:r>
        <w:rPr>
          <w:rFonts w:hint="eastAsia"/>
          <w:sz w:val="24"/>
          <w:szCs w:val="24"/>
        </w:rPr>
        <w:t>，</w:t>
      </w:r>
      <w:r>
        <w:rPr>
          <w:sz w:val="24"/>
          <w:szCs w:val="24"/>
        </w:rPr>
        <w:t>废气经排气竖井至室外排放或直接排向室外。</w:t>
      </w:r>
    </w:p>
    <w:p>
      <w:pPr>
        <w:spacing w:line="520" w:lineRule="exact"/>
        <w:ind w:firstLine="480" w:firstLineChars="200"/>
        <w:rPr>
          <w:sz w:val="24"/>
          <w:szCs w:val="24"/>
        </w:rPr>
      </w:pPr>
      <w:r>
        <w:rPr>
          <w:sz w:val="24"/>
          <w:szCs w:val="24"/>
        </w:rPr>
        <w:t>④变配电房、机房等设置气体灭火的房间，设有应急通风机，与平时通风系统合用。</w:t>
      </w:r>
    </w:p>
    <w:p>
      <w:pPr>
        <w:spacing w:line="520" w:lineRule="exact"/>
        <w:ind w:firstLine="480" w:firstLineChars="200"/>
        <w:rPr>
          <w:sz w:val="24"/>
          <w:szCs w:val="24"/>
        </w:rPr>
      </w:pPr>
      <w:r>
        <w:rPr>
          <w:sz w:val="24"/>
          <w:szCs w:val="24"/>
        </w:rPr>
        <w:fldChar w:fldCharType="begin"/>
      </w:r>
      <w:r>
        <w:rPr>
          <w:sz w:val="24"/>
          <w:szCs w:val="24"/>
        </w:rPr>
        <w:instrText xml:space="preserve"> = 5 \* GB3 \* MERGEFORMAT </w:instrText>
      </w:r>
      <w:r>
        <w:rPr>
          <w:sz w:val="24"/>
          <w:szCs w:val="24"/>
        </w:rPr>
        <w:fldChar w:fldCharType="separate"/>
      </w:r>
      <w:r>
        <w:rPr>
          <w:rFonts w:hint="eastAsia" w:ascii="宋体" w:hAnsi="宋体" w:cs="宋体"/>
          <w:sz w:val="24"/>
          <w:szCs w:val="24"/>
        </w:rPr>
        <w:t>⑤</w:t>
      </w:r>
      <w:r>
        <w:rPr>
          <w:sz w:val="24"/>
          <w:szCs w:val="24"/>
        </w:rPr>
        <w:fldChar w:fldCharType="end"/>
      </w:r>
      <w:r>
        <w:rPr>
          <w:sz w:val="24"/>
        </w:rPr>
        <w:t>厨房采用吊装式风扇。</w:t>
      </w:r>
    </w:p>
    <w:p>
      <w:pPr>
        <w:spacing w:line="520" w:lineRule="exact"/>
        <w:ind w:firstLine="480" w:firstLineChars="200"/>
        <w:rPr>
          <w:sz w:val="24"/>
          <w:szCs w:val="24"/>
        </w:rPr>
      </w:pPr>
      <w:r>
        <w:rPr>
          <w:sz w:val="24"/>
        </w:rPr>
        <w:fldChar w:fldCharType="begin"/>
      </w:r>
      <w:r>
        <w:rPr>
          <w:sz w:val="24"/>
        </w:rPr>
        <w:instrText xml:space="preserve"> </w:instrText>
      </w:r>
      <w:r>
        <w:rPr>
          <w:rFonts w:hint="eastAsia"/>
          <w:sz w:val="24"/>
        </w:rPr>
        <w:instrText xml:space="preserve">= 6 \* GB3</w:instrText>
      </w:r>
      <w:r>
        <w:rPr>
          <w:sz w:val="24"/>
        </w:rPr>
        <w:instrText xml:space="preserve"> </w:instrText>
      </w:r>
      <w:r>
        <w:rPr>
          <w:sz w:val="24"/>
        </w:rPr>
        <w:fldChar w:fldCharType="separate"/>
      </w:r>
      <w:r>
        <w:rPr>
          <w:rFonts w:hint="eastAsia"/>
          <w:sz w:val="24"/>
        </w:rPr>
        <w:t>⑥</w:t>
      </w:r>
      <w:r>
        <w:rPr>
          <w:sz w:val="24"/>
        </w:rPr>
        <w:fldChar w:fldCharType="end"/>
      </w:r>
      <w:r>
        <w:rPr>
          <w:sz w:val="24"/>
        </w:rPr>
        <w:t>结合空调新风系统，大开间空调房间及无外窗空调房间等人流密度高的房间按防火分区分别设置机械排风系统。</w:t>
      </w:r>
    </w:p>
    <w:p>
      <w:pPr>
        <w:spacing w:line="360" w:lineRule="auto"/>
        <w:jc w:val="left"/>
        <w:outlineLvl w:val="3"/>
        <w:rPr>
          <w:b/>
          <w:sz w:val="24"/>
          <w:szCs w:val="24"/>
        </w:rPr>
      </w:pPr>
      <w:r>
        <w:rPr>
          <w:b/>
          <w:sz w:val="24"/>
          <w:szCs w:val="24"/>
        </w:rPr>
        <w:t>3.2.</w:t>
      </w:r>
      <w:r>
        <w:rPr>
          <w:rFonts w:hint="eastAsia"/>
          <w:b/>
          <w:sz w:val="24"/>
          <w:szCs w:val="24"/>
        </w:rPr>
        <w:t>6</w:t>
      </w:r>
      <w:r>
        <w:rPr>
          <w:b/>
          <w:sz w:val="24"/>
          <w:szCs w:val="24"/>
        </w:rPr>
        <w:t>.</w:t>
      </w:r>
      <w:r>
        <w:rPr>
          <w:rFonts w:hint="eastAsia"/>
          <w:b/>
          <w:sz w:val="24"/>
          <w:szCs w:val="24"/>
        </w:rPr>
        <w:t>4</w:t>
      </w:r>
      <w:r>
        <w:rPr>
          <w:b/>
          <w:sz w:val="24"/>
          <w:szCs w:val="24"/>
        </w:rPr>
        <w:t>消防</w:t>
      </w:r>
      <w:r>
        <w:rPr>
          <w:rFonts w:hint="eastAsia"/>
          <w:b/>
          <w:sz w:val="24"/>
          <w:szCs w:val="24"/>
        </w:rPr>
        <w:t>设计</w:t>
      </w:r>
    </w:p>
    <w:p>
      <w:pPr>
        <w:spacing w:line="520" w:lineRule="exact"/>
        <w:ind w:firstLine="480"/>
        <w:rPr>
          <w:sz w:val="24"/>
          <w:szCs w:val="24"/>
        </w:rPr>
      </w:pPr>
      <w:r>
        <w:rPr>
          <w:sz w:val="24"/>
          <w:szCs w:val="24"/>
        </w:rPr>
        <w:t>本工程按多层公共建筑进行防火设计，建筑物外部设有室外消火栓和水泵接合器；内部设有室内消火栓系统、自动喷水灭火系统或、手提式灭火器</w:t>
      </w:r>
      <w:r>
        <w:rPr>
          <w:rFonts w:hint="eastAsia"/>
          <w:sz w:val="24"/>
          <w:szCs w:val="24"/>
        </w:rPr>
        <w:t>。</w:t>
      </w:r>
    </w:p>
    <w:p>
      <w:pPr>
        <w:spacing w:line="520" w:lineRule="exact"/>
        <w:ind w:firstLine="480"/>
        <w:rPr>
          <w:sz w:val="24"/>
          <w:szCs w:val="24"/>
        </w:rPr>
      </w:pPr>
      <w:r>
        <w:rPr>
          <w:rFonts w:hint="eastAsia"/>
          <w:sz w:val="24"/>
          <w:szCs w:val="24"/>
        </w:rPr>
        <w:t>本工程</w:t>
      </w:r>
      <w:r>
        <w:rPr>
          <w:sz w:val="24"/>
          <w:szCs w:val="24"/>
        </w:rPr>
        <w:t>室内消火栓用水量</w:t>
      </w:r>
      <w:r>
        <w:rPr>
          <w:rFonts w:hint="eastAsia"/>
          <w:sz w:val="24"/>
          <w:szCs w:val="24"/>
        </w:rPr>
        <w:t>2</w:t>
      </w:r>
      <w:r>
        <w:rPr>
          <w:sz w:val="24"/>
          <w:szCs w:val="24"/>
        </w:rPr>
        <w:t>0L/s，室外消火栓用水量40L/s，火灾持续时间</w:t>
      </w:r>
      <w:r>
        <w:rPr>
          <w:rFonts w:hint="eastAsia"/>
          <w:sz w:val="24"/>
          <w:szCs w:val="24"/>
        </w:rPr>
        <w:t>3</w:t>
      </w:r>
      <w:r>
        <w:rPr>
          <w:sz w:val="24"/>
          <w:szCs w:val="24"/>
        </w:rPr>
        <w:t>h。</w:t>
      </w:r>
      <w:r>
        <w:rPr>
          <w:rFonts w:hint="eastAsia"/>
          <w:sz w:val="24"/>
          <w:szCs w:val="24"/>
        </w:rPr>
        <w:t>自动</w:t>
      </w:r>
      <w:r>
        <w:rPr>
          <w:sz w:val="24"/>
          <w:szCs w:val="24"/>
        </w:rPr>
        <w:t>喷淋</w:t>
      </w:r>
      <w:r>
        <w:rPr>
          <w:rFonts w:hint="eastAsia"/>
          <w:sz w:val="24"/>
          <w:szCs w:val="24"/>
        </w:rPr>
        <w:t>灭火系统</w:t>
      </w:r>
      <w:r>
        <w:rPr>
          <w:sz w:val="24"/>
          <w:szCs w:val="24"/>
        </w:rPr>
        <w:t>用水量为</w:t>
      </w:r>
      <w:r>
        <w:rPr>
          <w:rFonts w:hint="eastAsia"/>
          <w:sz w:val="24"/>
          <w:szCs w:val="24"/>
        </w:rPr>
        <w:t>4</w:t>
      </w:r>
      <w:r>
        <w:rPr>
          <w:sz w:val="24"/>
          <w:szCs w:val="24"/>
        </w:rPr>
        <w:t>0L/S，火灾持续时间1h。按 A 类火灾，中危险等级配置灭火器</w:t>
      </w:r>
      <w:r>
        <w:rPr>
          <w:rFonts w:hint="eastAsia"/>
          <w:sz w:val="24"/>
          <w:szCs w:val="24"/>
        </w:rPr>
        <w:t>，</w:t>
      </w:r>
      <w:r>
        <w:rPr>
          <w:sz w:val="24"/>
          <w:szCs w:val="24"/>
        </w:rPr>
        <w:t>在各消火栓箱、楼梯间、值班室均放置 4kg 手提式磷酸铵盐干粉灭火器</w:t>
      </w:r>
      <w:r>
        <w:rPr>
          <w:rFonts w:hint="eastAsia"/>
          <w:sz w:val="24"/>
          <w:szCs w:val="24"/>
        </w:rPr>
        <w:t>。</w:t>
      </w:r>
    </w:p>
    <w:p>
      <w:pPr>
        <w:spacing w:line="520" w:lineRule="exact"/>
        <w:ind w:firstLine="480"/>
        <w:rPr>
          <w:sz w:val="24"/>
        </w:rPr>
      </w:pPr>
      <w:r>
        <w:rPr>
          <w:sz w:val="24"/>
          <w:szCs w:val="24"/>
        </w:rPr>
        <w:t>水源：</w:t>
      </w:r>
      <w:r>
        <w:rPr>
          <w:sz w:val="24"/>
        </w:rPr>
        <w:t>由校内给水管引入两路给水管成环状布置，于地下室设置1座有效容积</w:t>
      </w:r>
      <w:r>
        <w:rPr>
          <w:rFonts w:hint="eastAsia"/>
          <w:sz w:val="24"/>
        </w:rPr>
        <w:t>792</w:t>
      </w:r>
      <w:r>
        <w:rPr>
          <w:sz w:val="24"/>
        </w:rPr>
        <w:t>m</w:t>
      </w:r>
      <w:r>
        <w:rPr>
          <w:sz w:val="24"/>
          <w:vertAlign w:val="superscript"/>
        </w:rPr>
        <w:t>3</w:t>
      </w:r>
      <w:r>
        <w:rPr>
          <w:sz w:val="24"/>
        </w:rPr>
        <w:t>消防专用水池（分两格），项目最高楼</w:t>
      </w:r>
      <w:r>
        <w:rPr>
          <w:rFonts w:hint="eastAsia"/>
          <w:sz w:val="24"/>
        </w:rPr>
        <w:t>学生教师周转房楼屋面</w:t>
      </w:r>
      <w:r>
        <w:rPr>
          <w:sz w:val="24"/>
        </w:rPr>
        <w:t>水箱贮存18m</w:t>
      </w:r>
      <w:r>
        <w:rPr>
          <w:sz w:val="24"/>
          <w:vertAlign w:val="superscript"/>
        </w:rPr>
        <w:t>3</w:t>
      </w:r>
      <w:r>
        <w:rPr>
          <w:sz w:val="24"/>
        </w:rPr>
        <w:t>消防专用水</w:t>
      </w:r>
      <w:r>
        <w:rPr>
          <w:rFonts w:hint="eastAsia"/>
          <w:sz w:val="24"/>
        </w:rPr>
        <w:t>，并</w:t>
      </w:r>
      <w:r>
        <w:rPr>
          <w:rFonts w:hint="eastAsia"/>
          <w:sz w:val="24"/>
          <w:szCs w:val="24"/>
        </w:rPr>
        <w:t>设置</w:t>
      </w:r>
      <w:r>
        <w:rPr>
          <w:sz w:val="24"/>
          <w:szCs w:val="24"/>
        </w:rPr>
        <w:t>室内消火栓泵2台，一用一备</w:t>
      </w:r>
      <w:r>
        <w:rPr>
          <w:rFonts w:hint="eastAsia"/>
          <w:sz w:val="24"/>
          <w:szCs w:val="24"/>
        </w:rPr>
        <w:t>，</w:t>
      </w:r>
      <w:r>
        <w:rPr>
          <w:rFonts w:hint="eastAsia"/>
          <w:sz w:val="24"/>
        </w:rPr>
        <w:t>满足学校消防需求</w:t>
      </w:r>
      <w:r>
        <w:rPr>
          <w:sz w:val="24"/>
        </w:rPr>
        <w:t>。</w:t>
      </w:r>
    </w:p>
    <w:p>
      <w:pPr>
        <w:spacing w:line="360" w:lineRule="auto"/>
        <w:jc w:val="left"/>
        <w:outlineLvl w:val="3"/>
        <w:rPr>
          <w:b/>
          <w:sz w:val="24"/>
          <w:szCs w:val="24"/>
        </w:rPr>
      </w:pPr>
      <w:r>
        <w:rPr>
          <w:b/>
          <w:sz w:val="24"/>
          <w:szCs w:val="24"/>
        </w:rPr>
        <w:t>3.2.</w:t>
      </w:r>
      <w:r>
        <w:rPr>
          <w:rFonts w:hint="eastAsia"/>
          <w:b/>
          <w:sz w:val="24"/>
          <w:szCs w:val="24"/>
        </w:rPr>
        <w:t>6</w:t>
      </w:r>
      <w:r>
        <w:rPr>
          <w:b/>
          <w:sz w:val="24"/>
          <w:szCs w:val="24"/>
        </w:rPr>
        <w:t>.</w:t>
      </w:r>
      <w:r>
        <w:rPr>
          <w:rFonts w:hint="eastAsia"/>
          <w:b/>
          <w:sz w:val="24"/>
          <w:szCs w:val="24"/>
        </w:rPr>
        <w:t>5燃气系统</w:t>
      </w:r>
    </w:p>
    <w:p>
      <w:pPr>
        <w:spacing w:line="360" w:lineRule="auto"/>
        <w:ind w:firstLine="480" w:firstLineChars="200"/>
        <w:rPr>
          <w:sz w:val="24"/>
        </w:rPr>
      </w:pPr>
      <w:r>
        <w:rPr>
          <w:sz w:val="24"/>
        </w:rPr>
        <w:t>接</w:t>
      </w:r>
      <w:r>
        <w:rPr>
          <w:rFonts w:hint="eastAsia"/>
          <w:sz w:val="24"/>
        </w:rPr>
        <w:t>拟规划</w:t>
      </w:r>
      <w:r>
        <w:rPr>
          <w:sz w:val="24"/>
        </w:rPr>
        <w:t>路市政中压燃气管，区内设调压箱，经调压后低压供气。</w:t>
      </w:r>
    </w:p>
    <w:p>
      <w:pPr>
        <w:pStyle w:val="42"/>
      </w:pPr>
      <w:bookmarkStart w:id="141" w:name="_Toc486070542"/>
      <w:r>
        <w:rPr>
          <w:rStyle w:val="43"/>
          <w:rFonts w:eastAsia="宋体"/>
        </w:rPr>
        <w:t>3.3</w:t>
      </w:r>
      <w:r>
        <w:t>工程施工方案</w:t>
      </w:r>
      <w:bookmarkEnd w:id="141"/>
    </w:p>
    <w:p>
      <w:pPr>
        <w:pStyle w:val="4"/>
        <w:keepNext w:val="0"/>
        <w:keepLines w:val="0"/>
        <w:autoSpaceDE w:val="0"/>
        <w:autoSpaceDN w:val="0"/>
        <w:adjustRightInd w:val="0"/>
        <w:spacing w:line="360" w:lineRule="auto"/>
        <w:rPr>
          <w:rFonts w:eastAsia="宋体"/>
          <w:b/>
          <w:sz w:val="24"/>
          <w:szCs w:val="24"/>
        </w:rPr>
      </w:pPr>
      <w:bookmarkStart w:id="142" w:name="_Toc472321495"/>
      <w:bookmarkStart w:id="143" w:name="_Toc486070543"/>
      <w:r>
        <w:rPr>
          <w:rFonts w:eastAsia="宋体"/>
          <w:b/>
          <w:sz w:val="24"/>
          <w:szCs w:val="24"/>
        </w:rPr>
        <w:t>3.3.1施工内容及进度</w:t>
      </w:r>
      <w:bookmarkEnd w:id="142"/>
      <w:bookmarkEnd w:id="143"/>
    </w:p>
    <w:p>
      <w:pPr>
        <w:widowControl/>
        <w:spacing w:line="360" w:lineRule="auto"/>
        <w:ind w:firstLine="480" w:firstLineChars="200"/>
        <w:rPr>
          <w:sz w:val="24"/>
        </w:rPr>
      </w:pPr>
      <w:r>
        <w:rPr>
          <w:sz w:val="24"/>
        </w:rPr>
        <w:t>本项目施工内容主要包括场地平整、开挖基槽、铺设管线、回填基坑、地下室、主体工程和配套工程的建设、环保处理工程和绿化工程等。</w:t>
      </w:r>
    </w:p>
    <w:p>
      <w:pPr>
        <w:widowControl/>
        <w:spacing w:line="360" w:lineRule="auto"/>
        <w:ind w:firstLine="480" w:firstLineChars="200"/>
        <w:rPr>
          <w:sz w:val="24"/>
        </w:rPr>
      </w:pPr>
      <w:r>
        <w:rPr>
          <w:sz w:val="24"/>
        </w:rPr>
        <w:t>目前项目地尚未开始施工建设，施工工期约为</w:t>
      </w:r>
      <w:r>
        <w:rPr>
          <w:rFonts w:hint="eastAsia"/>
          <w:sz w:val="24"/>
        </w:rPr>
        <w:t>16</w:t>
      </w:r>
      <w:r>
        <w:rPr>
          <w:sz w:val="24"/>
        </w:rPr>
        <w:t>个月，201</w:t>
      </w:r>
      <w:r>
        <w:rPr>
          <w:rFonts w:hint="eastAsia"/>
          <w:sz w:val="24"/>
        </w:rPr>
        <w:t>8</w:t>
      </w:r>
      <w:r>
        <w:rPr>
          <w:sz w:val="24"/>
        </w:rPr>
        <w:t>年</w:t>
      </w:r>
      <w:r>
        <w:rPr>
          <w:rFonts w:hint="eastAsia"/>
          <w:sz w:val="24"/>
        </w:rPr>
        <w:t>9</w:t>
      </w:r>
      <w:r>
        <w:rPr>
          <w:sz w:val="24"/>
        </w:rPr>
        <w:t>月~2019年</w:t>
      </w:r>
      <w:r>
        <w:rPr>
          <w:rFonts w:hint="eastAsia"/>
          <w:sz w:val="24"/>
        </w:rPr>
        <w:t>12</w:t>
      </w:r>
      <w:r>
        <w:rPr>
          <w:sz w:val="24"/>
        </w:rPr>
        <w:t>月。</w:t>
      </w:r>
    </w:p>
    <w:p>
      <w:pPr>
        <w:pStyle w:val="4"/>
        <w:keepNext w:val="0"/>
        <w:keepLines w:val="0"/>
        <w:autoSpaceDE w:val="0"/>
        <w:autoSpaceDN w:val="0"/>
        <w:adjustRightInd w:val="0"/>
        <w:spacing w:line="360" w:lineRule="auto"/>
        <w:rPr>
          <w:rFonts w:eastAsia="宋体"/>
          <w:b/>
          <w:sz w:val="24"/>
          <w:szCs w:val="24"/>
        </w:rPr>
      </w:pPr>
      <w:bookmarkStart w:id="144" w:name="_Toc472321496"/>
      <w:bookmarkStart w:id="145" w:name="_Toc486070544"/>
      <w:r>
        <w:rPr>
          <w:rFonts w:eastAsia="宋体"/>
          <w:b/>
          <w:sz w:val="24"/>
          <w:szCs w:val="24"/>
        </w:rPr>
        <w:t>3.3.2施工条件</w:t>
      </w:r>
      <w:bookmarkEnd w:id="144"/>
      <w:bookmarkEnd w:id="145"/>
    </w:p>
    <w:p>
      <w:pPr>
        <w:widowControl/>
        <w:spacing w:line="360" w:lineRule="auto"/>
        <w:ind w:firstLine="480" w:firstLineChars="200"/>
        <w:rPr>
          <w:sz w:val="24"/>
        </w:rPr>
      </w:pPr>
      <w:r>
        <w:rPr>
          <w:sz w:val="24"/>
        </w:rPr>
        <w:t>学校地处</w:t>
      </w:r>
      <w:r>
        <w:rPr>
          <w:rFonts w:hint="eastAsia"/>
          <w:sz w:val="24"/>
        </w:rPr>
        <w:t>闽侯上街</w:t>
      </w:r>
      <w:r>
        <w:rPr>
          <w:sz w:val="24"/>
        </w:rPr>
        <w:t>，距离福州市中心9.2公里，西侧临近邱阳河路，东侧临近新上街路和国宾大道，学校附近村镇道路纵横交错，交通条件较为便利；主要建筑材料如钢材、水泥、木材和成品砂料、条块石料可以</w:t>
      </w:r>
      <w:r>
        <w:rPr>
          <w:rFonts w:hint="eastAsia"/>
          <w:sz w:val="24"/>
        </w:rPr>
        <w:t>由当地</w:t>
      </w:r>
      <w:r>
        <w:rPr>
          <w:sz w:val="24"/>
        </w:rPr>
        <w:t>建材市场购买，劳动力和生活必需品充足，承包市场活跃，施工环境良好；车辆与设备检修等可依托社会服务化解决。</w:t>
      </w:r>
    </w:p>
    <w:p>
      <w:pPr>
        <w:widowControl/>
        <w:spacing w:line="360" w:lineRule="auto"/>
        <w:ind w:firstLine="480" w:firstLineChars="200"/>
        <w:rPr>
          <w:sz w:val="24"/>
        </w:rPr>
      </w:pPr>
      <w:r>
        <w:rPr>
          <w:sz w:val="24"/>
        </w:rPr>
        <w:t>施工用水就近由市政自来水网供给；施工供电由附近电网就近接入；施工人员可直接租用周围</w:t>
      </w:r>
      <w:r>
        <w:rPr>
          <w:rFonts w:hint="eastAsia"/>
          <w:sz w:val="24"/>
        </w:rPr>
        <w:t>民房</w:t>
      </w:r>
      <w:r>
        <w:rPr>
          <w:sz w:val="24"/>
        </w:rPr>
        <w:t>，饮食也直接依托社会服务化解决，不在建筑场地内设置施工营地。</w:t>
      </w:r>
    </w:p>
    <w:p>
      <w:pPr>
        <w:pStyle w:val="4"/>
        <w:keepNext w:val="0"/>
        <w:keepLines w:val="0"/>
        <w:autoSpaceDE w:val="0"/>
        <w:autoSpaceDN w:val="0"/>
        <w:adjustRightInd w:val="0"/>
        <w:spacing w:line="360" w:lineRule="auto"/>
        <w:rPr>
          <w:rFonts w:eastAsia="宋体"/>
          <w:b/>
          <w:sz w:val="24"/>
          <w:szCs w:val="24"/>
        </w:rPr>
      </w:pPr>
      <w:bookmarkStart w:id="146" w:name="_Toc472321497"/>
      <w:bookmarkStart w:id="147" w:name="_Toc486070545"/>
      <w:r>
        <w:rPr>
          <w:rFonts w:eastAsia="宋体"/>
          <w:b/>
          <w:sz w:val="24"/>
          <w:szCs w:val="24"/>
        </w:rPr>
        <w:t>3.3.3土石方平衡</w:t>
      </w:r>
      <w:bookmarkEnd w:id="146"/>
      <w:bookmarkEnd w:id="147"/>
    </w:p>
    <w:p>
      <w:pPr>
        <w:widowControl/>
        <w:spacing w:line="360" w:lineRule="auto"/>
        <w:ind w:firstLine="480" w:firstLineChars="200"/>
        <w:rPr>
          <w:sz w:val="24"/>
        </w:rPr>
      </w:pPr>
      <w:r>
        <w:rPr>
          <w:sz w:val="24"/>
        </w:rPr>
        <w:t>根据项目土</w:t>
      </w:r>
      <w:r>
        <w:rPr>
          <w:rFonts w:hint="eastAsia"/>
          <w:sz w:val="24"/>
        </w:rPr>
        <w:t>方测量计算报告，工程挖方</w:t>
      </w:r>
      <w:r>
        <w:rPr>
          <w:sz w:val="24"/>
        </w:rPr>
        <w:t>总量</w:t>
      </w:r>
      <w:r>
        <w:rPr>
          <w:rFonts w:hint="eastAsia"/>
          <w:sz w:val="24"/>
        </w:rPr>
        <w:t>24331</w:t>
      </w:r>
      <w:r>
        <w:rPr>
          <w:sz w:val="24"/>
        </w:rPr>
        <w:t>m</w:t>
      </w:r>
      <w:r>
        <w:rPr>
          <w:sz w:val="24"/>
          <w:vertAlign w:val="superscript"/>
        </w:rPr>
        <w:t>3</w:t>
      </w:r>
      <w:r>
        <w:rPr>
          <w:sz w:val="24"/>
        </w:rPr>
        <w:t>，填方</w:t>
      </w:r>
      <w:r>
        <w:rPr>
          <w:rFonts w:hint="eastAsia"/>
          <w:sz w:val="24"/>
        </w:rPr>
        <w:t>量为137</w:t>
      </w:r>
      <w:r>
        <w:rPr>
          <w:sz w:val="24"/>
        </w:rPr>
        <w:t xml:space="preserve"> m</w:t>
      </w:r>
      <w:r>
        <w:rPr>
          <w:sz w:val="24"/>
          <w:vertAlign w:val="superscript"/>
        </w:rPr>
        <w:t>3</w:t>
      </w:r>
      <w:r>
        <w:rPr>
          <w:sz w:val="24"/>
        </w:rPr>
        <w:t>，弃</w:t>
      </w:r>
      <w:r>
        <w:rPr>
          <w:rFonts w:hint="eastAsia"/>
          <w:sz w:val="24"/>
        </w:rPr>
        <w:t>方</w:t>
      </w:r>
      <w:r>
        <w:rPr>
          <w:sz w:val="24"/>
        </w:rPr>
        <w:t>总量</w:t>
      </w:r>
      <w:r>
        <w:rPr>
          <w:rFonts w:hint="eastAsia"/>
          <w:sz w:val="24"/>
        </w:rPr>
        <w:t>24194</w:t>
      </w:r>
      <w:r>
        <w:rPr>
          <w:sz w:val="24"/>
        </w:rPr>
        <w:t>m</w:t>
      </w:r>
      <w:r>
        <w:rPr>
          <w:sz w:val="24"/>
          <w:vertAlign w:val="superscript"/>
        </w:rPr>
        <w:t>3</w:t>
      </w:r>
      <w:r>
        <w:rPr>
          <w:rFonts w:hint="eastAsia"/>
          <w:sz w:val="24"/>
        </w:rPr>
        <w:t>。由于场地地形高差较大，所以主要</w:t>
      </w:r>
      <w:r>
        <w:rPr>
          <w:sz w:val="24"/>
        </w:rPr>
        <w:t>为</w:t>
      </w:r>
      <w:r>
        <w:rPr>
          <w:rFonts w:hint="eastAsia"/>
          <w:sz w:val="24"/>
        </w:rPr>
        <w:t>场地平整、</w:t>
      </w:r>
      <w:r>
        <w:rPr>
          <w:sz w:val="24"/>
        </w:rPr>
        <w:t>地下室</w:t>
      </w:r>
      <w:r>
        <w:rPr>
          <w:rFonts w:hint="eastAsia"/>
          <w:sz w:val="24"/>
        </w:rPr>
        <w:t>、承台、地梁、电梯井</w:t>
      </w:r>
      <w:r>
        <w:rPr>
          <w:sz w:val="24"/>
        </w:rPr>
        <w:t>开挖的弃土石方等。</w:t>
      </w:r>
      <w:r>
        <w:rPr>
          <w:rFonts w:hint="eastAsia"/>
          <w:sz w:val="24"/>
        </w:rPr>
        <w:t>应做好土石方的堆存管理，对土石方尽量进行综合利用，减少弃方量，</w:t>
      </w:r>
      <w:r>
        <w:rPr>
          <w:sz w:val="24"/>
        </w:rPr>
        <w:t>弃方在工程施工阶段建设单位严格按照市容管理局审批的受纳点弃置。</w:t>
      </w:r>
    </w:p>
    <w:p>
      <w:pPr>
        <w:pStyle w:val="73"/>
        <w:rPr>
          <w:rFonts w:eastAsia="宋体"/>
        </w:rPr>
      </w:pPr>
      <w:bookmarkStart w:id="148" w:name="_Toc416192251"/>
      <w:bookmarkStart w:id="149" w:name="_Toc402445265"/>
      <w:bookmarkStart w:id="150" w:name="_Toc416992947"/>
      <w:bookmarkStart w:id="151" w:name="_Toc345340553"/>
      <w:bookmarkStart w:id="152" w:name="_Toc350256078"/>
      <w:bookmarkStart w:id="153" w:name="_Toc400958125"/>
      <w:bookmarkStart w:id="154" w:name="_Toc486070546"/>
      <w:r>
        <w:rPr>
          <w:rFonts w:eastAsia="宋体"/>
        </w:rPr>
        <w:t>3.</w:t>
      </w:r>
      <w:bookmarkEnd w:id="148"/>
      <w:bookmarkEnd w:id="149"/>
      <w:bookmarkEnd w:id="150"/>
      <w:bookmarkEnd w:id="151"/>
      <w:bookmarkEnd w:id="152"/>
      <w:bookmarkEnd w:id="153"/>
      <w:r>
        <w:rPr>
          <w:rFonts w:eastAsia="宋体"/>
        </w:rPr>
        <w:t>4产业政策符合性分析</w:t>
      </w:r>
      <w:bookmarkEnd w:id="154"/>
    </w:p>
    <w:p>
      <w:pPr>
        <w:widowControl/>
        <w:spacing w:line="360" w:lineRule="auto"/>
        <w:ind w:firstLine="480" w:firstLineChars="200"/>
        <w:rPr>
          <w:sz w:val="24"/>
        </w:rPr>
      </w:pPr>
      <w:r>
        <w:rPr>
          <w:sz w:val="24"/>
        </w:rPr>
        <w:t>本项目属于教育学校基础设施建设，不属于《产业结构调整指导目录（2011年本）》（2013年修正）中的“限制类”和“淘汰类”，符合国家产业政策。</w:t>
      </w:r>
    </w:p>
    <w:p>
      <w:pPr>
        <w:pStyle w:val="73"/>
        <w:rPr>
          <w:rFonts w:eastAsia="宋体"/>
        </w:rPr>
      </w:pPr>
      <w:bookmarkStart w:id="155" w:name="_Toc486070547"/>
      <w:r>
        <w:rPr>
          <w:rFonts w:eastAsia="宋体"/>
        </w:rPr>
        <w:t>3.5选址合理性分析</w:t>
      </w:r>
      <w:bookmarkEnd w:id="155"/>
    </w:p>
    <w:p>
      <w:pPr>
        <w:pStyle w:val="4"/>
        <w:keepNext w:val="0"/>
        <w:keepLines w:val="0"/>
        <w:autoSpaceDE w:val="0"/>
        <w:autoSpaceDN w:val="0"/>
        <w:adjustRightInd w:val="0"/>
        <w:spacing w:line="360" w:lineRule="auto"/>
        <w:rPr>
          <w:rFonts w:eastAsia="宋体"/>
          <w:b/>
          <w:sz w:val="24"/>
          <w:szCs w:val="24"/>
        </w:rPr>
      </w:pPr>
      <w:r>
        <w:rPr>
          <w:rFonts w:eastAsia="宋体"/>
          <w:b/>
          <w:sz w:val="24"/>
          <w:szCs w:val="24"/>
        </w:rPr>
        <w:t>3.</w:t>
      </w:r>
      <w:r>
        <w:rPr>
          <w:rFonts w:hint="eastAsia" w:eastAsia="宋体"/>
          <w:b/>
          <w:sz w:val="24"/>
          <w:szCs w:val="24"/>
        </w:rPr>
        <w:t>5</w:t>
      </w:r>
      <w:r>
        <w:rPr>
          <w:rFonts w:eastAsia="宋体"/>
          <w:b/>
          <w:sz w:val="24"/>
          <w:szCs w:val="24"/>
        </w:rPr>
        <w:t>.1</w:t>
      </w:r>
      <w:r>
        <w:rPr>
          <w:rFonts w:hint="eastAsia" w:eastAsia="宋体"/>
          <w:b/>
          <w:sz w:val="24"/>
          <w:szCs w:val="24"/>
        </w:rPr>
        <w:t>规划合理性分析</w:t>
      </w:r>
    </w:p>
    <w:p>
      <w:pPr>
        <w:spacing w:line="360" w:lineRule="auto"/>
        <w:ind w:firstLine="480" w:firstLineChars="200"/>
        <w:rPr>
          <w:sz w:val="24"/>
        </w:rPr>
      </w:pPr>
      <w:r>
        <w:rPr>
          <w:sz w:val="24"/>
        </w:rPr>
        <w:t>本项目选址于闽侯县上街镇赤塘山麓，项目已于201</w:t>
      </w:r>
      <w:r>
        <w:rPr>
          <w:rFonts w:hint="eastAsia"/>
          <w:sz w:val="24"/>
        </w:rPr>
        <w:t>7</w:t>
      </w:r>
      <w:r>
        <w:rPr>
          <w:sz w:val="24"/>
        </w:rPr>
        <w:t>年1</w:t>
      </w:r>
      <w:r>
        <w:rPr>
          <w:rFonts w:hint="eastAsia"/>
          <w:sz w:val="24"/>
        </w:rPr>
        <w:t>2</w:t>
      </w:r>
      <w:r>
        <w:rPr>
          <w:sz w:val="24"/>
        </w:rPr>
        <w:t>月</w:t>
      </w:r>
      <w:r>
        <w:rPr>
          <w:rFonts w:hint="eastAsia"/>
          <w:sz w:val="24"/>
        </w:rPr>
        <w:t>07</w:t>
      </w:r>
      <w:r>
        <w:rPr>
          <w:sz w:val="24"/>
        </w:rPr>
        <w:t>日获得闽侯县城乡规划局出具的选址意见书（选字第350121201</w:t>
      </w:r>
      <w:r>
        <w:rPr>
          <w:rFonts w:hint="eastAsia"/>
          <w:sz w:val="24"/>
        </w:rPr>
        <w:t>7</w:t>
      </w:r>
      <w:r>
        <w:rPr>
          <w:sz w:val="24"/>
        </w:rPr>
        <w:t>001</w:t>
      </w:r>
      <w:r>
        <w:rPr>
          <w:rFonts w:hint="eastAsia"/>
          <w:sz w:val="24"/>
        </w:rPr>
        <w:t>65</w:t>
      </w:r>
      <w:r>
        <w:rPr>
          <w:sz w:val="24"/>
        </w:rPr>
        <w:t>号），用地类型为</w:t>
      </w:r>
      <w:r>
        <w:rPr>
          <w:rFonts w:hint="eastAsia"/>
          <w:sz w:val="24"/>
        </w:rPr>
        <w:t>科教</w:t>
      </w:r>
      <w:r>
        <w:rPr>
          <w:sz w:val="24"/>
        </w:rPr>
        <w:t>用地，本项目选址可行。</w:t>
      </w:r>
    </w:p>
    <w:p>
      <w:pPr>
        <w:pStyle w:val="4"/>
        <w:keepNext w:val="0"/>
        <w:keepLines w:val="0"/>
        <w:autoSpaceDE w:val="0"/>
        <w:autoSpaceDN w:val="0"/>
        <w:adjustRightInd w:val="0"/>
        <w:spacing w:line="360" w:lineRule="auto"/>
        <w:rPr>
          <w:rFonts w:eastAsia="宋体"/>
          <w:b/>
          <w:sz w:val="24"/>
          <w:szCs w:val="24"/>
        </w:rPr>
      </w:pPr>
      <w:r>
        <w:rPr>
          <w:rFonts w:eastAsia="宋体"/>
          <w:b/>
          <w:sz w:val="24"/>
          <w:szCs w:val="24"/>
        </w:rPr>
        <w:t>3.</w:t>
      </w:r>
      <w:r>
        <w:rPr>
          <w:rFonts w:hint="eastAsia" w:eastAsia="宋体"/>
          <w:b/>
          <w:sz w:val="24"/>
          <w:szCs w:val="24"/>
        </w:rPr>
        <w:t>5</w:t>
      </w:r>
      <w:r>
        <w:rPr>
          <w:rFonts w:eastAsia="宋体"/>
          <w:b/>
          <w:sz w:val="24"/>
          <w:szCs w:val="24"/>
        </w:rPr>
        <w:t>.</w:t>
      </w:r>
      <w:bookmarkStart w:id="156" w:name="_Toc486070548"/>
      <w:r>
        <w:rPr>
          <w:rFonts w:hint="eastAsia" w:eastAsia="宋体"/>
          <w:b/>
          <w:sz w:val="24"/>
          <w:szCs w:val="24"/>
        </w:rPr>
        <w:t>2</w:t>
      </w:r>
      <w:r>
        <w:rPr>
          <w:rFonts w:eastAsia="宋体"/>
          <w:b/>
          <w:sz w:val="24"/>
          <w:szCs w:val="24"/>
        </w:rPr>
        <w:t>环境功能区</w:t>
      </w:r>
      <w:r>
        <w:rPr>
          <w:rFonts w:hint="eastAsia" w:eastAsia="宋体"/>
          <w:b/>
          <w:sz w:val="24"/>
          <w:szCs w:val="24"/>
        </w:rPr>
        <w:t>划相符性</w:t>
      </w:r>
      <w:r>
        <w:rPr>
          <w:rFonts w:eastAsia="宋体"/>
          <w:b/>
          <w:sz w:val="24"/>
          <w:szCs w:val="24"/>
        </w:rPr>
        <w:t>分析</w:t>
      </w:r>
    </w:p>
    <w:p>
      <w:pPr>
        <w:spacing w:line="520" w:lineRule="exact"/>
        <w:ind w:firstLine="482"/>
        <w:rPr>
          <w:sz w:val="24"/>
        </w:rPr>
      </w:pPr>
      <w:r>
        <w:rPr>
          <w:sz w:val="24"/>
          <w:szCs w:val="24"/>
        </w:rPr>
        <w:t>根据《福州市环境空气质量功能区划(报批稿)》的规划，该区的环境空气质量为二类区</w:t>
      </w:r>
      <w:r>
        <w:rPr>
          <w:rFonts w:hint="eastAsia"/>
          <w:sz w:val="24"/>
          <w:szCs w:val="24"/>
        </w:rPr>
        <w:t>。</w:t>
      </w:r>
      <w:r>
        <w:rPr>
          <w:sz w:val="24"/>
          <w:szCs w:val="24"/>
        </w:rPr>
        <w:t>项目运营期环境空气污染排放源强很低，对周围环境空气不会产生显著影响，符合《环境空气质量标准》(GB3</w:t>
      </w:r>
      <w:r>
        <w:rPr>
          <w:rFonts w:hint="eastAsia"/>
          <w:sz w:val="24"/>
          <w:szCs w:val="24"/>
        </w:rPr>
        <w:t>0</w:t>
      </w:r>
      <w:r>
        <w:rPr>
          <w:sz w:val="24"/>
          <w:szCs w:val="24"/>
        </w:rPr>
        <w:t>95</w:t>
      </w:r>
      <w:r>
        <w:rPr>
          <w:rFonts w:hint="eastAsia"/>
          <w:sz w:val="24"/>
          <w:szCs w:val="24"/>
        </w:rPr>
        <w:t>—</w:t>
      </w:r>
      <w:r>
        <w:rPr>
          <w:sz w:val="24"/>
          <w:szCs w:val="24"/>
        </w:rPr>
        <w:t>2012)二级标准</w:t>
      </w:r>
      <w:r>
        <w:rPr>
          <w:rFonts w:hint="eastAsia"/>
          <w:sz w:val="24"/>
          <w:szCs w:val="24"/>
        </w:rPr>
        <w:t>；</w:t>
      </w:r>
      <w:r>
        <w:rPr>
          <w:sz w:val="24"/>
          <w:szCs w:val="24"/>
        </w:rPr>
        <w:t>项目外排废水排入市政污水管网纳入</w:t>
      </w:r>
      <w:r>
        <w:rPr>
          <w:rFonts w:hint="eastAsia"/>
          <w:sz w:val="24"/>
          <w:szCs w:val="24"/>
        </w:rPr>
        <w:t>大学城</w:t>
      </w:r>
      <w:r>
        <w:rPr>
          <w:sz w:val="24"/>
          <w:szCs w:val="24"/>
        </w:rPr>
        <w:t>污水处理厂集中处理达标后排放，不会对周围水域水质产生</w:t>
      </w:r>
      <w:r>
        <w:rPr>
          <w:rFonts w:hint="eastAsia"/>
          <w:sz w:val="24"/>
          <w:szCs w:val="24"/>
        </w:rPr>
        <w:t>影响；</w:t>
      </w:r>
      <w:r>
        <w:rPr>
          <w:sz w:val="24"/>
          <w:szCs w:val="24"/>
        </w:rPr>
        <w:t>运营期间在采取一定的噪声污染防治措施后，主要设备声源不会对周围环境产生显著影响，项目所在区域的环境噪声符合《声环境质量标准》(GB3095—2012)的2类标准。</w:t>
      </w:r>
    </w:p>
    <w:p>
      <w:pPr>
        <w:pStyle w:val="73"/>
        <w:rPr>
          <w:rFonts w:eastAsia="宋体"/>
        </w:rPr>
      </w:pPr>
      <w:r>
        <w:rPr>
          <w:rFonts w:eastAsia="宋体"/>
        </w:rPr>
        <w:t>3.6平面布置合理性分析</w:t>
      </w:r>
      <w:bookmarkEnd w:id="156"/>
    </w:p>
    <w:p>
      <w:pPr>
        <w:spacing w:line="360" w:lineRule="auto"/>
        <w:ind w:firstLine="480" w:firstLineChars="200"/>
        <w:rPr>
          <w:sz w:val="24"/>
        </w:rPr>
      </w:pPr>
      <w:r>
        <w:rPr>
          <w:rFonts w:hint="eastAsia"/>
          <w:sz w:val="24"/>
        </w:rPr>
        <w:t>校园设计</w:t>
      </w:r>
      <w:r>
        <w:rPr>
          <w:sz w:val="24"/>
        </w:rPr>
        <w:t>形成“二轴一心三组团”结构</w:t>
      </w:r>
      <w:r>
        <w:rPr>
          <w:rFonts w:hint="eastAsia"/>
          <w:sz w:val="24"/>
        </w:rPr>
        <w:t>：</w:t>
      </w:r>
      <w:r>
        <w:rPr>
          <w:sz w:val="24"/>
        </w:rPr>
        <w:t>由东至西的校园主景观轴及由南至北的校园生活景观轴两条景观轴。以校园交通枢纽为核心，逐层跌落建筑群为背景，经过校园中心广场浮雕叠水向校园中心区延伸。以校园交通枢纽为核心，向南端延伸，形成具有特色的校园步行道。由中心广场透过浮雕叠水，向周边放射延伸，使校园中心广场的空间得以扩展，共同建构了多层次的校园中心广场景观。</w:t>
      </w:r>
    </w:p>
    <w:p>
      <w:pPr>
        <w:spacing w:line="360" w:lineRule="auto"/>
        <w:ind w:firstLine="480" w:firstLineChars="200"/>
        <w:rPr>
          <w:sz w:val="24"/>
        </w:rPr>
      </w:pPr>
      <w:r>
        <w:rPr>
          <w:rFonts w:hint="eastAsia"/>
          <w:sz w:val="24"/>
        </w:rPr>
        <w:t>校园共分为三个功能区：生活区，体育活动区，教学区。</w:t>
      </w:r>
      <w:r>
        <w:rPr>
          <w:sz w:val="24"/>
        </w:rPr>
        <w:t>校园生活区置于基地中部，由</w:t>
      </w:r>
      <w:r>
        <w:rPr>
          <w:rFonts w:hint="eastAsia"/>
          <w:sz w:val="24"/>
        </w:rPr>
        <w:t>学生</w:t>
      </w:r>
      <w:r>
        <w:rPr>
          <w:sz w:val="24"/>
        </w:rPr>
        <w:t>教师周转房及宿舍组成，与其它各区联系便捷，食堂在学生教师周转房底层，有独立后勤出入口连接规划道路</w:t>
      </w:r>
      <w:r>
        <w:rPr>
          <w:rFonts w:hint="eastAsia"/>
          <w:sz w:val="24"/>
        </w:rPr>
        <w:t>；</w:t>
      </w:r>
      <w:r>
        <w:rPr>
          <w:sz w:val="24"/>
        </w:rPr>
        <w:t>各宿舍围合形成分隔形成的若干共享花园，形成相对独立、完整的生活区。体育活动区于西北部，由体育馆、300米田径场（6跑道，内设足球场）、篮球场等体育设施组成</w:t>
      </w:r>
      <w:r>
        <w:rPr>
          <w:rFonts w:hint="eastAsia"/>
          <w:sz w:val="24"/>
        </w:rPr>
        <w:t>；</w:t>
      </w:r>
      <w:r>
        <w:rPr>
          <w:sz w:val="24"/>
        </w:rPr>
        <w:t>体育活动区设置在独立台地上，对教学区形成有效的间隔，避免吵杂环境对教学区的影响。教学区分高中教学区及初中教学区（原校区），内有拟建的高中部综合楼，原校区的两栋教学楼（初中）一栋实验楼，一栋图书馆及一栋办公楼组成</w:t>
      </w:r>
      <w:r>
        <w:rPr>
          <w:rFonts w:hint="eastAsia"/>
          <w:sz w:val="24"/>
        </w:rPr>
        <w:t>，</w:t>
      </w:r>
      <w:r>
        <w:rPr>
          <w:sz w:val="24"/>
        </w:rPr>
        <w:t>位于基地的南侧</w:t>
      </w:r>
      <w:r>
        <w:rPr>
          <w:rFonts w:hint="eastAsia"/>
          <w:sz w:val="24"/>
        </w:rPr>
        <w:t>，</w:t>
      </w:r>
      <w:r>
        <w:rPr>
          <w:sz w:val="24"/>
        </w:rPr>
        <w:t>分别有主次入口及学校中心广场，联系教学区，高中部与初中部相对独立，各自形成系统，互不干扰。</w:t>
      </w:r>
    </w:p>
    <w:p>
      <w:pPr>
        <w:spacing w:line="360" w:lineRule="auto"/>
        <w:ind w:firstLine="480" w:firstLineChars="200"/>
        <w:rPr>
          <w:sz w:val="24"/>
        </w:rPr>
      </w:pPr>
      <w:r>
        <w:rPr>
          <w:rFonts w:hint="eastAsia"/>
          <w:sz w:val="24"/>
        </w:rPr>
        <w:t>道路交通系统：</w:t>
      </w:r>
      <w:r>
        <w:rPr>
          <w:sz w:val="24"/>
        </w:rPr>
        <w:t>沿东北向规划路设校园主要出入口，保留原校主入口作为校区次入口，两个出入口位置适宜，出入方便。校园在次入口位置设置若干停车位，且在主入口位置设置直接下地下室车库坡道出入口，致使校园内无车辆进入，让校园人车分流，创造安全卫生环境。通过建构一条内容丰富特色的景观轴线将校园各功能建筑有机的组织起来，并组织一系列的景观节点空间，贯穿整个校园，形成极具特色的校园步行系统。</w:t>
      </w:r>
    </w:p>
    <w:p>
      <w:pPr>
        <w:spacing w:line="360" w:lineRule="auto"/>
        <w:ind w:firstLine="480" w:firstLineChars="200"/>
        <w:rPr>
          <w:sz w:val="24"/>
        </w:rPr>
      </w:pPr>
      <w:r>
        <w:rPr>
          <w:rFonts w:hint="eastAsia"/>
          <w:sz w:val="24"/>
        </w:rPr>
        <w:t>项目总平面功能布置充分考虑了基础环境的影响，各功能分区明确，布局合理。</w:t>
      </w:r>
    </w:p>
    <w:p>
      <w:pPr>
        <w:pStyle w:val="73"/>
        <w:rPr>
          <w:rFonts w:eastAsia="宋体"/>
        </w:rPr>
      </w:pPr>
      <w:bookmarkStart w:id="157" w:name="_Toc400958123"/>
      <w:bookmarkStart w:id="158" w:name="_Toc416192252"/>
      <w:bookmarkStart w:id="159" w:name="_Toc402445268"/>
      <w:bookmarkStart w:id="160" w:name="_Toc486070549"/>
      <w:bookmarkStart w:id="161" w:name="_Toc416992948"/>
      <w:r>
        <w:rPr>
          <w:rFonts w:eastAsia="宋体"/>
        </w:rPr>
        <w:t>3.7施工期污染源分析</w:t>
      </w:r>
      <w:bookmarkEnd w:id="157"/>
      <w:bookmarkEnd w:id="158"/>
      <w:bookmarkEnd w:id="159"/>
      <w:bookmarkEnd w:id="160"/>
      <w:bookmarkEnd w:id="161"/>
    </w:p>
    <w:p>
      <w:pPr>
        <w:spacing w:line="360" w:lineRule="auto"/>
        <w:ind w:firstLine="480" w:firstLineChars="200"/>
        <w:rPr>
          <w:sz w:val="24"/>
        </w:rPr>
      </w:pPr>
      <w:r>
        <w:rPr>
          <w:sz w:val="24"/>
        </w:rPr>
        <w:t>本项目为以教学办公为主要功能的完整中学扩建项目，不涉及生产，无工业工艺污染流程，项目建设的流程如下：</w:t>
      </w:r>
    </w:p>
    <w:p>
      <w:pPr>
        <w:spacing w:line="360" w:lineRule="auto"/>
        <w:rPr>
          <w:sz w:val="24"/>
        </w:rPr>
      </w:pPr>
      <w:r>
        <w:drawing>
          <wp:inline distT="0" distB="0" distL="0" distR="0">
            <wp:extent cx="5486400" cy="218122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cstate="print"/>
                    <a:srcRect b="15793"/>
                    <a:stretch>
                      <a:fillRect/>
                    </a:stretch>
                  </pic:blipFill>
                  <pic:spPr>
                    <a:xfrm>
                      <a:off x="0" y="0"/>
                      <a:ext cx="5486400" cy="2181225"/>
                    </a:xfrm>
                    <a:prstGeom prst="rect">
                      <a:avLst/>
                    </a:prstGeom>
                    <a:noFill/>
                    <a:ln w="9525">
                      <a:noFill/>
                      <a:miter lim="800000"/>
                      <a:headEnd/>
                      <a:tailEnd/>
                    </a:ln>
                  </pic:spPr>
                </pic:pic>
              </a:graphicData>
            </a:graphic>
          </wp:inline>
        </w:drawing>
      </w:r>
    </w:p>
    <w:p>
      <w:pPr>
        <w:spacing w:line="360" w:lineRule="auto"/>
        <w:jc w:val="center"/>
        <w:rPr>
          <w:sz w:val="24"/>
        </w:rPr>
      </w:pPr>
      <w:r>
        <w:rPr>
          <w:b/>
          <w:sz w:val="24"/>
        </w:rPr>
        <w:t>图3.7-1  施工期、运营期工艺流程及产污工序图</w:t>
      </w:r>
    </w:p>
    <w:p>
      <w:pPr>
        <w:spacing w:line="360" w:lineRule="auto"/>
        <w:ind w:firstLine="527"/>
        <w:jc w:val="left"/>
        <w:rPr>
          <w:sz w:val="24"/>
          <w:szCs w:val="24"/>
        </w:rPr>
      </w:pPr>
      <w:r>
        <w:rPr>
          <w:sz w:val="24"/>
          <w:szCs w:val="24"/>
        </w:rPr>
        <w:t>建筑施工全过程按作业性质可以分为下列几个阶段：</w:t>
      </w:r>
    </w:p>
    <w:p>
      <w:pPr>
        <w:numPr>
          <w:ilvl w:val="0"/>
          <w:numId w:val="2"/>
        </w:numPr>
        <w:spacing w:line="360" w:lineRule="auto"/>
        <w:jc w:val="left"/>
        <w:rPr>
          <w:sz w:val="24"/>
          <w:szCs w:val="24"/>
        </w:rPr>
      </w:pPr>
      <w:r>
        <w:rPr>
          <w:sz w:val="24"/>
          <w:szCs w:val="24"/>
        </w:rPr>
        <w:t>清理场地阶段：清理场地杂物、垃圾等；</w:t>
      </w:r>
    </w:p>
    <w:p>
      <w:pPr>
        <w:numPr>
          <w:ilvl w:val="0"/>
          <w:numId w:val="2"/>
        </w:numPr>
        <w:spacing w:line="360" w:lineRule="auto"/>
        <w:jc w:val="left"/>
        <w:rPr>
          <w:sz w:val="24"/>
          <w:szCs w:val="24"/>
        </w:rPr>
      </w:pPr>
      <w:r>
        <w:rPr>
          <w:sz w:val="24"/>
          <w:szCs w:val="24"/>
        </w:rPr>
        <w:t>土方阶段：包括挖掘土方石等；</w:t>
      </w:r>
    </w:p>
    <w:p>
      <w:pPr>
        <w:numPr>
          <w:ilvl w:val="0"/>
          <w:numId w:val="2"/>
        </w:numPr>
        <w:spacing w:line="360" w:lineRule="auto"/>
        <w:jc w:val="left"/>
        <w:rPr>
          <w:sz w:val="24"/>
          <w:szCs w:val="24"/>
        </w:rPr>
      </w:pPr>
      <w:r>
        <w:rPr>
          <w:sz w:val="24"/>
          <w:szCs w:val="24"/>
        </w:rPr>
        <w:t>基础工程阶段：包括打桩、砌筑基础等；</w:t>
      </w:r>
    </w:p>
    <w:p>
      <w:pPr>
        <w:numPr>
          <w:ilvl w:val="0"/>
          <w:numId w:val="2"/>
        </w:numPr>
        <w:spacing w:line="360" w:lineRule="auto"/>
        <w:jc w:val="left"/>
        <w:rPr>
          <w:sz w:val="24"/>
          <w:szCs w:val="24"/>
        </w:rPr>
      </w:pPr>
      <w:r>
        <w:rPr>
          <w:sz w:val="24"/>
          <w:szCs w:val="24"/>
        </w:rPr>
        <w:t>主体工程阶段：包括钢筋、钢木工程、砌体工程和装修等；</w:t>
      </w:r>
    </w:p>
    <w:p>
      <w:pPr>
        <w:numPr>
          <w:ilvl w:val="0"/>
          <w:numId w:val="2"/>
        </w:numPr>
        <w:spacing w:line="360" w:lineRule="auto"/>
        <w:jc w:val="left"/>
        <w:rPr>
          <w:sz w:val="24"/>
          <w:szCs w:val="24"/>
        </w:rPr>
      </w:pPr>
      <w:r>
        <w:rPr>
          <w:sz w:val="24"/>
          <w:szCs w:val="24"/>
        </w:rPr>
        <w:t>扫尾阶段：包括回填土方、修路、清理现场等。</w:t>
      </w:r>
    </w:p>
    <w:p>
      <w:pPr>
        <w:spacing w:line="360" w:lineRule="auto"/>
        <w:outlineLvl w:val="2"/>
        <w:rPr>
          <w:b/>
          <w:sz w:val="24"/>
          <w:szCs w:val="24"/>
        </w:rPr>
      </w:pPr>
      <w:bookmarkStart w:id="162" w:name="_Toc402445269"/>
      <w:bookmarkStart w:id="163" w:name="_Toc472321502"/>
      <w:bookmarkStart w:id="164" w:name="_Toc486070550"/>
      <w:r>
        <w:rPr>
          <w:b/>
          <w:sz w:val="24"/>
          <w:szCs w:val="24"/>
        </w:rPr>
        <w:t>3.7.1施工期废水污染源及源强分析</w:t>
      </w:r>
      <w:bookmarkEnd w:id="162"/>
      <w:bookmarkEnd w:id="163"/>
      <w:bookmarkEnd w:id="164"/>
    </w:p>
    <w:p>
      <w:pPr>
        <w:spacing w:line="360" w:lineRule="auto"/>
        <w:ind w:firstLine="480" w:firstLineChars="200"/>
        <w:rPr>
          <w:sz w:val="24"/>
        </w:rPr>
      </w:pPr>
      <w:r>
        <w:rPr>
          <w:sz w:val="24"/>
        </w:rPr>
        <w:t>项目施工期废水主要包括施工生产废水和施工人员生活污水。</w:t>
      </w:r>
    </w:p>
    <w:p>
      <w:pPr>
        <w:spacing w:line="360" w:lineRule="auto"/>
        <w:ind w:firstLine="480" w:firstLineChars="200"/>
        <w:rPr>
          <w:sz w:val="24"/>
        </w:rPr>
      </w:pPr>
      <w:r>
        <w:rPr>
          <w:sz w:val="24"/>
        </w:rPr>
        <w:t>（1）施工生产废水</w:t>
      </w:r>
    </w:p>
    <w:p>
      <w:pPr>
        <w:spacing w:line="360" w:lineRule="auto"/>
        <w:ind w:firstLine="480" w:firstLineChars="200"/>
        <w:rPr>
          <w:sz w:val="24"/>
        </w:rPr>
      </w:pPr>
      <w:r>
        <w:rPr>
          <w:sz w:val="24"/>
        </w:rPr>
        <w:t>根据项目设计，项目方拟购买商品混凝土，可以大大减少施工废水的产生</w:t>
      </w:r>
      <w:r>
        <w:rPr>
          <w:rFonts w:hint="eastAsia"/>
          <w:sz w:val="24"/>
        </w:rPr>
        <w:t>。项目施工期废水</w:t>
      </w:r>
      <w:r>
        <w:rPr>
          <w:sz w:val="24"/>
        </w:rPr>
        <w:t>主要有以下几种：A：混凝土浇筑养护用水大多被吸收或蒸发，故其废水排放可忽略不计；B：来自车辆、机械设备冲洗含油废水；C：施工作业过程中泥浆水、雨水冲刷场地、水管泄露等形成的施工废水。</w:t>
      </w:r>
    </w:p>
    <w:p>
      <w:pPr>
        <w:spacing w:line="360" w:lineRule="auto"/>
        <w:ind w:firstLine="480" w:firstLineChars="200"/>
        <w:rPr>
          <w:sz w:val="24"/>
        </w:rPr>
      </w:pPr>
      <w:r>
        <w:rPr>
          <w:sz w:val="24"/>
        </w:rPr>
        <w:t>根据类比同类项目建设情况，上述废水产生量约为</w:t>
      </w:r>
      <w:r>
        <w:rPr>
          <w:rFonts w:hint="eastAsia"/>
          <w:sz w:val="24"/>
        </w:rPr>
        <w:t>10</w:t>
      </w:r>
      <w:r>
        <w:rPr>
          <w:sz w:val="24"/>
        </w:rPr>
        <w:t>m</w:t>
      </w:r>
      <w:r>
        <w:rPr>
          <w:sz w:val="24"/>
          <w:vertAlign w:val="superscript"/>
        </w:rPr>
        <w:t>3</w:t>
      </w:r>
      <w:r>
        <w:rPr>
          <w:sz w:val="24"/>
        </w:rPr>
        <w:t>/d，其主要污染物为高浓度的泥沙和较高浓度的石油类物质，其中SS的浓度为1000～3000mg/L，石油类为10～20mg/L。项目</w:t>
      </w:r>
      <w:r>
        <w:rPr>
          <w:rFonts w:hint="eastAsia"/>
          <w:sz w:val="24"/>
        </w:rPr>
        <w:t>现场设置隔油池、沉淀池，</w:t>
      </w:r>
      <w:r>
        <w:rPr>
          <w:sz w:val="24"/>
        </w:rPr>
        <w:t>施工车辆和机械设备清洗废水经收集隔油</w:t>
      </w:r>
      <w:r>
        <w:rPr>
          <w:rFonts w:hint="eastAsia"/>
          <w:sz w:val="24"/>
        </w:rPr>
        <w:t>处理后与泥浆水一同经</w:t>
      </w:r>
      <w:r>
        <w:rPr>
          <w:sz w:val="24"/>
        </w:rPr>
        <w:t>沉淀处理后回用于场地洒水抑尘，不外排。</w:t>
      </w:r>
    </w:p>
    <w:p>
      <w:pPr>
        <w:spacing w:line="360" w:lineRule="auto"/>
        <w:ind w:firstLine="480" w:firstLineChars="200"/>
        <w:rPr>
          <w:sz w:val="24"/>
        </w:rPr>
      </w:pPr>
      <w:r>
        <w:rPr>
          <w:sz w:val="24"/>
        </w:rPr>
        <w:t>（2）施工生活污水</w:t>
      </w:r>
    </w:p>
    <w:p>
      <w:pPr>
        <w:spacing w:line="360" w:lineRule="auto"/>
        <w:ind w:firstLine="480" w:firstLineChars="200"/>
        <w:rPr>
          <w:sz w:val="24"/>
        </w:rPr>
      </w:pPr>
      <w:r>
        <w:rPr>
          <w:sz w:val="24"/>
        </w:rPr>
        <w:t>本项目高峰期施工人员约为</w:t>
      </w:r>
      <w:r>
        <w:rPr>
          <w:rFonts w:hint="eastAsia"/>
          <w:sz w:val="24"/>
        </w:rPr>
        <w:t>5</w:t>
      </w:r>
      <w:r>
        <w:rPr>
          <w:sz w:val="24"/>
        </w:rPr>
        <w:t>0人，施工人员分散居住当地居住区，不设生活区，施工人员生活污水纳入当地现有的污水排放系统中，不另行单独外排。</w:t>
      </w:r>
    </w:p>
    <w:p>
      <w:pPr>
        <w:spacing w:line="360" w:lineRule="auto"/>
        <w:ind w:firstLine="480" w:firstLineChars="200"/>
        <w:rPr>
          <w:sz w:val="24"/>
        </w:rPr>
      </w:pPr>
      <w:r>
        <w:rPr>
          <w:sz w:val="24"/>
        </w:rPr>
        <w:t>施工人员生活用水量按50L/人·d计，排放系数取0.8，则施工期生活污水的排放量为</w:t>
      </w:r>
      <w:r>
        <w:rPr>
          <w:rFonts w:hint="eastAsia"/>
          <w:sz w:val="24"/>
        </w:rPr>
        <w:t>2</w:t>
      </w:r>
      <w:r>
        <w:rPr>
          <w:sz w:val="24"/>
        </w:rPr>
        <w:t>.0m</w:t>
      </w:r>
      <w:r>
        <w:rPr>
          <w:sz w:val="24"/>
          <w:vertAlign w:val="superscript"/>
        </w:rPr>
        <w:t>3</w:t>
      </w:r>
      <w:r>
        <w:rPr>
          <w:sz w:val="24"/>
        </w:rPr>
        <w:t>/d，主要污染物是COD、BOD</w:t>
      </w:r>
      <w:r>
        <w:rPr>
          <w:sz w:val="24"/>
          <w:vertAlign w:val="subscript"/>
        </w:rPr>
        <w:t>5</w:t>
      </w:r>
      <w:r>
        <w:rPr>
          <w:sz w:val="24"/>
        </w:rPr>
        <w:t>、SS和NH</w:t>
      </w:r>
      <w:r>
        <w:rPr>
          <w:sz w:val="24"/>
          <w:vertAlign w:val="subscript"/>
        </w:rPr>
        <w:t>3</w:t>
      </w:r>
      <w:r>
        <w:rPr>
          <w:sz w:val="24"/>
        </w:rPr>
        <w:t>-N等，参考《给排水设计手册》（第五册城镇排水）典型生活污水水质示例，生活污水水质及其污染物产生量见表3.7-1。</w:t>
      </w:r>
    </w:p>
    <w:p>
      <w:pPr>
        <w:spacing w:line="360" w:lineRule="auto"/>
        <w:jc w:val="center"/>
        <w:rPr>
          <w:b/>
          <w:sz w:val="24"/>
        </w:rPr>
      </w:pPr>
      <w:r>
        <w:rPr>
          <w:b/>
          <w:sz w:val="24"/>
        </w:rPr>
        <w:t>表3.7-1 项目施工生活污水中污染物产生及排放情况</w:t>
      </w:r>
    </w:p>
    <w:tbl>
      <w:tblPr>
        <w:tblStyle w:val="24"/>
        <w:tblW w:w="8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126"/>
        <w:gridCol w:w="3119"/>
        <w:gridCol w:w="2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dxa"/>
            <w:vAlign w:val="center"/>
          </w:tcPr>
          <w:p>
            <w:pPr>
              <w:pStyle w:val="32"/>
              <w:ind w:firstLine="0" w:firstLineChars="0"/>
              <w:jc w:val="center"/>
              <w:rPr>
                <w:sz w:val="21"/>
                <w:szCs w:val="21"/>
              </w:rPr>
            </w:pPr>
            <w:r>
              <w:rPr>
                <w:sz w:val="21"/>
                <w:szCs w:val="21"/>
              </w:rPr>
              <w:t>序号</w:t>
            </w:r>
          </w:p>
        </w:tc>
        <w:tc>
          <w:tcPr>
            <w:tcW w:w="2126" w:type="dxa"/>
            <w:vAlign w:val="center"/>
          </w:tcPr>
          <w:p>
            <w:pPr>
              <w:pStyle w:val="32"/>
              <w:ind w:firstLine="0" w:firstLineChars="0"/>
              <w:jc w:val="center"/>
              <w:rPr>
                <w:color w:val="000000"/>
                <w:sz w:val="21"/>
                <w:szCs w:val="21"/>
              </w:rPr>
            </w:pPr>
            <w:r>
              <w:rPr>
                <w:color w:val="000000"/>
                <w:sz w:val="21"/>
                <w:szCs w:val="21"/>
              </w:rPr>
              <w:t>项目</w:t>
            </w:r>
          </w:p>
        </w:tc>
        <w:tc>
          <w:tcPr>
            <w:tcW w:w="3119" w:type="dxa"/>
            <w:vAlign w:val="center"/>
          </w:tcPr>
          <w:p>
            <w:pPr>
              <w:pStyle w:val="32"/>
              <w:ind w:firstLine="0" w:firstLineChars="0"/>
              <w:jc w:val="center"/>
              <w:rPr>
                <w:color w:val="000000"/>
                <w:sz w:val="21"/>
                <w:szCs w:val="21"/>
              </w:rPr>
            </w:pPr>
            <w:r>
              <w:rPr>
                <w:color w:val="000000"/>
                <w:sz w:val="21"/>
                <w:szCs w:val="21"/>
              </w:rPr>
              <w:t>污染物浓度（mg/L）</w:t>
            </w:r>
          </w:p>
        </w:tc>
        <w:tc>
          <w:tcPr>
            <w:tcW w:w="2784" w:type="dxa"/>
            <w:vAlign w:val="center"/>
          </w:tcPr>
          <w:p>
            <w:pPr>
              <w:pStyle w:val="32"/>
              <w:ind w:firstLine="0" w:firstLineChars="0"/>
              <w:jc w:val="center"/>
              <w:rPr>
                <w:color w:val="000000"/>
                <w:sz w:val="21"/>
                <w:szCs w:val="21"/>
              </w:rPr>
            </w:pPr>
            <w:r>
              <w:rPr>
                <w:color w:val="000000"/>
                <w:sz w:val="21"/>
                <w:szCs w:val="21"/>
              </w:rPr>
              <w:t>污染物源强（kg/d）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4" w:type="dxa"/>
            <w:vAlign w:val="center"/>
          </w:tcPr>
          <w:p>
            <w:pPr>
              <w:jc w:val="center"/>
              <w:rPr>
                <w:szCs w:val="21"/>
              </w:rPr>
            </w:pPr>
            <w:r>
              <w:rPr>
                <w:szCs w:val="21"/>
              </w:rPr>
              <w:t>1</w:t>
            </w:r>
          </w:p>
        </w:tc>
        <w:tc>
          <w:tcPr>
            <w:tcW w:w="2126" w:type="dxa"/>
            <w:vAlign w:val="center"/>
          </w:tcPr>
          <w:p>
            <w:pPr>
              <w:jc w:val="center"/>
              <w:rPr>
                <w:color w:val="000000"/>
                <w:szCs w:val="21"/>
              </w:rPr>
            </w:pPr>
            <w:r>
              <w:rPr>
                <w:color w:val="000000"/>
                <w:szCs w:val="21"/>
              </w:rPr>
              <w:t>COD</w:t>
            </w:r>
          </w:p>
        </w:tc>
        <w:tc>
          <w:tcPr>
            <w:tcW w:w="3119" w:type="dxa"/>
            <w:vAlign w:val="center"/>
          </w:tcPr>
          <w:p>
            <w:pPr>
              <w:jc w:val="center"/>
              <w:rPr>
                <w:color w:val="000000"/>
                <w:szCs w:val="21"/>
              </w:rPr>
            </w:pPr>
            <w:r>
              <w:rPr>
                <w:color w:val="000000"/>
                <w:szCs w:val="21"/>
              </w:rPr>
              <w:t>400</w:t>
            </w:r>
          </w:p>
        </w:tc>
        <w:tc>
          <w:tcPr>
            <w:tcW w:w="2784" w:type="dxa"/>
            <w:vAlign w:val="center"/>
          </w:tcPr>
          <w:p>
            <w:pPr>
              <w:jc w:val="center"/>
              <w:rPr>
                <w:color w:val="000000"/>
                <w:szCs w:val="21"/>
              </w:rPr>
            </w:pPr>
            <w:r>
              <w:rPr>
                <w:rFonts w:hint="eastAsia"/>
                <w:color w:val="000000"/>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4" w:type="dxa"/>
            <w:vAlign w:val="center"/>
          </w:tcPr>
          <w:p>
            <w:pPr>
              <w:pStyle w:val="32"/>
              <w:ind w:firstLine="0" w:firstLineChars="0"/>
              <w:jc w:val="center"/>
              <w:rPr>
                <w:sz w:val="21"/>
                <w:szCs w:val="21"/>
              </w:rPr>
            </w:pPr>
            <w:r>
              <w:rPr>
                <w:sz w:val="21"/>
                <w:szCs w:val="21"/>
              </w:rPr>
              <w:t>2</w:t>
            </w:r>
          </w:p>
        </w:tc>
        <w:tc>
          <w:tcPr>
            <w:tcW w:w="2126" w:type="dxa"/>
            <w:vAlign w:val="center"/>
          </w:tcPr>
          <w:p>
            <w:pPr>
              <w:pStyle w:val="32"/>
              <w:ind w:firstLine="0" w:firstLineChars="0"/>
              <w:jc w:val="center"/>
              <w:rPr>
                <w:color w:val="000000"/>
                <w:sz w:val="21"/>
                <w:szCs w:val="21"/>
              </w:rPr>
            </w:pPr>
            <w:r>
              <w:rPr>
                <w:color w:val="000000"/>
                <w:sz w:val="21"/>
                <w:szCs w:val="21"/>
              </w:rPr>
              <w:t>BOD</w:t>
            </w:r>
            <w:r>
              <w:rPr>
                <w:color w:val="000000"/>
                <w:sz w:val="21"/>
                <w:szCs w:val="21"/>
                <w:vertAlign w:val="subscript"/>
              </w:rPr>
              <w:t>5</w:t>
            </w:r>
          </w:p>
        </w:tc>
        <w:tc>
          <w:tcPr>
            <w:tcW w:w="3119" w:type="dxa"/>
            <w:vAlign w:val="center"/>
          </w:tcPr>
          <w:p>
            <w:pPr>
              <w:pStyle w:val="32"/>
              <w:ind w:firstLine="0" w:firstLineChars="0"/>
              <w:jc w:val="center"/>
              <w:rPr>
                <w:color w:val="000000"/>
                <w:sz w:val="21"/>
                <w:szCs w:val="21"/>
              </w:rPr>
            </w:pPr>
            <w:r>
              <w:rPr>
                <w:color w:val="000000"/>
                <w:sz w:val="21"/>
                <w:szCs w:val="21"/>
              </w:rPr>
              <w:t>2</w:t>
            </w:r>
            <w:r>
              <w:rPr>
                <w:rFonts w:hint="eastAsia"/>
                <w:color w:val="000000"/>
                <w:sz w:val="21"/>
                <w:szCs w:val="21"/>
              </w:rPr>
              <w:t>2</w:t>
            </w:r>
            <w:r>
              <w:rPr>
                <w:color w:val="000000"/>
                <w:sz w:val="21"/>
                <w:szCs w:val="21"/>
              </w:rPr>
              <w:t>0</w:t>
            </w:r>
          </w:p>
        </w:tc>
        <w:tc>
          <w:tcPr>
            <w:tcW w:w="2784" w:type="dxa"/>
            <w:vAlign w:val="center"/>
          </w:tcPr>
          <w:p>
            <w:pPr>
              <w:pStyle w:val="32"/>
              <w:ind w:firstLine="0" w:firstLineChars="0"/>
              <w:jc w:val="center"/>
              <w:rPr>
                <w:color w:val="000000"/>
                <w:sz w:val="21"/>
                <w:szCs w:val="21"/>
              </w:rPr>
            </w:pPr>
            <w:r>
              <w:rPr>
                <w:color w:val="000000"/>
                <w:sz w:val="21"/>
                <w:szCs w:val="21"/>
              </w:rPr>
              <w:t>0.</w:t>
            </w:r>
            <w:r>
              <w:rPr>
                <w:rFonts w:hint="eastAsia"/>
                <w:color w:val="000000"/>
                <w:sz w:val="21"/>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4" w:type="dxa"/>
            <w:vAlign w:val="center"/>
          </w:tcPr>
          <w:p>
            <w:pPr>
              <w:pStyle w:val="32"/>
              <w:ind w:firstLine="0" w:firstLineChars="0"/>
              <w:jc w:val="center"/>
              <w:rPr>
                <w:sz w:val="21"/>
                <w:szCs w:val="21"/>
              </w:rPr>
            </w:pPr>
            <w:r>
              <w:rPr>
                <w:sz w:val="21"/>
                <w:szCs w:val="21"/>
              </w:rPr>
              <w:t>3</w:t>
            </w:r>
          </w:p>
        </w:tc>
        <w:tc>
          <w:tcPr>
            <w:tcW w:w="2126" w:type="dxa"/>
            <w:vAlign w:val="center"/>
          </w:tcPr>
          <w:p>
            <w:pPr>
              <w:pStyle w:val="32"/>
              <w:ind w:firstLine="0" w:firstLineChars="0"/>
              <w:jc w:val="center"/>
              <w:rPr>
                <w:color w:val="000000"/>
                <w:sz w:val="21"/>
                <w:szCs w:val="21"/>
              </w:rPr>
            </w:pPr>
            <w:r>
              <w:rPr>
                <w:color w:val="000000"/>
                <w:sz w:val="21"/>
                <w:szCs w:val="21"/>
              </w:rPr>
              <w:t>SS</w:t>
            </w:r>
          </w:p>
        </w:tc>
        <w:tc>
          <w:tcPr>
            <w:tcW w:w="3119" w:type="dxa"/>
            <w:vAlign w:val="center"/>
          </w:tcPr>
          <w:p>
            <w:pPr>
              <w:pStyle w:val="32"/>
              <w:ind w:firstLine="0" w:firstLineChars="0"/>
              <w:jc w:val="center"/>
              <w:rPr>
                <w:color w:val="000000"/>
                <w:sz w:val="21"/>
                <w:szCs w:val="21"/>
              </w:rPr>
            </w:pPr>
            <w:r>
              <w:rPr>
                <w:color w:val="000000"/>
                <w:sz w:val="21"/>
                <w:szCs w:val="21"/>
              </w:rPr>
              <w:t>2</w:t>
            </w:r>
            <w:r>
              <w:rPr>
                <w:rFonts w:hint="eastAsia"/>
                <w:color w:val="000000"/>
                <w:sz w:val="21"/>
                <w:szCs w:val="21"/>
              </w:rPr>
              <w:t>0</w:t>
            </w:r>
            <w:r>
              <w:rPr>
                <w:color w:val="000000"/>
                <w:sz w:val="21"/>
                <w:szCs w:val="21"/>
              </w:rPr>
              <w:t>0</w:t>
            </w:r>
          </w:p>
        </w:tc>
        <w:tc>
          <w:tcPr>
            <w:tcW w:w="2784" w:type="dxa"/>
            <w:vAlign w:val="center"/>
          </w:tcPr>
          <w:p>
            <w:pPr>
              <w:pStyle w:val="32"/>
              <w:ind w:firstLine="0" w:firstLineChars="0"/>
              <w:jc w:val="center"/>
              <w:rPr>
                <w:color w:val="000000"/>
                <w:sz w:val="21"/>
                <w:szCs w:val="21"/>
              </w:rPr>
            </w:pPr>
            <w:r>
              <w:rPr>
                <w:color w:val="000000"/>
                <w:sz w:val="21"/>
                <w:szCs w:val="21"/>
              </w:rPr>
              <w:t>0.</w:t>
            </w:r>
            <w:r>
              <w:rPr>
                <w:rFonts w:hint="eastAsia"/>
                <w:color w:val="00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4" w:type="dxa"/>
            <w:vAlign w:val="center"/>
          </w:tcPr>
          <w:p>
            <w:pPr>
              <w:pStyle w:val="32"/>
              <w:ind w:firstLine="0" w:firstLineChars="0"/>
              <w:jc w:val="center"/>
              <w:rPr>
                <w:sz w:val="21"/>
                <w:szCs w:val="21"/>
              </w:rPr>
            </w:pPr>
            <w:r>
              <w:rPr>
                <w:sz w:val="21"/>
                <w:szCs w:val="21"/>
              </w:rPr>
              <w:t>4</w:t>
            </w:r>
          </w:p>
        </w:tc>
        <w:tc>
          <w:tcPr>
            <w:tcW w:w="2126" w:type="dxa"/>
            <w:vAlign w:val="center"/>
          </w:tcPr>
          <w:p>
            <w:pPr>
              <w:pStyle w:val="32"/>
              <w:ind w:firstLine="0" w:firstLineChars="0"/>
              <w:jc w:val="center"/>
              <w:rPr>
                <w:color w:val="000000"/>
                <w:sz w:val="21"/>
                <w:szCs w:val="21"/>
              </w:rPr>
            </w:pPr>
            <w:r>
              <w:rPr>
                <w:color w:val="000000"/>
                <w:sz w:val="21"/>
                <w:szCs w:val="21"/>
              </w:rPr>
              <w:t>氨氮</w:t>
            </w:r>
          </w:p>
        </w:tc>
        <w:tc>
          <w:tcPr>
            <w:tcW w:w="3119" w:type="dxa"/>
            <w:vAlign w:val="center"/>
          </w:tcPr>
          <w:p>
            <w:pPr>
              <w:pStyle w:val="32"/>
              <w:ind w:firstLine="0" w:firstLineChars="0"/>
              <w:jc w:val="center"/>
              <w:rPr>
                <w:color w:val="000000"/>
                <w:sz w:val="21"/>
                <w:szCs w:val="21"/>
              </w:rPr>
            </w:pPr>
            <w:r>
              <w:rPr>
                <w:rFonts w:hint="eastAsia"/>
                <w:color w:val="000000"/>
                <w:sz w:val="21"/>
                <w:szCs w:val="21"/>
              </w:rPr>
              <w:t>35</w:t>
            </w:r>
          </w:p>
        </w:tc>
        <w:tc>
          <w:tcPr>
            <w:tcW w:w="2784" w:type="dxa"/>
            <w:vAlign w:val="center"/>
          </w:tcPr>
          <w:p>
            <w:pPr>
              <w:pStyle w:val="32"/>
              <w:ind w:firstLine="0" w:firstLineChars="0"/>
              <w:jc w:val="center"/>
              <w:rPr>
                <w:color w:val="000000"/>
                <w:sz w:val="21"/>
                <w:szCs w:val="21"/>
              </w:rPr>
            </w:pPr>
            <w:r>
              <w:rPr>
                <w:color w:val="000000"/>
                <w:sz w:val="21"/>
                <w:szCs w:val="21"/>
              </w:rPr>
              <w:t>0.</w:t>
            </w:r>
            <w:r>
              <w:rPr>
                <w:rFonts w:hint="eastAsia"/>
                <w:color w:val="000000"/>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774" w:type="dxa"/>
            <w:vAlign w:val="center"/>
          </w:tcPr>
          <w:p>
            <w:pPr>
              <w:pStyle w:val="32"/>
              <w:ind w:firstLine="0" w:firstLineChars="0"/>
              <w:jc w:val="center"/>
              <w:rPr>
                <w:sz w:val="21"/>
                <w:szCs w:val="21"/>
              </w:rPr>
            </w:pPr>
            <w:r>
              <w:rPr>
                <w:sz w:val="21"/>
                <w:szCs w:val="21"/>
              </w:rPr>
              <w:t>5</w:t>
            </w:r>
          </w:p>
        </w:tc>
        <w:tc>
          <w:tcPr>
            <w:tcW w:w="2126" w:type="dxa"/>
            <w:vAlign w:val="center"/>
          </w:tcPr>
          <w:p>
            <w:pPr>
              <w:pStyle w:val="32"/>
              <w:ind w:firstLine="0" w:firstLineChars="0"/>
              <w:jc w:val="center"/>
              <w:rPr>
                <w:color w:val="000000"/>
                <w:sz w:val="21"/>
                <w:szCs w:val="21"/>
              </w:rPr>
            </w:pPr>
            <w:r>
              <w:rPr>
                <w:color w:val="000000"/>
                <w:sz w:val="21"/>
                <w:szCs w:val="21"/>
              </w:rPr>
              <w:t>污水量</w:t>
            </w:r>
          </w:p>
        </w:tc>
        <w:tc>
          <w:tcPr>
            <w:tcW w:w="5903" w:type="dxa"/>
            <w:gridSpan w:val="2"/>
            <w:vAlign w:val="center"/>
          </w:tcPr>
          <w:p>
            <w:pPr>
              <w:pStyle w:val="32"/>
              <w:ind w:firstLine="0" w:firstLineChars="0"/>
              <w:jc w:val="center"/>
              <w:rPr>
                <w:color w:val="000000"/>
                <w:sz w:val="21"/>
                <w:szCs w:val="21"/>
              </w:rPr>
            </w:pPr>
            <w:r>
              <w:rPr>
                <w:rFonts w:hint="eastAsia"/>
                <w:color w:val="000000"/>
                <w:sz w:val="21"/>
                <w:szCs w:val="21"/>
              </w:rPr>
              <w:t>2</w:t>
            </w:r>
            <w:r>
              <w:rPr>
                <w:color w:val="000000"/>
                <w:sz w:val="21"/>
                <w:szCs w:val="21"/>
              </w:rPr>
              <w:t>.0t/d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4" w:type="dxa"/>
            <w:vAlign w:val="center"/>
          </w:tcPr>
          <w:p>
            <w:pPr>
              <w:pStyle w:val="32"/>
              <w:ind w:firstLine="0" w:firstLineChars="0"/>
              <w:jc w:val="center"/>
              <w:rPr>
                <w:sz w:val="21"/>
                <w:szCs w:val="21"/>
              </w:rPr>
            </w:pPr>
            <w:r>
              <w:rPr>
                <w:sz w:val="21"/>
                <w:szCs w:val="21"/>
              </w:rPr>
              <w:t>6</w:t>
            </w:r>
          </w:p>
        </w:tc>
        <w:tc>
          <w:tcPr>
            <w:tcW w:w="2126" w:type="dxa"/>
            <w:vAlign w:val="center"/>
          </w:tcPr>
          <w:p>
            <w:pPr>
              <w:pStyle w:val="32"/>
              <w:ind w:firstLine="0" w:firstLineChars="0"/>
              <w:jc w:val="center"/>
              <w:rPr>
                <w:color w:val="000000"/>
                <w:sz w:val="21"/>
                <w:szCs w:val="21"/>
              </w:rPr>
            </w:pPr>
            <w:r>
              <w:rPr>
                <w:color w:val="000000"/>
                <w:sz w:val="21"/>
                <w:szCs w:val="21"/>
              </w:rPr>
              <w:t>排放去向</w:t>
            </w:r>
          </w:p>
        </w:tc>
        <w:tc>
          <w:tcPr>
            <w:tcW w:w="5903" w:type="dxa"/>
            <w:gridSpan w:val="2"/>
            <w:vAlign w:val="center"/>
          </w:tcPr>
          <w:p>
            <w:pPr>
              <w:pStyle w:val="32"/>
              <w:ind w:firstLine="0" w:firstLineChars="0"/>
              <w:jc w:val="center"/>
              <w:rPr>
                <w:color w:val="000000"/>
                <w:sz w:val="21"/>
                <w:szCs w:val="21"/>
              </w:rPr>
            </w:pPr>
            <w:r>
              <w:rPr>
                <w:color w:val="000000"/>
                <w:sz w:val="21"/>
                <w:szCs w:val="21"/>
              </w:rPr>
              <w:t>纳入当地现有污水排放系统</w:t>
            </w:r>
          </w:p>
        </w:tc>
      </w:tr>
    </w:tbl>
    <w:p>
      <w:pPr>
        <w:spacing w:line="360" w:lineRule="auto"/>
        <w:outlineLvl w:val="2"/>
        <w:rPr>
          <w:b/>
          <w:sz w:val="24"/>
          <w:szCs w:val="24"/>
        </w:rPr>
      </w:pPr>
      <w:bookmarkStart w:id="165" w:name="_Toc472321503"/>
      <w:bookmarkStart w:id="166" w:name="_Toc486070551"/>
      <w:r>
        <w:rPr>
          <w:b/>
          <w:sz w:val="24"/>
          <w:szCs w:val="24"/>
        </w:rPr>
        <w:t>3.7.2施工期废气污染源及源强分析</w:t>
      </w:r>
      <w:bookmarkEnd w:id="165"/>
      <w:bookmarkEnd w:id="166"/>
    </w:p>
    <w:p>
      <w:pPr>
        <w:spacing w:line="360" w:lineRule="auto"/>
        <w:ind w:firstLine="480" w:firstLineChars="200"/>
        <w:rPr>
          <w:sz w:val="24"/>
        </w:rPr>
      </w:pPr>
      <w:r>
        <w:rPr>
          <w:sz w:val="24"/>
        </w:rPr>
        <w:t>施工期大气污染物主要</w:t>
      </w:r>
      <w:r>
        <w:rPr>
          <w:rFonts w:hint="eastAsia"/>
          <w:sz w:val="24"/>
        </w:rPr>
        <w:t>为</w:t>
      </w:r>
      <w:r>
        <w:rPr>
          <w:sz w:val="24"/>
        </w:rPr>
        <w:t>施工扬尘，</w:t>
      </w:r>
      <w:r>
        <w:rPr>
          <w:rFonts w:hint="eastAsia"/>
          <w:sz w:val="24"/>
        </w:rPr>
        <w:t>其次为</w:t>
      </w:r>
      <w:r>
        <w:rPr>
          <w:sz w:val="24"/>
        </w:rPr>
        <w:t>施工车辆、机械燃油时排放的少量SO</w:t>
      </w:r>
      <w:r>
        <w:rPr>
          <w:sz w:val="24"/>
          <w:vertAlign w:val="subscript"/>
        </w:rPr>
        <w:t>2</w:t>
      </w:r>
      <w:r>
        <w:rPr>
          <w:sz w:val="24"/>
        </w:rPr>
        <w:t>、NO</w:t>
      </w:r>
      <w:r>
        <w:rPr>
          <w:sz w:val="24"/>
          <w:vertAlign w:val="subscript"/>
        </w:rPr>
        <w:t>2</w:t>
      </w:r>
      <w:r>
        <w:rPr>
          <w:sz w:val="24"/>
        </w:rPr>
        <w:t>、CO、烃类等污染物以及装修期间产生的有机溶剂废气。</w:t>
      </w:r>
    </w:p>
    <w:p>
      <w:pPr>
        <w:spacing w:line="360" w:lineRule="auto"/>
        <w:ind w:firstLine="480" w:firstLineChars="200"/>
        <w:rPr>
          <w:sz w:val="24"/>
        </w:rPr>
      </w:pPr>
      <w:r>
        <w:rPr>
          <w:sz w:val="24"/>
        </w:rPr>
        <w:t>（1）施工扬尘</w:t>
      </w:r>
    </w:p>
    <w:p>
      <w:pPr>
        <w:spacing w:line="360" w:lineRule="auto"/>
        <w:ind w:firstLine="480" w:firstLineChars="200"/>
        <w:rPr>
          <w:sz w:val="24"/>
        </w:rPr>
      </w:pPr>
      <w:r>
        <w:rPr>
          <w:sz w:val="24"/>
        </w:rPr>
        <w:t>扬尘排放方式主要为无组织间歇性排放，其产生量受风向、风速和空气湿度等气象条件的影响，主要来源于：</w:t>
      </w:r>
    </w:p>
    <w:p>
      <w:pPr>
        <w:spacing w:line="360" w:lineRule="auto"/>
        <w:ind w:firstLine="480" w:firstLineChars="200"/>
        <w:rPr>
          <w:sz w:val="24"/>
        </w:rPr>
      </w:pPr>
      <w:r>
        <w:rPr>
          <w:sz w:val="24"/>
        </w:rPr>
        <w:t>①场地平整、土石方清挖过程的地面扬尘；</w:t>
      </w:r>
    </w:p>
    <w:p>
      <w:pPr>
        <w:spacing w:line="360" w:lineRule="auto"/>
        <w:ind w:firstLine="480" w:firstLineChars="200"/>
        <w:rPr>
          <w:sz w:val="24"/>
        </w:rPr>
      </w:pPr>
      <w:r>
        <w:rPr>
          <w:sz w:val="24"/>
        </w:rPr>
        <w:t>②建筑物料堆放、装卸过程产生的扬尘；</w:t>
      </w:r>
    </w:p>
    <w:p>
      <w:pPr>
        <w:spacing w:line="360" w:lineRule="auto"/>
        <w:ind w:firstLine="480" w:firstLineChars="200"/>
        <w:rPr>
          <w:sz w:val="24"/>
        </w:rPr>
      </w:pPr>
      <w:r>
        <w:rPr>
          <w:sz w:val="24"/>
        </w:rPr>
        <w:t>③建筑材料运输过程产生的扬尘；</w:t>
      </w:r>
    </w:p>
    <w:p>
      <w:pPr>
        <w:spacing w:line="360" w:lineRule="auto"/>
        <w:ind w:firstLine="480" w:firstLineChars="200"/>
        <w:rPr>
          <w:sz w:val="24"/>
        </w:rPr>
      </w:pPr>
      <w:r>
        <w:rPr>
          <w:sz w:val="24"/>
        </w:rPr>
        <w:t>④清除固废和装模，拆模和清理工作面引起的扬尘。</w:t>
      </w:r>
    </w:p>
    <w:p>
      <w:pPr>
        <w:spacing w:line="360" w:lineRule="auto"/>
        <w:ind w:firstLine="480" w:firstLineChars="200"/>
        <w:rPr>
          <w:sz w:val="24"/>
        </w:rPr>
      </w:pPr>
      <w:r>
        <w:rPr>
          <w:rFonts w:hAnsi="宋体"/>
          <w:bCs/>
          <w:sz w:val="24"/>
          <w:szCs w:val="24"/>
        </w:rPr>
        <w:t>根据类似工程实际调查结果，场地作业区下风向</w:t>
      </w:r>
      <w:r>
        <w:rPr>
          <w:bCs/>
          <w:sz w:val="24"/>
          <w:szCs w:val="24"/>
        </w:rPr>
        <w:t>50m</w:t>
      </w:r>
      <w:r>
        <w:rPr>
          <w:rFonts w:hAnsi="宋体"/>
          <w:bCs/>
          <w:sz w:val="24"/>
          <w:szCs w:val="24"/>
        </w:rPr>
        <w:t>处为</w:t>
      </w:r>
      <w:r>
        <w:rPr>
          <w:bCs/>
          <w:sz w:val="24"/>
          <w:szCs w:val="24"/>
        </w:rPr>
        <w:t>8.90mg/m</w:t>
      </w:r>
      <w:r>
        <w:rPr>
          <w:bCs/>
          <w:sz w:val="24"/>
          <w:szCs w:val="24"/>
          <w:vertAlign w:val="superscript"/>
        </w:rPr>
        <w:t>3</w:t>
      </w:r>
      <w:r>
        <w:rPr>
          <w:rFonts w:hAnsi="宋体"/>
          <w:bCs/>
          <w:sz w:val="24"/>
          <w:szCs w:val="24"/>
        </w:rPr>
        <w:t>，下风向</w:t>
      </w:r>
      <w:r>
        <w:rPr>
          <w:bCs/>
          <w:sz w:val="24"/>
          <w:szCs w:val="24"/>
        </w:rPr>
        <w:t>100m</w:t>
      </w:r>
      <w:r>
        <w:rPr>
          <w:rFonts w:hAnsi="宋体"/>
          <w:bCs/>
          <w:sz w:val="24"/>
          <w:szCs w:val="24"/>
        </w:rPr>
        <w:t>处为</w:t>
      </w:r>
      <w:r>
        <w:rPr>
          <w:bCs/>
          <w:sz w:val="24"/>
          <w:szCs w:val="24"/>
        </w:rPr>
        <w:t>1.65mg/m</w:t>
      </w:r>
      <w:r>
        <w:rPr>
          <w:bCs/>
          <w:sz w:val="24"/>
          <w:szCs w:val="24"/>
          <w:vertAlign w:val="superscript"/>
        </w:rPr>
        <w:t>3</w:t>
      </w:r>
      <w:r>
        <w:rPr>
          <w:rFonts w:hAnsi="宋体"/>
          <w:bCs/>
          <w:sz w:val="24"/>
          <w:szCs w:val="24"/>
        </w:rPr>
        <w:t>，下风向</w:t>
      </w:r>
      <w:r>
        <w:rPr>
          <w:bCs/>
          <w:sz w:val="24"/>
          <w:szCs w:val="24"/>
        </w:rPr>
        <w:t>150m</w:t>
      </w:r>
      <w:r>
        <w:rPr>
          <w:rFonts w:hAnsi="宋体"/>
          <w:bCs/>
          <w:sz w:val="24"/>
          <w:szCs w:val="24"/>
        </w:rPr>
        <w:t>处符合环境空气质量标准二级标准日均值</w:t>
      </w:r>
      <w:r>
        <w:rPr>
          <w:bCs/>
          <w:sz w:val="24"/>
          <w:szCs w:val="24"/>
        </w:rPr>
        <w:t>0.3mg/m</w:t>
      </w:r>
      <w:r>
        <w:rPr>
          <w:bCs/>
          <w:sz w:val="24"/>
          <w:szCs w:val="24"/>
          <w:vertAlign w:val="superscript"/>
        </w:rPr>
        <w:t>3</w:t>
      </w:r>
      <w:r>
        <w:rPr>
          <w:rFonts w:hAnsi="宋体"/>
          <w:bCs/>
          <w:sz w:val="24"/>
          <w:szCs w:val="24"/>
        </w:rPr>
        <w:t>，施工场地扬尘可控制在</w:t>
      </w:r>
      <w:r>
        <w:rPr>
          <w:bCs/>
          <w:sz w:val="24"/>
          <w:szCs w:val="24"/>
        </w:rPr>
        <w:t>200m</w:t>
      </w:r>
      <w:r>
        <w:rPr>
          <w:rFonts w:hAnsi="宋体"/>
          <w:bCs/>
          <w:sz w:val="24"/>
          <w:szCs w:val="24"/>
        </w:rPr>
        <w:t>范围内，在场地</w:t>
      </w:r>
      <w:r>
        <w:rPr>
          <w:bCs/>
          <w:sz w:val="24"/>
          <w:szCs w:val="24"/>
        </w:rPr>
        <w:t>200m</w:t>
      </w:r>
      <w:r>
        <w:rPr>
          <w:rFonts w:hAnsi="宋体"/>
          <w:bCs/>
          <w:sz w:val="24"/>
          <w:szCs w:val="24"/>
        </w:rPr>
        <w:t>以外将符合环境空气质量二类区标准。</w:t>
      </w:r>
    </w:p>
    <w:p>
      <w:pPr>
        <w:spacing w:line="360" w:lineRule="auto"/>
        <w:ind w:firstLine="480" w:firstLineChars="200"/>
        <w:rPr>
          <w:sz w:val="24"/>
        </w:rPr>
      </w:pPr>
      <w:r>
        <w:rPr>
          <w:sz w:val="24"/>
        </w:rPr>
        <w:t>（2）施工机械、运输车辆废气</w:t>
      </w:r>
    </w:p>
    <w:p>
      <w:pPr>
        <w:spacing w:line="360" w:lineRule="auto"/>
        <w:ind w:firstLine="480" w:firstLineChars="200"/>
        <w:rPr>
          <w:sz w:val="24"/>
        </w:rPr>
      </w:pPr>
      <w:r>
        <w:rPr>
          <w:sz w:val="24"/>
        </w:rPr>
        <w:t>施工期间，使用液体燃料的施工机械及运输车辆的发动机排放的尾气中含有NO</w:t>
      </w:r>
      <w:r>
        <w:rPr>
          <w:sz w:val="24"/>
          <w:vertAlign w:val="subscript"/>
        </w:rPr>
        <w:t>X</w:t>
      </w:r>
      <w:r>
        <w:rPr>
          <w:sz w:val="24"/>
        </w:rPr>
        <w:t>、CO、THC等污染物，一般情况下，各种污染物的排放量不大，且为间断排放。</w:t>
      </w:r>
    </w:p>
    <w:p>
      <w:pPr>
        <w:spacing w:line="360" w:lineRule="auto"/>
        <w:ind w:firstLine="480" w:firstLineChars="200"/>
        <w:rPr>
          <w:sz w:val="24"/>
        </w:rPr>
      </w:pPr>
      <w:r>
        <w:rPr>
          <w:sz w:val="24"/>
        </w:rPr>
        <w:t>（3）装修废气</w:t>
      </w:r>
    </w:p>
    <w:p>
      <w:pPr>
        <w:spacing w:line="360" w:lineRule="auto"/>
        <w:ind w:firstLine="480" w:firstLineChars="200"/>
        <w:rPr>
          <w:sz w:val="24"/>
        </w:rPr>
      </w:pPr>
      <w:r>
        <w:rPr>
          <w:sz w:val="24"/>
        </w:rPr>
        <w:t>装修施工阶段，处理墙面、装饰吊顶、制造与涂漆家庭生活用具、处理楼面等作业使用的黏合剂、涂料、油漆等材料中所含的有机溶剂挥发会产生有机废气，主要成份有丁醇</w:t>
      </w:r>
      <w:r>
        <w:rPr>
          <w:rFonts w:hint="eastAsia"/>
          <w:sz w:val="24"/>
        </w:rPr>
        <w:t>、</w:t>
      </w:r>
      <w:r>
        <w:rPr>
          <w:sz w:val="24"/>
        </w:rPr>
        <w:t>丙酮</w:t>
      </w:r>
      <w:r>
        <w:rPr>
          <w:rFonts w:hint="eastAsia"/>
          <w:sz w:val="24"/>
        </w:rPr>
        <w:t>、</w:t>
      </w:r>
      <w:r>
        <w:rPr>
          <w:sz w:val="24"/>
        </w:rPr>
        <w:t>三苯</w:t>
      </w:r>
      <w:r>
        <w:rPr>
          <w:rFonts w:hint="eastAsia"/>
          <w:sz w:val="24"/>
        </w:rPr>
        <w:t>、</w:t>
      </w:r>
      <w:r>
        <w:rPr>
          <w:sz w:val="24"/>
        </w:rPr>
        <w:t>甲酸等。随着时间流逝而挥发强度会逐渐衰减，但往往延续时间很长，挥发时间主要集中在装修阶段 3 个月以内</w:t>
      </w:r>
      <w:r>
        <w:rPr>
          <w:rFonts w:hint="eastAsia"/>
          <w:sz w:val="24"/>
        </w:rPr>
        <w:t>，</w:t>
      </w:r>
      <w:r>
        <w:rPr>
          <w:sz w:val="24"/>
        </w:rPr>
        <w:t>属于无组织排放。</w:t>
      </w:r>
    </w:p>
    <w:p>
      <w:pPr>
        <w:spacing w:line="360" w:lineRule="auto"/>
        <w:outlineLvl w:val="2"/>
        <w:rPr>
          <w:b/>
          <w:sz w:val="24"/>
          <w:szCs w:val="24"/>
        </w:rPr>
      </w:pPr>
      <w:bookmarkStart w:id="167" w:name="_Toc472321504"/>
      <w:bookmarkStart w:id="168" w:name="_Toc486070552"/>
      <w:r>
        <w:rPr>
          <w:b/>
          <w:sz w:val="24"/>
          <w:szCs w:val="24"/>
        </w:rPr>
        <w:t>3.7.3施工期噪声污染源及源强分析</w:t>
      </w:r>
      <w:bookmarkEnd w:id="167"/>
      <w:bookmarkEnd w:id="168"/>
    </w:p>
    <w:p>
      <w:pPr>
        <w:spacing w:line="360" w:lineRule="auto"/>
        <w:ind w:firstLine="480" w:firstLineChars="200"/>
        <w:rPr>
          <w:sz w:val="24"/>
        </w:rPr>
      </w:pPr>
      <w:r>
        <w:rPr>
          <w:sz w:val="24"/>
        </w:rPr>
        <w:t>项目施工噪声主要来自施工机械和运输车辆交通噪声，国内目前常用的施工机械如挖掘机、推土机、装卸机、压路机等，运输车辆包括各种车辆、自卸车。</w:t>
      </w:r>
    </w:p>
    <w:p>
      <w:pPr>
        <w:spacing w:line="360" w:lineRule="auto"/>
        <w:ind w:firstLine="480" w:firstLineChars="200"/>
        <w:rPr>
          <w:sz w:val="24"/>
        </w:rPr>
      </w:pPr>
      <w:r>
        <w:rPr>
          <w:sz w:val="24"/>
        </w:rPr>
        <w:t>根据HJ2034-2013《环境噪声与振动控制工程技术导则》中表A.2常见施工设备噪声源不同距离声压级，本项目集中典型施工设备的运行噪声见表3.7-2。</w:t>
      </w:r>
    </w:p>
    <w:p>
      <w:pPr>
        <w:spacing w:line="360" w:lineRule="auto"/>
        <w:jc w:val="center"/>
        <w:rPr>
          <w:b/>
          <w:sz w:val="24"/>
        </w:rPr>
      </w:pPr>
      <w:r>
        <w:rPr>
          <w:b/>
          <w:sz w:val="24"/>
        </w:rPr>
        <w:t>表3.7-2  几种典型施工机械设备噪声值</w:t>
      </w:r>
    </w:p>
    <w:tbl>
      <w:tblPr>
        <w:tblStyle w:val="24"/>
        <w:tblW w:w="9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410"/>
        <w:gridCol w:w="1701"/>
        <w:gridCol w:w="851"/>
        <w:gridCol w:w="1984"/>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00" w:type="dxa"/>
            <w:vAlign w:val="center"/>
          </w:tcPr>
          <w:p>
            <w:pPr>
              <w:pStyle w:val="32"/>
              <w:ind w:firstLine="0" w:firstLineChars="0"/>
              <w:jc w:val="center"/>
              <w:rPr>
                <w:sz w:val="21"/>
                <w:szCs w:val="21"/>
              </w:rPr>
            </w:pPr>
            <w:r>
              <w:rPr>
                <w:sz w:val="21"/>
                <w:szCs w:val="21"/>
              </w:rPr>
              <w:t>序号</w:t>
            </w:r>
          </w:p>
        </w:tc>
        <w:tc>
          <w:tcPr>
            <w:tcW w:w="2410" w:type="dxa"/>
            <w:vAlign w:val="center"/>
          </w:tcPr>
          <w:p>
            <w:pPr>
              <w:pStyle w:val="32"/>
              <w:ind w:firstLine="0" w:firstLineChars="0"/>
              <w:jc w:val="center"/>
              <w:rPr>
                <w:color w:val="000000"/>
                <w:sz w:val="21"/>
                <w:szCs w:val="21"/>
              </w:rPr>
            </w:pPr>
            <w:r>
              <w:rPr>
                <w:color w:val="000000"/>
                <w:sz w:val="21"/>
                <w:szCs w:val="21"/>
              </w:rPr>
              <w:t>施工设备名称</w:t>
            </w:r>
          </w:p>
        </w:tc>
        <w:tc>
          <w:tcPr>
            <w:tcW w:w="1701" w:type="dxa"/>
            <w:vAlign w:val="center"/>
          </w:tcPr>
          <w:p>
            <w:pPr>
              <w:pStyle w:val="32"/>
              <w:ind w:firstLine="0" w:firstLineChars="0"/>
              <w:jc w:val="center"/>
              <w:rPr>
                <w:color w:val="000000"/>
                <w:sz w:val="21"/>
                <w:szCs w:val="21"/>
              </w:rPr>
            </w:pPr>
            <w:r>
              <w:rPr>
                <w:color w:val="000000"/>
                <w:sz w:val="21"/>
                <w:szCs w:val="21"/>
              </w:rPr>
              <w:t>距声源5m</w:t>
            </w:r>
          </w:p>
        </w:tc>
        <w:tc>
          <w:tcPr>
            <w:tcW w:w="851" w:type="dxa"/>
            <w:vAlign w:val="center"/>
          </w:tcPr>
          <w:p>
            <w:pPr>
              <w:pStyle w:val="32"/>
              <w:ind w:firstLine="0" w:firstLineChars="0"/>
              <w:jc w:val="center"/>
              <w:rPr>
                <w:color w:val="000000"/>
                <w:sz w:val="21"/>
                <w:szCs w:val="21"/>
              </w:rPr>
            </w:pPr>
            <w:r>
              <w:rPr>
                <w:color w:val="000000"/>
                <w:sz w:val="21"/>
                <w:szCs w:val="21"/>
              </w:rPr>
              <w:t>序号</w:t>
            </w:r>
          </w:p>
        </w:tc>
        <w:tc>
          <w:tcPr>
            <w:tcW w:w="1984" w:type="dxa"/>
            <w:vAlign w:val="center"/>
          </w:tcPr>
          <w:p>
            <w:pPr>
              <w:pStyle w:val="32"/>
              <w:ind w:firstLine="0" w:firstLineChars="0"/>
              <w:jc w:val="center"/>
              <w:rPr>
                <w:color w:val="000000"/>
                <w:sz w:val="21"/>
                <w:szCs w:val="21"/>
              </w:rPr>
            </w:pPr>
            <w:r>
              <w:rPr>
                <w:color w:val="000000"/>
                <w:sz w:val="21"/>
                <w:szCs w:val="21"/>
              </w:rPr>
              <w:t>施工设备名称</w:t>
            </w:r>
          </w:p>
        </w:tc>
        <w:tc>
          <w:tcPr>
            <w:tcW w:w="1578" w:type="dxa"/>
            <w:vAlign w:val="center"/>
          </w:tcPr>
          <w:p>
            <w:pPr>
              <w:pStyle w:val="32"/>
              <w:ind w:firstLine="0" w:firstLineChars="0"/>
              <w:jc w:val="center"/>
              <w:rPr>
                <w:color w:val="000000"/>
                <w:sz w:val="21"/>
                <w:szCs w:val="21"/>
              </w:rPr>
            </w:pPr>
            <w:r>
              <w:rPr>
                <w:color w:val="000000"/>
                <w:sz w:val="21"/>
                <w:szCs w:val="21"/>
              </w:rPr>
              <w:t>距声源5m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0" w:type="dxa"/>
            <w:vAlign w:val="center"/>
          </w:tcPr>
          <w:p>
            <w:pPr>
              <w:jc w:val="center"/>
              <w:rPr>
                <w:szCs w:val="21"/>
              </w:rPr>
            </w:pPr>
            <w:r>
              <w:rPr>
                <w:szCs w:val="21"/>
              </w:rPr>
              <w:t>1</w:t>
            </w:r>
          </w:p>
        </w:tc>
        <w:tc>
          <w:tcPr>
            <w:tcW w:w="2410" w:type="dxa"/>
            <w:vAlign w:val="center"/>
          </w:tcPr>
          <w:p>
            <w:pPr>
              <w:jc w:val="center"/>
              <w:rPr>
                <w:color w:val="000000"/>
                <w:szCs w:val="21"/>
              </w:rPr>
            </w:pPr>
            <w:r>
              <w:rPr>
                <w:color w:val="000000"/>
                <w:szCs w:val="21"/>
              </w:rPr>
              <w:t>空压机</w:t>
            </w:r>
          </w:p>
        </w:tc>
        <w:tc>
          <w:tcPr>
            <w:tcW w:w="1701" w:type="dxa"/>
            <w:vAlign w:val="center"/>
          </w:tcPr>
          <w:p>
            <w:pPr>
              <w:jc w:val="center"/>
              <w:rPr>
                <w:color w:val="000000"/>
                <w:szCs w:val="21"/>
              </w:rPr>
            </w:pPr>
            <w:r>
              <w:rPr>
                <w:color w:val="000000"/>
                <w:szCs w:val="21"/>
              </w:rPr>
              <w:t>82-92</w:t>
            </w:r>
          </w:p>
        </w:tc>
        <w:tc>
          <w:tcPr>
            <w:tcW w:w="851" w:type="dxa"/>
            <w:vAlign w:val="center"/>
          </w:tcPr>
          <w:p>
            <w:pPr>
              <w:jc w:val="center"/>
              <w:rPr>
                <w:color w:val="000000"/>
                <w:szCs w:val="21"/>
              </w:rPr>
            </w:pPr>
            <w:r>
              <w:rPr>
                <w:color w:val="000000"/>
                <w:szCs w:val="21"/>
              </w:rPr>
              <w:t>5</w:t>
            </w:r>
          </w:p>
        </w:tc>
        <w:tc>
          <w:tcPr>
            <w:tcW w:w="1984" w:type="dxa"/>
            <w:vAlign w:val="center"/>
          </w:tcPr>
          <w:p>
            <w:pPr>
              <w:jc w:val="center"/>
              <w:rPr>
                <w:color w:val="000000"/>
                <w:szCs w:val="21"/>
              </w:rPr>
            </w:pPr>
            <w:r>
              <w:rPr>
                <w:color w:val="000000"/>
                <w:szCs w:val="21"/>
              </w:rPr>
              <w:t>混凝土振捣机</w:t>
            </w:r>
          </w:p>
        </w:tc>
        <w:tc>
          <w:tcPr>
            <w:tcW w:w="1578" w:type="dxa"/>
            <w:vAlign w:val="center"/>
          </w:tcPr>
          <w:p>
            <w:pPr>
              <w:jc w:val="center"/>
              <w:rPr>
                <w:color w:val="000000"/>
                <w:szCs w:val="21"/>
              </w:rPr>
            </w:pPr>
            <w:r>
              <w:rPr>
                <w:color w:val="000000"/>
                <w:szCs w:val="21"/>
              </w:rPr>
              <w:t>80-88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0" w:type="dxa"/>
            <w:vAlign w:val="center"/>
          </w:tcPr>
          <w:p>
            <w:pPr>
              <w:pStyle w:val="32"/>
              <w:ind w:firstLine="0" w:firstLineChars="0"/>
              <w:jc w:val="center"/>
              <w:rPr>
                <w:sz w:val="21"/>
                <w:szCs w:val="21"/>
              </w:rPr>
            </w:pPr>
            <w:r>
              <w:rPr>
                <w:sz w:val="21"/>
                <w:szCs w:val="21"/>
              </w:rPr>
              <w:t>2</w:t>
            </w:r>
          </w:p>
        </w:tc>
        <w:tc>
          <w:tcPr>
            <w:tcW w:w="2410" w:type="dxa"/>
            <w:vAlign w:val="center"/>
          </w:tcPr>
          <w:p>
            <w:pPr>
              <w:pStyle w:val="32"/>
              <w:ind w:firstLine="0" w:firstLineChars="0"/>
              <w:jc w:val="center"/>
              <w:rPr>
                <w:color w:val="000000"/>
                <w:sz w:val="21"/>
                <w:szCs w:val="21"/>
              </w:rPr>
            </w:pPr>
            <w:r>
              <w:rPr>
                <w:color w:val="000000"/>
                <w:sz w:val="21"/>
                <w:szCs w:val="21"/>
              </w:rPr>
              <w:t>压路机</w:t>
            </w:r>
          </w:p>
        </w:tc>
        <w:tc>
          <w:tcPr>
            <w:tcW w:w="1701" w:type="dxa"/>
            <w:vAlign w:val="center"/>
          </w:tcPr>
          <w:p>
            <w:pPr>
              <w:pStyle w:val="32"/>
              <w:ind w:firstLine="0" w:firstLineChars="0"/>
              <w:jc w:val="center"/>
              <w:rPr>
                <w:color w:val="000000"/>
                <w:sz w:val="21"/>
                <w:szCs w:val="21"/>
              </w:rPr>
            </w:pPr>
            <w:r>
              <w:rPr>
                <w:color w:val="000000"/>
                <w:sz w:val="21"/>
                <w:szCs w:val="21"/>
              </w:rPr>
              <w:t>80-90</w:t>
            </w:r>
          </w:p>
        </w:tc>
        <w:tc>
          <w:tcPr>
            <w:tcW w:w="851" w:type="dxa"/>
            <w:vAlign w:val="center"/>
          </w:tcPr>
          <w:p>
            <w:pPr>
              <w:pStyle w:val="32"/>
              <w:ind w:firstLine="0" w:firstLineChars="0"/>
              <w:jc w:val="center"/>
              <w:rPr>
                <w:color w:val="000000"/>
                <w:sz w:val="21"/>
                <w:szCs w:val="21"/>
              </w:rPr>
            </w:pPr>
            <w:r>
              <w:rPr>
                <w:color w:val="000000"/>
                <w:sz w:val="21"/>
                <w:szCs w:val="21"/>
              </w:rPr>
              <w:t>6</w:t>
            </w:r>
          </w:p>
        </w:tc>
        <w:tc>
          <w:tcPr>
            <w:tcW w:w="1984" w:type="dxa"/>
            <w:vAlign w:val="center"/>
          </w:tcPr>
          <w:p>
            <w:pPr>
              <w:pStyle w:val="32"/>
              <w:ind w:firstLine="0" w:firstLineChars="0"/>
              <w:jc w:val="center"/>
              <w:rPr>
                <w:color w:val="000000"/>
                <w:sz w:val="21"/>
                <w:szCs w:val="21"/>
              </w:rPr>
            </w:pPr>
            <w:r>
              <w:rPr>
                <w:color w:val="000000"/>
                <w:sz w:val="21"/>
                <w:szCs w:val="21"/>
              </w:rPr>
              <w:t>卡车（重型）</w:t>
            </w:r>
          </w:p>
        </w:tc>
        <w:tc>
          <w:tcPr>
            <w:tcW w:w="1578" w:type="dxa"/>
            <w:vAlign w:val="center"/>
          </w:tcPr>
          <w:p>
            <w:pPr>
              <w:pStyle w:val="32"/>
              <w:ind w:firstLine="0" w:firstLineChars="0"/>
              <w:jc w:val="center"/>
              <w:rPr>
                <w:color w:val="000000"/>
                <w:sz w:val="21"/>
                <w:szCs w:val="21"/>
              </w:rPr>
            </w:pPr>
            <w:r>
              <w:rPr>
                <w:color w:val="000000"/>
                <w:sz w:val="21"/>
                <w:szCs w:val="21"/>
              </w:rPr>
              <w:t>82-90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0" w:type="dxa"/>
            <w:vAlign w:val="center"/>
          </w:tcPr>
          <w:p>
            <w:pPr>
              <w:pStyle w:val="32"/>
              <w:ind w:firstLine="0" w:firstLineChars="0"/>
              <w:jc w:val="center"/>
              <w:rPr>
                <w:sz w:val="21"/>
                <w:szCs w:val="21"/>
              </w:rPr>
            </w:pPr>
            <w:r>
              <w:rPr>
                <w:sz w:val="21"/>
                <w:szCs w:val="21"/>
              </w:rPr>
              <w:t>3</w:t>
            </w:r>
          </w:p>
        </w:tc>
        <w:tc>
          <w:tcPr>
            <w:tcW w:w="2410" w:type="dxa"/>
            <w:vAlign w:val="center"/>
          </w:tcPr>
          <w:p>
            <w:pPr>
              <w:pStyle w:val="32"/>
              <w:ind w:firstLine="0" w:firstLineChars="0"/>
              <w:jc w:val="center"/>
              <w:rPr>
                <w:color w:val="000000"/>
                <w:sz w:val="21"/>
                <w:szCs w:val="21"/>
              </w:rPr>
            </w:pPr>
            <w:r>
              <w:rPr>
                <w:color w:val="000000"/>
                <w:sz w:val="21"/>
                <w:szCs w:val="21"/>
              </w:rPr>
              <w:t>混凝土输送泵机</w:t>
            </w:r>
          </w:p>
        </w:tc>
        <w:tc>
          <w:tcPr>
            <w:tcW w:w="1701" w:type="dxa"/>
            <w:vAlign w:val="center"/>
          </w:tcPr>
          <w:p>
            <w:pPr>
              <w:pStyle w:val="32"/>
              <w:ind w:firstLine="0" w:firstLineChars="0"/>
              <w:jc w:val="center"/>
              <w:rPr>
                <w:color w:val="000000"/>
                <w:sz w:val="21"/>
                <w:szCs w:val="21"/>
              </w:rPr>
            </w:pPr>
            <w:r>
              <w:rPr>
                <w:color w:val="000000"/>
                <w:sz w:val="21"/>
                <w:szCs w:val="21"/>
              </w:rPr>
              <w:t>88-95</w:t>
            </w:r>
          </w:p>
        </w:tc>
        <w:tc>
          <w:tcPr>
            <w:tcW w:w="851" w:type="dxa"/>
            <w:vAlign w:val="center"/>
          </w:tcPr>
          <w:p>
            <w:pPr>
              <w:pStyle w:val="32"/>
              <w:ind w:firstLine="0" w:firstLineChars="0"/>
              <w:jc w:val="center"/>
              <w:rPr>
                <w:color w:val="000000"/>
                <w:sz w:val="21"/>
                <w:szCs w:val="21"/>
              </w:rPr>
            </w:pPr>
            <w:r>
              <w:rPr>
                <w:color w:val="000000"/>
                <w:sz w:val="21"/>
                <w:szCs w:val="21"/>
              </w:rPr>
              <w:t>7</w:t>
            </w:r>
          </w:p>
        </w:tc>
        <w:tc>
          <w:tcPr>
            <w:tcW w:w="1984" w:type="dxa"/>
            <w:vAlign w:val="center"/>
          </w:tcPr>
          <w:p>
            <w:pPr>
              <w:pStyle w:val="32"/>
              <w:ind w:firstLine="0" w:firstLineChars="0"/>
              <w:jc w:val="center"/>
              <w:rPr>
                <w:color w:val="000000"/>
                <w:sz w:val="21"/>
                <w:szCs w:val="21"/>
              </w:rPr>
            </w:pPr>
            <w:r>
              <w:rPr>
                <w:color w:val="000000"/>
                <w:sz w:val="21"/>
                <w:szCs w:val="21"/>
              </w:rPr>
              <w:t>液压挖掘机</w:t>
            </w:r>
          </w:p>
        </w:tc>
        <w:tc>
          <w:tcPr>
            <w:tcW w:w="1578" w:type="dxa"/>
            <w:vAlign w:val="center"/>
          </w:tcPr>
          <w:p>
            <w:pPr>
              <w:pStyle w:val="32"/>
              <w:ind w:firstLine="0" w:firstLineChars="0"/>
              <w:jc w:val="center"/>
              <w:rPr>
                <w:color w:val="000000"/>
                <w:sz w:val="21"/>
                <w:szCs w:val="21"/>
              </w:rPr>
            </w:pPr>
            <w:r>
              <w:rPr>
                <w:color w:val="000000"/>
                <w:sz w:val="21"/>
                <w:szCs w:val="21"/>
              </w:rPr>
              <w:t>82-90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0" w:type="dxa"/>
            <w:vAlign w:val="center"/>
          </w:tcPr>
          <w:p>
            <w:pPr>
              <w:pStyle w:val="32"/>
              <w:ind w:firstLine="0" w:firstLineChars="0"/>
              <w:jc w:val="center"/>
              <w:rPr>
                <w:sz w:val="21"/>
                <w:szCs w:val="21"/>
              </w:rPr>
            </w:pPr>
            <w:r>
              <w:rPr>
                <w:sz w:val="21"/>
                <w:szCs w:val="21"/>
              </w:rPr>
              <w:t>4</w:t>
            </w:r>
          </w:p>
        </w:tc>
        <w:tc>
          <w:tcPr>
            <w:tcW w:w="2410" w:type="dxa"/>
            <w:vAlign w:val="center"/>
          </w:tcPr>
          <w:p>
            <w:pPr>
              <w:pStyle w:val="32"/>
              <w:ind w:firstLine="0" w:firstLineChars="0"/>
              <w:jc w:val="center"/>
              <w:rPr>
                <w:color w:val="000000"/>
                <w:sz w:val="21"/>
                <w:szCs w:val="21"/>
              </w:rPr>
            </w:pPr>
            <w:r>
              <w:rPr>
                <w:color w:val="000000"/>
                <w:sz w:val="21"/>
                <w:szCs w:val="21"/>
              </w:rPr>
              <w:t>振动夯锤</w:t>
            </w:r>
          </w:p>
        </w:tc>
        <w:tc>
          <w:tcPr>
            <w:tcW w:w="1701" w:type="dxa"/>
            <w:vAlign w:val="center"/>
          </w:tcPr>
          <w:p>
            <w:pPr>
              <w:pStyle w:val="32"/>
              <w:ind w:firstLine="0" w:firstLineChars="0"/>
              <w:jc w:val="center"/>
              <w:rPr>
                <w:color w:val="000000"/>
                <w:sz w:val="21"/>
                <w:szCs w:val="21"/>
              </w:rPr>
            </w:pPr>
            <w:r>
              <w:rPr>
                <w:color w:val="000000"/>
                <w:sz w:val="21"/>
                <w:szCs w:val="21"/>
              </w:rPr>
              <w:t>92-100</w:t>
            </w:r>
          </w:p>
        </w:tc>
        <w:tc>
          <w:tcPr>
            <w:tcW w:w="851" w:type="dxa"/>
            <w:vAlign w:val="center"/>
          </w:tcPr>
          <w:p>
            <w:pPr>
              <w:pStyle w:val="32"/>
              <w:ind w:firstLine="0" w:firstLineChars="0"/>
              <w:jc w:val="center"/>
              <w:rPr>
                <w:color w:val="000000"/>
                <w:sz w:val="21"/>
                <w:szCs w:val="21"/>
              </w:rPr>
            </w:pPr>
            <w:r>
              <w:rPr>
                <w:color w:val="000000"/>
                <w:sz w:val="21"/>
                <w:szCs w:val="21"/>
              </w:rPr>
              <w:t>8</w:t>
            </w:r>
          </w:p>
        </w:tc>
        <w:tc>
          <w:tcPr>
            <w:tcW w:w="1984" w:type="dxa"/>
            <w:vAlign w:val="center"/>
          </w:tcPr>
          <w:p>
            <w:pPr>
              <w:pStyle w:val="32"/>
              <w:ind w:firstLine="0" w:firstLineChars="0"/>
              <w:jc w:val="center"/>
              <w:rPr>
                <w:color w:val="000000"/>
                <w:sz w:val="21"/>
                <w:szCs w:val="21"/>
              </w:rPr>
            </w:pPr>
            <w:r>
              <w:rPr>
                <w:color w:val="000000"/>
                <w:sz w:val="21"/>
                <w:szCs w:val="21"/>
              </w:rPr>
              <w:t>推土机</w:t>
            </w:r>
          </w:p>
        </w:tc>
        <w:tc>
          <w:tcPr>
            <w:tcW w:w="1578" w:type="dxa"/>
            <w:vAlign w:val="center"/>
          </w:tcPr>
          <w:p>
            <w:pPr>
              <w:pStyle w:val="32"/>
              <w:ind w:firstLine="0" w:firstLineChars="0"/>
              <w:jc w:val="center"/>
              <w:rPr>
                <w:color w:val="000000"/>
                <w:sz w:val="21"/>
                <w:szCs w:val="21"/>
              </w:rPr>
            </w:pPr>
            <w:r>
              <w:rPr>
                <w:color w:val="000000"/>
                <w:sz w:val="21"/>
                <w:szCs w:val="21"/>
              </w:rPr>
              <w:t>83-88</w:t>
            </w:r>
          </w:p>
        </w:tc>
      </w:tr>
    </w:tbl>
    <w:p>
      <w:pPr>
        <w:spacing w:line="360" w:lineRule="auto"/>
        <w:ind w:firstLine="480"/>
        <w:rPr>
          <w:sz w:val="24"/>
          <w:szCs w:val="24"/>
        </w:rPr>
      </w:pPr>
      <w:r>
        <w:rPr>
          <w:sz w:val="24"/>
          <w:szCs w:val="24"/>
        </w:rPr>
        <w:t>在多台机械设备同时作业时，各台设备产生的噪声会产生叠加。根据类比调查，叠加后的噪声增值约3～8dB，一般不会超过10dB。</w:t>
      </w:r>
    </w:p>
    <w:p>
      <w:pPr>
        <w:spacing w:line="360" w:lineRule="auto"/>
        <w:ind w:firstLine="480" w:firstLineChars="200"/>
        <w:rPr>
          <w:sz w:val="24"/>
        </w:rPr>
      </w:pPr>
      <w:r>
        <w:rPr>
          <w:sz w:val="24"/>
        </w:rPr>
        <w:t>本项目施工期噪声具有阶段性、临时性和大多不固定性，对项目区周边居民点敏感目标的声环境将产生一定的不利影响。</w:t>
      </w:r>
    </w:p>
    <w:p>
      <w:pPr>
        <w:spacing w:line="360" w:lineRule="auto"/>
        <w:outlineLvl w:val="2"/>
        <w:rPr>
          <w:b/>
          <w:sz w:val="24"/>
          <w:szCs w:val="24"/>
        </w:rPr>
      </w:pPr>
      <w:bookmarkStart w:id="169" w:name="_Toc472321505"/>
      <w:bookmarkStart w:id="170" w:name="_Toc486070553"/>
      <w:r>
        <w:rPr>
          <w:b/>
          <w:sz w:val="24"/>
          <w:szCs w:val="24"/>
        </w:rPr>
        <w:t>3.7.4施工期固体废物污染源及源强分析</w:t>
      </w:r>
      <w:bookmarkEnd w:id="169"/>
      <w:bookmarkEnd w:id="170"/>
    </w:p>
    <w:p>
      <w:pPr>
        <w:spacing w:line="360" w:lineRule="auto"/>
        <w:ind w:firstLine="480" w:firstLineChars="200"/>
        <w:rPr>
          <w:sz w:val="24"/>
        </w:rPr>
      </w:pPr>
      <w:r>
        <w:rPr>
          <w:sz w:val="24"/>
        </w:rPr>
        <w:t>施工期固体废物主要为建筑垃圾、弃土方和施工人员的生活垃圾。</w:t>
      </w:r>
    </w:p>
    <w:p>
      <w:pPr>
        <w:spacing w:line="360" w:lineRule="auto"/>
        <w:ind w:firstLine="480" w:firstLineChars="200"/>
        <w:rPr>
          <w:sz w:val="24"/>
        </w:rPr>
      </w:pPr>
      <w:r>
        <w:rPr>
          <w:sz w:val="24"/>
        </w:rPr>
        <w:t>（1）建筑垃圾</w:t>
      </w:r>
    </w:p>
    <w:p>
      <w:pPr>
        <w:spacing w:line="360" w:lineRule="auto"/>
        <w:ind w:firstLine="480" w:firstLineChars="200"/>
        <w:rPr>
          <w:sz w:val="24"/>
        </w:rPr>
      </w:pPr>
      <w:r>
        <w:rPr>
          <w:sz w:val="24"/>
        </w:rPr>
        <w:t>根据福建省建筑工程预算定额（2002版）技术交底资料，建筑垃圾以建筑面积的5cm厚度计算，本项目建筑面积</w:t>
      </w:r>
      <w:r>
        <w:rPr>
          <w:rFonts w:hint="eastAsia"/>
          <w:sz w:val="24"/>
        </w:rPr>
        <w:t>24725</w:t>
      </w:r>
      <w:r>
        <w:rPr>
          <w:sz w:val="24"/>
        </w:rPr>
        <w:t>m</w:t>
      </w:r>
      <w:r>
        <w:rPr>
          <w:rFonts w:hint="eastAsia"/>
          <w:sz w:val="24"/>
          <w:vertAlign w:val="superscript"/>
        </w:rPr>
        <w:t>2</w:t>
      </w:r>
      <w:r>
        <w:rPr>
          <w:sz w:val="24"/>
        </w:rPr>
        <w:t>，建筑垃圾体积</w:t>
      </w:r>
      <w:r>
        <w:rPr>
          <w:rFonts w:hint="eastAsia"/>
          <w:sz w:val="24"/>
        </w:rPr>
        <w:t>1236.25</w:t>
      </w:r>
      <w:r>
        <w:rPr>
          <w:sz w:val="24"/>
        </w:rPr>
        <w:t>m</w:t>
      </w:r>
      <w:r>
        <w:rPr>
          <w:sz w:val="24"/>
          <w:vertAlign w:val="superscript"/>
        </w:rPr>
        <w:t>3</w:t>
      </w:r>
      <w:r>
        <w:rPr>
          <w:sz w:val="24"/>
        </w:rPr>
        <w:t>，考虑到建筑垃圾为松散状，密度按1.5t/m</w:t>
      </w:r>
      <w:r>
        <w:rPr>
          <w:sz w:val="24"/>
          <w:vertAlign w:val="superscript"/>
        </w:rPr>
        <w:t>3</w:t>
      </w:r>
      <w:r>
        <w:rPr>
          <w:sz w:val="24"/>
        </w:rPr>
        <w:t>估算，推算建筑垃圾总量为</w:t>
      </w:r>
      <w:r>
        <w:rPr>
          <w:rFonts w:hint="eastAsia"/>
          <w:sz w:val="24"/>
        </w:rPr>
        <w:t>1854.38</w:t>
      </w:r>
      <w:r>
        <w:rPr>
          <w:sz w:val="24"/>
        </w:rPr>
        <w:t>t；主要是丢弃的废钢筋、混凝土废碴、废木料、废砖头、废瓷砖（片）以及一些废弃的包装材料如废油漆桶、水泥袋、塑料袋、包装纸箱等。</w:t>
      </w:r>
    </w:p>
    <w:p>
      <w:pPr>
        <w:spacing w:line="360" w:lineRule="auto"/>
        <w:ind w:firstLine="480" w:firstLineChars="200"/>
        <w:rPr>
          <w:sz w:val="24"/>
        </w:rPr>
      </w:pPr>
      <w:r>
        <w:rPr>
          <w:sz w:val="24"/>
        </w:rPr>
        <w:t>（2）弃土方</w:t>
      </w:r>
    </w:p>
    <w:p>
      <w:pPr>
        <w:spacing w:line="360" w:lineRule="auto"/>
        <w:ind w:firstLine="480" w:firstLineChars="200"/>
        <w:rPr>
          <w:sz w:val="24"/>
        </w:rPr>
      </w:pPr>
      <w:r>
        <w:rPr>
          <w:sz w:val="24"/>
        </w:rPr>
        <w:t>本项目共产生弃方</w:t>
      </w:r>
      <w:r>
        <w:rPr>
          <w:rFonts w:hint="eastAsia"/>
          <w:sz w:val="24"/>
        </w:rPr>
        <w:t>24194</w:t>
      </w:r>
      <w:r>
        <w:rPr>
          <w:sz w:val="24"/>
        </w:rPr>
        <w:t>m</w:t>
      </w:r>
      <w:r>
        <w:rPr>
          <w:sz w:val="24"/>
          <w:vertAlign w:val="superscript"/>
        </w:rPr>
        <w:t>3</w:t>
      </w:r>
      <w:r>
        <w:rPr>
          <w:sz w:val="24"/>
        </w:rPr>
        <w:t>，</w:t>
      </w:r>
      <w:r>
        <w:rPr>
          <w:rFonts w:hint="eastAsia"/>
          <w:sz w:val="24"/>
        </w:rPr>
        <w:t>做好土石方的堆存管理，提高土石方综合利用，</w:t>
      </w:r>
      <w:r>
        <w:rPr>
          <w:sz w:val="24"/>
        </w:rPr>
        <w:t>其中弃方在工程施工阶段建设单位严格按照市容管理局审批的受纳点弃置。</w:t>
      </w:r>
    </w:p>
    <w:p>
      <w:pPr>
        <w:spacing w:line="360" w:lineRule="auto"/>
        <w:ind w:firstLine="480" w:firstLineChars="200"/>
        <w:rPr>
          <w:sz w:val="24"/>
        </w:rPr>
      </w:pPr>
      <w:r>
        <w:rPr>
          <w:sz w:val="24"/>
        </w:rPr>
        <w:t>（3）生活垃圾</w:t>
      </w:r>
    </w:p>
    <w:p>
      <w:pPr>
        <w:spacing w:line="360" w:lineRule="auto"/>
        <w:ind w:firstLine="480" w:firstLineChars="200"/>
        <w:rPr>
          <w:sz w:val="24"/>
        </w:rPr>
      </w:pPr>
      <w:r>
        <w:rPr>
          <w:sz w:val="24"/>
        </w:rPr>
        <w:t>本项目</w:t>
      </w:r>
      <w:r>
        <w:rPr>
          <w:sz w:val="24"/>
          <w:szCs w:val="24"/>
        </w:rPr>
        <w:t>按施工高峰期人数</w:t>
      </w:r>
      <w:r>
        <w:rPr>
          <w:rFonts w:hint="eastAsia"/>
          <w:sz w:val="24"/>
          <w:szCs w:val="24"/>
        </w:rPr>
        <w:t>50</w:t>
      </w:r>
      <w:r>
        <w:rPr>
          <w:sz w:val="24"/>
          <w:szCs w:val="24"/>
        </w:rPr>
        <w:t>人，施工人员均不在施工现场食宿，根据类比数据，每人每天排放生活垃圾按0.5kg计算，则生活垃圾产生量为</w:t>
      </w:r>
      <w:r>
        <w:rPr>
          <w:rFonts w:hint="eastAsia"/>
          <w:sz w:val="24"/>
          <w:szCs w:val="24"/>
        </w:rPr>
        <w:t>25</w:t>
      </w:r>
      <w:r>
        <w:rPr>
          <w:sz w:val="24"/>
          <w:szCs w:val="24"/>
        </w:rPr>
        <w:t>kg/d。施工期大约为</w:t>
      </w:r>
      <w:r>
        <w:rPr>
          <w:rFonts w:hint="eastAsia"/>
          <w:sz w:val="24"/>
          <w:szCs w:val="24"/>
        </w:rPr>
        <w:t>16个月</w:t>
      </w:r>
      <w:r>
        <w:rPr>
          <w:sz w:val="24"/>
          <w:szCs w:val="24"/>
        </w:rPr>
        <w:t>，则施工期产生生活垃圾约</w:t>
      </w:r>
      <w:r>
        <w:rPr>
          <w:rFonts w:hint="eastAsia"/>
          <w:sz w:val="24"/>
          <w:szCs w:val="24"/>
        </w:rPr>
        <w:t>12</w:t>
      </w:r>
      <w:r>
        <w:rPr>
          <w:sz w:val="24"/>
          <w:szCs w:val="24"/>
        </w:rPr>
        <w:t>t。</w:t>
      </w:r>
    </w:p>
    <w:p>
      <w:pPr>
        <w:spacing w:line="360" w:lineRule="auto"/>
        <w:outlineLvl w:val="2"/>
        <w:rPr>
          <w:b/>
          <w:sz w:val="24"/>
          <w:szCs w:val="24"/>
        </w:rPr>
      </w:pPr>
      <w:bookmarkStart w:id="171" w:name="_Toc472321506"/>
      <w:bookmarkStart w:id="172" w:name="_Toc486070554"/>
      <w:r>
        <w:rPr>
          <w:b/>
          <w:sz w:val="24"/>
          <w:szCs w:val="24"/>
        </w:rPr>
        <w:t>3.7.5</w:t>
      </w:r>
      <w:bookmarkEnd w:id="171"/>
      <w:bookmarkEnd w:id="172"/>
      <w:r>
        <w:rPr>
          <w:b/>
          <w:sz w:val="24"/>
        </w:rPr>
        <w:t>生态环境影响</w:t>
      </w:r>
    </w:p>
    <w:p>
      <w:pPr>
        <w:spacing w:line="360" w:lineRule="auto"/>
        <w:ind w:firstLine="480" w:firstLineChars="200"/>
        <w:rPr>
          <w:sz w:val="24"/>
        </w:rPr>
      </w:pPr>
      <w:bookmarkStart w:id="173" w:name="_Toc486070555"/>
      <w:r>
        <w:rPr>
          <w:rFonts w:hint="eastAsia"/>
          <w:sz w:val="24"/>
        </w:rPr>
        <w:t>项目用地现状主要是</w:t>
      </w:r>
      <w:r>
        <w:rPr>
          <w:sz w:val="24"/>
        </w:rPr>
        <w:t>菜地、空地、池塘</w:t>
      </w:r>
      <w:r>
        <w:rPr>
          <w:rFonts w:hint="eastAsia"/>
          <w:sz w:val="24"/>
        </w:rPr>
        <w:t>，其中池塘属于小型生态系统。项目施工时将对池塘进行填埋，将改变原有的生态环境；项目施工还会对地表植被和鱼类等生物产生影响，减少施工区生物量；</w:t>
      </w:r>
      <w:r>
        <w:rPr>
          <w:sz w:val="24"/>
        </w:rPr>
        <w:t>项目施工还会降低水土保持能力</w:t>
      </w:r>
      <w:r>
        <w:rPr>
          <w:rFonts w:hint="eastAsia"/>
          <w:sz w:val="24"/>
        </w:rPr>
        <w:t>，</w:t>
      </w:r>
      <w:r>
        <w:rPr>
          <w:sz w:val="24"/>
        </w:rPr>
        <w:t>造成一定水土流失</w:t>
      </w:r>
      <w:r>
        <w:rPr>
          <w:rFonts w:hint="eastAsia"/>
          <w:sz w:val="24"/>
        </w:rPr>
        <w:t>，</w:t>
      </w:r>
      <w:r>
        <w:rPr>
          <w:sz w:val="24"/>
        </w:rPr>
        <w:t>各施工区域可能产生的水土流失情况有：</w:t>
      </w:r>
    </w:p>
    <w:p>
      <w:pPr>
        <w:spacing w:line="360" w:lineRule="auto"/>
        <w:ind w:firstLine="480" w:firstLineChars="200"/>
        <w:rPr>
          <w:sz w:val="24"/>
        </w:rPr>
      </w:pPr>
      <w:r>
        <w:rPr>
          <w:sz w:val="24"/>
        </w:rPr>
        <w:t>主体工程区：工程建设过程中场地平整、基坑开挖、土石方回填过程等，扰动原有地表，使其水土保持功能降低或完全丧失，水土流失主要为水力侵蚀，呈面状分布。</w:t>
      </w:r>
    </w:p>
    <w:p>
      <w:pPr>
        <w:spacing w:line="360" w:lineRule="auto"/>
        <w:ind w:firstLine="480" w:firstLineChars="200"/>
        <w:rPr>
          <w:sz w:val="24"/>
        </w:rPr>
      </w:pPr>
      <w:r>
        <w:rPr>
          <w:sz w:val="24"/>
        </w:rPr>
        <w:t>生产生活区：场地平整，临时房设施建设、拆除，产生地表扰动，水土流失呈面状分布。办公生活区布设在红线内，水土流失可控制在项目建设区内。</w:t>
      </w:r>
    </w:p>
    <w:p>
      <w:pPr>
        <w:spacing w:line="360" w:lineRule="auto"/>
        <w:ind w:firstLine="480" w:firstLineChars="200"/>
        <w:rPr>
          <w:sz w:val="24"/>
        </w:rPr>
      </w:pPr>
      <w:r>
        <w:rPr>
          <w:sz w:val="24"/>
        </w:rPr>
        <w:t>施工场地区：建材临时堆放，施工机具碾压，增加了原地表水土流失量，尤其是堆放的砂石料和松散土方，若遇暴雨天气极易造成水土流失。施工场地区位于项目用地红线内，水土流失可控制在项目建设区内。</w:t>
      </w:r>
    </w:p>
    <w:p>
      <w:pPr>
        <w:pStyle w:val="73"/>
        <w:rPr>
          <w:rFonts w:eastAsia="宋体"/>
        </w:rPr>
      </w:pPr>
      <w:r>
        <w:rPr>
          <w:rFonts w:eastAsia="宋体"/>
        </w:rPr>
        <w:t>3.8运营期污染源分析</w:t>
      </w:r>
      <w:bookmarkEnd w:id="173"/>
    </w:p>
    <w:p>
      <w:pPr>
        <w:spacing w:line="360" w:lineRule="auto"/>
        <w:jc w:val="left"/>
        <w:outlineLvl w:val="3"/>
        <w:rPr>
          <w:b/>
          <w:sz w:val="24"/>
          <w:szCs w:val="24"/>
        </w:rPr>
      </w:pPr>
      <w:r>
        <w:rPr>
          <w:b/>
          <w:sz w:val="24"/>
          <w:szCs w:val="24"/>
        </w:rPr>
        <w:t>3.8.1</w:t>
      </w:r>
      <w:r>
        <w:rPr>
          <w:rFonts w:hint="eastAsia"/>
          <w:b/>
          <w:sz w:val="24"/>
          <w:szCs w:val="24"/>
        </w:rPr>
        <w:t>运营</w:t>
      </w:r>
      <w:r>
        <w:rPr>
          <w:b/>
          <w:sz w:val="24"/>
          <w:szCs w:val="24"/>
        </w:rPr>
        <w:t>期废水污染源及源强分析</w:t>
      </w:r>
    </w:p>
    <w:p>
      <w:pPr>
        <w:spacing w:line="360" w:lineRule="auto"/>
        <w:ind w:firstLine="480" w:firstLineChars="200"/>
        <w:rPr>
          <w:sz w:val="24"/>
        </w:rPr>
      </w:pPr>
      <w:r>
        <w:rPr>
          <w:sz w:val="24"/>
        </w:rPr>
        <w:t>项目运营期产生废水主要是在校师生生活污水、食堂废水以及实验室废水等</w:t>
      </w:r>
      <w:r>
        <w:rPr>
          <w:rFonts w:hint="eastAsia"/>
          <w:sz w:val="24"/>
        </w:rPr>
        <w:t>。</w:t>
      </w:r>
      <w:r>
        <w:rPr>
          <w:sz w:val="24"/>
        </w:rPr>
        <w:t>本项目废水排放总量为</w:t>
      </w:r>
      <w:r>
        <w:rPr>
          <w:rFonts w:hint="eastAsia"/>
          <w:sz w:val="24"/>
          <w:szCs w:val="24"/>
        </w:rPr>
        <w:t>252.29</w:t>
      </w:r>
      <w:r>
        <w:rPr>
          <w:rFonts w:hint="eastAsia"/>
          <w:sz w:val="24"/>
        </w:rPr>
        <w:t>t</w:t>
      </w:r>
      <w:r>
        <w:rPr>
          <w:sz w:val="24"/>
          <w:szCs w:val="24"/>
        </w:rPr>
        <w:t>/d（</w:t>
      </w:r>
      <w:r>
        <w:rPr>
          <w:rFonts w:hint="eastAsia"/>
          <w:sz w:val="24"/>
          <w:szCs w:val="24"/>
        </w:rPr>
        <w:t>50457</w:t>
      </w:r>
      <w:r>
        <w:rPr>
          <w:rFonts w:hint="eastAsia"/>
          <w:sz w:val="24"/>
        </w:rPr>
        <w:t>t</w:t>
      </w:r>
      <w:r>
        <w:rPr>
          <w:sz w:val="24"/>
          <w:szCs w:val="24"/>
        </w:rPr>
        <w:t>/a）</w:t>
      </w:r>
      <w:r>
        <w:rPr>
          <w:sz w:val="24"/>
        </w:rPr>
        <w:t>，其中生活污水</w:t>
      </w:r>
      <w:r>
        <w:rPr>
          <w:rFonts w:hint="eastAsia"/>
          <w:sz w:val="24"/>
        </w:rPr>
        <w:t>210m</w:t>
      </w:r>
      <w:r>
        <w:rPr>
          <w:rFonts w:hint="eastAsia"/>
          <w:sz w:val="24"/>
          <w:vertAlign w:val="superscript"/>
        </w:rPr>
        <w:t>3</w:t>
      </w:r>
      <w:r>
        <w:rPr>
          <w:sz w:val="24"/>
        </w:rPr>
        <w:t>/d（</w:t>
      </w:r>
      <w:r>
        <w:rPr>
          <w:rFonts w:hint="eastAsia"/>
          <w:sz w:val="24"/>
        </w:rPr>
        <w:t>42000m</w:t>
      </w:r>
      <w:r>
        <w:rPr>
          <w:rFonts w:hint="eastAsia"/>
          <w:sz w:val="24"/>
          <w:vertAlign w:val="superscript"/>
        </w:rPr>
        <w:t>3</w:t>
      </w:r>
      <w:r>
        <w:rPr>
          <w:sz w:val="24"/>
        </w:rPr>
        <w:t>/a）、食堂废水</w:t>
      </w:r>
      <w:r>
        <w:rPr>
          <w:rFonts w:hint="eastAsia"/>
          <w:sz w:val="24"/>
        </w:rPr>
        <w:t>42m</w:t>
      </w:r>
      <w:r>
        <w:rPr>
          <w:rFonts w:hint="eastAsia"/>
          <w:sz w:val="24"/>
          <w:vertAlign w:val="superscript"/>
        </w:rPr>
        <w:t>3</w:t>
      </w:r>
      <w:r>
        <w:rPr>
          <w:sz w:val="24"/>
        </w:rPr>
        <w:t>/d（</w:t>
      </w:r>
      <w:r>
        <w:rPr>
          <w:rFonts w:hint="eastAsia"/>
          <w:sz w:val="24"/>
        </w:rPr>
        <w:t>8400m</w:t>
      </w:r>
      <w:r>
        <w:rPr>
          <w:rFonts w:hint="eastAsia"/>
          <w:sz w:val="24"/>
          <w:vertAlign w:val="superscript"/>
        </w:rPr>
        <w:t>3</w:t>
      </w:r>
      <w:r>
        <w:rPr>
          <w:sz w:val="24"/>
        </w:rPr>
        <w:t>/a）、实验室废水</w:t>
      </w:r>
      <w:r>
        <w:rPr>
          <w:rFonts w:hint="eastAsia"/>
          <w:sz w:val="24"/>
        </w:rPr>
        <w:t>2.83m</w:t>
      </w:r>
      <w:r>
        <w:rPr>
          <w:rFonts w:hint="eastAsia"/>
          <w:sz w:val="24"/>
          <w:vertAlign w:val="superscript"/>
        </w:rPr>
        <w:t>3</w:t>
      </w:r>
      <w:r>
        <w:rPr>
          <w:sz w:val="24"/>
        </w:rPr>
        <w:t>/d（</w:t>
      </w:r>
      <w:r>
        <w:rPr>
          <w:rFonts w:hint="eastAsia"/>
          <w:sz w:val="24"/>
        </w:rPr>
        <w:t>566.67m</w:t>
      </w:r>
      <w:r>
        <w:rPr>
          <w:rFonts w:hint="eastAsia"/>
          <w:sz w:val="24"/>
          <w:vertAlign w:val="superscript"/>
        </w:rPr>
        <w:t>3</w:t>
      </w:r>
      <w:r>
        <w:rPr>
          <w:sz w:val="24"/>
        </w:rPr>
        <w:t>/a）。</w:t>
      </w:r>
    </w:p>
    <w:p>
      <w:pPr>
        <w:pStyle w:val="6"/>
        <w:spacing w:line="520" w:lineRule="exact"/>
        <w:ind w:firstLine="480" w:firstLineChars="200"/>
        <w:rPr>
          <w:sz w:val="24"/>
        </w:rPr>
      </w:pPr>
      <w:r>
        <w:rPr>
          <w:sz w:val="24"/>
        </w:rPr>
        <w:t>（1）实验废水</w:t>
      </w:r>
    </w:p>
    <w:p>
      <w:pPr>
        <w:spacing w:line="360" w:lineRule="auto"/>
        <w:ind w:firstLine="480" w:firstLineChars="200"/>
        <w:rPr>
          <w:sz w:val="24"/>
        </w:rPr>
      </w:pPr>
      <w:r>
        <w:rPr>
          <w:rFonts w:hint="eastAsia"/>
          <w:sz w:val="24"/>
        </w:rPr>
        <w:t>项目实验室废水主要为中学化学实验仪器</w:t>
      </w:r>
      <w:r>
        <w:rPr>
          <w:sz w:val="24"/>
        </w:rPr>
        <w:t>清洗用水</w:t>
      </w:r>
      <w:r>
        <w:rPr>
          <w:rFonts w:hint="eastAsia"/>
          <w:sz w:val="24"/>
        </w:rPr>
        <w:t>。类比</w:t>
      </w:r>
      <w:r>
        <w:rPr>
          <w:rFonts w:hint="eastAsia"/>
          <w:sz w:val="24"/>
          <w:szCs w:val="24"/>
          <w:lang w:val="zh-CN"/>
        </w:rPr>
        <w:t>《</w:t>
      </w:r>
      <w:r>
        <w:rPr>
          <w:rFonts w:hint="eastAsia"/>
          <w:sz w:val="24"/>
          <w:lang w:val="zh-CN"/>
        </w:rPr>
        <w:t>温州高中部扩建项目环境影响报告表</w:t>
      </w:r>
      <w:r>
        <w:rPr>
          <w:rFonts w:hint="eastAsia"/>
          <w:sz w:val="24"/>
          <w:szCs w:val="24"/>
          <w:lang w:val="zh-CN"/>
        </w:rPr>
        <w:t>》（</w:t>
      </w:r>
      <w:r>
        <w:rPr>
          <w:rFonts w:hint="eastAsia"/>
          <w:sz w:val="24"/>
          <w:szCs w:val="24"/>
        </w:rPr>
        <w:t>2017年</w:t>
      </w:r>
      <w:r>
        <w:rPr>
          <w:rFonts w:hint="eastAsia"/>
          <w:sz w:val="24"/>
          <w:szCs w:val="24"/>
          <w:lang w:val="zh-CN"/>
        </w:rPr>
        <w:t>）：共高中4000名学生，实验用水量为4m</w:t>
      </w:r>
      <w:r>
        <w:rPr>
          <w:rFonts w:hint="eastAsia"/>
          <w:sz w:val="24"/>
          <w:szCs w:val="24"/>
          <w:vertAlign w:val="superscript"/>
          <w:lang w:val="zh-CN"/>
        </w:rPr>
        <w:t>3</w:t>
      </w:r>
      <w:r>
        <w:rPr>
          <w:rFonts w:hint="eastAsia"/>
          <w:sz w:val="24"/>
          <w:szCs w:val="24"/>
          <w:lang w:val="zh-CN"/>
        </w:rPr>
        <w:t>/d；《</w:t>
      </w:r>
      <w:r>
        <w:rPr>
          <w:rFonts w:hint="eastAsia"/>
          <w:sz w:val="24"/>
          <w:lang w:val="zh-CN"/>
        </w:rPr>
        <w:t>同安新城东海二中项目环境影响报告表</w:t>
      </w:r>
      <w:r>
        <w:rPr>
          <w:rFonts w:hint="eastAsia"/>
          <w:sz w:val="24"/>
          <w:szCs w:val="24"/>
          <w:lang w:val="zh-CN"/>
        </w:rPr>
        <w:t>》（</w:t>
      </w:r>
      <w:r>
        <w:rPr>
          <w:rFonts w:hint="eastAsia"/>
          <w:sz w:val="24"/>
          <w:szCs w:val="24"/>
        </w:rPr>
        <w:t>2017年</w:t>
      </w:r>
      <w:r>
        <w:rPr>
          <w:rFonts w:hint="eastAsia"/>
          <w:sz w:val="24"/>
          <w:szCs w:val="24"/>
          <w:lang w:val="zh-CN"/>
        </w:rPr>
        <w:t>）：</w:t>
      </w:r>
      <w:r>
        <w:rPr>
          <w:rFonts w:hint="eastAsia"/>
          <w:sz w:val="24"/>
          <w:lang w:val="zh-CN"/>
        </w:rPr>
        <w:t>共初中1800名学生，实验室用水 1m</w:t>
      </w:r>
      <w:r>
        <w:rPr>
          <w:rFonts w:hint="eastAsia"/>
          <w:sz w:val="24"/>
          <w:vertAlign w:val="superscript"/>
          <w:lang w:val="zh-CN"/>
        </w:rPr>
        <w:t>3</w:t>
      </w:r>
      <w:r>
        <w:rPr>
          <w:rFonts w:hint="eastAsia"/>
          <w:sz w:val="24"/>
          <w:lang w:val="zh-CN"/>
        </w:rPr>
        <w:t>/d。本项目初中48个班学生约2400人，高中30个班学生约1500人，故本项目实验室废水约2.83m</w:t>
      </w:r>
      <w:r>
        <w:rPr>
          <w:rFonts w:hint="eastAsia"/>
          <w:sz w:val="24"/>
          <w:vertAlign w:val="superscript"/>
          <w:lang w:val="zh-CN"/>
        </w:rPr>
        <w:t>3</w:t>
      </w:r>
      <w:r>
        <w:rPr>
          <w:rFonts w:hint="eastAsia"/>
          <w:sz w:val="24"/>
          <w:lang w:val="zh-CN"/>
        </w:rPr>
        <w:t>/d（566.67</w:t>
      </w:r>
      <w:r>
        <w:rPr>
          <w:rFonts w:hint="eastAsia"/>
          <w:sz w:val="24"/>
        </w:rPr>
        <w:t xml:space="preserve"> t</w:t>
      </w:r>
      <w:r>
        <w:rPr>
          <w:sz w:val="24"/>
        </w:rPr>
        <w:t>/a</w:t>
      </w:r>
      <w:r>
        <w:rPr>
          <w:rFonts w:hint="eastAsia"/>
          <w:sz w:val="24"/>
          <w:lang w:val="zh-CN"/>
        </w:rPr>
        <w:t>），</w:t>
      </w:r>
      <w:r>
        <w:rPr>
          <w:rFonts w:hint="eastAsia"/>
          <w:sz w:val="24"/>
          <w:szCs w:val="24"/>
          <w:lang w:val="zh-CN"/>
        </w:rPr>
        <w:t>统一收集后，经实验室配套建设的中和池预处理后排入，最终排入大学城污水处理厂处理</w:t>
      </w:r>
      <w:r>
        <w:rPr>
          <w:rFonts w:hint="eastAsia"/>
          <w:sz w:val="24"/>
        </w:rPr>
        <w:t>。</w:t>
      </w:r>
    </w:p>
    <w:p>
      <w:pPr>
        <w:spacing w:line="360" w:lineRule="auto"/>
        <w:ind w:firstLine="480" w:firstLineChars="200"/>
        <w:rPr>
          <w:sz w:val="24"/>
        </w:rPr>
      </w:pPr>
      <w:r>
        <w:rPr>
          <w:rFonts w:hint="eastAsia"/>
          <w:sz w:val="24"/>
          <w:szCs w:val="24"/>
          <w:lang w:val="zh-CN"/>
        </w:rPr>
        <w:t>其中化学实验过程产生的极少含重金属（主要为</w:t>
      </w:r>
      <w:r>
        <w:rPr>
          <w:rFonts w:hint="eastAsia"/>
          <w:sz w:val="24"/>
          <w:szCs w:val="24"/>
        </w:rPr>
        <w:t>Ag和Cu</w:t>
      </w:r>
      <w:r>
        <w:rPr>
          <w:rFonts w:hint="eastAsia"/>
          <w:sz w:val="24"/>
          <w:szCs w:val="24"/>
          <w:lang w:val="zh-CN"/>
        </w:rPr>
        <w:t>）等废液，根据《国家危险废物名录》（2016年8月1日实施），其属于为“HW49 其他废物”中“研究、开发和教学活动中，化学和生物实验室产生的废物”（900-047-49），应作为危险废物委托有相关危废处置资质的单位处理</w:t>
      </w:r>
      <w:r>
        <w:rPr>
          <w:rFonts w:hint="eastAsia"/>
          <w:sz w:val="24"/>
          <w:szCs w:val="24"/>
        </w:rPr>
        <w:t>。</w:t>
      </w:r>
    </w:p>
    <w:p>
      <w:pPr>
        <w:spacing w:line="360" w:lineRule="auto"/>
        <w:ind w:firstLine="480" w:firstLineChars="200"/>
        <w:rPr>
          <w:sz w:val="24"/>
        </w:rPr>
      </w:pPr>
      <w:r>
        <w:rPr>
          <w:sz w:val="24"/>
        </w:rPr>
        <w:t>（</w:t>
      </w:r>
      <w:r>
        <w:rPr>
          <w:rFonts w:hint="eastAsia"/>
          <w:sz w:val="24"/>
        </w:rPr>
        <w:t>2</w:t>
      </w:r>
      <w:r>
        <w:rPr>
          <w:sz w:val="24"/>
        </w:rPr>
        <w:t>）生活污水</w:t>
      </w:r>
    </w:p>
    <w:p>
      <w:pPr>
        <w:spacing w:line="360" w:lineRule="auto"/>
        <w:ind w:firstLine="480" w:firstLineChars="200"/>
        <w:rPr>
          <w:sz w:val="24"/>
        </w:rPr>
      </w:pPr>
      <w:r>
        <w:rPr>
          <w:rFonts w:hint="eastAsia"/>
          <w:sz w:val="24"/>
          <w:szCs w:val="24"/>
          <w:lang w:val="zh-CN"/>
        </w:rPr>
        <w:t>根据“</w:t>
      </w:r>
      <w:r>
        <w:rPr>
          <w:rFonts w:hint="eastAsia"/>
          <w:sz w:val="24"/>
          <w:szCs w:val="24"/>
        </w:rPr>
        <w:t>3.2.6.1节</w:t>
      </w:r>
      <w:r>
        <w:rPr>
          <w:rFonts w:hint="eastAsia"/>
          <w:sz w:val="24"/>
          <w:szCs w:val="24"/>
          <w:lang w:val="zh-CN"/>
        </w:rPr>
        <w:t>”生活污水</w:t>
      </w:r>
      <w:r>
        <w:rPr>
          <w:sz w:val="24"/>
          <w:szCs w:val="24"/>
          <w:lang w:val="zh-CN"/>
        </w:rPr>
        <w:t>按</w:t>
      </w:r>
      <w:r>
        <w:rPr>
          <w:rFonts w:hint="eastAsia"/>
          <w:sz w:val="24"/>
          <w:szCs w:val="24"/>
          <w:lang w:val="zh-CN"/>
        </w:rPr>
        <w:t>用水量的</w:t>
      </w:r>
      <w:r>
        <w:rPr>
          <w:sz w:val="24"/>
          <w:szCs w:val="24"/>
        </w:rPr>
        <w:t>90%计，</w:t>
      </w:r>
      <w:r>
        <w:rPr>
          <w:rFonts w:hint="eastAsia"/>
          <w:sz w:val="24"/>
          <w:szCs w:val="24"/>
          <w:lang w:val="zh-CN"/>
        </w:rPr>
        <w:t>生活污水</w:t>
      </w:r>
      <w:r>
        <w:rPr>
          <w:sz w:val="24"/>
          <w:szCs w:val="24"/>
        </w:rPr>
        <w:t>排放量为</w:t>
      </w:r>
      <w:r>
        <w:rPr>
          <w:rFonts w:hint="eastAsia"/>
          <w:sz w:val="24"/>
        </w:rPr>
        <w:t>210t</w:t>
      </w:r>
      <w:r>
        <w:rPr>
          <w:sz w:val="24"/>
        </w:rPr>
        <w:t>/d（</w:t>
      </w:r>
      <w:r>
        <w:rPr>
          <w:rFonts w:hint="eastAsia"/>
          <w:sz w:val="24"/>
        </w:rPr>
        <w:t>42000</w:t>
      </w:r>
      <w:r>
        <w:rPr>
          <w:sz w:val="24"/>
        </w:rPr>
        <w:t>t/a）</w:t>
      </w:r>
      <w:r>
        <w:rPr>
          <w:rFonts w:hint="eastAsia"/>
          <w:kern w:val="0"/>
          <w:sz w:val="24"/>
          <w:szCs w:val="24"/>
        </w:rPr>
        <w:t>。</w:t>
      </w:r>
      <w:r>
        <w:rPr>
          <w:sz w:val="24"/>
        </w:rPr>
        <w:t>主要污染物为COD、BOD</w:t>
      </w:r>
      <w:r>
        <w:rPr>
          <w:sz w:val="24"/>
          <w:vertAlign w:val="subscript"/>
        </w:rPr>
        <w:t>5</w:t>
      </w:r>
      <w:r>
        <w:rPr>
          <w:sz w:val="24"/>
        </w:rPr>
        <w:t>、SS、氨氮等，参考《给排水设计手册》（第五册城镇排水）典型生活污水水质示例，COD250~400~1000mg/L、BOD</w:t>
      </w:r>
      <w:r>
        <w:rPr>
          <w:sz w:val="24"/>
          <w:vertAlign w:val="subscript"/>
        </w:rPr>
        <w:t>5</w:t>
      </w:r>
      <w:r>
        <w:rPr>
          <w:sz w:val="24"/>
        </w:rPr>
        <w:t>110~220~400mg/L、SS100~200~350mg/L，本项目取COD400mg/L，BOD</w:t>
      </w:r>
      <w:r>
        <w:rPr>
          <w:sz w:val="24"/>
          <w:vertAlign w:val="subscript"/>
        </w:rPr>
        <w:t>5</w:t>
      </w:r>
      <w:r>
        <w:rPr>
          <w:sz w:val="24"/>
        </w:rPr>
        <w:t>220mg/L，SS200mg/L，氨氮</w:t>
      </w:r>
      <w:r>
        <w:rPr>
          <w:rFonts w:hint="eastAsia"/>
          <w:sz w:val="24"/>
        </w:rPr>
        <w:t>35</w:t>
      </w:r>
      <w:r>
        <w:rPr>
          <w:sz w:val="24"/>
        </w:rPr>
        <w:t>mg/L。</w:t>
      </w:r>
    </w:p>
    <w:p>
      <w:pPr>
        <w:spacing w:line="360" w:lineRule="auto"/>
        <w:ind w:firstLine="480" w:firstLineChars="200"/>
        <w:rPr>
          <w:sz w:val="24"/>
        </w:rPr>
      </w:pPr>
      <w:r>
        <w:rPr>
          <w:sz w:val="24"/>
        </w:rPr>
        <w:t>（</w:t>
      </w:r>
      <w:r>
        <w:rPr>
          <w:rFonts w:hint="eastAsia"/>
          <w:sz w:val="24"/>
        </w:rPr>
        <w:t>3</w:t>
      </w:r>
      <w:r>
        <w:rPr>
          <w:sz w:val="24"/>
        </w:rPr>
        <w:t>）</w:t>
      </w:r>
      <w:r>
        <w:rPr>
          <w:rFonts w:hint="eastAsia"/>
          <w:sz w:val="24"/>
        </w:rPr>
        <w:t>食堂</w:t>
      </w:r>
      <w:r>
        <w:rPr>
          <w:sz w:val="24"/>
        </w:rPr>
        <w:t>废水</w:t>
      </w:r>
    </w:p>
    <w:p>
      <w:pPr>
        <w:spacing w:line="360" w:lineRule="auto"/>
        <w:ind w:firstLine="480" w:firstLineChars="200"/>
        <w:rPr>
          <w:sz w:val="24"/>
        </w:rPr>
      </w:pPr>
      <w:r>
        <w:rPr>
          <w:rFonts w:hint="eastAsia"/>
          <w:sz w:val="24"/>
          <w:szCs w:val="24"/>
          <w:lang w:val="zh-CN"/>
        </w:rPr>
        <w:t>根据“</w:t>
      </w:r>
      <w:r>
        <w:rPr>
          <w:rFonts w:hint="eastAsia"/>
          <w:sz w:val="24"/>
          <w:szCs w:val="24"/>
        </w:rPr>
        <w:t>3.2.6.1节</w:t>
      </w:r>
      <w:r>
        <w:rPr>
          <w:rFonts w:hint="eastAsia"/>
          <w:sz w:val="24"/>
          <w:szCs w:val="24"/>
          <w:lang w:val="zh-CN"/>
        </w:rPr>
        <w:t>”</w:t>
      </w:r>
      <w:r>
        <w:rPr>
          <w:rFonts w:hint="eastAsia"/>
          <w:sz w:val="24"/>
        </w:rPr>
        <w:t xml:space="preserve"> 食堂</w:t>
      </w:r>
      <w:r>
        <w:rPr>
          <w:sz w:val="24"/>
        </w:rPr>
        <w:t>废水</w:t>
      </w:r>
      <w:r>
        <w:rPr>
          <w:sz w:val="24"/>
          <w:szCs w:val="24"/>
          <w:lang w:val="zh-CN"/>
        </w:rPr>
        <w:t>按</w:t>
      </w:r>
      <w:r>
        <w:rPr>
          <w:rFonts w:hint="eastAsia"/>
          <w:sz w:val="24"/>
          <w:szCs w:val="24"/>
          <w:lang w:val="zh-CN"/>
        </w:rPr>
        <w:t>用水量的</w:t>
      </w:r>
      <w:r>
        <w:rPr>
          <w:sz w:val="24"/>
          <w:szCs w:val="24"/>
        </w:rPr>
        <w:t>90%计，</w:t>
      </w:r>
      <w:r>
        <w:rPr>
          <w:rFonts w:hint="eastAsia"/>
          <w:sz w:val="24"/>
        </w:rPr>
        <w:t>食堂</w:t>
      </w:r>
      <w:r>
        <w:rPr>
          <w:sz w:val="24"/>
        </w:rPr>
        <w:t>废水</w:t>
      </w:r>
      <w:r>
        <w:rPr>
          <w:sz w:val="24"/>
          <w:szCs w:val="24"/>
        </w:rPr>
        <w:t>排放量为</w:t>
      </w:r>
      <w:r>
        <w:rPr>
          <w:rFonts w:hint="eastAsia"/>
          <w:sz w:val="24"/>
        </w:rPr>
        <w:t>42t</w:t>
      </w:r>
      <w:r>
        <w:rPr>
          <w:sz w:val="24"/>
        </w:rPr>
        <w:t>/d（</w:t>
      </w:r>
      <w:r>
        <w:rPr>
          <w:rFonts w:hint="eastAsia"/>
          <w:sz w:val="24"/>
        </w:rPr>
        <w:t>8400</w:t>
      </w:r>
      <w:r>
        <w:rPr>
          <w:sz w:val="24"/>
        </w:rPr>
        <w:t xml:space="preserve"> </w:t>
      </w:r>
      <w:r>
        <w:rPr>
          <w:rFonts w:hint="eastAsia"/>
          <w:sz w:val="24"/>
        </w:rPr>
        <w:t>t</w:t>
      </w:r>
      <w:r>
        <w:rPr>
          <w:sz w:val="24"/>
        </w:rPr>
        <w:t>/a）</w:t>
      </w:r>
      <w:r>
        <w:rPr>
          <w:rFonts w:hint="eastAsia"/>
          <w:kern w:val="0"/>
          <w:sz w:val="24"/>
          <w:szCs w:val="24"/>
        </w:rPr>
        <w:t>。</w:t>
      </w:r>
      <w:r>
        <w:rPr>
          <w:sz w:val="24"/>
        </w:rPr>
        <w:t>主要污染物为COD、BOD</w:t>
      </w:r>
      <w:r>
        <w:rPr>
          <w:sz w:val="24"/>
          <w:vertAlign w:val="subscript"/>
        </w:rPr>
        <w:t>5</w:t>
      </w:r>
      <w:r>
        <w:rPr>
          <w:sz w:val="24"/>
        </w:rPr>
        <w:t>、SS、NH</w:t>
      </w:r>
      <w:r>
        <w:rPr>
          <w:sz w:val="24"/>
          <w:vertAlign w:val="subscript"/>
        </w:rPr>
        <w:t>3</w:t>
      </w:r>
      <w:r>
        <w:rPr>
          <w:sz w:val="24"/>
        </w:rPr>
        <w:t>-N和动植物油等。参考HJ554-2010《饮食业环境保护技术规范》中含油污水水质：COD浓度范围为800~1200mg/L、BOD</w:t>
      </w:r>
      <w:r>
        <w:rPr>
          <w:sz w:val="24"/>
          <w:vertAlign w:val="subscript"/>
        </w:rPr>
        <w:t>5</w:t>
      </w:r>
      <w:r>
        <w:rPr>
          <w:sz w:val="24"/>
        </w:rPr>
        <w:t>浓度范围400~600mg/L、SS浓度范围300~500mg/L、NH</w:t>
      </w:r>
      <w:r>
        <w:rPr>
          <w:sz w:val="24"/>
          <w:vertAlign w:val="subscript"/>
        </w:rPr>
        <w:t>3</w:t>
      </w:r>
      <w:r>
        <w:rPr>
          <w:sz w:val="24"/>
        </w:rPr>
        <w:t>-N浓度范围0~20mg/L、动植物油浓度范围100~200mg/L，本项目餐饮废水中主要污染指标浓度选取：COD1000mg/L、BOD</w:t>
      </w:r>
      <w:r>
        <w:rPr>
          <w:sz w:val="24"/>
          <w:vertAlign w:val="subscript"/>
        </w:rPr>
        <w:t>5</w:t>
      </w:r>
      <w:r>
        <w:rPr>
          <w:sz w:val="24"/>
        </w:rPr>
        <w:t>500mg/L、SS400mg/L、NH</w:t>
      </w:r>
      <w:r>
        <w:rPr>
          <w:sz w:val="24"/>
          <w:vertAlign w:val="subscript"/>
        </w:rPr>
        <w:t>3</w:t>
      </w:r>
      <w:r>
        <w:rPr>
          <w:sz w:val="24"/>
        </w:rPr>
        <w:t>-N15mg/L、动植物油150mg/L。</w:t>
      </w:r>
    </w:p>
    <w:p>
      <w:pPr>
        <w:spacing w:line="360" w:lineRule="auto"/>
        <w:ind w:firstLine="480" w:firstLineChars="200"/>
        <w:rPr>
          <w:sz w:val="24"/>
        </w:rPr>
      </w:pPr>
      <w:r>
        <w:rPr>
          <w:sz w:val="24"/>
        </w:rPr>
        <w:t>化粪池对污水中污染物的去除效率按COD30%、BOD</w:t>
      </w:r>
      <w:r>
        <w:rPr>
          <w:sz w:val="24"/>
          <w:vertAlign w:val="subscript"/>
        </w:rPr>
        <w:t>5</w:t>
      </w:r>
      <w:r>
        <w:rPr>
          <w:sz w:val="24"/>
        </w:rPr>
        <w:t>30%、SS35%、NH3-N0%计，隔油—隔渣池对餐饮废水污染物中污染物的去除效率按COD30%、BOD</w:t>
      </w:r>
      <w:r>
        <w:rPr>
          <w:sz w:val="24"/>
          <w:vertAlign w:val="subscript"/>
        </w:rPr>
        <w:t>5</w:t>
      </w:r>
      <w:r>
        <w:rPr>
          <w:sz w:val="24"/>
        </w:rPr>
        <w:t>25%、SS65%、NH</w:t>
      </w:r>
      <w:r>
        <w:rPr>
          <w:sz w:val="24"/>
          <w:vertAlign w:val="subscript"/>
        </w:rPr>
        <w:t>3</w:t>
      </w:r>
      <w:r>
        <w:rPr>
          <w:sz w:val="24"/>
        </w:rPr>
        <w:t>-N5%、动植物油80%计。</w:t>
      </w:r>
    </w:p>
    <w:p>
      <w:pPr>
        <w:spacing w:line="360" w:lineRule="auto"/>
        <w:ind w:firstLine="480" w:firstLineChars="200"/>
        <w:rPr>
          <w:sz w:val="24"/>
        </w:rPr>
      </w:pPr>
      <w:r>
        <w:rPr>
          <w:sz w:val="24"/>
        </w:rPr>
        <w:t>项目运营期污水产生及排放量详见表3.8-1。</w:t>
      </w:r>
    </w:p>
    <w:p>
      <w:pPr>
        <w:spacing w:line="360" w:lineRule="auto"/>
        <w:jc w:val="center"/>
        <w:rPr>
          <w:b/>
          <w:sz w:val="24"/>
        </w:rPr>
      </w:pPr>
    </w:p>
    <w:p>
      <w:pPr>
        <w:spacing w:line="360" w:lineRule="auto"/>
        <w:jc w:val="center"/>
        <w:rPr>
          <w:b/>
          <w:sz w:val="24"/>
        </w:rPr>
      </w:pPr>
    </w:p>
    <w:p>
      <w:pPr>
        <w:spacing w:line="360" w:lineRule="auto"/>
        <w:jc w:val="center"/>
        <w:rPr>
          <w:b/>
          <w:sz w:val="24"/>
        </w:rPr>
      </w:pPr>
      <w:r>
        <w:rPr>
          <w:b/>
          <w:sz w:val="24"/>
        </w:rPr>
        <w:t>表3.8-1   项目运营期污水产生及排放量一览表</w:t>
      </w:r>
    </w:p>
    <w:tbl>
      <w:tblPr>
        <w:tblStyle w:val="24"/>
        <w:tblW w:w="9701" w:type="dxa"/>
        <w:jc w:val="center"/>
        <w:tblLayout w:type="autofit"/>
        <w:tblCellMar>
          <w:top w:w="0" w:type="dxa"/>
          <w:left w:w="108" w:type="dxa"/>
          <w:bottom w:w="0" w:type="dxa"/>
          <w:right w:w="108" w:type="dxa"/>
        </w:tblCellMar>
      </w:tblPr>
      <w:tblGrid>
        <w:gridCol w:w="1115"/>
        <w:gridCol w:w="1057"/>
        <w:gridCol w:w="1064"/>
        <w:gridCol w:w="1319"/>
        <w:gridCol w:w="1289"/>
        <w:gridCol w:w="1349"/>
        <w:gridCol w:w="1294"/>
        <w:gridCol w:w="1214"/>
      </w:tblGrid>
      <w:tr>
        <w:tblPrEx>
          <w:tblCellMar>
            <w:top w:w="0" w:type="dxa"/>
            <w:left w:w="108" w:type="dxa"/>
            <w:bottom w:w="0" w:type="dxa"/>
            <w:right w:w="108" w:type="dxa"/>
          </w:tblCellMar>
        </w:tblPrEx>
        <w:trPr>
          <w:trHeight w:val="285" w:hRule="atLeast"/>
          <w:jc w:val="center"/>
        </w:trPr>
        <w:tc>
          <w:tcPr>
            <w:tcW w:w="111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项目</w:t>
            </w:r>
          </w:p>
        </w:tc>
        <w:tc>
          <w:tcPr>
            <w:tcW w:w="105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废水量</w:t>
            </w:r>
            <w:r>
              <w:rPr>
                <w:color w:val="000000"/>
                <w:kern w:val="0"/>
                <w:szCs w:val="21"/>
              </w:rPr>
              <w:t>t/a</w:t>
            </w:r>
          </w:p>
        </w:tc>
        <w:tc>
          <w:tcPr>
            <w:tcW w:w="106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单位</w:t>
            </w:r>
          </w:p>
        </w:tc>
        <w:tc>
          <w:tcPr>
            <w:tcW w:w="6465" w:type="dxa"/>
            <w:gridSpan w:val="5"/>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主要污染物</w:t>
            </w:r>
          </w:p>
        </w:tc>
      </w:tr>
      <w:tr>
        <w:tblPrEx>
          <w:tblCellMar>
            <w:top w:w="0" w:type="dxa"/>
            <w:left w:w="108" w:type="dxa"/>
            <w:bottom w:w="0" w:type="dxa"/>
            <w:right w:w="108" w:type="dxa"/>
          </w:tblCellMar>
        </w:tblPrEx>
        <w:trPr>
          <w:trHeight w:val="315" w:hRule="atLeast"/>
          <w:jc w:val="center"/>
        </w:trPr>
        <w:tc>
          <w:tcPr>
            <w:tcW w:w="1115"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57"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64"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319" w:type="dxa"/>
            <w:tcBorders>
              <w:top w:val="nil"/>
              <w:left w:val="nil"/>
              <w:bottom w:val="single" w:color="auto" w:sz="8" w:space="0"/>
              <w:right w:val="single" w:color="auto" w:sz="8" w:space="0"/>
            </w:tcBorders>
            <w:shd w:val="clear" w:color="auto" w:fill="auto"/>
            <w:vAlign w:val="center"/>
          </w:tcPr>
          <w:p>
            <w:pPr>
              <w:widowControl/>
              <w:jc w:val="center"/>
              <w:rPr>
                <w:b/>
                <w:bCs/>
                <w:color w:val="000000"/>
                <w:kern w:val="0"/>
                <w:szCs w:val="21"/>
              </w:rPr>
            </w:pPr>
            <w:r>
              <w:rPr>
                <w:b/>
                <w:bCs/>
                <w:color w:val="000000"/>
                <w:kern w:val="0"/>
                <w:szCs w:val="21"/>
              </w:rPr>
              <w:t>COD</w:t>
            </w:r>
            <w:r>
              <w:rPr>
                <w:b/>
                <w:bCs/>
                <w:color w:val="000000"/>
                <w:kern w:val="0"/>
                <w:szCs w:val="21"/>
                <w:vertAlign w:val="subscript"/>
              </w:rPr>
              <w:t>cr</w:t>
            </w:r>
          </w:p>
        </w:tc>
        <w:tc>
          <w:tcPr>
            <w:tcW w:w="1289" w:type="dxa"/>
            <w:tcBorders>
              <w:top w:val="nil"/>
              <w:left w:val="nil"/>
              <w:bottom w:val="single" w:color="auto" w:sz="8" w:space="0"/>
              <w:right w:val="single" w:color="auto" w:sz="8" w:space="0"/>
            </w:tcBorders>
            <w:shd w:val="clear" w:color="auto" w:fill="auto"/>
            <w:vAlign w:val="center"/>
          </w:tcPr>
          <w:p>
            <w:pPr>
              <w:widowControl/>
              <w:jc w:val="center"/>
              <w:rPr>
                <w:b/>
                <w:bCs/>
                <w:color w:val="000000"/>
                <w:kern w:val="0"/>
                <w:szCs w:val="21"/>
              </w:rPr>
            </w:pPr>
            <w:r>
              <w:rPr>
                <w:b/>
                <w:bCs/>
                <w:color w:val="000000"/>
                <w:kern w:val="0"/>
                <w:szCs w:val="21"/>
              </w:rPr>
              <w:t>BOD</w:t>
            </w:r>
            <w:r>
              <w:rPr>
                <w:b/>
                <w:bCs/>
                <w:color w:val="000000"/>
                <w:kern w:val="0"/>
                <w:szCs w:val="21"/>
                <w:vertAlign w:val="subscript"/>
              </w:rPr>
              <w:t>5</w:t>
            </w:r>
          </w:p>
        </w:tc>
        <w:tc>
          <w:tcPr>
            <w:tcW w:w="1349" w:type="dxa"/>
            <w:tcBorders>
              <w:top w:val="nil"/>
              <w:left w:val="nil"/>
              <w:bottom w:val="single" w:color="auto" w:sz="8" w:space="0"/>
              <w:right w:val="single" w:color="auto" w:sz="8" w:space="0"/>
            </w:tcBorders>
            <w:shd w:val="clear" w:color="auto" w:fill="auto"/>
            <w:vAlign w:val="center"/>
          </w:tcPr>
          <w:p>
            <w:pPr>
              <w:widowControl/>
              <w:jc w:val="center"/>
              <w:rPr>
                <w:b/>
                <w:bCs/>
                <w:color w:val="000000"/>
                <w:kern w:val="0"/>
                <w:szCs w:val="21"/>
              </w:rPr>
            </w:pPr>
            <w:r>
              <w:rPr>
                <w:b/>
                <w:bCs/>
                <w:color w:val="000000"/>
                <w:kern w:val="0"/>
                <w:szCs w:val="21"/>
              </w:rPr>
              <w:t>SS</w:t>
            </w:r>
          </w:p>
        </w:tc>
        <w:tc>
          <w:tcPr>
            <w:tcW w:w="129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氨氮</w:t>
            </w:r>
          </w:p>
        </w:tc>
        <w:tc>
          <w:tcPr>
            <w:tcW w:w="121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动植物油</w:t>
            </w:r>
          </w:p>
        </w:tc>
      </w:tr>
      <w:tr>
        <w:tblPrEx>
          <w:tblCellMar>
            <w:top w:w="0" w:type="dxa"/>
            <w:left w:w="108" w:type="dxa"/>
            <w:bottom w:w="0" w:type="dxa"/>
            <w:right w:w="108" w:type="dxa"/>
          </w:tblCellMar>
        </w:tblPrEx>
        <w:trPr>
          <w:trHeight w:val="540" w:hRule="atLeast"/>
          <w:jc w:val="center"/>
        </w:trPr>
        <w:tc>
          <w:tcPr>
            <w:tcW w:w="1115"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生活</w:t>
            </w:r>
          </w:p>
          <w:p>
            <w:pPr>
              <w:widowControl/>
              <w:jc w:val="center"/>
              <w:rPr>
                <w:rFonts w:ascii="宋体" w:hAnsi="宋体" w:cs="宋体"/>
                <w:color w:val="000000"/>
                <w:kern w:val="0"/>
                <w:szCs w:val="21"/>
              </w:rPr>
            </w:pPr>
            <w:r>
              <w:rPr>
                <w:rFonts w:hint="eastAsia" w:ascii="宋体" w:hAnsi="宋体" w:cs="宋体"/>
                <w:color w:val="000000"/>
                <w:kern w:val="0"/>
                <w:szCs w:val="21"/>
              </w:rPr>
              <w:t>污水</w:t>
            </w:r>
          </w:p>
        </w:tc>
        <w:tc>
          <w:tcPr>
            <w:tcW w:w="1057"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41580</w:t>
            </w:r>
          </w:p>
        </w:tc>
        <w:tc>
          <w:tcPr>
            <w:tcW w:w="10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产生浓度</w:t>
            </w:r>
            <w:r>
              <w:rPr>
                <w:color w:val="000000"/>
                <w:kern w:val="0"/>
                <w:szCs w:val="21"/>
              </w:rPr>
              <w:t>(mg/l)</w:t>
            </w:r>
          </w:p>
        </w:tc>
        <w:tc>
          <w:tcPr>
            <w:tcW w:w="131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400</w:t>
            </w:r>
          </w:p>
        </w:tc>
        <w:tc>
          <w:tcPr>
            <w:tcW w:w="128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200</w:t>
            </w:r>
          </w:p>
        </w:tc>
        <w:tc>
          <w:tcPr>
            <w:tcW w:w="134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220</w:t>
            </w:r>
          </w:p>
        </w:tc>
        <w:tc>
          <w:tcPr>
            <w:tcW w:w="129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35</w:t>
            </w:r>
          </w:p>
        </w:tc>
        <w:tc>
          <w:tcPr>
            <w:tcW w:w="121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r>
      <w:tr>
        <w:tblPrEx>
          <w:tblCellMar>
            <w:top w:w="0" w:type="dxa"/>
            <w:left w:w="108" w:type="dxa"/>
            <w:bottom w:w="0" w:type="dxa"/>
            <w:right w:w="108" w:type="dxa"/>
          </w:tblCellMar>
        </w:tblPrEx>
        <w:trPr>
          <w:trHeight w:val="285" w:hRule="atLeast"/>
          <w:jc w:val="center"/>
        </w:trPr>
        <w:tc>
          <w:tcPr>
            <w:tcW w:w="1115"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57"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Cs w:val="21"/>
              </w:rPr>
            </w:pPr>
          </w:p>
        </w:tc>
        <w:tc>
          <w:tcPr>
            <w:tcW w:w="10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产生量</w:t>
            </w:r>
            <w:r>
              <w:rPr>
                <w:color w:val="000000"/>
                <w:kern w:val="0"/>
                <w:szCs w:val="21"/>
              </w:rPr>
              <w:t>(t/a)</w:t>
            </w:r>
          </w:p>
        </w:tc>
        <w:tc>
          <w:tcPr>
            <w:tcW w:w="131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16.63</w:t>
            </w:r>
          </w:p>
        </w:tc>
        <w:tc>
          <w:tcPr>
            <w:tcW w:w="128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8.3</w:t>
            </w:r>
            <w:r>
              <w:rPr>
                <w:rFonts w:hint="eastAsia"/>
                <w:color w:val="000000"/>
                <w:kern w:val="0"/>
                <w:szCs w:val="21"/>
              </w:rPr>
              <w:t>2</w:t>
            </w:r>
          </w:p>
        </w:tc>
        <w:tc>
          <w:tcPr>
            <w:tcW w:w="134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9.1</w:t>
            </w:r>
            <w:r>
              <w:rPr>
                <w:rFonts w:hint="eastAsia"/>
                <w:color w:val="000000"/>
                <w:kern w:val="0"/>
                <w:szCs w:val="21"/>
              </w:rPr>
              <w:t>5</w:t>
            </w:r>
          </w:p>
        </w:tc>
        <w:tc>
          <w:tcPr>
            <w:tcW w:w="129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1.4</w:t>
            </w:r>
            <w:r>
              <w:rPr>
                <w:rFonts w:hint="eastAsia"/>
                <w:color w:val="000000"/>
                <w:kern w:val="0"/>
                <w:szCs w:val="21"/>
              </w:rPr>
              <w:t>6</w:t>
            </w:r>
          </w:p>
        </w:tc>
        <w:tc>
          <w:tcPr>
            <w:tcW w:w="121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r>
      <w:tr>
        <w:tblPrEx>
          <w:tblCellMar>
            <w:top w:w="0" w:type="dxa"/>
            <w:left w:w="108" w:type="dxa"/>
            <w:bottom w:w="0" w:type="dxa"/>
            <w:right w:w="108" w:type="dxa"/>
          </w:tblCellMar>
        </w:tblPrEx>
        <w:trPr>
          <w:trHeight w:val="540" w:hRule="atLeast"/>
          <w:jc w:val="center"/>
        </w:trPr>
        <w:tc>
          <w:tcPr>
            <w:tcW w:w="1115"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食堂</w:t>
            </w:r>
          </w:p>
          <w:p>
            <w:pPr>
              <w:widowControl/>
              <w:jc w:val="center"/>
              <w:rPr>
                <w:rFonts w:ascii="宋体" w:hAnsi="宋体" w:cs="宋体"/>
                <w:color w:val="000000"/>
                <w:kern w:val="0"/>
                <w:szCs w:val="21"/>
              </w:rPr>
            </w:pPr>
            <w:r>
              <w:rPr>
                <w:rFonts w:hint="eastAsia" w:ascii="宋体" w:hAnsi="宋体" w:cs="宋体"/>
                <w:color w:val="000000"/>
                <w:kern w:val="0"/>
                <w:szCs w:val="21"/>
              </w:rPr>
              <w:t>废水</w:t>
            </w:r>
          </w:p>
        </w:tc>
        <w:tc>
          <w:tcPr>
            <w:tcW w:w="1057"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8316</w:t>
            </w:r>
          </w:p>
        </w:tc>
        <w:tc>
          <w:tcPr>
            <w:tcW w:w="10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产生浓度</w:t>
            </w:r>
            <w:r>
              <w:rPr>
                <w:color w:val="000000"/>
                <w:kern w:val="0"/>
                <w:szCs w:val="21"/>
              </w:rPr>
              <w:t>(mg/l)</w:t>
            </w:r>
          </w:p>
        </w:tc>
        <w:tc>
          <w:tcPr>
            <w:tcW w:w="131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1000</w:t>
            </w:r>
          </w:p>
        </w:tc>
        <w:tc>
          <w:tcPr>
            <w:tcW w:w="128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500</w:t>
            </w:r>
          </w:p>
        </w:tc>
        <w:tc>
          <w:tcPr>
            <w:tcW w:w="134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400</w:t>
            </w:r>
          </w:p>
        </w:tc>
        <w:tc>
          <w:tcPr>
            <w:tcW w:w="129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15</w:t>
            </w:r>
          </w:p>
        </w:tc>
        <w:tc>
          <w:tcPr>
            <w:tcW w:w="121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150</w:t>
            </w:r>
          </w:p>
        </w:tc>
      </w:tr>
      <w:tr>
        <w:tblPrEx>
          <w:tblCellMar>
            <w:top w:w="0" w:type="dxa"/>
            <w:left w:w="108" w:type="dxa"/>
            <w:bottom w:w="0" w:type="dxa"/>
            <w:right w:w="108" w:type="dxa"/>
          </w:tblCellMar>
        </w:tblPrEx>
        <w:trPr>
          <w:trHeight w:val="285" w:hRule="atLeast"/>
          <w:jc w:val="center"/>
        </w:trPr>
        <w:tc>
          <w:tcPr>
            <w:tcW w:w="1115"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57"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Cs w:val="21"/>
              </w:rPr>
            </w:pPr>
          </w:p>
        </w:tc>
        <w:tc>
          <w:tcPr>
            <w:tcW w:w="10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产生量</w:t>
            </w:r>
            <w:r>
              <w:rPr>
                <w:color w:val="000000"/>
                <w:kern w:val="0"/>
                <w:szCs w:val="21"/>
              </w:rPr>
              <w:t>(t/a)</w:t>
            </w:r>
          </w:p>
        </w:tc>
        <w:tc>
          <w:tcPr>
            <w:tcW w:w="131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8.3</w:t>
            </w:r>
            <w:r>
              <w:rPr>
                <w:rFonts w:hint="eastAsia"/>
                <w:color w:val="000000"/>
                <w:kern w:val="0"/>
                <w:szCs w:val="21"/>
              </w:rPr>
              <w:t>2</w:t>
            </w:r>
          </w:p>
        </w:tc>
        <w:tc>
          <w:tcPr>
            <w:tcW w:w="128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4.1</w:t>
            </w:r>
            <w:r>
              <w:rPr>
                <w:rFonts w:hint="eastAsia"/>
                <w:color w:val="000000"/>
                <w:kern w:val="0"/>
                <w:szCs w:val="21"/>
              </w:rPr>
              <w:t>6</w:t>
            </w:r>
          </w:p>
        </w:tc>
        <w:tc>
          <w:tcPr>
            <w:tcW w:w="134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3.3</w:t>
            </w:r>
            <w:r>
              <w:rPr>
                <w:rFonts w:hint="eastAsia"/>
                <w:color w:val="000000"/>
                <w:kern w:val="0"/>
                <w:szCs w:val="21"/>
              </w:rPr>
              <w:t>3</w:t>
            </w:r>
          </w:p>
        </w:tc>
        <w:tc>
          <w:tcPr>
            <w:tcW w:w="129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0.12</w:t>
            </w:r>
          </w:p>
        </w:tc>
        <w:tc>
          <w:tcPr>
            <w:tcW w:w="121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1.2</w:t>
            </w:r>
            <w:r>
              <w:rPr>
                <w:rFonts w:hint="eastAsia"/>
                <w:color w:val="000000"/>
                <w:kern w:val="0"/>
                <w:szCs w:val="21"/>
              </w:rPr>
              <w:t>5</w:t>
            </w:r>
          </w:p>
        </w:tc>
      </w:tr>
      <w:tr>
        <w:tblPrEx>
          <w:tblCellMar>
            <w:top w:w="0" w:type="dxa"/>
            <w:left w:w="108" w:type="dxa"/>
            <w:bottom w:w="0" w:type="dxa"/>
            <w:right w:w="108" w:type="dxa"/>
          </w:tblCellMar>
        </w:tblPrEx>
        <w:trPr>
          <w:trHeight w:val="540" w:hRule="atLeast"/>
          <w:jc w:val="center"/>
        </w:trPr>
        <w:tc>
          <w:tcPr>
            <w:tcW w:w="1115"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实验室废水</w:t>
            </w:r>
          </w:p>
        </w:tc>
        <w:tc>
          <w:tcPr>
            <w:tcW w:w="1057"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561</w:t>
            </w:r>
          </w:p>
        </w:tc>
        <w:tc>
          <w:tcPr>
            <w:tcW w:w="10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产生浓度</w:t>
            </w:r>
            <w:r>
              <w:rPr>
                <w:color w:val="000000"/>
                <w:kern w:val="0"/>
                <w:szCs w:val="21"/>
              </w:rPr>
              <w:t>(mg/l)</w:t>
            </w:r>
          </w:p>
        </w:tc>
        <w:tc>
          <w:tcPr>
            <w:tcW w:w="131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600</w:t>
            </w:r>
          </w:p>
        </w:tc>
        <w:tc>
          <w:tcPr>
            <w:tcW w:w="128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c>
          <w:tcPr>
            <w:tcW w:w="134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200</w:t>
            </w:r>
          </w:p>
        </w:tc>
        <w:tc>
          <w:tcPr>
            <w:tcW w:w="129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c>
          <w:tcPr>
            <w:tcW w:w="121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r>
      <w:tr>
        <w:tblPrEx>
          <w:tblCellMar>
            <w:top w:w="0" w:type="dxa"/>
            <w:left w:w="108" w:type="dxa"/>
            <w:bottom w:w="0" w:type="dxa"/>
            <w:right w:w="108" w:type="dxa"/>
          </w:tblCellMar>
        </w:tblPrEx>
        <w:trPr>
          <w:trHeight w:val="285" w:hRule="atLeast"/>
          <w:jc w:val="center"/>
        </w:trPr>
        <w:tc>
          <w:tcPr>
            <w:tcW w:w="1115"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57"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Cs w:val="21"/>
              </w:rPr>
            </w:pPr>
          </w:p>
        </w:tc>
        <w:tc>
          <w:tcPr>
            <w:tcW w:w="10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产生量</w:t>
            </w:r>
            <w:r>
              <w:rPr>
                <w:color w:val="000000"/>
                <w:kern w:val="0"/>
                <w:szCs w:val="21"/>
              </w:rPr>
              <w:t>(t/a)</w:t>
            </w:r>
          </w:p>
        </w:tc>
        <w:tc>
          <w:tcPr>
            <w:tcW w:w="131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0.3</w:t>
            </w:r>
            <w:r>
              <w:rPr>
                <w:rFonts w:hint="eastAsia"/>
                <w:color w:val="000000"/>
                <w:kern w:val="0"/>
                <w:szCs w:val="21"/>
              </w:rPr>
              <w:t>4</w:t>
            </w:r>
          </w:p>
        </w:tc>
        <w:tc>
          <w:tcPr>
            <w:tcW w:w="128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c>
          <w:tcPr>
            <w:tcW w:w="134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0.11</w:t>
            </w:r>
          </w:p>
        </w:tc>
        <w:tc>
          <w:tcPr>
            <w:tcW w:w="129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c>
          <w:tcPr>
            <w:tcW w:w="121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w:t>
            </w:r>
          </w:p>
        </w:tc>
      </w:tr>
      <w:tr>
        <w:tblPrEx>
          <w:tblCellMar>
            <w:top w:w="0" w:type="dxa"/>
            <w:left w:w="108" w:type="dxa"/>
            <w:bottom w:w="0" w:type="dxa"/>
            <w:right w:w="108" w:type="dxa"/>
          </w:tblCellMar>
        </w:tblPrEx>
        <w:trPr>
          <w:trHeight w:val="540" w:hRule="atLeast"/>
          <w:jc w:val="center"/>
        </w:trPr>
        <w:tc>
          <w:tcPr>
            <w:tcW w:w="1115"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化粪池出口</w:t>
            </w:r>
          </w:p>
        </w:tc>
        <w:tc>
          <w:tcPr>
            <w:tcW w:w="1057"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50457</w:t>
            </w:r>
          </w:p>
        </w:tc>
        <w:tc>
          <w:tcPr>
            <w:tcW w:w="10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排放浓度</w:t>
            </w:r>
            <w:r>
              <w:rPr>
                <w:color w:val="000000"/>
                <w:kern w:val="0"/>
                <w:szCs w:val="21"/>
              </w:rPr>
              <w:t>(mg/l)</w:t>
            </w:r>
          </w:p>
        </w:tc>
        <w:tc>
          <w:tcPr>
            <w:tcW w:w="131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35</w:t>
            </w:r>
            <w:r>
              <w:rPr>
                <w:rFonts w:hint="eastAsia"/>
                <w:color w:val="000000"/>
                <w:kern w:val="0"/>
                <w:szCs w:val="21"/>
              </w:rPr>
              <w:t>1</w:t>
            </w:r>
          </w:p>
        </w:tc>
        <w:tc>
          <w:tcPr>
            <w:tcW w:w="128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173</w:t>
            </w:r>
          </w:p>
        </w:tc>
        <w:tc>
          <w:tcPr>
            <w:tcW w:w="134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162</w:t>
            </w:r>
          </w:p>
        </w:tc>
        <w:tc>
          <w:tcPr>
            <w:tcW w:w="129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31</w:t>
            </w:r>
          </w:p>
        </w:tc>
        <w:tc>
          <w:tcPr>
            <w:tcW w:w="121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rFonts w:hint="eastAsia"/>
                <w:color w:val="000000"/>
                <w:kern w:val="0"/>
                <w:szCs w:val="21"/>
              </w:rPr>
              <w:t>5</w:t>
            </w:r>
          </w:p>
        </w:tc>
      </w:tr>
      <w:tr>
        <w:tblPrEx>
          <w:tblCellMar>
            <w:top w:w="0" w:type="dxa"/>
            <w:left w:w="108" w:type="dxa"/>
            <w:bottom w:w="0" w:type="dxa"/>
            <w:right w:w="108" w:type="dxa"/>
          </w:tblCellMar>
        </w:tblPrEx>
        <w:trPr>
          <w:trHeight w:val="285" w:hRule="atLeast"/>
          <w:jc w:val="center"/>
        </w:trPr>
        <w:tc>
          <w:tcPr>
            <w:tcW w:w="1115"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57"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Cs w:val="21"/>
              </w:rPr>
            </w:pPr>
          </w:p>
        </w:tc>
        <w:tc>
          <w:tcPr>
            <w:tcW w:w="10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排放量</w:t>
            </w:r>
            <w:r>
              <w:rPr>
                <w:color w:val="000000"/>
                <w:kern w:val="0"/>
                <w:szCs w:val="21"/>
              </w:rPr>
              <w:t>(t/a)</w:t>
            </w:r>
          </w:p>
        </w:tc>
        <w:tc>
          <w:tcPr>
            <w:tcW w:w="131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17.6</w:t>
            </w:r>
            <w:r>
              <w:rPr>
                <w:rFonts w:hint="eastAsia"/>
                <w:color w:val="000000"/>
                <w:kern w:val="0"/>
                <w:szCs w:val="21"/>
              </w:rPr>
              <w:t>7</w:t>
            </w:r>
          </w:p>
        </w:tc>
        <w:tc>
          <w:tcPr>
            <w:tcW w:w="128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8.73</w:t>
            </w:r>
          </w:p>
        </w:tc>
        <w:tc>
          <w:tcPr>
            <w:tcW w:w="134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8.18</w:t>
            </w:r>
          </w:p>
        </w:tc>
        <w:tc>
          <w:tcPr>
            <w:tcW w:w="129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1.58</w:t>
            </w:r>
          </w:p>
        </w:tc>
        <w:tc>
          <w:tcPr>
            <w:tcW w:w="121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0.2</w:t>
            </w:r>
            <w:r>
              <w:rPr>
                <w:rFonts w:hint="eastAsia"/>
                <w:color w:val="000000"/>
                <w:kern w:val="0"/>
                <w:szCs w:val="21"/>
              </w:rPr>
              <w:t>5</w:t>
            </w:r>
          </w:p>
        </w:tc>
      </w:tr>
      <w:tr>
        <w:tblPrEx>
          <w:tblCellMar>
            <w:top w:w="0" w:type="dxa"/>
            <w:left w:w="108" w:type="dxa"/>
            <w:bottom w:w="0" w:type="dxa"/>
            <w:right w:w="108" w:type="dxa"/>
          </w:tblCellMar>
        </w:tblPrEx>
        <w:trPr>
          <w:trHeight w:val="540" w:hRule="atLeast"/>
          <w:jc w:val="center"/>
        </w:trPr>
        <w:tc>
          <w:tcPr>
            <w:tcW w:w="1115"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污水处理厂出水</w:t>
            </w:r>
          </w:p>
        </w:tc>
        <w:tc>
          <w:tcPr>
            <w:tcW w:w="1057"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50457</w:t>
            </w:r>
          </w:p>
        </w:tc>
        <w:tc>
          <w:tcPr>
            <w:tcW w:w="10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排放浓度</w:t>
            </w:r>
            <w:r>
              <w:rPr>
                <w:color w:val="000000"/>
                <w:kern w:val="0"/>
                <w:szCs w:val="21"/>
              </w:rPr>
              <w:t>(mg/l)</w:t>
            </w:r>
          </w:p>
        </w:tc>
        <w:tc>
          <w:tcPr>
            <w:tcW w:w="131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50</w:t>
            </w:r>
          </w:p>
        </w:tc>
        <w:tc>
          <w:tcPr>
            <w:tcW w:w="128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10</w:t>
            </w:r>
          </w:p>
        </w:tc>
        <w:tc>
          <w:tcPr>
            <w:tcW w:w="134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10</w:t>
            </w:r>
          </w:p>
        </w:tc>
        <w:tc>
          <w:tcPr>
            <w:tcW w:w="129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5</w:t>
            </w:r>
          </w:p>
        </w:tc>
        <w:tc>
          <w:tcPr>
            <w:tcW w:w="121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1</w:t>
            </w:r>
          </w:p>
        </w:tc>
      </w:tr>
      <w:tr>
        <w:tblPrEx>
          <w:tblCellMar>
            <w:top w:w="0" w:type="dxa"/>
            <w:left w:w="108" w:type="dxa"/>
            <w:bottom w:w="0" w:type="dxa"/>
            <w:right w:w="108" w:type="dxa"/>
          </w:tblCellMar>
        </w:tblPrEx>
        <w:trPr>
          <w:trHeight w:val="285" w:hRule="atLeast"/>
          <w:jc w:val="center"/>
        </w:trPr>
        <w:tc>
          <w:tcPr>
            <w:tcW w:w="1115"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057"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Cs w:val="21"/>
              </w:rPr>
            </w:pPr>
          </w:p>
        </w:tc>
        <w:tc>
          <w:tcPr>
            <w:tcW w:w="10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排放量</w:t>
            </w:r>
            <w:r>
              <w:rPr>
                <w:color w:val="000000"/>
                <w:kern w:val="0"/>
                <w:szCs w:val="21"/>
              </w:rPr>
              <w:t>(t/a)</w:t>
            </w:r>
          </w:p>
        </w:tc>
        <w:tc>
          <w:tcPr>
            <w:tcW w:w="131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2.52</w:t>
            </w:r>
          </w:p>
        </w:tc>
        <w:tc>
          <w:tcPr>
            <w:tcW w:w="128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0.50</w:t>
            </w:r>
          </w:p>
        </w:tc>
        <w:tc>
          <w:tcPr>
            <w:tcW w:w="134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0.50</w:t>
            </w:r>
          </w:p>
        </w:tc>
        <w:tc>
          <w:tcPr>
            <w:tcW w:w="129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0.25</w:t>
            </w:r>
          </w:p>
        </w:tc>
        <w:tc>
          <w:tcPr>
            <w:tcW w:w="121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0.050</w:t>
            </w:r>
          </w:p>
        </w:tc>
      </w:tr>
      <w:tr>
        <w:tblPrEx>
          <w:tblCellMar>
            <w:top w:w="0" w:type="dxa"/>
            <w:left w:w="108" w:type="dxa"/>
            <w:bottom w:w="0" w:type="dxa"/>
            <w:right w:w="108" w:type="dxa"/>
          </w:tblCellMar>
        </w:tblPrEx>
        <w:trPr>
          <w:trHeight w:val="540" w:hRule="atLeast"/>
          <w:jc w:val="center"/>
        </w:trPr>
        <w:tc>
          <w:tcPr>
            <w:tcW w:w="1115"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核定</w:t>
            </w:r>
          </w:p>
          <w:p>
            <w:pPr>
              <w:widowControl/>
              <w:jc w:val="center"/>
              <w:rPr>
                <w:rFonts w:ascii="宋体" w:hAnsi="宋体" w:cs="宋体"/>
                <w:color w:val="000000"/>
                <w:kern w:val="0"/>
                <w:szCs w:val="21"/>
              </w:rPr>
            </w:pPr>
            <w:r>
              <w:rPr>
                <w:rFonts w:hint="eastAsia" w:ascii="宋体" w:hAnsi="宋体" w:cs="宋体"/>
                <w:color w:val="000000"/>
                <w:kern w:val="0"/>
                <w:szCs w:val="21"/>
              </w:rPr>
              <w:t>总量</w:t>
            </w:r>
          </w:p>
        </w:tc>
        <w:tc>
          <w:tcPr>
            <w:tcW w:w="1057"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50457</w:t>
            </w:r>
          </w:p>
        </w:tc>
        <w:tc>
          <w:tcPr>
            <w:tcW w:w="10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排放总量（</w:t>
            </w:r>
            <w:r>
              <w:rPr>
                <w:color w:val="000000"/>
                <w:kern w:val="0"/>
                <w:szCs w:val="21"/>
              </w:rPr>
              <w:t>t/a</w:t>
            </w:r>
            <w:r>
              <w:rPr>
                <w:rFonts w:hint="eastAsia" w:ascii="宋体" w:hAnsi="宋体" w:cs="宋体"/>
                <w:color w:val="000000"/>
                <w:kern w:val="0"/>
                <w:szCs w:val="21"/>
              </w:rPr>
              <w:t>）</w:t>
            </w:r>
          </w:p>
        </w:tc>
        <w:tc>
          <w:tcPr>
            <w:tcW w:w="131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2.52</w:t>
            </w:r>
          </w:p>
        </w:tc>
        <w:tc>
          <w:tcPr>
            <w:tcW w:w="128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0.50</w:t>
            </w:r>
          </w:p>
        </w:tc>
        <w:tc>
          <w:tcPr>
            <w:tcW w:w="1349"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0.50</w:t>
            </w:r>
          </w:p>
        </w:tc>
        <w:tc>
          <w:tcPr>
            <w:tcW w:w="129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0.25</w:t>
            </w:r>
          </w:p>
        </w:tc>
        <w:tc>
          <w:tcPr>
            <w:tcW w:w="1214"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kern w:val="0"/>
                <w:szCs w:val="21"/>
              </w:rPr>
              <w:t>0.050</w:t>
            </w:r>
          </w:p>
        </w:tc>
      </w:tr>
    </w:tbl>
    <w:p>
      <w:pPr>
        <w:spacing w:line="360" w:lineRule="auto"/>
        <w:jc w:val="left"/>
        <w:outlineLvl w:val="3"/>
        <w:rPr>
          <w:b/>
          <w:sz w:val="24"/>
          <w:szCs w:val="24"/>
        </w:rPr>
      </w:pPr>
      <w:r>
        <w:rPr>
          <w:b/>
          <w:sz w:val="24"/>
          <w:szCs w:val="24"/>
        </w:rPr>
        <w:t>3.8.2</w:t>
      </w:r>
      <w:r>
        <w:rPr>
          <w:rFonts w:hint="eastAsia"/>
          <w:b/>
          <w:sz w:val="24"/>
          <w:szCs w:val="24"/>
        </w:rPr>
        <w:t>运营</w:t>
      </w:r>
      <w:r>
        <w:rPr>
          <w:b/>
          <w:sz w:val="24"/>
          <w:szCs w:val="24"/>
        </w:rPr>
        <w:t>期废气污染源及源强分析</w:t>
      </w:r>
    </w:p>
    <w:p>
      <w:pPr>
        <w:spacing w:line="360" w:lineRule="auto"/>
        <w:ind w:firstLine="480" w:firstLineChars="200"/>
        <w:rPr>
          <w:sz w:val="24"/>
        </w:rPr>
      </w:pPr>
      <w:r>
        <w:rPr>
          <w:sz w:val="24"/>
        </w:rPr>
        <w:t>本项目运营期产生的废气主要为</w:t>
      </w:r>
      <w:r>
        <w:rPr>
          <w:rFonts w:hint="eastAsia"/>
          <w:sz w:val="24"/>
        </w:rPr>
        <w:t>实验室废气、</w:t>
      </w:r>
      <w:r>
        <w:rPr>
          <w:sz w:val="24"/>
        </w:rPr>
        <w:t>食堂油烟废气、备用柴油发电机废气以及汽车尾气等。</w:t>
      </w:r>
    </w:p>
    <w:p>
      <w:pPr>
        <w:spacing w:line="360" w:lineRule="auto"/>
        <w:ind w:firstLine="480" w:firstLineChars="200"/>
        <w:rPr>
          <w:sz w:val="24"/>
        </w:rPr>
      </w:pPr>
      <w:r>
        <w:rPr>
          <w:rFonts w:hint="eastAsia"/>
          <w:sz w:val="24"/>
        </w:rPr>
        <w:t>（</w:t>
      </w:r>
      <w:r>
        <w:rPr>
          <w:sz w:val="24"/>
        </w:rPr>
        <w:t>1</w:t>
      </w:r>
      <w:r>
        <w:rPr>
          <w:rFonts w:hint="eastAsia"/>
          <w:sz w:val="24"/>
        </w:rPr>
        <w:t>）实验室废气</w:t>
      </w:r>
    </w:p>
    <w:p>
      <w:pPr>
        <w:spacing w:line="360" w:lineRule="auto"/>
        <w:ind w:firstLine="480" w:firstLineChars="200"/>
        <w:rPr>
          <w:sz w:val="24"/>
        </w:rPr>
      </w:pPr>
      <w:r>
        <w:rPr>
          <w:rFonts w:hint="eastAsia"/>
          <w:sz w:val="24"/>
        </w:rPr>
        <w:t>本项目在化学实验过程中产生废气包括试剂和样品的挥发物、分析过程中间产物、泄漏和排空的标准气和载气等。由于高中实验主要为教学演示实验，实验规模很小，在实验过程中使用的药品大多为高中常规化学药品，以酸碱盐为主，挥发性药品和实验过程中会产生一些实验废气主要为化学反应产生的少量废气（包括酸碱废气、</w:t>
      </w:r>
      <w:r>
        <w:rPr>
          <w:sz w:val="24"/>
        </w:rPr>
        <w:t>CO</w:t>
      </w:r>
      <w:r>
        <w:rPr>
          <w:rFonts w:hint="eastAsia"/>
          <w:sz w:val="24"/>
        </w:rPr>
        <w:t>、</w:t>
      </w:r>
      <w:r>
        <w:rPr>
          <w:sz w:val="24"/>
        </w:rPr>
        <w:t>SO</w:t>
      </w:r>
      <w:r>
        <w:rPr>
          <w:sz w:val="24"/>
          <w:vertAlign w:val="subscript"/>
        </w:rPr>
        <w:t>2</w:t>
      </w:r>
      <w:r>
        <w:rPr>
          <w:rFonts w:hint="eastAsia"/>
          <w:sz w:val="24"/>
        </w:rPr>
        <w:t>、</w:t>
      </w:r>
      <w:r>
        <w:rPr>
          <w:sz w:val="24"/>
        </w:rPr>
        <w:t>NO</w:t>
      </w:r>
      <w:r>
        <w:rPr>
          <w:sz w:val="24"/>
          <w:vertAlign w:val="subscript"/>
        </w:rPr>
        <w:t>2</w:t>
      </w:r>
      <w:r>
        <w:rPr>
          <w:rFonts w:hint="eastAsia"/>
          <w:sz w:val="24"/>
        </w:rPr>
        <w:t>等气体），属于间歇性排放。实验室配备实验室通风柜，对实验过程中可能产生氯化氢等挥发性的实验在实验室通风操作台内完成，通过实验室通风柜引至高中部综合楼楼顶排放，因此，实验室废气对环境产生的影响很小</w:t>
      </w:r>
      <w:r>
        <w:rPr>
          <w:rStyle w:val="87"/>
          <w:rFonts w:hint="default"/>
        </w:rPr>
        <w:t>。</w:t>
      </w:r>
    </w:p>
    <w:p>
      <w:pPr>
        <w:spacing w:line="360" w:lineRule="auto"/>
        <w:ind w:firstLine="480" w:firstLineChars="200"/>
        <w:rPr>
          <w:sz w:val="24"/>
        </w:rPr>
      </w:pPr>
      <w:r>
        <w:rPr>
          <w:sz w:val="24"/>
        </w:rPr>
        <w:t>（2）油烟废气</w:t>
      </w:r>
    </w:p>
    <w:p>
      <w:pPr>
        <w:spacing w:line="520" w:lineRule="exact"/>
        <w:ind w:firstLine="480" w:firstLineChars="200"/>
        <w:rPr>
          <w:sz w:val="24"/>
        </w:rPr>
      </w:pPr>
      <w:r>
        <w:rPr>
          <w:sz w:val="24"/>
        </w:rPr>
        <w:t>油烟废气主要是食物烹饪、加工过程中挥发的油脂、有机质及加热产物等组成。项目</w:t>
      </w:r>
      <w:r>
        <w:rPr>
          <w:rFonts w:hint="eastAsia"/>
          <w:sz w:val="24"/>
        </w:rPr>
        <w:t>现有</w:t>
      </w:r>
      <w:r>
        <w:rPr>
          <w:sz w:val="24"/>
        </w:rPr>
        <w:t>厨房设有</w:t>
      </w:r>
      <w:r>
        <w:rPr>
          <w:rFonts w:hint="eastAsia"/>
          <w:sz w:val="24"/>
        </w:rPr>
        <w:t>6</w:t>
      </w:r>
      <w:r>
        <w:rPr>
          <w:sz w:val="24"/>
        </w:rPr>
        <w:t>个基准灶头，</w:t>
      </w:r>
      <w:r>
        <w:rPr>
          <w:rFonts w:hint="eastAsia"/>
          <w:sz w:val="24"/>
        </w:rPr>
        <w:t>扩建后为14个灶头，就餐人数约</w:t>
      </w:r>
      <w:r>
        <w:rPr>
          <w:sz w:val="24"/>
        </w:rPr>
        <w:t xml:space="preserve"> </w:t>
      </w:r>
      <w:r>
        <w:rPr>
          <w:rFonts w:hint="eastAsia"/>
          <w:sz w:val="24"/>
        </w:rPr>
        <w:t>7</w:t>
      </w:r>
      <w:r>
        <w:rPr>
          <w:sz w:val="24"/>
        </w:rPr>
        <w:t xml:space="preserve">00 </w:t>
      </w:r>
      <w:r>
        <w:rPr>
          <w:rFonts w:hint="eastAsia"/>
          <w:sz w:val="24"/>
        </w:rPr>
        <w:t>人，类比相关项目的情况，食用油消耗系数为</w:t>
      </w:r>
      <w:r>
        <w:rPr>
          <w:sz w:val="24"/>
        </w:rPr>
        <w:t xml:space="preserve"> 0.03kg/</w:t>
      </w:r>
      <w:r>
        <w:rPr>
          <w:rFonts w:hint="eastAsia"/>
          <w:sz w:val="24"/>
        </w:rPr>
        <w:t>人</w:t>
      </w:r>
      <w:r>
        <w:rPr>
          <w:sz w:val="24"/>
        </w:rPr>
        <w:t>·</w:t>
      </w:r>
      <w:r>
        <w:rPr>
          <w:rFonts w:hint="eastAsia"/>
          <w:sz w:val="24"/>
        </w:rPr>
        <w:t>天，且油烟挥发量平均约占总耗油量的</w:t>
      </w:r>
      <w:r>
        <w:rPr>
          <w:sz w:val="24"/>
        </w:rPr>
        <w:t xml:space="preserve"> 2%~4%</w:t>
      </w:r>
      <w:r>
        <w:rPr>
          <w:rFonts w:hint="eastAsia"/>
          <w:sz w:val="24"/>
        </w:rPr>
        <w:t>，本项目取</w:t>
      </w:r>
      <w:r>
        <w:rPr>
          <w:sz w:val="24"/>
        </w:rPr>
        <w:t xml:space="preserve"> 3%</w:t>
      </w:r>
      <w:r>
        <w:rPr>
          <w:rFonts w:hint="eastAsia"/>
          <w:sz w:val="24"/>
        </w:rPr>
        <w:t>计。经过油烟机后可以截留</w:t>
      </w:r>
      <w:r>
        <w:rPr>
          <w:sz w:val="24"/>
        </w:rPr>
        <w:t>85%</w:t>
      </w:r>
      <w:r>
        <w:rPr>
          <w:rFonts w:hint="eastAsia"/>
          <w:sz w:val="24"/>
        </w:rPr>
        <w:t>的油烟，则估算得本项目油烟废气产生情况见表3</w:t>
      </w:r>
      <w:r>
        <w:rPr>
          <w:sz w:val="24"/>
        </w:rPr>
        <w:t>.</w:t>
      </w:r>
      <w:r>
        <w:rPr>
          <w:rFonts w:hint="eastAsia"/>
          <w:sz w:val="24"/>
        </w:rPr>
        <w:t>8</w:t>
      </w:r>
      <w:r>
        <w:rPr>
          <w:sz w:val="24"/>
        </w:rPr>
        <w:t>-2</w:t>
      </w:r>
      <w:r>
        <w:rPr>
          <w:rFonts w:hint="eastAsia"/>
          <w:sz w:val="24"/>
        </w:rPr>
        <w:t>。厨房油烟经过处理后通过排烟管道引至学生教师周转房屋顶排放。</w:t>
      </w:r>
    </w:p>
    <w:p>
      <w:pPr>
        <w:pStyle w:val="99"/>
        <w:spacing w:line="520" w:lineRule="exact"/>
      </w:pPr>
      <w:r>
        <w:rPr>
          <w:rFonts w:hint="eastAsia"/>
        </w:rPr>
        <w:t>表3</w:t>
      </w:r>
      <w:r>
        <w:t>.</w:t>
      </w:r>
      <w:r>
        <w:rPr>
          <w:rFonts w:hint="eastAsia"/>
        </w:rPr>
        <w:t>8</w:t>
      </w:r>
      <w:r>
        <w:t xml:space="preserve">-2 </w:t>
      </w:r>
      <w:r>
        <w:rPr>
          <w:rFonts w:hint="eastAsia"/>
        </w:rPr>
        <w:t>油烟排放量估算一览表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450"/>
        <w:gridCol w:w="1276"/>
        <w:gridCol w:w="1384"/>
        <w:gridCol w:w="1714"/>
        <w:gridCol w:w="912"/>
        <w:gridCol w:w="1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33" w:type="dxa"/>
            <w:tcBorders>
              <w:top w:val="single" w:color="auto" w:sz="12" w:space="0"/>
              <w:left w:val="nil"/>
              <w:bottom w:val="single" w:color="auto" w:sz="4" w:space="0"/>
              <w:right w:val="single" w:color="auto" w:sz="4" w:space="0"/>
            </w:tcBorders>
            <w:vAlign w:val="center"/>
          </w:tcPr>
          <w:p>
            <w:pPr>
              <w:adjustRightInd w:val="0"/>
              <w:snapToGrid w:val="0"/>
              <w:jc w:val="center"/>
              <w:textAlignment w:val="center"/>
              <w:rPr>
                <w:snapToGrid w:val="0"/>
                <w:kern w:val="0"/>
                <w:szCs w:val="21"/>
              </w:rPr>
            </w:pPr>
            <w:r>
              <w:rPr>
                <w:rFonts w:hint="eastAsia"/>
                <w:snapToGrid w:val="0"/>
                <w:kern w:val="0"/>
                <w:szCs w:val="21"/>
              </w:rPr>
              <w:t>类型</w:t>
            </w:r>
          </w:p>
        </w:tc>
        <w:tc>
          <w:tcPr>
            <w:tcW w:w="1450"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center"/>
              <w:rPr>
                <w:snapToGrid w:val="0"/>
                <w:kern w:val="0"/>
                <w:szCs w:val="21"/>
              </w:rPr>
            </w:pPr>
            <w:r>
              <w:rPr>
                <w:rFonts w:hint="eastAsia"/>
                <w:snapToGrid w:val="0"/>
                <w:kern w:val="0"/>
                <w:szCs w:val="21"/>
              </w:rPr>
              <w:t>规模</w:t>
            </w:r>
          </w:p>
        </w:tc>
        <w:tc>
          <w:tcPr>
            <w:tcW w:w="1276"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center"/>
              <w:rPr>
                <w:snapToGrid w:val="0"/>
                <w:kern w:val="0"/>
                <w:szCs w:val="21"/>
              </w:rPr>
            </w:pPr>
            <w:r>
              <w:rPr>
                <w:rFonts w:hint="eastAsia"/>
                <w:snapToGrid w:val="0"/>
                <w:kern w:val="0"/>
                <w:szCs w:val="21"/>
              </w:rPr>
              <w:t>耗油量（</w:t>
            </w:r>
            <w:r>
              <w:rPr>
                <w:snapToGrid w:val="0"/>
                <w:kern w:val="0"/>
                <w:szCs w:val="21"/>
              </w:rPr>
              <w:t>t/a</w:t>
            </w:r>
            <w:r>
              <w:rPr>
                <w:rFonts w:hint="eastAsia"/>
                <w:snapToGrid w:val="0"/>
                <w:kern w:val="0"/>
                <w:szCs w:val="21"/>
              </w:rPr>
              <w:t>）</w:t>
            </w:r>
          </w:p>
        </w:tc>
        <w:tc>
          <w:tcPr>
            <w:tcW w:w="1384"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center"/>
              <w:rPr>
                <w:snapToGrid w:val="0"/>
                <w:kern w:val="0"/>
                <w:szCs w:val="21"/>
              </w:rPr>
            </w:pPr>
            <w:r>
              <w:rPr>
                <w:rFonts w:hint="eastAsia"/>
                <w:snapToGrid w:val="0"/>
                <w:kern w:val="0"/>
                <w:szCs w:val="21"/>
              </w:rPr>
              <w:t>挥发系数（</w:t>
            </w:r>
            <w:r>
              <w:rPr>
                <w:snapToGrid w:val="0"/>
                <w:kern w:val="0"/>
                <w:szCs w:val="21"/>
              </w:rPr>
              <w:t>%</w:t>
            </w:r>
            <w:r>
              <w:rPr>
                <w:rFonts w:hint="eastAsia"/>
                <w:snapToGrid w:val="0"/>
                <w:kern w:val="0"/>
                <w:szCs w:val="21"/>
              </w:rPr>
              <w:t>）</w:t>
            </w:r>
          </w:p>
        </w:tc>
        <w:tc>
          <w:tcPr>
            <w:tcW w:w="1714"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center"/>
              <w:rPr>
                <w:snapToGrid w:val="0"/>
                <w:kern w:val="0"/>
                <w:szCs w:val="21"/>
              </w:rPr>
            </w:pPr>
            <w:r>
              <w:rPr>
                <w:rFonts w:hint="eastAsia"/>
                <w:snapToGrid w:val="0"/>
                <w:kern w:val="0"/>
                <w:szCs w:val="21"/>
              </w:rPr>
              <w:t>油烟产生量（</w:t>
            </w:r>
            <w:r>
              <w:rPr>
                <w:snapToGrid w:val="0"/>
                <w:kern w:val="0"/>
                <w:szCs w:val="21"/>
              </w:rPr>
              <w:t>kg/a</w:t>
            </w:r>
            <w:r>
              <w:rPr>
                <w:rFonts w:hint="eastAsia"/>
                <w:snapToGrid w:val="0"/>
                <w:kern w:val="0"/>
                <w:szCs w:val="21"/>
              </w:rPr>
              <w:t>）</w:t>
            </w:r>
          </w:p>
        </w:tc>
        <w:tc>
          <w:tcPr>
            <w:tcW w:w="912"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center"/>
              <w:rPr>
                <w:szCs w:val="24"/>
              </w:rPr>
            </w:pPr>
            <w:r>
              <w:rPr>
                <w:rFonts w:hint="eastAsia"/>
                <w:snapToGrid w:val="0"/>
                <w:kern w:val="0"/>
                <w:szCs w:val="21"/>
              </w:rPr>
              <w:t>净化效率</w:t>
            </w:r>
          </w:p>
        </w:tc>
        <w:tc>
          <w:tcPr>
            <w:tcW w:w="1714" w:type="dxa"/>
            <w:tcBorders>
              <w:top w:val="single" w:color="auto" w:sz="12" w:space="0"/>
              <w:left w:val="single" w:color="auto" w:sz="4" w:space="0"/>
              <w:bottom w:val="single" w:color="auto" w:sz="4" w:space="0"/>
              <w:right w:val="nil"/>
            </w:tcBorders>
            <w:vAlign w:val="center"/>
          </w:tcPr>
          <w:p>
            <w:pPr>
              <w:adjustRightInd w:val="0"/>
              <w:snapToGrid w:val="0"/>
              <w:jc w:val="center"/>
              <w:textAlignment w:val="center"/>
              <w:rPr>
                <w:snapToGrid w:val="0"/>
                <w:kern w:val="0"/>
                <w:szCs w:val="21"/>
              </w:rPr>
            </w:pPr>
            <w:r>
              <w:rPr>
                <w:rFonts w:hint="eastAsia"/>
                <w:snapToGrid w:val="0"/>
                <w:kern w:val="0"/>
                <w:szCs w:val="21"/>
              </w:rPr>
              <w:t>油烟排放量（</w:t>
            </w:r>
            <w:r>
              <w:rPr>
                <w:snapToGrid w:val="0"/>
                <w:kern w:val="0"/>
                <w:szCs w:val="21"/>
              </w:rPr>
              <w:t>kg/a</w:t>
            </w:r>
            <w:r>
              <w:rPr>
                <w:rFonts w:hint="eastAsia"/>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33" w:type="dxa"/>
            <w:tcBorders>
              <w:top w:val="single" w:color="auto" w:sz="4" w:space="0"/>
              <w:left w:val="nil"/>
              <w:bottom w:val="single" w:color="auto" w:sz="12" w:space="0"/>
              <w:right w:val="single" w:color="auto" w:sz="4" w:space="0"/>
            </w:tcBorders>
            <w:vAlign w:val="center"/>
          </w:tcPr>
          <w:p>
            <w:pPr>
              <w:adjustRightInd w:val="0"/>
              <w:snapToGrid w:val="0"/>
              <w:jc w:val="center"/>
              <w:textAlignment w:val="center"/>
              <w:rPr>
                <w:snapToGrid w:val="0"/>
                <w:kern w:val="0"/>
                <w:szCs w:val="21"/>
              </w:rPr>
            </w:pPr>
            <w:r>
              <w:rPr>
                <w:rFonts w:hint="eastAsia"/>
                <w:snapToGrid w:val="0"/>
                <w:kern w:val="0"/>
                <w:szCs w:val="21"/>
              </w:rPr>
              <w:t>居民</w:t>
            </w:r>
          </w:p>
        </w:tc>
        <w:tc>
          <w:tcPr>
            <w:tcW w:w="1450"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center"/>
              <w:rPr>
                <w:snapToGrid w:val="0"/>
                <w:kern w:val="0"/>
                <w:szCs w:val="21"/>
              </w:rPr>
            </w:pPr>
            <w:r>
              <w:rPr>
                <w:rFonts w:hint="eastAsia"/>
                <w:szCs w:val="21"/>
              </w:rPr>
              <w:t>7</w:t>
            </w:r>
            <w:r>
              <w:rPr>
                <w:szCs w:val="21"/>
              </w:rPr>
              <w:t>00</w:t>
            </w:r>
            <w:r>
              <w:rPr>
                <w:rFonts w:hint="eastAsia"/>
                <w:snapToGrid w:val="0"/>
                <w:kern w:val="0"/>
                <w:szCs w:val="21"/>
              </w:rPr>
              <w:t>人，</w:t>
            </w:r>
            <w:r>
              <w:rPr>
                <w:snapToGrid w:val="0"/>
                <w:kern w:val="0"/>
                <w:szCs w:val="21"/>
              </w:rPr>
              <w:t>30g/</w:t>
            </w:r>
            <w:r>
              <w:rPr>
                <w:rFonts w:hint="eastAsia"/>
                <w:snapToGrid w:val="0"/>
                <w:kern w:val="0"/>
                <w:szCs w:val="21"/>
              </w:rPr>
              <w:t>（人</w:t>
            </w:r>
            <w:r>
              <w:rPr>
                <w:snapToGrid w:val="0"/>
                <w:kern w:val="0"/>
                <w:szCs w:val="21"/>
              </w:rPr>
              <w:t>·d</w:t>
            </w:r>
            <w:r>
              <w:rPr>
                <w:rFonts w:hint="eastAsia"/>
                <w:snapToGrid w:val="0"/>
                <w:kern w:val="0"/>
                <w:szCs w:val="21"/>
              </w:rPr>
              <w:t>）</w:t>
            </w:r>
          </w:p>
        </w:tc>
        <w:tc>
          <w:tcPr>
            <w:tcW w:w="127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center"/>
              <w:rPr>
                <w:snapToGrid w:val="0"/>
                <w:kern w:val="0"/>
                <w:szCs w:val="21"/>
              </w:rPr>
            </w:pPr>
            <w:r>
              <w:rPr>
                <w:snapToGrid w:val="0"/>
                <w:kern w:val="0"/>
                <w:szCs w:val="21"/>
              </w:rPr>
              <w:t>2.4</w:t>
            </w:r>
          </w:p>
        </w:tc>
        <w:tc>
          <w:tcPr>
            <w:tcW w:w="1384"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center"/>
              <w:rPr>
                <w:snapToGrid w:val="0"/>
                <w:kern w:val="0"/>
                <w:szCs w:val="21"/>
              </w:rPr>
            </w:pPr>
            <w:r>
              <w:rPr>
                <w:snapToGrid w:val="0"/>
                <w:kern w:val="0"/>
                <w:szCs w:val="21"/>
              </w:rPr>
              <w:t>3</w:t>
            </w:r>
          </w:p>
        </w:tc>
        <w:tc>
          <w:tcPr>
            <w:tcW w:w="1714"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center"/>
              <w:rPr>
                <w:snapToGrid w:val="0"/>
                <w:kern w:val="0"/>
                <w:szCs w:val="21"/>
              </w:rPr>
            </w:pPr>
            <w:r>
              <w:rPr>
                <w:rFonts w:hint="eastAsia"/>
                <w:snapToGrid w:val="0"/>
                <w:kern w:val="0"/>
                <w:szCs w:val="21"/>
              </w:rPr>
              <w:t>126</w:t>
            </w:r>
          </w:p>
        </w:tc>
        <w:tc>
          <w:tcPr>
            <w:tcW w:w="91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center"/>
              <w:rPr>
                <w:szCs w:val="24"/>
              </w:rPr>
            </w:pPr>
            <w:r>
              <w:rPr>
                <w:snapToGrid w:val="0"/>
                <w:kern w:val="0"/>
                <w:szCs w:val="21"/>
              </w:rPr>
              <w:t>85%</w:t>
            </w:r>
          </w:p>
        </w:tc>
        <w:tc>
          <w:tcPr>
            <w:tcW w:w="1714" w:type="dxa"/>
            <w:tcBorders>
              <w:top w:val="single" w:color="auto" w:sz="4" w:space="0"/>
              <w:left w:val="single" w:color="auto" w:sz="4" w:space="0"/>
              <w:bottom w:val="single" w:color="auto" w:sz="12" w:space="0"/>
              <w:right w:val="nil"/>
            </w:tcBorders>
            <w:vAlign w:val="center"/>
          </w:tcPr>
          <w:p>
            <w:pPr>
              <w:adjustRightInd w:val="0"/>
              <w:snapToGrid w:val="0"/>
              <w:jc w:val="center"/>
              <w:textAlignment w:val="center"/>
              <w:rPr>
                <w:snapToGrid w:val="0"/>
                <w:kern w:val="0"/>
                <w:szCs w:val="21"/>
              </w:rPr>
            </w:pPr>
            <w:r>
              <w:rPr>
                <w:rFonts w:hint="eastAsia"/>
                <w:snapToGrid w:val="0"/>
                <w:kern w:val="0"/>
                <w:szCs w:val="21"/>
              </w:rPr>
              <w:t>18.9</w:t>
            </w:r>
          </w:p>
        </w:tc>
      </w:tr>
    </w:tbl>
    <w:p>
      <w:pPr>
        <w:spacing w:line="360" w:lineRule="auto"/>
        <w:ind w:firstLine="480" w:firstLineChars="200"/>
        <w:rPr>
          <w:sz w:val="24"/>
        </w:rPr>
      </w:pPr>
      <w:r>
        <w:rPr>
          <w:sz w:val="24"/>
        </w:rPr>
        <w:t>（3）汽车尾气</w:t>
      </w:r>
    </w:p>
    <w:p>
      <w:pPr>
        <w:spacing w:line="360" w:lineRule="auto"/>
        <w:ind w:firstLine="480" w:firstLineChars="200"/>
        <w:rPr>
          <w:sz w:val="24"/>
        </w:rPr>
      </w:pPr>
      <w:r>
        <w:rPr>
          <w:sz w:val="24"/>
        </w:rPr>
        <w:t>本项目内共设1</w:t>
      </w:r>
      <w:r>
        <w:rPr>
          <w:rFonts w:hint="eastAsia"/>
          <w:sz w:val="24"/>
        </w:rPr>
        <w:t>40</w:t>
      </w:r>
      <w:r>
        <w:rPr>
          <w:sz w:val="24"/>
        </w:rPr>
        <w:t>个机动车停车位，其中地面停车位</w:t>
      </w:r>
      <w:r>
        <w:rPr>
          <w:rFonts w:hint="eastAsia"/>
          <w:sz w:val="24"/>
        </w:rPr>
        <w:t>63</w:t>
      </w:r>
      <w:r>
        <w:rPr>
          <w:sz w:val="24"/>
        </w:rPr>
        <w:t>个，地下7</w:t>
      </w:r>
      <w:r>
        <w:rPr>
          <w:rFonts w:hint="eastAsia"/>
          <w:sz w:val="24"/>
        </w:rPr>
        <w:t>7</w:t>
      </w:r>
      <w:r>
        <w:rPr>
          <w:sz w:val="24"/>
        </w:rPr>
        <w:t>个，停车场主要供学校教职工及社会汽车停车，一般都以燃烧轻型汽油的车型为主，排放的废气主要污染物为CO、HC及NOx等。</w:t>
      </w:r>
    </w:p>
    <w:p>
      <w:pPr>
        <w:spacing w:line="360" w:lineRule="auto"/>
        <w:ind w:firstLine="480" w:firstLineChars="200"/>
        <w:rPr>
          <w:sz w:val="24"/>
        </w:rPr>
      </w:pPr>
      <w:r>
        <w:rPr>
          <w:sz w:val="24"/>
        </w:rPr>
        <w:t>项目地下停车采用进入区内直接进地下车库的方式，地下停车库建设在高中综合楼下方，地下室车库按防火风区设置机械排烟和机械补风系统，地下车库通风设施运行正常，可保证地下层空气质量；另外地下层停车库的排风口应朝向绿化带，高度建议要在地面2.5m以上，高于人群的呼吸带，以减少对居民的身体健康影响。</w:t>
      </w:r>
    </w:p>
    <w:p>
      <w:pPr>
        <w:spacing w:line="360" w:lineRule="auto"/>
        <w:ind w:firstLine="480" w:firstLineChars="200"/>
        <w:rPr>
          <w:sz w:val="24"/>
        </w:rPr>
      </w:pPr>
      <w:r>
        <w:rPr>
          <w:sz w:val="24"/>
        </w:rPr>
        <w:t>（4）备用柴油发电机废气</w:t>
      </w:r>
    </w:p>
    <w:p>
      <w:pPr>
        <w:spacing w:line="360" w:lineRule="auto"/>
        <w:ind w:firstLine="480" w:firstLineChars="200"/>
        <w:rPr>
          <w:sz w:val="24"/>
        </w:rPr>
      </w:pPr>
      <w:r>
        <w:rPr>
          <w:sz w:val="24"/>
        </w:rPr>
        <w:t>本项目地面一层发电机房</w:t>
      </w:r>
      <w:r>
        <w:rPr>
          <w:rFonts w:hint="eastAsia"/>
          <w:sz w:val="24"/>
        </w:rPr>
        <w:t>现有1台20</w:t>
      </w:r>
      <w:r>
        <w:rPr>
          <w:sz w:val="24"/>
        </w:rPr>
        <w:t>0kW柴油发电机，</w:t>
      </w:r>
      <w:r>
        <w:rPr>
          <w:rFonts w:hint="eastAsia"/>
          <w:sz w:val="24"/>
        </w:rPr>
        <w:t>于</w:t>
      </w:r>
      <w:r>
        <w:rPr>
          <w:sz w:val="24"/>
        </w:rPr>
        <w:t>学生教师中转房一层</w:t>
      </w:r>
      <w:r>
        <w:rPr>
          <w:rFonts w:hint="eastAsia"/>
          <w:sz w:val="24"/>
        </w:rPr>
        <w:t>新建</w:t>
      </w:r>
      <w:r>
        <w:rPr>
          <w:sz w:val="24"/>
        </w:rPr>
        <w:t>一个</w:t>
      </w:r>
      <w:r>
        <w:rPr>
          <w:rFonts w:hint="eastAsia"/>
          <w:sz w:val="24"/>
        </w:rPr>
        <w:t>发电机房，</w:t>
      </w:r>
      <w:r>
        <w:rPr>
          <w:sz w:val="24"/>
        </w:rPr>
        <w:t>设1台</w:t>
      </w:r>
      <w:r>
        <w:rPr>
          <w:rFonts w:hint="eastAsia"/>
          <w:sz w:val="24"/>
        </w:rPr>
        <w:t>40</w:t>
      </w:r>
      <w:r>
        <w:rPr>
          <w:sz w:val="24"/>
        </w:rPr>
        <w:t>0kW柴油发电机</w:t>
      </w:r>
      <w:r>
        <w:rPr>
          <w:rFonts w:hint="eastAsia"/>
          <w:sz w:val="24"/>
        </w:rPr>
        <w:t>，均</w:t>
      </w:r>
      <w:r>
        <w:rPr>
          <w:sz w:val="24"/>
        </w:rPr>
        <w:t>采用轻质柴油(含硫率&lt;0.2％)。柴油发电机仅在停电时运行发电时，将排放含有SO</w:t>
      </w:r>
      <w:r>
        <w:rPr>
          <w:sz w:val="24"/>
          <w:vertAlign w:val="subscript"/>
        </w:rPr>
        <w:t>2</w:t>
      </w:r>
      <w:r>
        <w:rPr>
          <w:sz w:val="24"/>
        </w:rPr>
        <w:t>、NO</w:t>
      </w:r>
      <w:r>
        <w:rPr>
          <w:sz w:val="24"/>
          <w:vertAlign w:val="subscript"/>
        </w:rPr>
        <w:t>X</w:t>
      </w:r>
      <w:r>
        <w:rPr>
          <w:sz w:val="24"/>
        </w:rPr>
        <w:t>等污染物的废气。烟气经过消声器处理后由排烟管道引至</w:t>
      </w:r>
      <w:r>
        <w:rPr>
          <w:rFonts w:hint="eastAsia"/>
          <w:sz w:val="24"/>
        </w:rPr>
        <w:t>学生教师周转房楼</w:t>
      </w:r>
      <w:r>
        <w:rPr>
          <w:sz w:val="24"/>
        </w:rPr>
        <w:t>顶排放（排放高度不低于15m）。由于发电机只在停电时使用，且运行也是短暂的，不进行源强计算。</w:t>
      </w:r>
    </w:p>
    <w:p>
      <w:pPr>
        <w:spacing w:line="360" w:lineRule="auto"/>
        <w:jc w:val="left"/>
        <w:outlineLvl w:val="3"/>
        <w:rPr>
          <w:b/>
          <w:sz w:val="24"/>
          <w:szCs w:val="24"/>
        </w:rPr>
      </w:pPr>
      <w:r>
        <w:rPr>
          <w:b/>
          <w:sz w:val="24"/>
          <w:szCs w:val="24"/>
        </w:rPr>
        <w:t>3.8.3</w:t>
      </w:r>
      <w:r>
        <w:rPr>
          <w:rFonts w:hint="eastAsia"/>
          <w:b/>
          <w:sz w:val="24"/>
          <w:szCs w:val="24"/>
        </w:rPr>
        <w:t>运营</w:t>
      </w:r>
      <w:r>
        <w:rPr>
          <w:b/>
          <w:sz w:val="24"/>
          <w:szCs w:val="24"/>
        </w:rPr>
        <w:t>期噪声污染源及源强分析</w:t>
      </w:r>
    </w:p>
    <w:p>
      <w:pPr>
        <w:spacing w:line="360" w:lineRule="auto"/>
        <w:ind w:firstLine="480" w:firstLineChars="200"/>
        <w:rPr>
          <w:sz w:val="24"/>
        </w:rPr>
      </w:pPr>
      <w:r>
        <w:rPr>
          <w:sz w:val="24"/>
        </w:rPr>
        <w:t>本项目运营期间的噪声主要来源于：在校师生日常上课、生活等产生的社会噪声，机械设备运行时产生的噪声及学校广播喇叭等噪声。</w:t>
      </w:r>
    </w:p>
    <w:p>
      <w:pPr>
        <w:spacing w:line="360" w:lineRule="auto"/>
        <w:ind w:firstLine="480" w:firstLineChars="200"/>
        <w:rPr>
          <w:sz w:val="24"/>
        </w:rPr>
      </w:pPr>
      <w:r>
        <w:rPr>
          <w:sz w:val="24"/>
        </w:rPr>
        <w:t>（1）社会噪声</w:t>
      </w:r>
    </w:p>
    <w:p>
      <w:pPr>
        <w:spacing w:line="360" w:lineRule="auto"/>
        <w:ind w:firstLine="480" w:firstLineChars="200"/>
        <w:rPr>
          <w:sz w:val="24"/>
        </w:rPr>
      </w:pPr>
      <w:r>
        <w:rPr>
          <w:sz w:val="24"/>
        </w:rPr>
        <w:t>在校师生日常上课、生活等噪声声级范围大多为60～65dB(A)，通过墙壁等隔音基本上可消除其影响，其对周边声环境影响较小。</w:t>
      </w:r>
    </w:p>
    <w:p>
      <w:pPr>
        <w:spacing w:line="360" w:lineRule="auto"/>
        <w:ind w:firstLine="480" w:firstLineChars="200"/>
        <w:rPr>
          <w:sz w:val="24"/>
        </w:rPr>
      </w:pPr>
      <w:r>
        <w:rPr>
          <w:sz w:val="24"/>
        </w:rPr>
        <w:t>（2）机械设备噪声</w:t>
      </w:r>
    </w:p>
    <w:p>
      <w:pPr>
        <w:spacing w:line="360" w:lineRule="auto"/>
        <w:ind w:firstLine="480" w:firstLineChars="200"/>
        <w:rPr>
          <w:sz w:val="24"/>
        </w:rPr>
      </w:pPr>
      <w:r>
        <w:rPr>
          <w:sz w:val="24"/>
        </w:rPr>
        <w:t>项目机械设备噪声主要为水泵、柴油发电机、变压器等，噪声级详见表3.7-2。</w:t>
      </w:r>
    </w:p>
    <w:p>
      <w:pPr>
        <w:spacing w:line="360" w:lineRule="auto"/>
        <w:jc w:val="center"/>
        <w:rPr>
          <w:b/>
          <w:sz w:val="24"/>
        </w:rPr>
      </w:pPr>
      <w:r>
        <w:rPr>
          <w:b/>
          <w:sz w:val="24"/>
        </w:rPr>
        <w:t>表3.8-2  主要设备噪声级一览表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7"/>
        <w:gridCol w:w="1380"/>
        <w:gridCol w:w="1244"/>
        <w:gridCol w:w="1456"/>
        <w:gridCol w:w="2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31" w:type="dxa"/>
            <w:shd w:val="clear" w:color="auto" w:fill="auto"/>
            <w:vAlign w:val="center"/>
          </w:tcPr>
          <w:p>
            <w:pPr>
              <w:jc w:val="center"/>
              <w:rPr>
                <w:szCs w:val="21"/>
              </w:rPr>
            </w:pPr>
            <w:r>
              <w:rPr>
                <w:bCs/>
                <w:kern w:val="0"/>
                <w:szCs w:val="21"/>
              </w:rPr>
              <w:t>设备名称</w:t>
            </w:r>
          </w:p>
        </w:tc>
        <w:tc>
          <w:tcPr>
            <w:tcW w:w="1417" w:type="dxa"/>
            <w:shd w:val="clear" w:color="auto" w:fill="auto"/>
            <w:vAlign w:val="center"/>
          </w:tcPr>
          <w:p>
            <w:pPr>
              <w:jc w:val="center"/>
              <w:rPr>
                <w:szCs w:val="21"/>
              </w:rPr>
            </w:pPr>
            <w:r>
              <w:rPr>
                <w:bCs/>
                <w:kern w:val="0"/>
                <w:szCs w:val="21"/>
              </w:rPr>
              <w:t>运行方式</w:t>
            </w:r>
          </w:p>
        </w:tc>
        <w:tc>
          <w:tcPr>
            <w:tcW w:w="1276" w:type="dxa"/>
            <w:shd w:val="clear" w:color="auto" w:fill="auto"/>
            <w:vAlign w:val="center"/>
          </w:tcPr>
          <w:p>
            <w:pPr>
              <w:jc w:val="center"/>
              <w:rPr>
                <w:szCs w:val="21"/>
              </w:rPr>
            </w:pPr>
            <w:r>
              <w:rPr>
                <w:bCs/>
                <w:kern w:val="0"/>
                <w:szCs w:val="21"/>
              </w:rPr>
              <w:t>数量</w:t>
            </w:r>
          </w:p>
        </w:tc>
        <w:tc>
          <w:tcPr>
            <w:tcW w:w="1483" w:type="dxa"/>
            <w:shd w:val="clear" w:color="auto" w:fill="auto"/>
            <w:vAlign w:val="center"/>
          </w:tcPr>
          <w:p>
            <w:pPr>
              <w:jc w:val="center"/>
              <w:rPr>
                <w:szCs w:val="21"/>
              </w:rPr>
            </w:pPr>
            <w:r>
              <w:rPr>
                <w:kern w:val="0"/>
                <w:szCs w:val="21"/>
              </w:rPr>
              <w:t>噪声源dB(A)</w:t>
            </w:r>
          </w:p>
        </w:tc>
        <w:tc>
          <w:tcPr>
            <w:tcW w:w="2943" w:type="dxa"/>
            <w:shd w:val="clear" w:color="auto" w:fill="auto"/>
            <w:vAlign w:val="center"/>
          </w:tcPr>
          <w:p>
            <w:pPr>
              <w:jc w:val="center"/>
              <w:rPr>
                <w:szCs w:val="21"/>
              </w:rPr>
            </w:pPr>
            <w:r>
              <w:rPr>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shd w:val="clear" w:color="auto" w:fill="auto"/>
            <w:vAlign w:val="center"/>
          </w:tcPr>
          <w:p>
            <w:pPr>
              <w:jc w:val="center"/>
              <w:rPr>
                <w:szCs w:val="21"/>
              </w:rPr>
            </w:pPr>
            <w:r>
              <w:rPr>
                <w:szCs w:val="21"/>
              </w:rPr>
              <w:t>生活水泵</w:t>
            </w:r>
          </w:p>
        </w:tc>
        <w:tc>
          <w:tcPr>
            <w:tcW w:w="1417" w:type="dxa"/>
            <w:shd w:val="clear" w:color="auto" w:fill="auto"/>
            <w:vAlign w:val="center"/>
          </w:tcPr>
          <w:p>
            <w:pPr>
              <w:jc w:val="center"/>
              <w:rPr>
                <w:szCs w:val="21"/>
              </w:rPr>
            </w:pPr>
            <w:r>
              <w:rPr>
                <w:szCs w:val="21"/>
              </w:rPr>
              <w:t>间歇运行</w:t>
            </w:r>
          </w:p>
        </w:tc>
        <w:tc>
          <w:tcPr>
            <w:tcW w:w="1276" w:type="dxa"/>
            <w:shd w:val="clear" w:color="auto" w:fill="auto"/>
            <w:vAlign w:val="center"/>
          </w:tcPr>
          <w:p>
            <w:pPr>
              <w:jc w:val="center"/>
              <w:rPr>
                <w:szCs w:val="21"/>
              </w:rPr>
            </w:pPr>
            <w:r>
              <w:rPr>
                <w:szCs w:val="21"/>
              </w:rPr>
              <w:t>1台</w:t>
            </w:r>
          </w:p>
        </w:tc>
        <w:tc>
          <w:tcPr>
            <w:tcW w:w="1483" w:type="dxa"/>
            <w:shd w:val="clear" w:color="auto" w:fill="auto"/>
            <w:vAlign w:val="center"/>
          </w:tcPr>
          <w:p>
            <w:pPr>
              <w:jc w:val="center"/>
              <w:rPr>
                <w:szCs w:val="21"/>
              </w:rPr>
            </w:pPr>
            <w:r>
              <w:rPr>
                <w:szCs w:val="21"/>
              </w:rPr>
              <w:t>70~85</w:t>
            </w:r>
          </w:p>
        </w:tc>
        <w:tc>
          <w:tcPr>
            <w:tcW w:w="2943" w:type="dxa"/>
            <w:shd w:val="clear" w:color="auto" w:fill="auto"/>
            <w:vAlign w:val="center"/>
          </w:tcPr>
          <w:p>
            <w:pPr>
              <w:jc w:val="center"/>
              <w:rPr>
                <w:szCs w:val="21"/>
              </w:rPr>
            </w:pPr>
            <w:r>
              <w:rPr>
                <w:kern w:val="0"/>
                <w:szCs w:val="21"/>
              </w:rPr>
              <w:t>生活水泵房（地下</w:t>
            </w:r>
            <w:r>
              <w:rPr>
                <w:rFonts w:hint="eastAsia"/>
                <w:kern w:val="0"/>
                <w:szCs w:val="21"/>
              </w:rPr>
              <w:t>室</w:t>
            </w: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shd w:val="clear" w:color="auto" w:fill="auto"/>
            <w:vAlign w:val="center"/>
          </w:tcPr>
          <w:p>
            <w:pPr>
              <w:jc w:val="center"/>
              <w:rPr>
                <w:szCs w:val="21"/>
              </w:rPr>
            </w:pPr>
            <w:r>
              <w:rPr>
                <w:szCs w:val="21"/>
              </w:rPr>
              <w:t>消防加压泵</w:t>
            </w:r>
          </w:p>
        </w:tc>
        <w:tc>
          <w:tcPr>
            <w:tcW w:w="1417" w:type="dxa"/>
            <w:shd w:val="clear" w:color="auto" w:fill="auto"/>
            <w:vAlign w:val="center"/>
          </w:tcPr>
          <w:p>
            <w:pPr>
              <w:jc w:val="center"/>
              <w:rPr>
                <w:szCs w:val="21"/>
              </w:rPr>
            </w:pPr>
            <w:r>
              <w:rPr>
                <w:szCs w:val="21"/>
              </w:rPr>
              <w:t>间歇运行</w:t>
            </w:r>
          </w:p>
        </w:tc>
        <w:tc>
          <w:tcPr>
            <w:tcW w:w="1276" w:type="dxa"/>
            <w:shd w:val="clear" w:color="auto" w:fill="auto"/>
            <w:vAlign w:val="center"/>
          </w:tcPr>
          <w:p>
            <w:pPr>
              <w:jc w:val="center"/>
              <w:rPr>
                <w:szCs w:val="21"/>
              </w:rPr>
            </w:pPr>
            <w:r>
              <w:rPr>
                <w:szCs w:val="21"/>
              </w:rPr>
              <w:t>1台</w:t>
            </w:r>
          </w:p>
        </w:tc>
        <w:tc>
          <w:tcPr>
            <w:tcW w:w="1483" w:type="dxa"/>
            <w:shd w:val="clear" w:color="auto" w:fill="auto"/>
            <w:vAlign w:val="center"/>
          </w:tcPr>
          <w:p>
            <w:pPr>
              <w:jc w:val="center"/>
              <w:rPr>
                <w:szCs w:val="21"/>
              </w:rPr>
            </w:pPr>
            <w:r>
              <w:rPr>
                <w:szCs w:val="21"/>
              </w:rPr>
              <w:t>70~85</w:t>
            </w:r>
          </w:p>
        </w:tc>
        <w:tc>
          <w:tcPr>
            <w:tcW w:w="2943" w:type="dxa"/>
            <w:shd w:val="clear" w:color="auto" w:fill="auto"/>
            <w:vAlign w:val="center"/>
          </w:tcPr>
          <w:p>
            <w:pPr>
              <w:jc w:val="center"/>
              <w:rPr>
                <w:szCs w:val="21"/>
              </w:rPr>
            </w:pPr>
            <w:r>
              <w:rPr>
                <w:kern w:val="0"/>
                <w:szCs w:val="21"/>
              </w:rPr>
              <w:t>消防水泵房（地下</w:t>
            </w:r>
            <w:r>
              <w:rPr>
                <w:rFonts w:hint="eastAsia"/>
                <w:kern w:val="0"/>
                <w:szCs w:val="21"/>
              </w:rPr>
              <w:t>室</w:t>
            </w: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shd w:val="clear" w:color="auto" w:fill="auto"/>
            <w:vAlign w:val="center"/>
          </w:tcPr>
          <w:p>
            <w:pPr>
              <w:jc w:val="center"/>
              <w:rPr>
                <w:szCs w:val="21"/>
              </w:rPr>
            </w:pPr>
            <w:r>
              <w:rPr>
                <w:szCs w:val="21"/>
              </w:rPr>
              <w:t>变压器</w:t>
            </w:r>
          </w:p>
        </w:tc>
        <w:tc>
          <w:tcPr>
            <w:tcW w:w="1417" w:type="dxa"/>
            <w:shd w:val="clear" w:color="auto" w:fill="auto"/>
            <w:vAlign w:val="center"/>
          </w:tcPr>
          <w:p>
            <w:pPr>
              <w:jc w:val="center"/>
              <w:rPr>
                <w:szCs w:val="21"/>
              </w:rPr>
            </w:pPr>
            <w:r>
              <w:rPr>
                <w:szCs w:val="21"/>
              </w:rPr>
              <w:t>连续运行</w:t>
            </w:r>
          </w:p>
        </w:tc>
        <w:tc>
          <w:tcPr>
            <w:tcW w:w="1276" w:type="dxa"/>
            <w:shd w:val="clear" w:color="auto" w:fill="auto"/>
            <w:vAlign w:val="center"/>
          </w:tcPr>
          <w:p>
            <w:pPr>
              <w:jc w:val="center"/>
              <w:rPr>
                <w:szCs w:val="21"/>
              </w:rPr>
            </w:pPr>
            <w:r>
              <w:rPr>
                <w:rFonts w:hint="eastAsia"/>
                <w:szCs w:val="21"/>
              </w:rPr>
              <w:t>3</w:t>
            </w:r>
            <w:r>
              <w:rPr>
                <w:szCs w:val="21"/>
              </w:rPr>
              <w:t>台</w:t>
            </w:r>
          </w:p>
        </w:tc>
        <w:tc>
          <w:tcPr>
            <w:tcW w:w="1483" w:type="dxa"/>
            <w:shd w:val="clear" w:color="auto" w:fill="auto"/>
            <w:vAlign w:val="center"/>
          </w:tcPr>
          <w:p>
            <w:pPr>
              <w:jc w:val="center"/>
              <w:rPr>
                <w:szCs w:val="21"/>
              </w:rPr>
            </w:pPr>
            <w:r>
              <w:rPr>
                <w:szCs w:val="21"/>
              </w:rPr>
              <w:t>30~65</w:t>
            </w:r>
          </w:p>
        </w:tc>
        <w:tc>
          <w:tcPr>
            <w:tcW w:w="2943" w:type="dxa"/>
            <w:shd w:val="clear" w:color="auto" w:fill="auto"/>
            <w:vAlign w:val="center"/>
          </w:tcPr>
          <w:p>
            <w:pPr>
              <w:jc w:val="center"/>
              <w:rPr>
                <w:szCs w:val="21"/>
              </w:rPr>
            </w:pPr>
            <w:r>
              <w:rPr>
                <w:kern w:val="0"/>
                <w:szCs w:val="21"/>
              </w:rPr>
              <w:t>配电房（地面一层）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shd w:val="clear" w:color="auto" w:fill="auto"/>
            <w:vAlign w:val="center"/>
          </w:tcPr>
          <w:p>
            <w:pPr>
              <w:jc w:val="center"/>
              <w:rPr>
                <w:szCs w:val="21"/>
              </w:rPr>
            </w:pPr>
            <w:r>
              <w:rPr>
                <w:szCs w:val="21"/>
              </w:rPr>
              <w:t>柴油发电机</w:t>
            </w:r>
          </w:p>
        </w:tc>
        <w:tc>
          <w:tcPr>
            <w:tcW w:w="1417" w:type="dxa"/>
            <w:shd w:val="clear" w:color="auto" w:fill="auto"/>
            <w:vAlign w:val="center"/>
          </w:tcPr>
          <w:p>
            <w:pPr>
              <w:jc w:val="center"/>
              <w:rPr>
                <w:szCs w:val="21"/>
              </w:rPr>
            </w:pPr>
            <w:r>
              <w:rPr>
                <w:szCs w:val="21"/>
              </w:rPr>
              <w:t>间歇运行</w:t>
            </w:r>
          </w:p>
        </w:tc>
        <w:tc>
          <w:tcPr>
            <w:tcW w:w="1276" w:type="dxa"/>
            <w:shd w:val="clear" w:color="auto" w:fill="auto"/>
            <w:vAlign w:val="center"/>
          </w:tcPr>
          <w:p>
            <w:pPr>
              <w:jc w:val="center"/>
              <w:rPr>
                <w:szCs w:val="21"/>
              </w:rPr>
            </w:pPr>
            <w:r>
              <w:rPr>
                <w:rFonts w:hint="eastAsia"/>
                <w:szCs w:val="21"/>
              </w:rPr>
              <w:t>2</w:t>
            </w:r>
            <w:r>
              <w:rPr>
                <w:szCs w:val="21"/>
              </w:rPr>
              <w:t>台</w:t>
            </w:r>
          </w:p>
        </w:tc>
        <w:tc>
          <w:tcPr>
            <w:tcW w:w="1483" w:type="dxa"/>
            <w:shd w:val="clear" w:color="auto" w:fill="auto"/>
            <w:vAlign w:val="center"/>
          </w:tcPr>
          <w:p>
            <w:pPr>
              <w:jc w:val="center"/>
              <w:rPr>
                <w:szCs w:val="21"/>
              </w:rPr>
            </w:pPr>
            <w:r>
              <w:rPr>
                <w:rFonts w:hint="eastAsia"/>
                <w:szCs w:val="21"/>
              </w:rPr>
              <w:t>8</w:t>
            </w:r>
            <w:r>
              <w:rPr>
                <w:szCs w:val="21"/>
              </w:rPr>
              <w:t>0~</w:t>
            </w:r>
            <w:r>
              <w:rPr>
                <w:rFonts w:hint="eastAsia"/>
                <w:szCs w:val="21"/>
              </w:rPr>
              <w:t>90</w:t>
            </w:r>
          </w:p>
        </w:tc>
        <w:tc>
          <w:tcPr>
            <w:tcW w:w="2943" w:type="dxa"/>
            <w:shd w:val="clear" w:color="auto" w:fill="auto"/>
            <w:vAlign w:val="center"/>
          </w:tcPr>
          <w:p>
            <w:pPr>
              <w:jc w:val="center"/>
              <w:rPr>
                <w:szCs w:val="21"/>
              </w:rPr>
            </w:pPr>
            <w:r>
              <w:rPr>
                <w:kern w:val="0"/>
                <w:szCs w:val="21"/>
              </w:rPr>
              <w:t>发电机房（地面一层）</w:t>
            </w:r>
          </w:p>
        </w:tc>
      </w:tr>
    </w:tbl>
    <w:p>
      <w:pPr>
        <w:spacing w:line="360" w:lineRule="auto"/>
        <w:ind w:firstLine="480" w:firstLineChars="200"/>
        <w:rPr>
          <w:sz w:val="24"/>
        </w:rPr>
      </w:pPr>
      <w:r>
        <w:rPr>
          <w:sz w:val="24"/>
        </w:rPr>
        <w:t>（3）学校广播喇叭噪声</w:t>
      </w:r>
    </w:p>
    <w:p>
      <w:pPr>
        <w:spacing w:line="360" w:lineRule="auto"/>
        <w:ind w:firstLine="480" w:firstLineChars="200"/>
        <w:rPr>
          <w:sz w:val="24"/>
        </w:rPr>
      </w:pPr>
      <w:r>
        <w:rPr>
          <w:sz w:val="24"/>
        </w:rPr>
        <w:t>项目运营后在教学活动时间会有广播喇叭产生间断性噪声，噪声声级在65～70dB(A)。</w:t>
      </w:r>
    </w:p>
    <w:p>
      <w:pPr>
        <w:spacing w:line="360" w:lineRule="auto"/>
        <w:jc w:val="left"/>
        <w:outlineLvl w:val="3"/>
        <w:rPr>
          <w:b/>
          <w:sz w:val="24"/>
          <w:szCs w:val="24"/>
        </w:rPr>
      </w:pPr>
      <w:r>
        <w:rPr>
          <w:b/>
          <w:sz w:val="24"/>
          <w:szCs w:val="24"/>
        </w:rPr>
        <w:t>3.8.4</w:t>
      </w:r>
      <w:r>
        <w:rPr>
          <w:rFonts w:hint="eastAsia"/>
          <w:b/>
          <w:sz w:val="24"/>
          <w:szCs w:val="24"/>
        </w:rPr>
        <w:t>运营</w:t>
      </w:r>
      <w:r>
        <w:rPr>
          <w:b/>
          <w:sz w:val="24"/>
          <w:szCs w:val="24"/>
        </w:rPr>
        <w:t>期固体废物污染源及源强分析</w:t>
      </w:r>
    </w:p>
    <w:p>
      <w:pPr>
        <w:spacing w:line="360" w:lineRule="auto"/>
        <w:ind w:firstLine="480" w:firstLineChars="200"/>
        <w:rPr>
          <w:sz w:val="24"/>
        </w:rPr>
      </w:pPr>
      <w:r>
        <w:rPr>
          <w:sz w:val="24"/>
        </w:rPr>
        <w:t>项目产生的固废主要来源于在校师生生活垃圾、食堂固废和化粪池污泥、实验室固废等。</w:t>
      </w:r>
    </w:p>
    <w:p>
      <w:pPr>
        <w:spacing w:line="360" w:lineRule="auto"/>
        <w:ind w:firstLine="480" w:firstLineChars="200"/>
        <w:rPr>
          <w:sz w:val="24"/>
        </w:rPr>
      </w:pPr>
      <w:r>
        <w:rPr>
          <w:sz w:val="24"/>
        </w:rPr>
        <w:t>（1）生活垃圾</w:t>
      </w:r>
    </w:p>
    <w:p>
      <w:pPr>
        <w:spacing w:line="360" w:lineRule="auto"/>
        <w:ind w:firstLine="480" w:firstLineChars="200"/>
        <w:rPr>
          <w:sz w:val="24"/>
        </w:rPr>
      </w:pPr>
      <w:r>
        <w:rPr>
          <w:rFonts w:hint="eastAsia"/>
          <w:sz w:val="24"/>
        </w:rPr>
        <w:t>本</w:t>
      </w:r>
      <w:r>
        <w:rPr>
          <w:sz w:val="24"/>
        </w:rPr>
        <w:t>项目</w:t>
      </w:r>
      <w:r>
        <w:rPr>
          <w:rFonts w:hint="eastAsia"/>
          <w:sz w:val="24"/>
        </w:rPr>
        <w:t>建成后在</w:t>
      </w:r>
      <w:r>
        <w:rPr>
          <w:sz w:val="24"/>
        </w:rPr>
        <w:t>校师生</w:t>
      </w:r>
      <w:r>
        <w:rPr>
          <w:rFonts w:hint="eastAsia"/>
          <w:sz w:val="24"/>
        </w:rPr>
        <w:t>共4200</w:t>
      </w:r>
      <w:r>
        <w:rPr>
          <w:sz w:val="24"/>
        </w:rPr>
        <w:t>人，生活垃圾按0.5kg/人次·天计算，则</w:t>
      </w:r>
      <w:r>
        <w:rPr>
          <w:rFonts w:hint="eastAsia"/>
          <w:sz w:val="24"/>
        </w:rPr>
        <w:t>按200天计</w:t>
      </w:r>
      <w:r>
        <w:rPr>
          <w:sz w:val="24"/>
        </w:rPr>
        <w:t>生活垃圾产生量约</w:t>
      </w:r>
      <w:r>
        <w:rPr>
          <w:rFonts w:hint="eastAsia"/>
          <w:sz w:val="24"/>
        </w:rPr>
        <w:t>420t</w:t>
      </w:r>
      <w:r>
        <w:rPr>
          <w:sz w:val="24"/>
        </w:rPr>
        <w:t>/a。生活垃圾一般不含特殊有毒有害物质，主要含果皮、纸屑、废塑料袋等。</w:t>
      </w:r>
    </w:p>
    <w:p>
      <w:pPr>
        <w:spacing w:line="360" w:lineRule="auto"/>
        <w:ind w:firstLine="480" w:firstLineChars="200"/>
        <w:rPr>
          <w:sz w:val="24"/>
        </w:rPr>
      </w:pPr>
      <w:r>
        <w:rPr>
          <w:sz w:val="24"/>
        </w:rPr>
        <w:t>（2）食堂固废和化粪池污泥</w:t>
      </w:r>
    </w:p>
    <w:p>
      <w:pPr>
        <w:spacing w:line="360" w:lineRule="auto"/>
        <w:ind w:firstLine="480" w:firstLineChars="200"/>
        <w:rPr>
          <w:sz w:val="24"/>
        </w:rPr>
      </w:pPr>
      <w:r>
        <w:rPr>
          <w:sz w:val="24"/>
        </w:rPr>
        <w:t>食堂固废主要为餐前、餐后垃圾及废弃油脂。类比其他学校食堂，人均餐厨垃圾产生量为0.33kg/人·d，项目就餐人数达</w:t>
      </w:r>
      <w:r>
        <w:rPr>
          <w:rFonts w:hint="eastAsia"/>
          <w:sz w:val="24"/>
        </w:rPr>
        <w:t>700</w:t>
      </w:r>
      <w:r>
        <w:rPr>
          <w:sz w:val="24"/>
        </w:rPr>
        <w:t>人，则餐厨垃圾产生量为</w:t>
      </w:r>
      <w:r>
        <w:rPr>
          <w:rFonts w:hint="eastAsia"/>
          <w:sz w:val="24"/>
        </w:rPr>
        <w:t>46.2</w:t>
      </w:r>
      <w:r>
        <w:rPr>
          <w:sz w:val="24"/>
        </w:rPr>
        <w:t>t/a。</w:t>
      </w:r>
    </w:p>
    <w:p>
      <w:pPr>
        <w:spacing w:line="520" w:lineRule="exact"/>
        <w:ind w:firstLine="482"/>
        <w:rPr>
          <w:sz w:val="24"/>
        </w:rPr>
      </w:pPr>
      <w:r>
        <w:rPr>
          <w:rFonts w:hint="eastAsia"/>
          <w:sz w:val="24"/>
        </w:rPr>
        <w:t>化粪池污泥半年清掏一次，化粪池污泥产生量根据《建筑给水排水设计规范》</w:t>
      </w:r>
      <w:r>
        <w:rPr>
          <w:sz w:val="24"/>
        </w:rPr>
        <w:t>_GB50015-2009</w:t>
      </w:r>
      <w:r>
        <w:rPr>
          <w:rFonts w:hint="eastAsia"/>
          <w:sz w:val="24"/>
        </w:rPr>
        <w:t>中计算，公式如下：</w:t>
      </w:r>
    </w:p>
    <w:p>
      <w:pPr>
        <w:pStyle w:val="6"/>
        <w:rPr>
          <w:sz w:val="24"/>
        </w:rPr>
      </w:pPr>
      <w:r>
        <w:rPr>
          <w:sz w:val="21"/>
        </w:rPr>
        <w:drawing>
          <wp:anchor distT="0" distB="0" distL="114300" distR="114300" simplePos="0" relativeHeight="251711488" behindDoc="0" locked="0" layoutInCell="1" allowOverlap="1">
            <wp:simplePos x="0" y="0"/>
            <wp:positionH relativeFrom="column">
              <wp:posOffset>1288415</wp:posOffset>
            </wp:positionH>
            <wp:positionV relativeFrom="paragraph">
              <wp:posOffset>114935</wp:posOffset>
            </wp:positionV>
            <wp:extent cx="3282950" cy="56959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282950" cy="569595"/>
                    </a:xfrm>
                    <a:prstGeom prst="rect">
                      <a:avLst/>
                    </a:prstGeom>
                    <a:noFill/>
                  </pic:spPr>
                </pic:pic>
              </a:graphicData>
            </a:graphic>
          </wp:anchor>
        </w:drawing>
      </w:r>
    </w:p>
    <w:p>
      <w:pPr>
        <w:spacing w:line="520" w:lineRule="exact"/>
        <w:ind w:firstLine="482"/>
        <w:rPr>
          <w:sz w:val="24"/>
        </w:rPr>
      </w:pPr>
    </w:p>
    <w:p>
      <w:pPr>
        <w:spacing w:line="520" w:lineRule="exact"/>
        <w:ind w:firstLine="482"/>
        <w:rPr>
          <w:sz w:val="24"/>
        </w:rPr>
      </w:pPr>
      <w:r>
        <w:rPr>
          <w:rFonts w:hint="eastAsia"/>
          <w:sz w:val="24"/>
        </w:rPr>
        <w:t>式中：</w:t>
      </w:r>
    </w:p>
    <w:p>
      <w:pPr>
        <w:spacing w:line="520" w:lineRule="exact"/>
        <w:ind w:firstLine="1200" w:firstLineChars="500"/>
        <w:rPr>
          <w:sz w:val="24"/>
        </w:rPr>
      </w:pPr>
      <w:r>
        <w:rPr>
          <w:sz w:val="24"/>
        </w:rPr>
        <w:t>m</w:t>
      </w:r>
      <w:r>
        <w:rPr>
          <w:rFonts w:hint="eastAsia"/>
          <w:sz w:val="24"/>
        </w:rPr>
        <w:t>—化粪池设计总人数，取420</w:t>
      </w:r>
      <w:r>
        <w:rPr>
          <w:sz w:val="24"/>
        </w:rPr>
        <w:t>0</w:t>
      </w:r>
      <w:r>
        <w:rPr>
          <w:rFonts w:hint="eastAsia"/>
          <w:sz w:val="24"/>
        </w:rPr>
        <w:t>人</w:t>
      </w:r>
    </w:p>
    <w:p>
      <w:pPr>
        <w:spacing w:line="520" w:lineRule="exact"/>
        <w:ind w:firstLine="1200" w:firstLineChars="500"/>
        <w:rPr>
          <w:sz w:val="24"/>
        </w:rPr>
      </w:pPr>
      <w:r>
        <w:rPr>
          <w:sz w:val="24"/>
        </w:rPr>
        <w:t>b</w:t>
      </w:r>
      <w:r>
        <w:rPr>
          <w:sz w:val="24"/>
          <w:vertAlign w:val="subscript"/>
        </w:rPr>
        <w:t>f</w:t>
      </w:r>
      <w:r>
        <w:rPr>
          <w:rFonts w:hint="eastAsia"/>
          <w:sz w:val="24"/>
        </w:rPr>
        <w:t>—同时使用系数，取</w:t>
      </w:r>
      <w:r>
        <w:rPr>
          <w:sz w:val="24"/>
        </w:rPr>
        <w:t>50%</w:t>
      </w:r>
    </w:p>
    <w:p>
      <w:pPr>
        <w:spacing w:line="520" w:lineRule="exact"/>
        <w:ind w:firstLine="1200" w:firstLineChars="500"/>
        <w:rPr>
          <w:sz w:val="24"/>
        </w:rPr>
      </w:pPr>
      <w:r>
        <w:rPr>
          <w:sz w:val="24"/>
        </w:rPr>
        <w:t>q</w:t>
      </w:r>
      <w:r>
        <w:rPr>
          <w:sz w:val="24"/>
          <w:vertAlign w:val="subscript"/>
        </w:rPr>
        <w:t>n</w:t>
      </w:r>
      <w:r>
        <w:rPr>
          <w:sz w:val="24"/>
        </w:rPr>
        <w:t>—</w:t>
      </w:r>
      <w:r>
        <w:rPr>
          <w:rFonts w:hint="eastAsia"/>
          <w:sz w:val="24"/>
        </w:rPr>
        <w:t>每人每日污泥量（</w:t>
      </w:r>
      <w:r>
        <w:rPr>
          <w:sz w:val="24"/>
        </w:rPr>
        <w:t>L/</w:t>
      </w:r>
      <w:r>
        <w:rPr>
          <w:rFonts w:hint="eastAsia"/>
          <w:sz w:val="24"/>
        </w:rPr>
        <w:t>人</w:t>
      </w:r>
      <w:r>
        <w:rPr>
          <w:sz w:val="24"/>
        </w:rPr>
        <w:t>.d</w:t>
      </w:r>
      <w:r>
        <w:rPr>
          <w:rFonts w:hint="eastAsia"/>
          <w:sz w:val="24"/>
        </w:rPr>
        <w:t>），取</w:t>
      </w:r>
      <w:r>
        <w:rPr>
          <w:sz w:val="24"/>
        </w:rPr>
        <w:t>0.7</w:t>
      </w:r>
    </w:p>
    <w:p>
      <w:pPr>
        <w:spacing w:line="520" w:lineRule="exact"/>
        <w:ind w:firstLine="482"/>
        <w:rPr>
          <w:sz w:val="24"/>
        </w:rPr>
      </w:pPr>
      <w:r>
        <w:rPr>
          <w:sz w:val="24"/>
        </w:rPr>
        <w:t xml:space="preserve">      t</w:t>
      </w:r>
      <w:r>
        <w:rPr>
          <w:sz w:val="24"/>
          <w:vertAlign w:val="subscript"/>
        </w:rPr>
        <w:t>n</w:t>
      </w:r>
      <w:r>
        <w:rPr>
          <w:sz w:val="24"/>
        </w:rPr>
        <w:t>—</w:t>
      </w:r>
      <w:r>
        <w:rPr>
          <w:rFonts w:hint="eastAsia"/>
          <w:sz w:val="24"/>
        </w:rPr>
        <w:t>污泥清掏周期，选取</w:t>
      </w:r>
      <w:r>
        <w:rPr>
          <w:sz w:val="24"/>
        </w:rPr>
        <w:t>1</w:t>
      </w:r>
      <w:r>
        <w:rPr>
          <w:rFonts w:hint="eastAsia"/>
          <w:sz w:val="24"/>
        </w:rPr>
        <w:t>0</w:t>
      </w:r>
      <w:r>
        <w:rPr>
          <w:sz w:val="24"/>
        </w:rPr>
        <w:t>0</w:t>
      </w:r>
      <w:r>
        <w:rPr>
          <w:rFonts w:hint="eastAsia"/>
          <w:sz w:val="24"/>
        </w:rPr>
        <w:t>天，每半年清掏一次</w:t>
      </w:r>
    </w:p>
    <w:p>
      <w:pPr>
        <w:spacing w:line="520" w:lineRule="exact"/>
        <w:ind w:firstLine="482"/>
        <w:rPr>
          <w:sz w:val="24"/>
        </w:rPr>
      </w:pPr>
      <w:r>
        <w:rPr>
          <w:sz w:val="24"/>
        </w:rPr>
        <w:t xml:space="preserve">      b</w:t>
      </w:r>
      <w:r>
        <w:rPr>
          <w:sz w:val="24"/>
          <w:vertAlign w:val="subscript"/>
        </w:rPr>
        <w:t>x</w:t>
      </w:r>
      <w:r>
        <w:rPr>
          <w:sz w:val="24"/>
        </w:rPr>
        <w:t>—</w:t>
      </w:r>
      <w:r>
        <w:rPr>
          <w:rFonts w:hint="eastAsia"/>
          <w:sz w:val="24"/>
        </w:rPr>
        <w:t>新鲜污泥含水率，取</w:t>
      </w:r>
      <w:r>
        <w:rPr>
          <w:sz w:val="24"/>
        </w:rPr>
        <w:t>95%</w:t>
      </w:r>
    </w:p>
    <w:p>
      <w:pPr>
        <w:spacing w:line="520" w:lineRule="exact"/>
        <w:ind w:firstLine="482"/>
        <w:rPr>
          <w:sz w:val="24"/>
        </w:rPr>
      </w:pPr>
      <w:r>
        <w:rPr>
          <w:sz w:val="24"/>
        </w:rPr>
        <w:t xml:space="preserve">      M</w:t>
      </w:r>
      <w:r>
        <w:rPr>
          <w:sz w:val="24"/>
          <w:vertAlign w:val="subscript"/>
        </w:rPr>
        <w:t>s</w:t>
      </w:r>
      <w:r>
        <w:rPr>
          <w:sz w:val="24"/>
        </w:rPr>
        <w:t>—</w:t>
      </w:r>
      <w:r>
        <w:rPr>
          <w:rFonts w:hint="eastAsia"/>
          <w:sz w:val="24"/>
        </w:rPr>
        <w:t>污泥发酵后体积缩减系数，取</w:t>
      </w:r>
      <w:r>
        <w:rPr>
          <w:sz w:val="24"/>
        </w:rPr>
        <w:t>0.8</w:t>
      </w:r>
    </w:p>
    <w:p>
      <w:pPr>
        <w:spacing w:line="520" w:lineRule="exact"/>
        <w:ind w:firstLine="482"/>
        <w:rPr>
          <w:sz w:val="24"/>
        </w:rPr>
      </w:pPr>
      <w:r>
        <w:rPr>
          <w:sz w:val="24"/>
        </w:rPr>
        <w:t xml:space="preserve">      1.2—</w:t>
      </w:r>
      <w:r>
        <w:rPr>
          <w:rFonts w:hint="eastAsia"/>
          <w:sz w:val="24"/>
        </w:rPr>
        <w:t>清掏污泥后遗留污泥量，常熟</w:t>
      </w:r>
    </w:p>
    <w:p>
      <w:pPr>
        <w:spacing w:line="520" w:lineRule="exact"/>
        <w:ind w:firstLine="482"/>
        <w:rPr>
          <w:sz w:val="24"/>
        </w:rPr>
      </w:pPr>
      <w:r>
        <w:rPr>
          <w:sz w:val="24"/>
        </w:rPr>
        <w:t xml:space="preserve">      b</w:t>
      </w:r>
      <w:r>
        <w:rPr>
          <w:sz w:val="24"/>
          <w:vertAlign w:val="subscript"/>
        </w:rPr>
        <w:t>n</w:t>
      </w:r>
      <w:r>
        <w:rPr>
          <w:sz w:val="24"/>
        </w:rPr>
        <w:t>—</w:t>
      </w:r>
      <w:r>
        <w:rPr>
          <w:rFonts w:hint="eastAsia"/>
          <w:sz w:val="24"/>
        </w:rPr>
        <w:t>发酵浓缩后污泥含水率，取</w:t>
      </w:r>
      <w:r>
        <w:rPr>
          <w:sz w:val="24"/>
        </w:rPr>
        <w:t>90%</w:t>
      </w:r>
    </w:p>
    <w:p>
      <w:pPr>
        <w:spacing w:line="360" w:lineRule="auto"/>
        <w:ind w:firstLine="480" w:firstLineChars="200"/>
        <w:rPr>
          <w:sz w:val="24"/>
        </w:rPr>
      </w:pPr>
      <w:r>
        <w:rPr>
          <w:rFonts w:hint="eastAsia"/>
          <w:sz w:val="24"/>
        </w:rPr>
        <w:t>根据上式计算，本项目化粪池清掏污泥产生量为每半年70</w:t>
      </w:r>
      <w:r>
        <w:rPr>
          <w:sz w:val="24"/>
        </w:rPr>
        <w:t>t</w:t>
      </w:r>
      <w:r>
        <w:rPr>
          <w:rFonts w:hint="eastAsia"/>
          <w:sz w:val="24"/>
        </w:rPr>
        <w:t>，则为140</w:t>
      </w:r>
      <w:r>
        <w:rPr>
          <w:sz w:val="24"/>
        </w:rPr>
        <w:t>t/a</w:t>
      </w:r>
      <w:r>
        <w:rPr>
          <w:rFonts w:hint="eastAsia"/>
          <w:sz w:val="24"/>
        </w:rPr>
        <w:t>。</w:t>
      </w:r>
    </w:p>
    <w:p>
      <w:pPr>
        <w:spacing w:line="360" w:lineRule="auto"/>
        <w:ind w:firstLine="480" w:firstLineChars="200"/>
        <w:rPr>
          <w:sz w:val="24"/>
        </w:rPr>
      </w:pPr>
      <w:r>
        <w:rPr>
          <w:sz w:val="24"/>
        </w:rPr>
        <w:t>（3）实验室固废</w:t>
      </w:r>
      <w:r>
        <w:rPr>
          <w:rFonts w:hint="eastAsia"/>
          <w:sz w:val="24"/>
        </w:rPr>
        <w:t>。</w:t>
      </w:r>
    </w:p>
    <w:p>
      <w:pPr>
        <w:spacing w:line="360" w:lineRule="auto"/>
        <w:ind w:firstLine="482"/>
        <w:rPr>
          <w:sz w:val="24"/>
        </w:rPr>
      </w:pPr>
      <w:r>
        <w:rPr>
          <w:rFonts w:hint="eastAsia"/>
          <w:sz w:val="24"/>
        </w:rPr>
        <w:t>本项目实验过程产生的重金属（主要为</w:t>
      </w:r>
      <w:r>
        <w:rPr>
          <w:sz w:val="24"/>
        </w:rPr>
        <w:t>Cu</w:t>
      </w:r>
      <w:r>
        <w:rPr>
          <w:rFonts w:hint="eastAsia"/>
          <w:sz w:val="24"/>
        </w:rPr>
        <w:t>和</w:t>
      </w:r>
      <w:r>
        <w:rPr>
          <w:sz w:val="24"/>
        </w:rPr>
        <w:t>Ag</w:t>
      </w:r>
      <w:r>
        <w:rPr>
          <w:rFonts w:hint="eastAsia"/>
          <w:sz w:val="24"/>
        </w:rPr>
        <w:t>）废液，产生量约为</w:t>
      </w:r>
      <w:r>
        <w:rPr>
          <w:sz w:val="24"/>
        </w:rPr>
        <w:t>0.0</w:t>
      </w:r>
      <w:r>
        <w:rPr>
          <w:rFonts w:hint="eastAsia"/>
          <w:sz w:val="24"/>
        </w:rPr>
        <w:t>3t</w:t>
      </w:r>
      <w:r>
        <w:rPr>
          <w:sz w:val="24"/>
        </w:rPr>
        <w:t>/d</w:t>
      </w:r>
      <w:r>
        <w:rPr>
          <w:rFonts w:hint="eastAsia"/>
          <w:sz w:val="24"/>
        </w:rPr>
        <w:t>（6.0t</w:t>
      </w:r>
      <w:r>
        <w:rPr>
          <w:sz w:val="24"/>
        </w:rPr>
        <w:t>/a</w:t>
      </w:r>
      <w:r>
        <w:rPr>
          <w:rFonts w:hint="eastAsia"/>
          <w:sz w:val="24"/>
        </w:rPr>
        <w:t>），其属于“</w:t>
      </w:r>
      <w:r>
        <w:rPr>
          <w:sz w:val="24"/>
        </w:rPr>
        <w:t>HW49</w:t>
      </w:r>
      <w:r>
        <w:rPr>
          <w:rFonts w:hint="eastAsia"/>
          <w:sz w:val="24"/>
        </w:rPr>
        <w:t>其他废物”中“研究、开发和教学活动中，化学和生物实验室产生的废物”（</w:t>
      </w:r>
      <w:r>
        <w:rPr>
          <w:sz w:val="24"/>
        </w:rPr>
        <w:t>HW49-900-047-49</w:t>
      </w:r>
      <w:r>
        <w:rPr>
          <w:rFonts w:hint="eastAsia"/>
          <w:sz w:val="24"/>
        </w:rPr>
        <w:t>），应作为危险废物委托有危废处置资质的单位处理。</w:t>
      </w:r>
    </w:p>
    <w:p>
      <w:pPr>
        <w:spacing w:line="360" w:lineRule="auto"/>
        <w:ind w:firstLine="482"/>
        <w:rPr>
          <w:sz w:val="24"/>
        </w:rPr>
      </w:pPr>
      <w:r>
        <w:rPr>
          <w:rFonts w:hint="eastAsia"/>
          <w:sz w:val="24"/>
        </w:rPr>
        <w:t>实验过程中还会产生少量</w:t>
      </w:r>
      <w:r>
        <w:rPr>
          <w:sz w:val="24"/>
        </w:rPr>
        <w:t>报废的化学药品</w:t>
      </w:r>
      <w:r>
        <w:rPr>
          <w:rFonts w:hint="eastAsia"/>
          <w:sz w:val="24"/>
        </w:rPr>
        <w:t>、废试剂瓶及其包装物等危险废物（</w:t>
      </w:r>
      <w:r>
        <w:rPr>
          <w:sz w:val="24"/>
        </w:rPr>
        <w:t>HW49-900-041-49</w:t>
      </w:r>
      <w:r>
        <w:rPr>
          <w:rFonts w:hint="eastAsia"/>
          <w:sz w:val="24"/>
        </w:rPr>
        <w:t>），据类比同类型项目，实验室危险废物产生量为</w:t>
      </w:r>
      <w:r>
        <w:rPr>
          <w:sz w:val="24"/>
        </w:rPr>
        <w:t>0.</w:t>
      </w:r>
      <w:r>
        <w:rPr>
          <w:rFonts w:hint="eastAsia"/>
          <w:sz w:val="24"/>
        </w:rPr>
        <w:t>6</w:t>
      </w:r>
      <w:r>
        <w:rPr>
          <w:sz w:val="24"/>
        </w:rPr>
        <w:t>t/a</w:t>
      </w:r>
      <w:r>
        <w:rPr>
          <w:rFonts w:hint="eastAsia"/>
          <w:sz w:val="24"/>
        </w:rPr>
        <w:t>，危废收集后分类暂存于危险废物存储间（高中部综合楼1层），并委托有危险废物资质的单位处置。</w:t>
      </w:r>
    </w:p>
    <w:p>
      <w:pPr>
        <w:pStyle w:val="2"/>
        <w:keepNext w:val="0"/>
        <w:keepLines w:val="0"/>
        <w:autoSpaceDE w:val="0"/>
        <w:autoSpaceDN w:val="0"/>
        <w:adjustRightInd w:val="0"/>
        <w:spacing w:beforeLines="50" w:after="0" w:line="360" w:lineRule="auto"/>
        <w:rPr>
          <w:rFonts w:eastAsia="宋体"/>
          <w:kern w:val="2"/>
          <w:sz w:val="30"/>
          <w:szCs w:val="28"/>
        </w:rPr>
      </w:pPr>
      <w:r>
        <w:rPr>
          <w:sz w:val="24"/>
        </w:rPr>
        <w:br w:type="page"/>
      </w:r>
      <w:bookmarkStart w:id="174" w:name="_Toc416992950"/>
      <w:bookmarkStart w:id="175" w:name="_Toc402445274"/>
      <w:bookmarkStart w:id="176" w:name="_Toc416192254"/>
      <w:bookmarkStart w:id="177" w:name="_Toc381722825"/>
      <w:bookmarkStart w:id="178" w:name="_Toc486070556"/>
      <w:r>
        <w:rPr>
          <w:rFonts w:hint="eastAsia" w:eastAsia="宋体"/>
          <w:kern w:val="2"/>
          <w:sz w:val="30"/>
          <w:szCs w:val="28"/>
        </w:rPr>
        <w:t>四</w:t>
      </w:r>
      <w:r>
        <w:rPr>
          <w:rFonts w:eastAsia="宋体"/>
          <w:kern w:val="2"/>
          <w:sz w:val="30"/>
          <w:szCs w:val="28"/>
        </w:rPr>
        <w:t>、工程环境影响分析与评价</w:t>
      </w:r>
      <w:bookmarkEnd w:id="174"/>
      <w:bookmarkEnd w:id="175"/>
      <w:bookmarkEnd w:id="176"/>
      <w:bookmarkEnd w:id="177"/>
      <w:bookmarkEnd w:id="178"/>
    </w:p>
    <w:p>
      <w:pPr>
        <w:pStyle w:val="42"/>
        <w:rPr>
          <w:rStyle w:val="43"/>
          <w:rFonts w:eastAsia="宋体"/>
        </w:rPr>
      </w:pPr>
      <w:bookmarkStart w:id="179" w:name="_Toc486070557"/>
      <w:r>
        <w:rPr>
          <w:rStyle w:val="43"/>
          <w:rFonts w:eastAsia="宋体"/>
        </w:rPr>
        <w:t>4.1施工期环境影响分析</w:t>
      </w:r>
      <w:bookmarkEnd w:id="179"/>
    </w:p>
    <w:p>
      <w:pPr>
        <w:spacing w:line="360" w:lineRule="auto"/>
        <w:outlineLvl w:val="2"/>
        <w:rPr>
          <w:b/>
          <w:sz w:val="24"/>
          <w:szCs w:val="24"/>
        </w:rPr>
      </w:pPr>
      <w:bookmarkStart w:id="180" w:name="_Toc472321510"/>
      <w:bookmarkStart w:id="181" w:name="_Toc486070558"/>
      <w:r>
        <w:rPr>
          <w:b/>
          <w:sz w:val="24"/>
          <w:szCs w:val="24"/>
        </w:rPr>
        <w:t>4.1.1 施工期水环境影响分析</w:t>
      </w:r>
      <w:bookmarkEnd w:id="180"/>
      <w:bookmarkEnd w:id="181"/>
    </w:p>
    <w:p>
      <w:pPr>
        <w:spacing w:line="480" w:lineRule="exact"/>
        <w:ind w:firstLine="480" w:firstLineChars="200"/>
        <w:rPr>
          <w:sz w:val="24"/>
          <w:szCs w:val="24"/>
        </w:rPr>
      </w:pPr>
      <w:r>
        <w:rPr>
          <w:sz w:val="24"/>
          <w:szCs w:val="24"/>
        </w:rPr>
        <w:t>（1）</w:t>
      </w:r>
      <w:r>
        <w:rPr>
          <w:rFonts w:hint="eastAsia"/>
          <w:sz w:val="24"/>
          <w:szCs w:val="24"/>
        </w:rPr>
        <w:t>生产</w:t>
      </w:r>
      <w:r>
        <w:rPr>
          <w:sz w:val="24"/>
          <w:szCs w:val="24"/>
        </w:rPr>
        <w:t>废水</w:t>
      </w:r>
    </w:p>
    <w:p>
      <w:pPr>
        <w:spacing w:line="480" w:lineRule="exact"/>
        <w:ind w:firstLine="480" w:firstLineChars="200"/>
        <w:rPr>
          <w:sz w:val="24"/>
          <w:szCs w:val="24"/>
        </w:rPr>
      </w:pPr>
      <w:r>
        <w:rPr>
          <w:sz w:val="24"/>
          <w:szCs w:val="24"/>
        </w:rPr>
        <w:t>施工废水主要为车辆、机械设备冲洗含油废水及</w:t>
      </w:r>
      <w:r>
        <w:rPr>
          <w:rFonts w:hint="eastAsia"/>
          <w:sz w:val="24"/>
          <w:szCs w:val="24"/>
        </w:rPr>
        <w:t>雨水冲刷、施工作业产生的</w:t>
      </w:r>
      <w:r>
        <w:rPr>
          <w:sz w:val="24"/>
          <w:szCs w:val="24"/>
        </w:rPr>
        <w:t>泥浆水，产生量约为1</w:t>
      </w:r>
      <w:r>
        <w:rPr>
          <w:rFonts w:hint="eastAsia"/>
          <w:sz w:val="24"/>
          <w:szCs w:val="24"/>
        </w:rPr>
        <w:t>0</w:t>
      </w:r>
      <w:r>
        <w:rPr>
          <w:sz w:val="24"/>
          <w:szCs w:val="24"/>
        </w:rPr>
        <w:t>m</w:t>
      </w:r>
      <w:r>
        <w:rPr>
          <w:sz w:val="24"/>
          <w:szCs w:val="24"/>
          <w:vertAlign w:val="superscript"/>
        </w:rPr>
        <w:t>3</w:t>
      </w:r>
      <w:r>
        <w:rPr>
          <w:sz w:val="24"/>
          <w:szCs w:val="24"/>
        </w:rPr>
        <w:t>/d，其主要污染物为高浓度的泥沙和较高浓度的石油类物质，施工现场设立隔油池和沉淀池，施工废水经隔油、沉淀后回用于施工场地及道路的洒水，不外排，对周边水体基本无影响。</w:t>
      </w:r>
    </w:p>
    <w:p>
      <w:pPr>
        <w:spacing w:line="480" w:lineRule="exact"/>
        <w:ind w:firstLine="480" w:firstLineChars="200"/>
        <w:rPr>
          <w:sz w:val="24"/>
          <w:szCs w:val="24"/>
        </w:rPr>
      </w:pPr>
      <w:r>
        <w:rPr>
          <w:sz w:val="24"/>
          <w:szCs w:val="24"/>
        </w:rPr>
        <w:t>（2）生活污水</w:t>
      </w:r>
    </w:p>
    <w:p>
      <w:pPr>
        <w:spacing w:line="480" w:lineRule="exact"/>
        <w:ind w:firstLine="480" w:firstLineChars="200"/>
        <w:rPr>
          <w:sz w:val="24"/>
          <w:szCs w:val="24"/>
        </w:rPr>
      </w:pPr>
      <w:r>
        <w:rPr>
          <w:sz w:val="24"/>
          <w:szCs w:val="24"/>
        </w:rPr>
        <w:t>本项目施工人员分散居住在附近的居住区内，施工人员生活污水纳入当地现有的污水排放系统中，不另行单独外排；施工现场则不再新建公厕、食堂等生活设施。</w:t>
      </w:r>
    </w:p>
    <w:p>
      <w:pPr>
        <w:spacing w:line="480" w:lineRule="exact"/>
        <w:ind w:firstLine="480" w:firstLineChars="200"/>
        <w:rPr>
          <w:sz w:val="24"/>
          <w:szCs w:val="24"/>
        </w:rPr>
      </w:pPr>
      <w:r>
        <w:rPr>
          <w:sz w:val="24"/>
          <w:szCs w:val="24"/>
        </w:rPr>
        <w:t>因此，正常情况施工污废水不会对周边水体产生污染影响。</w:t>
      </w:r>
    </w:p>
    <w:p>
      <w:pPr>
        <w:spacing w:line="360" w:lineRule="auto"/>
        <w:outlineLvl w:val="2"/>
        <w:rPr>
          <w:b/>
          <w:sz w:val="24"/>
          <w:szCs w:val="24"/>
        </w:rPr>
      </w:pPr>
      <w:bookmarkStart w:id="182" w:name="_Toc486070559"/>
      <w:bookmarkStart w:id="183" w:name="_Toc472321511"/>
      <w:r>
        <w:rPr>
          <w:b/>
          <w:sz w:val="24"/>
          <w:szCs w:val="24"/>
        </w:rPr>
        <w:t>4.1.2 施工期大气环境影响分析</w:t>
      </w:r>
      <w:bookmarkEnd w:id="182"/>
      <w:bookmarkEnd w:id="183"/>
    </w:p>
    <w:p>
      <w:pPr>
        <w:spacing w:line="480" w:lineRule="exact"/>
        <w:ind w:firstLine="480" w:firstLineChars="200"/>
        <w:rPr>
          <w:sz w:val="24"/>
          <w:szCs w:val="24"/>
        </w:rPr>
      </w:pPr>
      <w:r>
        <w:rPr>
          <w:sz w:val="24"/>
          <w:szCs w:val="24"/>
        </w:rPr>
        <w:t>（1）施工扬尘</w:t>
      </w:r>
    </w:p>
    <w:p>
      <w:pPr>
        <w:spacing w:line="480" w:lineRule="exact"/>
        <w:ind w:firstLine="480" w:firstLineChars="200"/>
        <w:rPr>
          <w:sz w:val="24"/>
          <w:szCs w:val="24"/>
        </w:rPr>
      </w:pPr>
      <w:r>
        <w:rPr>
          <w:sz w:val="24"/>
          <w:szCs w:val="24"/>
        </w:rPr>
        <w:t>施工场地粉尘主要来源于土石开挖、</w:t>
      </w:r>
      <w:r>
        <w:rPr>
          <w:rFonts w:hint="eastAsia"/>
          <w:sz w:val="24"/>
          <w:szCs w:val="24"/>
        </w:rPr>
        <w:t>运输车辆来往及</w:t>
      </w:r>
      <w:r>
        <w:rPr>
          <w:sz w:val="24"/>
          <w:szCs w:val="24"/>
        </w:rPr>
        <w:t>物料装卸等施工作业过程中产生的扬尘和逸散尘等，</w:t>
      </w:r>
      <w:r>
        <w:rPr>
          <w:sz w:val="24"/>
          <w:szCs w:val="21"/>
        </w:rPr>
        <w:t>施工期粉尘污染源属于面源，排放高度一般较低，颗粒度较大，污染扩散距离不太远</w:t>
      </w:r>
      <w:r>
        <w:rPr>
          <w:rFonts w:hint="eastAsia"/>
          <w:sz w:val="24"/>
          <w:szCs w:val="21"/>
        </w:rPr>
        <w:t>。</w:t>
      </w:r>
      <w:r>
        <w:rPr>
          <w:sz w:val="24"/>
          <w:szCs w:val="24"/>
        </w:rPr>
        <w:t>粉尘影响范围主要在施工场地边界外200m范围内，在扬尘点下风向0~50m为重污染带，50~100m为较重污染带，100~200m为轻污染带，200m以外对大气影响甚微。</w:t>
      </w:r>
    </w:p>
    <w:p>
      <w:pPr>
        <w:spacing w:line="480" w:lineRule="exact"/>
        <w:ind w:firstLine="480" w:firstLineChars="200"/>
        <w:rPr>
          <w:sz w:val="24"/>
          <w:szCs w:val="24"/>
        </w:rPr>
      </w:pPr>
      <w:r>
        <w:rPr>
          <w:sz w:val="24"/>
          <w:szCs w:val="24"/>
        </w:rPr>
        <w:t>施工扬尘可能对敏感目标造成的影响详见表4.1-1。</w:t>
      </w:r>
    </w:p>
    <w:p>
      <w:pPr>
        <w:spacing w:line="360" w:lineRule="auto"/>
        <w:jc w:val="center"/>
        <w:rPr>
          <w:b/>
          <w:sz w:val="24"/>
        </w:rPr>
      </w:pPr>
      <w:r>
        <w:rPr>
          <w:b/>
          <w:sz w:val="24"/>
        </w:rPr>
        <w:t>表4.1-1  施工扬尘可能对敏感目标造成的影响</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3560"/>
        <w:gridCol w:w="2251"/>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shd w:val="clear" w:color="auto" w:fill="auto"/>
            <w:vAlign w:val="center"/>
          </w:tcPr>
          <w:p>
            <w:pPr>
              <w:jc w:val="center"/>
              <w:rPr>
                <w:szCs w:val="21"/>
              </w:rPr>
            </w:pPr>
            <w:r>
              <w:rPr>
                <w:szCs w:val="21"/>
              </w:rPr>
              <w:t>序号</w:t>
            </w:r>
          </w:p>
        </w:tc>
        <w:tc>
          <w:tcPr>
            <w:tcW w:w="1977" w:type="pct"/>
            <w:shd w:val="clear" w:color="auto" w:fill="auto"/>
            <w:vAlign w:val="center"/>
          </w:tcPr>
          <w:p>
            <w:pPr>
              <w:jc w:val="center"/>
              <w:rPr>
                <w:szCs w:val="21"/>
              </w:rPr>
            </w:pPr>
            <w:r>
              <w:rPr>
                <w:szCs w:val="21"/>
              </w:rPr>
              <w:t>敏感点名称</w:t>
            </w:r>
          </w:p>
        </w:tc>
        <w:tc>
          <w:tcPr>
            <w:tcW w:w="1250" w:type="pct"/>
            <w:shd w:val="clear" w:color="auto" w:fill="auto"/>
            <w:vAlign w:val="center"/>
          </w:tcPr>
          <w:p>
            <w:pPr>
              <w:jc w:val="center"/>
              <w:rPr>
                <w:szCs w:val="21"/>
              </w:rPr>
            </w:pPr>
            <w:r>
              <w:rPr>
                <w:szCs w:val="21"/>
              </w:rPr>
              <w:t>方位、距离</w:t>
            </w:r>
          </w:p>
        </w:tc>
        <w:tc>
          <w:tcPr>
            <w:tcW w:w="1250" w:type="pct"/>
            <w:shd w:val="clear" w:color="auto" w:fill="auto"/>
            <w:vAlign w:val="center"/>
          </w:tcPr>
          <w:p>
            <w:pPr>
              <w:jc w:val="center"/>
              <w:rPr>
                <w:szCs w:val="21"/>
              </w:rPr>
            </w:pPr>
            <w:r>
              <w:rPr>
                <w:szCs w:val="21"/>
              </w:rPr>
              <w:t>可能造成的影响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shd w:val="clear" w:color="auto" w:fill="auto"/>
            <w:vAlign w:val="center"/>
          </w:tcPr>
          <w:p>
            <w:pPr>
              <w:jc w:val="center"/>
              <w:rPr>
                <w:szCs w:val="21"/>
              </w:rPr>
            </w:pPr>
            <w:r>
              <w:rPr>
                <w:szCs w:val="21"/>
              </w:rPr>
              <w:t>1</w:t>
            </w:r>
          </w:p>
        </w:tc>
        <w:tc>
          <w:tcPr>
            <w:tcW w:w="1977" w:type="pct"/>
            <w:shd w:val="clear" w:color="auto" w:fill="auto"/>
            <w:vAlign w:val="center"/>
          </w:tcPr>
          <w:p>
            <w:pPr>
              <w:jc w:val="center"/>
              <w:rPr>
                <w:szCs w:val="21"/>
              </w:rPr>
            </w:pPr>
            <w:r>
              <w:rPr>
                <w:szCs w:val="21"/>
              </w:rPr>
              <w:t>赤塘村</w:t>
            </w:r>
          </w:p>
        </w:tc>
        <w:tc>
          <w:tcPr>
            <w:tcW w:w="1250" w:type="pct"/>
            <w:shd w:val="clear" w:color="auto" w:fill="auto"/>
            <w:vAlign w:val="center"/>
          </w:tcPr>
          <w:p>
            <w:pPr>
              <w:jc w:val="center"/>
              <w:rPr>
                <w:szCs w:val="21"/>
              </w:rPr>
            </w:pPr>
            <w:r>
              <w:rPr>
                <w:szCs w:val="21"/>
              </w:rPr>
              <w:t>西</w:t>
            </w:r>
            <w:r>
              <w:rPr>
                <w:rFonts w:hint="eastAsia"/>
                <w:szCs w:val="21"/>
              </w:rPr>
              <w:t>南</w:t>
            </w:r>
            <w:r>
              <w:rPr>
                <w:szCs w:val="21"/>
              </w:rPr>
              <w:t>侧</w:t>
            </w:r>
            <w:r>
              <w:rPr>
                <w:rFonts w:hint="eastAsia"/>
                <w:szCs w:val="21"/>
              </w:rPr>
              <w:t>3</w:t>
            </w:r>
            <w:r>
              <w:rPr>
                <w:szCs w:val="21"/>
              </w:rPr>
              <w:t>0m</w:t>
            </w:r>
          </w:p>
        </w:tc>
        <w:tc>
          <w:tcPr>
            <w:tcW w:w="1250" w:type="pct"/>
            <w:shd w:val="clear" w:color="auto" w:fill="auto"/>
          </w:tcPr>
          <w:p>
            <w:pPr>
              <w:jc w:val="center"/>
            </w:pPr>
            <w:r>
              <w:rPr>
                <w:kern w:val="0"/>
                <w:szCs w:val="21"/>
              </w:rPr>
              <w:t>重污染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shd w:val="clear" w:color="auto" w:fill="auto"/>
            <w:vAlign w:val="center"/>
          </w:tcPr>
          <w:p>
            <w:pPr>
              <w:jc w:val="center"/>
              <w:rPr>
                <w:szCs w:val="21"/>
              </w:rPr>
            </w:pPr>
            <w:r>
              <w:rPr>
                <w:szCs w:val="21"/>
              </w:rPr>
              <w:t>2</w:t>
            </w:r>
          </w:p>
        </w:tc>
        <w:tc>
          <w:tcPr>
            <w:tcW w:w="1977" w:type="pct"/>
            <w:shd w:val="clear" w:color="auto" w:fill="auto"/>
            <w:vAlign w:val="center"/>
          </w:tcPr>
          <w:p>
            <w:pPr>
              <w:jc w:val="center"/>
              <w:rPr>
                <w:szCs w:val="21"/>
              </w:rPr>
            </w:pPr>
            <w:r>
              <w:rPr>
                <w:szCs w:val="21"/>
              </w:rPr>
              <w:t>三橄榄</w:t>
            </w:r>
          </w:p>
        </w:tc>
        <w:tc>
          <w:tcPr>
            <w:tcW w:w="1250" w:type="pct"/>
            <w:shd w:val="clear" w:color="auto" w:fill="auto"/>
            <w:vAlign w:val="center"/>
          </w:tcPr>
          <w:p>
            <w:pPr>
              <w:jc w:val="center"/>
              <w:rPr>
                <w:szCs w:val="21"/>
              </w:rPr>
            </w:pPr>
            <w:r>
              <w:rPr>
                <w:szCs w:val="21"/>
              </w:rPr>
              <w:t>南侧</w:t>
            </w:r>
            <w:r>
              <w:rPr>
                <w:rFonts w:hint="eastAsia"/>
                <w:szCs w:val="21"/>
              </w:rPr>
              <w:t>2</w:t>
            </w:r>
            <w:r>
              <w:rPr>
                <w:szCs w:val="21"/>
              </w:rPr>
              <w:t>0m</w:t>
            </w:r>
          </w:p>
        </w:tc>
        <w:tc>
          <w:tcPr>
            <w:tcW w:w="1250" w:type="pct"/>
            <w:shd w:val="clear" w:color="auto" w:fill="auto"/>
          </w:tcPr>
          <w:p>
            <w:pPr>
              <w:jc w:val="center"/>
            </w:pPr>
            <w:r>
              <w:rPr>
                <w:kern w:val="0"/>
                <w:szCs w:val="21"/>
              </w:rPr>
              <w:t>重污染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shd w:val="clear" w:color="auto" w:fill="auto"/>
            <w:vAlign w:val="center"/>
          </w:tcPr>
          <w:p>
            <w:pPr>
              <w:jc w:val="center"/>
              <w:rPr>
                <w:szCs w:val="21"/>
              </w:rPr>
            </w:pPr>
            <w:r>
              <w:rPr>
                <w:szCs w:val="21"/>
              </w:rPr>
              <w:t>3</w:t>
            </w:r>
          </w:p>
        </w:tc>
        <w:tc>
          <w:tcPr>
            <w:tcW w:w="1977" w:type="pct"/>
            <w:shd w:val="clear" w:color="auto" w:fill="auto"/>
            <w:vAlign w:val="center"/>
          </w:tcPr>
          <w:p>
            <w:pPr>
              <w:jc w:val="center"/>
              <w:rPr>
                <w:szCs w:val="21"/>
              </w:rPr>
            </w:pPr>
            <w:r>
              <w:rPr>
                <w:szCs w:val="21"/>
              </w:rPr>
              <w:t>院前</w:t>
            </w:r>
          </w:p>
        </w:tc>
        <w:tc>
          <w:tcPr>
            <w:tcW w:w="1250" w:type="pct"/>
            <w:shd w:val="clear" w:color="auto" w:fill="auto"/>
            <w:vAlign w:val="center"/>
          </w:tcPr>
          <w:p>
            <w:pPr>
              <w:jc w:val="center"/>
              <w:rPr>
                <w:szCs w:val="21"/>
              </w:rPr>
            </w:pPr>
            <w:r>
              <w:rPr>
                <w:szCs w:val="21"/>
              </w:rPr>
              <w:t>东南侧160m</w:t>
            </w:r>
          </w:p>
        </w:tc>
        <w:tc>
          <w:tcPr>
            <w:tcW w:w="1250" w:type="pct"/>
            <w:shd w:val="clear" w:color="auto" w:fill="auto"/>
          </w:tcPr>
          <w:p>
            <w:pPr>
              <w:jc w:val="center"/>
            </w:pPr>
            <w:r>
              <w:rPr>
                <w:kern w:val="0"/>
                <w:szCs w:val="21"/>
              </w:rPr>
              <w:t>轻污染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shd w:val="clear" w:color="auto" w:fill="auto"/>
            <w:vAlign w:val="center"/>
          </w:tcPr>
          <w:p>
            <w:pPr>
              <w:jc w:val="center"/>
              <w:rPr>
                <w:szCs w:val="21"/>
              </w:rPr>
            </w:pPr>
            <w:r>
              <w:rPr>
                <w:rFonts w:hint="eastAsia"/>
                <w:szCs w:val="21"/>
              </w:rPr>
              <w:t>4</w:t>
            </w:r>
          </w:p>
        </w:tc>
        <w:tc>
          <w:tcPr>
            <w:tcW w:w="1977" w:type="pct"/>
            <w:shd w:val="clear" w:color="auto" w:fill="auto"/>
            <w:vAlign w:val="center"/>
          </w:tcPr>
          <w:p>
            <w:pPr>
              <w:jc w:val="center"/>
              <w:rPr>
                <w:szCs w:val="21"/>
              </w:rPr>
            </w:pPr>
            <w:r>
              <w:rPr>
                <w:szCs w:val="21"/>
              </w:rPr>
              <w:t>国家电网办公楼</w:t>
            </w:r>
          </w:p>
        </w:tc>
        <w:tc>
          <w:tcPr>
            <w:tcW w:w="1250" w:type="pct"/>
            <w:shd w:val="clear" w:color="auto" w:fill="auto"/>
            <w:vAlign w:val="center"/>
          </w:tcPr>
          <w:p>
            <w:pPr>
              <w:jc w:val="center"/>
              <w:rPr>
                <w:szCs w:val="21"/>
              </w:rPr>
            </w:pPr>
            <w:r>
              <w:rPr>
                <w:szCs w:val="21"/>
              </w:rPr>
              <w:t>东北侧</w:t>
            </w:r>
            <w:r>
              <w:rPr>
                <w:rFonts w:hint="eastAsia"/>
                <w:szCs w:val="21"/>
              </w:rPr>
              <w:t>40m</w:t>
            </w:r>
          </w:p>
        </w:tc>
        <w:tc>
          <w:tcPr>
            <w:tcW w:w="1250" w:type="pct"/>
            <w:shd w:val="clear" w:color="auto" w:fill="auto"/>
          </w:tcPr>
          <w:p>
            <w:pPr>
              <w:jc w:val="center"/>
              <w:rPr>
                <w:kern w:val="0"/>
                <w:szCs w:val="21"/>
              </w:rPr>
            </w:pPr>
            <w:r>
              <w:rPr>
                <w:kern w:val="0"/>
                <w:szCs w:val="21"/>
              </w:rPr>
              <w:t>重污染</w:t>
            </w:r>
          </w:p>
        </w:tc>
      </w:tr>
    </w:tbl>
    <w:p>
      <w:pPr>
        <w:tabs>
          <w:tab w:val="left" w:pos="3825"/>
          <w:tab w:val="left" w:pos="4680"/>
        </w:tabs>
        <w:spacing w:line="520" w:lineRule="exact"/>
        <w:ind w:firstLine="480" w:firstLineChars="200"/>
        <w:rPr>
          <w:sz w:val="24"/>
          <w:szCs w:val="24"/>
        </w:rPr>
      </w:pPr>
      <w:r>
        <w:rPr>
          <w:sz w:val="24"/>
          <w:szCs w:val="24"/>
        </w:rPr>
        <w:t>根据表4.1-1可知，项目施工扬尘对敏感目标影响较大，</w:t>
      </w:r>
      <w:r>
        <w:rPr>
          <w:rFonts w:hint="eastAsia"/>
          <w:sz w:val="24"/>
          <w:szCs w:val="24"/>
        </w:rPr>
        <w:t>其中赤塘村、三橄榄、国家电网办公楼处于重污染地带</w:t>
      </w:r>
      <w:r>
        <w:rPr>
          <w:rFonts w:hint="eastAsia"/>
          <w:sz w:val="24"/>
        </w:rPr>
        <w:t>。</w:t>
      </w:r>
      <w:r>
        <w:rPr>
          <w:rFonts w:hint="eastAsia"/>
          <w:sz w:val="24"/>
          <w:szCs w:val="24"/>
        </w:rPr>
        <w:t>因此需要采取措施减小施工扬尘对项目周边敏感目标的影响。</w:t>
      </w:r>
      <w:r>
        <w:rPr>
          <w:sz w:val="24"/>
          <w:szCs w:val="21"/>
        </w:rPr>
        <w:t>本工程</w:t>
      </w:r>
      <w:r>
        <w:rPr>
          <w:sz w:val="24"/>
        </w:rPr>
        <w:t>在施工期内</w:t>
      </w:r>
      <w:r>
        <w:rPr>
          <w:rFonts w:hint="eastAsia"/>
          <w:sz w:val="24"/>
        </w:rPr>
        <w:t>采取</w:t>
      </w:r>
      <w:r>
        <w:rPr>
          <w:sz w:val="24"/>
        </w:rPr>
        <w:t>对车辆行驶的路面及施工场地实施洒水抑尘</w:t>
      </w:r>
      <w:r>
        <w:rPr>
          <w:rFonts w:hint="eastAsia"/>
          <w:sz w:val="24"/>
        </w:rPr>
        <w:t>等措施</w:t>
      </w:r>
      <w:r>
        <w:rPr>
          <w:sz w:val="24"/>
        </w:rPr>
        <w:t>，每天洒4～5次，扬尘可减少70%左右</w:t>
      </w:r>
      <w:r>
        <w:rPr>
          <w:sz w:val="24"/>
          <w:szCs w:val="21"/>
        </w:rPr>
        <w:t>，以最大限度地减少施工扬尘对周围环境敏感点的影响</w:t>
      </w:r>
      <w:r>
        <w:rPr>
          <w:sz w:val="24"/>
        </w:rPr>
        <w:t>，</w:t>
      </w:r>
      <w:r>
        <w:rPr>
          <w:rFonts w:hint="eastAsia"/>
          <w:sz w:val="24"/>
        </w:rPr>
        <w:t>同时</w:t>
      </w:r>
      <w:r>
        <w:rPr>
          <w:sz w:val="24"/>
        </w:rPr>
        <w:t>建设单位在施工期施工边界设置围挡墙，</w:t>
      </w:r>
      <w:r>
        <w:rPr>
          <w:rFonts w:hint="eastAsia"/>
          <w:sz w:val="24"/>
        </w:rPr>
        <w:t>对运输建筑材料和建筑垃圾、弃方等车辆加盖篷布减少洒落，尽量避免在大风天气下进行施工作业。采取一定的环境空气质量控制措施后，本项目施工扬尘的影响较小。</w:t>
      </w:r>
    </w:p>
    <w:p>
      <w:pPr>
        <w:spacing w:line="480" w:lineRule="exact"/>
        <w:ind w:firstLine="480" w:firstLineChars="200"/>
        <w:rPr>
          <w:sz w:val="24"/>
          <w:szCs w:val="24"/>
        </w:rPr>
      </w:pPr>
      <w:r>
        <w:rPr>
          <w:sz w:val="24"/>
          <w:szCs w:val="24"/>
        </w:rPr>
        <w:t>（2）施工机械、运输车辆排放的废气</w:t>
      </w:r>
    </w:p>
    <w:p>
      <w:pPr>
        <w:tabs>
          <w:tab w:val="left" w:pos="3825"/>
          <w:tab w:val="left" w:pos="4680"/>
        </w:tabs>
        <w:spacing w:line="520" w:lineRule="exact"/>
        <w:ind w:firstLine="480" w:firstLineChars="200"/>
        <w:rPr>
          <w:sz w:val="24"/>
          <w:szCs w:val="21"/>
        </w:rPr>
      </w:pPr>
      <w:r>
        <w:rPr>
          <w:sz w:val="24"/>
          <w:szCs w:val="24"/>
        </w:rPr>
        <w:t>工地上使用的施工机械及运输车辆</w:t>
      </w:r>
      <w:r>
        <w:rPr>
          <w:rFonts w:hint="eastAsia"/>
          <w:sz w:val="24"/>
          <w:szCs w:val="24"/>
        </w:rPr>
        <w:t>大多</w:t>
      </w:r>
      <w:r>
        <w:rPr>
          <w:sz w:val="24"/>
          <w:szCs w:val="24"/>
        </w:rPr>
        <w:t>燃用柴油，</w:t>
      </w:r>
      <w:r>
        <w:rPr>
          <w:sz w:val="24"/>
          <w:szCs w:val="21"/>
        </w:rPr>
        <w:t>由柴油燃烧产生的尾气中主要含有颗粒物和碳氢化合物等废气，在常规气象条件下废气污染影响范围最大不超过排气孔下风向轴线几十米远的距离。</w:t>
      </w:r>
    </w:p>
    <w:p>
      <w:pPr>
        <w:tabs>
          <w:tab w:val="left" w:pos="3825"/>
          <w:tab w:val="left" w:pos="4680"/>
        </w:tabs>
        <w:spacing w:line="520" w:lineRule="exact"/>
        <w:ind w:firstLine="480" w:firstLineChars="200"/>
        <w:rPr>
          <w:sz w:val="24"/>
          <w:szCs w:val="21"/>
        </w:rPr>
      </w:pPr>
      <w:r>
        <w:rPr>
          <w:sz w:val="24"/>
          <w:szCs w:val="21"/>
        </w:rPr>
        <w:t>一般情况下，在工地内运行的机械及载重卡车的废气污染影响范围仅局限于施工工地内，不影响界外区域。但当车辆进出工地及在外界道路上行驶时，可能会影响道路两侧约60m的区域。在工程施工期间，使用液体燃料的施工机械及运输车辆的发动机排放的尾气中含有SO</w:t>
      </w:r>
      <w:r>
        <w:rPr>
          <w:sz w:val="24"/>
          <w:szCs w:val="21"/>
          <w:vertAlign w:val="subscript"/>
        </w:rPr>
        <w:t>2</w:t>
      </w:r>
      <w:r>
        <w:rPr>
          <w:sz w:val="24"/>
          <w:szCs w:val="21"/>
        </w:rPr>
        <w:t>、NO</w:t>
      </w:r>
      <w:r>
        <w:rPr>
          <w:sz w:val="24"/>
          <w:szCs w:val="21"/>
          <w:vertAlign w:val="subscript"/>
        </w:rPr>
        <w:t>2</w:t>
      </w:r>
      <w:r>
        <w:rPr>
          <w:sz w:val="24"/>
          <w:szCs w:val="21"/>
        </w:rPr>
        <w:t>、CO、烃类等污染物，一般情况下，这些污染物的排放量不大，对周围环境的影响很小。</w:t>
      </w:r>
    </w:p>
    <w:p>
      <w:pPr>
        <w:spacing w:line="480" w:lineRule="exact"/>
        <w:ind w:firstLine="480" w:firstLineChars="200"/>
        <w:rPr>
          <w:sz w:val="24"/>
          <w:szCs w:val="24"/>
        </w:rPr>
      </w:pPr>
      <w:r>
        <w:rPr>
          <w:sz w:val="24"/>
          <w:szCs w:val="24"/>
        </w:rPr>
        <w:t>（3）装修废气</w:t>
      </w:r>
    </w:p>
    <w:p>
      <w:pPr>
        <w:tabs>
          <w:tab w:val="left" w:pos="3825"/>
          <w:tab w:val="left" w:pos="4680"/>
        </w:tabs>
        <w:spacing w:line="520" w:lineRule="exact"/>
        <w:ind w:firstLine="480" w:firstLineChars="200"/>
        <w:rPr>
          <w:sz w:val="24"/>
          <w:szCs w:val="21"/>
        </w:rPr>
      </w:pPr>
      <w:bookmarkStart w:id="184" w:name="_Toc486070560"/>
      <w:bookmarkStart w:id="185" w:name="_Toc472321512"/>
      <w:r>
        <w:rPr>
          <w:rFonts w:hint="eastAsia"/>
          <w:sz w:val="24"/>
          <w:szCs w:val="21"/>
        </w:rPr>
        <w:t>装修阶段中</w:t>
      </w:r>
      <w:r>
        <w:rPr>
          <w:sz w:val="24"/>
          <w:szCs w:val="21"/>
        </w:rPr>
        <w:t>油漆涂料的组成一般包括膜物质、颜色、助剂和溶剂等，使用后其中溶剂将百分百挥发到大气中去。据了解这些溶剂有苯类、丙酮、醋酸丁酯、乙醛、丁醇、甲酸、水等物，该气体易产生恶臭，经呼吸道吸入可能引起眩晕、头痛、恶心等症状，有人经接触可能引起过敏、皮炎等，有毒溶剂的严重影响可能引起气喘、神态不清、呕吐等急性中毒。有机溶剂废气在室内累积，并向室外弥散，影响学生身体健康。</w:t>
      </w:r>
    </w:p>
    <w:p>
      <w:pPr>
        <w:tabs>
          <w:tab w:val="left" w:pos="3825"/>
          <w:tab w:val="left" w:pos="4680"/>
        </w:tabs>
        <w:spacing w:line="520" w:lineRule="exact"/>
        <w:ind w:firstLine="480" w:firstLineChars="200"/>
        <w:rPr>
          <w:sz w:val="24"/>
          <w:szCs w:val="21"/>
        </w:rPr>
      </w:pPr>
      <w:r>
        <w:rPr>
          <w:sz w:val="24"/>
          <w:szCs w:val="21"/>
        </w:rPr>
        <w:t>对有机溶剂的污染控制首先应在源头上，业主装修应做到绿色装修，装修材料和建筑材料应选择无毒或低毒的环保型产品，杜绝采用已被淘汰的材料；建议不要刚装修完成就运营，至少要在装修完成后 1个月后搬进</w:t>
      </w:r>
      <w:r>
        <w:rPr>
          <w:rFonts w:hint="eastAsia"/>
          <w:sz w:val="24"/>
          <w:szCs w:val="21"/>
        </w:rPr>
        <w:t>；根据相关资料，装修过程产生的有机废气的影响范围较小，15m外就基本不会对环境空气产生明显影响，装修结束后其影响消失。</w:t>
      </w:r>
    </w:p>
    <w:p>
      <w:pPr>
        <w:spacing w:line="360" w:lineRule="auto"/>
        <w:outlineLvl w:val="2"/>
        <w:rPr>
          <w:b/>
          <w:sz w:val="24"/>
          <w:szCs w:val="24"/>
        </w:rPr>
      </w:pPr>
      <w:r>
        <w:rPr>
          <w:b/>
          <w:sz w:val="24"/>
          <w:szCs w:val="24"/>
        </w:rPr>
        <w:t>4.1.3 施工期声环境影响分析</w:t>
      </w:r>
      <w:bookmarkEnd w:id="184"/>
      <w:bookmarkEnd w:id="185"/>
    </w:p>
    <w:p>
      <w:pPr>
        <w:tabs>
          <w:tab w:val="left" w:pos="3825"/>
          <w:tab w:val="left" w:pos="4680"/>
        </w:tabs>
        <w:spacing w:line="360" w:lineRule="auto"/>
        <w:ind w:left="480"/>
        <w:jc w:val="left"/>
        <w:rPr>
          <w:sz w:val="24"/>
        </w:rPr>
      </w:pPr>
      <w:r>
        <w:rPr>
          <w:sz w:val="24"/>
        </w:rPr>
        <w:t>（1）主要噪声污染源</w:t>
      </w:r>
    </w:p>
    <w:p>
      <w:pPr>
        <w:spacing w:line="360" w:lineRule="auto"/>
        <w:ind w:firstLine="480" w:firstLineChars="200"/>
        <w:rPr>
          <w:sz w:val="24"/>
        </w:rPr>
      </w:pPr>
      <w:r>
        <w:rPr>
          <w:sz w:val="24"/>
        </w:rPr>
        <w:t>项目建设过程中各个阶段的主要噪声源</w:t>
      </w:r>
      <w:r>
        <w:rPr>
          <w:rFonts w:hint="eastAsia"/>
          <w:sz w:val="24"/>
        </w:rPr>
        <w:t>在80~100dB之间</w:t>
      </w:r>
      <w:r>
        <w:rPr>
          <w:sz w:val="24"/>
        </w:rPr>
        <w:t>，各施工阶段主要噪声源及其声级详见表</w:t>
      </w:r>
      <w:r>
        <w:rPr>
          <w:rFonts w:hint="eastAsia"/>
          <w:sz w:val="24"/>
        </w:rPr>
        <w:t>6</w:t>
      </w:r>
      <w:r>
        <w:rPr>
          <w:sz w:val="24"/>
        </w:rPr>
        <w:t>.1-</w:t>
      </w:r>
      <w:r>
        <w:rPr>
          <w:rFonts w:hint="eastAsia"/>
          <w:sz w:val="24"/>
        </w:rPr>
        <w:t>2</w:t>
      </w:r>
      <w:r>
        <w:rPr>
          <w:sz w:val="24"/>
        </w:rPr>
        <w:t>。</w:t>
      </w:r>
    </w:p>
    <w:p>
      <w:pPr>
        <w:spacing w:line="360" w:lineRule="auto"/>
        <w:ind w:firstLine="480" w:firstLineChars="200"/>
        <w:rPr>
          <w:sz w:val="24"/>
        </w:rPr>
      </w:pPr>
      <w:r>
        <w:rPr>
          <w:sz w:val="24"/>
        </w:rPr>
        <w:t>（1）预测模式</w:t>
      </w:r>
    </w:p>
    <w:p>
      <w:pPr>
        <w:spacing w:line="360" w:lineRule="auto"/>
        <w:ind w:firstLine="480" w:firstLineChars="200"/>
        <w:rPr>
          <w:sz w:val="24"/>
        </w:rPr>
      </w:pPr>
      <w:r>
        <w:rPr>
          <w:sz w:val="24"/>
        </w:rPr>
        <w:t>鉴于施工噪声的复杂性和施工噪声影响的区域性和阶段性，根据国家《建筑施工场界环境噪声排放标准》（GB12523-2011），针对不同施工阶段计算出不同施工设备的噪声影响范围，以便施工单位在施工时结合实际情况采取适当的噪声污染防治措施。</w:t>
      </w:r>
    </w:p>
    <w:p>
      <w:pPr>
        <w:spacing w:line="360" w:lineRule="auto"/>
        <w:ind w:firstLine="480" w:firstLineChars="200"/>
        <w:rPr>
          <w:sz w:val="24"/>
        </w:rPr>
      </w:pPr>
      <w:r>
        <w:rPr>
          <w:sz w:val="24"/>
        </w:rPr>
        <w:t>施工设备噪声源均按点声源计算，其噪声预测模式为：</w:t>
      </w:r>
    </w:p>
    <w:p>
      <w:pPr>
        <w:spacing w:line="360" w:lineRule="auto"/>
        <w:jc w:val="center"/>
        <w:rPr>
          <w:sz w:val="24"/>
        </w:rPr>
      </w:pPr>
      <w:r>
        <w:rPr>
          <w:sz w:val="24"/>
        </w:rPr>
        <w:pict>
          <v:shape id="_x0000_i1026" o:spt="75" type="#_x0000_t75" style="height:33pt;width:119.25pt;" filled="f" o:preferrelative="t" stroked="f" coordsize="21600,21600">
            <v:path/>
            <v:fill on="f" focussize="0,0"/>
            <v:stroke on="f" joinstyle="miter"/>
            <v:imagedata r:id="rId25" o:title=""/>
            <o:lock v:ext="edit" aspectratio="t"/>
            <w10:wrap type="none"/>
            <w10:anchorlock/>
          </v:shape>
        </w:pict>
      </w:r>
    </w:p>
    <w:p>
      <w:pPr>
        <w:spacing w:line="360" w:lineRule="auto"/>
        <w:ind w:firstLine="480" w:firstLineChars="200"/>
        <w:rPr>
          <w:sz w:val="24"/>
        </w:rPr>
      </w:pPr>
      <w:r>
        <w:rPr>
          <w:sz w:val="24"/>
        </w:rPr>
        <w:t>式中：</w:t>
      </w:r>
      <w:r>
        <w:rPr>
          <w:sz w:val="24"/>
        </w:rPr>
        <w:pict>
          <v:shape id="_x0000_i1027" o:spt="75" type="#_x0000_t75" style="height:17.25pt;width:13.5pt;" filled="f" o:preferrelative="t" stroked="f" coordsize="21600,21600">
            <v:path/>
            <v:fill on="f" focussize="0,0"/>
            <v:stroke on="f" joinstyle="miter"/>
            <v:imagedata r:id="rId26" o:title=""/>
            <o:lock v:ext="edit" aspectratio="t"/>
            <w10:wrap type="none"/>
            <w10:anchorlock/>
          </v:shape>
        </w:pict>
      </w:r>
      <w:r>
        <w:rPr>
          <w:sz w:val="24"/>
        </w:rPr>
        <w:t>和</w:t>
      </w:r>
      <w:r>
        <w:rPr>
          <w:sz w:val="24"/>
        </w:rPr>
        <w:pict>
          <v:shape id="_x0000_i1028" o:spt="75" type="#_x0000_t75" style="height:17.25pt;width:13.5pt;" filled="f" o:preferrelative="t" stroked="f" coordsize="21600,21600">
            <v:path/>
            <v:fill on="f" focussize="0,0"/>
            <v:stroke on="f" joinstyle="miter"/>
            <v:imagedata r:id="rId27" o:title=""/>
            <o:lock v:ext="edit" aspectratio="t"/>
            <w10:wrap type="none"/>
            <w10:anchorlock/>
          </v:shape>
        </w:pict>
      </w:r>
      <w:r>
        <w:rPr>
          <w:sz w:val="24"/>
        </w:rPr>
        <w:t>分别为距离设备</w:t>
      </w:r>
      <w:r>
        <w:rPr>
          <w:sz w:val="24"/>
        </w:rPr>
        <w:pict>
          <v:shape id="_x0000_i1029" o:spt="75" type="#_x0000_t75" style="height:17.25pt;width:13.5pt;" filled="f" o:preferrelative="t" stroked="f" coordsize="21600,21600">
            <v:path/>
            <v:fill on="f" focussize="0,0"/>
            <v:stroke on="f" joinstyle="miter"/>
            <v:imagedata r:id="rId28" o:title=""/>
            <o:lock v:ext="edit" aspectratio="t"/>
            <w10:wrap type="none"/>
            <w10:anchorlock/>
          </v:shape>
        </w:pict>
      </w:r>
      <w:r>
        <w:rPr>
          <w:sz w:val="24"/>
        </w:rPr>
        <w:t>和</w:t>
      </w:r>
      <w:r>
        <w:rPr>
          <w:sz w:val="24"/>
        </w:rPr>
        <w:pict>
          <v:shape id="_x0000_i1030" o:spt="75" type="#_x0000_t75" style="height:17.25pt;width:15pt;" filled="f" o:preferrelative="t" stroked="f" coordsize="21600,21600">
            <v:path/>
            <v:fill on="f" focussize="0,0"/>
            <v:stroke on="f" joinstyle="miter"/>
            <v:imagedata r:id="rId29" o:title=""/>
            <o:lock v:ext="edit" aspectratio="t"/>
            <w10:wrap type="none"/>
            <w10:anchorlock/>
          </v:shape>
        </w:pict>
      </w:r>
      <w:r>
        <w:rPr>
          <w:sz w:val="24"/>
        </w:rPr>
        <w:t>处的设备噪声级；</w:t>
      </w:r>
      <w:r>
        <w:rPr>
          <w:sz w:val="24"/>
        </w:rPr>
        <w:pict>
          <v:shape id="_x0000_i1031" o:spt="75" type="#_x0000_t75" style="height:13.5pt;width:17.25pt;" filled="f" o:preferrelative="t" stroked="f" coordsize="21600,21600">
            <v:path/>
            <v:fill on="f" focussize="0,0"/>
            <v:stroke on="f" joinstyle="miter"/>
            <v:imagedata r:id="rId30" o:title=""/>
            <o:lock v:ext="edit" aspectratio="t"/>
            <w10:wrap type="none"/>
            <w10:anchorlock/>
          </v:shape>
        </w:pict>
      </w:r>
      <w:r>
        <w:rPr>
          <w:sz w:val="24"/>
        </w:rPr>
        <w:t>为障碍物、植被、空气等产生的附加衰减量。</w:t>
      </w:r>
    </w:p>
    <w:p>
      <w:pPr>
        <w:spacing w:line="360" w:lineRule="auto"/>
        <w:ind w:firstLine="480" w:firstLineChars="200"/>
        <w:rPr>
          <w:sz w:val="24"/>
        </w:rPr>
      </w:pPr>
      <w:r>
        <w:rPr>
          <w:sz w:val="24"/>
        </w:rPr>
        <w:t>对于多台施工机械对某个预测点的影响，应进行声级迭加：</w:t>
      </w:r>
    </w:p>
    <w:p>
      <w:pPr>
        <w:spacing w:line="360" w:lineRule="auto"/>
        <w:jc w:val="center"/>
        <w:rPr>
          <w:sz w:val="24"/>
        </w:rPr>
      </w:pPr>
      <w:r>
        <w:rPr>
          <w:sz w:val="24"/>
        </w:rPr>
        <w:pict>
          <v:shape id="_x0000_i1032" o:spt="75" type="#_x0000_t75" style="height:21pt;width:90.75pt;" filled="f" o:preferrelative="t" stroked="f" coordsize="21600,21600">
            <v:path/>
            <v:fill on="f" focussize="0,0"/>
            <v:stroke on="f" joinstyle="miter"/>
            <v:imagedata r:id="rId31" o:title=""/>
            <o:lock v:ext="edit" aspectratio="t"/>
            <w10:wrap type="none"/>
            <w10:anchorlock/>
          </v:shape>
        </w:pict>
      </w:r>
    </w:p>
    <w:p>
      <w:pPr>
        <w:widowControl/>
        <w:spacing w:line="360" w:lineRule="auto"/>
        <w:ind w:firstLine="480"/>
        <w:rPr>
          <w:sz w:val="24"/>
        </w:rPr>
      </w:pPr>
      <w:r>
        <w:rPr>
          <w:sz w:val="24"/>
        </w:rPr>
        <w:t>根据上述预测方法和预测模式，对施工过程中各种设备噪声影响范围进行预测，预测结果详见表4.1-2。</w:t>
      </w:r>
    </w:p>
    <w:p>
      <w:pPr>
        <w:spacing w:line="360" w:lineRule="auto"/>
        <w:jc w:val="center"/>
        <w:rPr>
          <w:b/>
          <w:sz w:val="24"/>
        </w:rPr>
      </w:pPr>
      <w:r>
        <w:rPr>
          <w:b/>
          <w:sz w:val="24"/>
        </w:rPr>
        <w:t>表4.1-2  主要施工机械不同距离处的噪声级 单位：dB（A）</w:t>
      </w:r>
    </w:p>
    <w:tbl>
      <w:tblPr>
        <w:tblStyle w:val="25"/>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6"/>
        <w:gridCol w:w="634"/>
        <w:gridCol w:w="634"/>
        <w:gridCol w:w="634"/>
        <w:gridCol w:w="634"/>
        <w:gridCol w:w="634"/>
        <w:gridCol w:w="634"/>
        <w:gridCol w:w="634"/>
        <w:gridCol w:w="634"/>
        <w:gridCol w:w="634"/>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54" w:type="dxa"/>
            <w:tcBorders>
              <w:tl2br w:val="single" w:color="auto" w:sz="4" w:space="0"/>
            </w:tcBorders>
          </w:tcPr>
          <w:p>
            <w:pPr>
              <w:spacing w:line="360" w:lineRule="auto"/>
              <w:ind w:firstLine="630" w:firstLineChars="300"/>
              <w:jc w:val="left"/>
              <w:rPr>
                <w:rFonts w:eastAsiaTheme="minorEastAsia"/>
                <w:szCs w:val="21"/>
              </w:rPr>
            </w:pPr>
            <w:r>
              <w:rPr>
                <w:rFonts w:eastAsiaTheme="minorEastAsia"/>
                <w:szCs w:val="21"/>
              </w:rPr>
              <w:t>距施工点距离（m）</w:t>
            </w:r>
            <w:r>
              <w:rPr>
                <w:rFonts w:eastAsiaTheme="minorEastAsia"/>
                <w:szCs w:val="21"/>
              </w:rPr>
              <w:br w:type="textWrapping"/>
            </w:r>
            <w:r>
              <w:rPr>
                <w:rFonts w:eastAsiaTheme="minorEastAsia"/>
                <w:szCs w:val="21"/>
              </w:rPr>
              <w:t>机械名称</w:t>
            </w:r>
          </w:p>
        </w:tc>
        <w:tc>
          <w:tcPr>
            <w:tcW w:w="629" w:type="dxa"/>
            <w:vAlign w:val="center"/>
          </w:tcPr>
          <w:p>
            <w:pPr>
              <w:spacing w:line="360" w:lineRule="auto"/>
              <w:jc w:val="center"/>
              <w:rPr>
                <w:rFonts w:eastAsiaTheme="minorEastAsia"/>
                <w:szCs w:val="21"/>
              </w:rPr>
            </w:pPr>
            <w:r>
              <w:rPr>
                <w:rFonts w:eastAsiaTheme="minorEastAsia"/>
                <w:szCs w:val="21"/>
              </w:rPr>
              <w:t>5</w:t>
            </w:r>
          </w:p>
        </w:tc>
        <w:tc>
          <w:tcPr>
            <w:tcW w:w="629" w:type="dxa"/>
            <w:vAlign w:val="center"/>
          </w:tcPr>
          <w:p>
            <w:pPr>
              <w:spacing w:line="360" w:lineRule="auto"/>
              <w:jc w:val="center"/>
              <w:rPr>
                <w:rFonts w:eastAsiaTheme="minorEastAsia"/>
                <w:szCs w:val="21"/>
              </w:rPr>
            </w:pPr>
            <w:r>
              <w:rPr>
                <w:rFonts w:eastAsiaTheme="minorEastAsia"/>
                <w:szCs w:val="21"/>
              </w:rPr>
              <w:t>10</w:t>
            </w:r>
          </w:p>
        </w:tc>
        <w:tc>
          <w:tcPr>
            <w:tcW w:w="629" w:type="dxa"/>
            <w:vAlign w:val="center"/>
          </w:tcPr>
          <w:p>
            <w:pPr>
              <w:spacing w:line="360" w:lineRule="auto"/>
              <w:jc w:val="center"/>
              <w:rPr>
                <w:rFonts w:eastAsiaTheme="minorEastAsia"/>
                <w:szCs w:val="21"/>
              </w:rPr>
            </w:pPr>
            <w:r>
              <w:rPr>
                <w:rFonts w:eastAsiaTheme="minorEastAsia"/>
                <w:szCs w:val="21"/>
              </w:rPr>
              <w:t>20</w:t>
            </w:r>
          </w:p>
        </w:tc>
        <w:tc>
          <w:tcPr>
            <w:tcW w:w="629" w:type="dxa"/>
            <w:vAlign w:val="center"/>
          </w:tcPr>
          <w:p>
            <w:pPr>
              <w:spacing w:line="360" w:lineRule="auto"/>
              <w:jc w:val="center"/>
              <w:rPr>
                <w:rFonts w:eastAsiaTheme="minorEastAsia"/>
                <w:szCs w:val="21"/>
              </w:rPr>
            </w:pPr>
            <w:r>
              <w:rPr>
                <w:rFonts w:eastAsiaTheme="minorEastAsia"/>
                <w:szCs w:val="21"/>
              </w:rPr>
              <w:t>30</w:t>
            </w:r>
          </w:p>
        </w:tc>
        <w:tc>
          <w:tcPr>
            <w:tcW w:w="629" w:type="dxa"/>
            <w:vAlign w:val="center"/>
          </w:tcPr>
          <w:p>
            <w:pPr>
              <w:spacing w:line="360" w:lineRule="auto"/>
              <w:jc w:val="center"/>
              <w:rPr>
                <w:rFonts w:eastAsiaTheme="minorEastAsia"/>
                <w:szCs w:val="21"/>
              </w:rPr>
            </w:pPr>
            <w:r>
              <w:rPr>
                <w:rFonts w:eastAsiaTheme="minorEastAsia"/>
                <w:szCs w:val="21"/>
              </w:rPr>
              <w:t>50</w:t>
            </w:r>
          </w:p>
        </w:tc>
        <w:tc>
          <w:tcPr>
            <w:tcW w:w="629" w:type="dxa"/>
            <w:vAlign w:val="center"/>
          </w:tcPr>
          <w:p>
            <w:pPr>
              <w:spacing w:line="360" w:lineRule="auto"/>
              <w:jc w:val="center"/>
              <w:rPr>
                <w:rFonts w:eastAsiaTheme="minorEastAsia"/>
                <w:szCs w:val="21"/>
              </w:rPr>
            </w:pPr>
            <w:r>
              <w:rPr>
                <w:rFonts w:eastAsiaTheme="minorEastAsia"/>
                <w:szCs w:val="21"/>
              </w:rPr>
              <w:t>80</w:t>
            </w:r>
          </w:p>
        </w:tc>
        <w:tc>
          <w:tcPr>
            <w:tcW w:w="629" w:type="dxa"/>
            <w:vAlign w:val="center"/>
          </w:tcPr>
          <w:p>
            <w:pPr>
              <w:spacing w:line="360" w:lineRule="auto"/>
              <w:jc w:val="center"/>
              <w:rPr>
                <w:rFonts w:eastAsiaTheme="minorEastAsia"/>
                <w:szCs w:val="21"/>
              </w:rPr>
            </w:pPr>
            <w:r>
              <w:rPr>
                <w:rFonts w:eastAsiaTheme="minorEastAsia"/>
                <w:szCs w:val="21"/>
              </w:rPr>
              <w:t>100</w:t>
            </w:r>
          </w:p>
        </w:tc>
        <w:tc>
          <w:tcPr>
            <w:tcW w:w="629" w:type="dxa"/>
            <w:vAlign w:val="center"/>
          </w:tcPr>
          <w:p>
            <w:pPr>
              <w:spacing w:line="360" w:lineRule="auto"/>
              <w:jc w:val="center"/>
              <w:rPr>
                <w:rFonts w:eastAsiaTheme="minorEastAsia"/>
                <w:szCs w:val="21"/>
              </w:rPr>
            </w:pPr>
            <w:r>
              <w:rPr>
                <w:rFonts w:eastAsiaTheme="minorEastAsia"/>
                <w:szCs w:val="21"/>
              </w:rPr>
              <w:t>200</w:t>
            </w:r>
          </w:p>
        </w:tc>
        <w:tc>
          <w:tcPr>
            <w:tcW w:w="629" w:type="dxa"/>
            <w:vAlign w:val="center"/>
          </w:tcPr>
          <w:p>
            <w:pPr>
              <w:spacing w:line="360" w:lineRule="auto"/>
              <w:jc w:val="center"/>
              <w:rPr>
                <w:rFonts w:eastAsiaTheme="minorEastAsia"/>
                <w:szCs w:val="21"/>
              </w:rPr>
            </w:pPr>
            <w:r>
              <w:rPr>
                <w:rFonts w:eastAsiaTheme="minorEastAsia"/>
                <w:szCs w:val="21"/>
              </w:rPr>
              <w:t>300</w:t>
            </w:r>
          </w:p>
        </w:tc>
        <w:tc>
          <w:tcPr>
            <w:tcW w:w="629" w:type="dxa"/>
            <w:vAlign w:val="center"/>
          </w:tcPr>
          <w:p>
            <w:pPr>
              <w:spacing w:line="360" w:lineRule="auto"/>
              <w:jc w:val="center"/>
              <w:rPr>
                <w:rFonts w:eastAsiaTheme="minorEastAsia"/>
                <w:szCs w:val="21"/>
              </w:rPr>
            </w:pPr>
            <w:r>
              <w:rPr>
                <w:rFonts w:eastAsiaTheme="minorEastAsia"/>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54" w:type="dxa"/>
            <w:vAlign w:val="center"/>
          </w:tcPr>
          <w:p>
            <w:pPr>
              <w:spacing w:line="360" w:lineRule="auto"/>
              <w:jc w:val="center"/>
              <w:rPr>
                <w:rFonts w:eastAsiaTheme="minorEastAsia"/>
                <w:szCs w:val="21"/>
              </w:rPr>
            </w:pPr>
            <w:r>
              <w:rPr>
                <w:rFonts w:eastAsiaTheme="minorEastAsia"/>
                <w:szCs w:val="21"/>
              </w:rPr>
              <w:t>空压机</w:t>
            </w:r>
          </w:p>
        </w:tc>
        <w:tc>
          <w:tcPr>
            <w:tcW w:w="629" w:type="dxa"/>
            <w:vAlign w:val="center"/>
          </w:tcPr>
          <w:p>
            <w:pPr>
              <w:spacing w:line="360" w:lineRule="auto"/>
              <w:jc w:val="center"/>
              <w:rPr>
                <w:rFonts w:eastAsiaTheme="minorEastAsia"/>
                <w:szCs w:val="21"/>
              </w:rPr>
            </w:pPr>
            <w:r>
              <w:rPr>
                <w:rFonts w:eastAsiaTheme="minorEastAsia"/>
                <w:szCs w:val="21"/>
              </w:rPr>
              <w:t>92</w:t>
            </w:r>
          </w:p>
        </w:tc>
        <w:tc>
          <w:tcPr>
            <w:tcW w:w="629" w:type="dxa"/>
            <w:vAlign w:val="center"/>
          </w:tcPr>
          <w:p>
            <w:pPr>
              <w:spacing w:line="360" w:lineRule="auto"/>
              <w:jc w:val="center"/>
              <w:rPr>
                <w:rFonts w:eastAsiaTheme="minorEastAsia"/>
                <w:szCs w:val="21"/>
              </w:rPr>
            </w:pPr>
            <w:r>
              <w:rPr>
                <w:rFonts w:eastAsiaTheme="minorEastAsia"/>
                <w:szCs w:val="21"/>
              </w:rPr>
              <w:t>86.0</w:t>
            </w:r>
          </w:p>
        </w:tc>
        <w:tc>
          <w:tcPr>
            <w:tcW w:w="629" w:type="dxa"/>
            <w:vAlign w:val="center"/>
          </w:tcPr>
          <w:p>
            <w:pPr>
              <w:spacing w:line="360" w:lineRule="auto"/>
              <w:jc w:val="center"/>
              <w:rPr>
                <w:rFonts w:eastAsiaTheme="minorEastAsia"/>
                <w:szCs w:val="21"/>
              </w:rPr>
            </w:pPr>
            <w:r>
              <w:rPr>
                <w:rFonts w:eastAsiaTheme="minorEastAsia"/>
                <w:szCs w:val="21"/>
              </w:rPr>
              <w:t>80.0</w:t>
            </w:r>
          </w:p>
        </w:tc>
        <w:tc>
          <w:tcPr>
            <w:tcW w:w="629" w:type="dxa"/>
            <w:vAlign w:val="center"/>
          </w:tcPr>
          <w:p>
            <w:pPr>
              <w:spacing w:line="360" w:lineRule="auto"/>
              <w:jc w:val="center"/>
              <w:rPr>
                <w:rFonts w:eastAsiaTheme="minorEastAsia"/>
                <w:szCs w:val="21"/>
              </w:rPr>
            </w:pPr>
            <w:r>
              <w:rPr>
                <w:rFonts w:eastAsiaTheme="minorEastAsia"/>
                <w:szCs w:val="21"/>
              </w:rPr>
              <w:t>76.4</w:t>
            </w:r>
          </w:p>
        </w:tc>
        <w:tc>
          <w:tcPr>
            <w:tcW w:w="629" w:type="dxa"/>
            <w:vAlign w:val="center"/>
          </w:tcPr>
          <w:p>
            <w:pPr>
              <w:spacing w:line="360" w:lineRule="auto"/>
              <w:jc w:val="center"/>
              <w:rPr>
                <w:rFonts w:eastAsiaTheme="minorEastAsia"/>
                <w:szCs w:val="21"/>
              </w:rPr>
            </w:pPr>
            <w:r>
              <w:rPr>
                <w:rFonts w:eastAsiaTheme="minorEastAsia"/>
                <w:szCs w:val="21"/>
              </w:rPr>
              <w:t>72.0</w:t>
            </w:r>
          </w:p>
        </w:tc>
        <w:tc>
          <w:tcPr>
            <w:tcW w:w="629" w:type="dxa"/>
            <w:vAlign w:val="center"/>
          </w:tcPr>
          <w:p>
            <w:pPr>
              <w:spacing w:line="360" w:lineRule="auto"/>
              <w:jc w:val="center"/>
              <w:rPr>
                <w:rFonts w:eastAsiaTheme="minorEastAsia"/>
                <w:szCs w:val="21"/>
              </w:rPr>
            </w:pPr>
            <w:r>
              <w:rPr>
                <w:rFonts w:hint="eastAsia" w:eastAsiaTheme="minorEastAsia"/>
                <w:szCs w:val="21"/>
              </w:rPr>
              <w:t>67.9</w:t>
            </w:r>
          </w:p>
        </w:tc>
        <w:tc>
          <w:tcPr>
            <w:tcW w:w="629" w:type="dxa"/>
            <w:vAlign w:val="center"/>
          </w:tcPr>
          <w:p>
            <w:pPr>
              <w:spacing w:line="360" w:lineRule="auto"/>
              <w:jc w:val="center"/>
              <w:rPr>
                <w:rFonts w:eastAsiaTheme="minorEastAsia"/>
                <w:szCs w:val="21"/>
              </w:rPr>
            </w:pPr>
            <w:r>
              <w:rPr>
                <w:rFonts w:hint="eastAsia" w:eastAsiaTheme="minorEastAsia"/>
                <w:szCs w:val="21"/>
              </w:rPr>
              <w:t>66.0</w:t>
            </w:r>
          </w:p>
        </w:tc>
        <w:tc>
          <w:tcPr>
            <w:tcW w:w="629" w:type="dxa"/>
            <w:vAlign w:val="center"/>
          </w:tcPr>
          <w:p>
            <w:pPr>
              <w:spacing w:line="360" w:lineRule="auto"/>
              <w:jc w:val="center"/>
              <w:rPr>
                <w:rFonts w:eastAsiaTheme="minorEastAsia"/>
                <w:szCs w:val="21"/>
              </w:rPr>
            </w:pPr>
            <w:r>
              <w:rPr>
                <w:rFonts w:hint="eastAsia" w:eastAsiaTheme="minorEastAsia"/>
                <w:szCs w:val="21"/>
              </w:rPr>
              <w:t>60.0</w:t>
            </w:r>
          </w:p>
        </w:tc>
        <w:tc>
          <w:tcPr>
            <w:tcW w:w="629" w:type="dxa"/>
            <w:vAlign w:val="center"/>
          </w:tcPr>
          <w:p>
            <w:pPr>
              <w:spacing w:line="360" w:lineRule="auto"/>
              <w:jc w:val="center"/>
              <w:rPr>
                <w:rFonts w:eastAsiaTheme="minorEastAsia"/>
                <w:szCs w:val="21"/>
              </w:rPr>
            </w:pPr>
            <w:r>
              <w:rPr>
                <w:rFonts w:hint="eastAsia" w:eastAsiaTheme="minorEastAsia"/>
                <w:szCs w:val="21"/>
              </w:rPr>
              <w:t>56.4</w:t>
            </w:r>
          </w:p>
        </w:tc>
        <w:tc>
          <w:tcPr>
            <w:tcW w:w="629" w:type="dxa"/>
            <w:vAlign w:val="center"/>
          </w:tcPr>
          <w:p>
            <w:pPr>
              <w:spacing w:line="360" w:lineRule="auto"/>
              <w:jc w:val="center"/>
              <w:rPr>
                <w:rFonts w:eastAsiaTheme="minorEastAsia"/>
                <w:szCs w:val="21"/>
              </w:rPr>
            </w:pPr>
            <w:r>
              <w:rPr>
                <w:rFonts w:hint="eastAsia" w:eastAsiaTheme="minorEastAsia"/>
                <w:szCs w:val="21"/>
              </w:rPr>
              <w:t>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54" w:type="dxa"/>
            <w:vAlign w:val="center"/>
          </w:tcPr>
          <w:p>
            <w:pPr>
              <w:spacing w:line="360" w:lineRule="auto"/>
              <w:jc w:val="center"/>
              <w:rPr>
                <w:rFonts w:eastAsiaTheme="minorEastAsia"/>
                <w:szCs w:val="21"/>
              </w:rPr>
            </w:pPr>
            <w:r>
              <w:rPr>
                <w:rFonts w:eastAsiaTheme="minorEastAsia"/>
                <w:szCs w:val="21"/>
              </w:rPr>
              <w:t>压路机</w:t>
            </w:r>
          </w:p>
        </w:tc>
        <w:tc>
          <w:tcPr>
            <w:tcW w:w="629" w:type="dxa"/>
            <w:vAlign w:val="center"/>
          </w:tcPr>
          <w:p>
            <w:pPr>
              <w:spacing w:line="360" w:lineRule="auto"/>
              <w:jc w:val="center"/>
              <w:rPr>
                <w:rFonts w:eastAsiaTheme="minorEastAsia"/>
                <w:szCs w:val="21"/>
              </w:rPr>
            </w:pPr>
            <w:r>
              <w:rPr>
                <w:rFonts w:hint="eastAsia" w:eastAsiaTheme="minorEastAsia"/>
                <w:szCs w:val="21"/>
              </w:rPr>
              <w:t>90</w:t>
            </w:r>
          </w:p>
        </w:tc>
        <w:tc>
          <w:tcPr>
            <w:tcW w:w="629" w:type="dxa"/>
            <w:vAlign w:val="center"/>
          </w:tcPr>
          <w:p>
            <w:pPr>
              <w:spacing w:line="360" w:lineRule="auto"/>
              <w:jc w:val="center"/>
              <w:rPr>
                <w:rFonts w:eastAsiaTheme="minorEastAsia"/>
                <w:szCs w:val="21"/>
              </w:rPr>
            </w:pPr>
            <w:r>
              <w:rPr>
                <w:rFonts w:hint="eastAsia" w:eastAsiaTheme="minorEastAsia"/>
                <w:szCs w:val="21"/>
              </w:rPr>
              <w:t>84.0</w:t>
            </w:r>
          </w:p>
        </w:tc>
        <w:tc>
          <w:tcPr>
            <w:tcW w:w="629" w:type="dxa"/>
            <w:vAlign w:val="center"/>
          </w:tcPr>
          <w:p>
            <w:pPr>
              <w:spacing w:line="360" w:lineRule="auto"/>
              <w:jc w:val="center"/>
              <w:rPr>
                <w:rFonts w:eastAsiaTheme="minorEastAsia"/>
                <w:szCs w:val="21"/>
              </w:rPr>
            </w:pPr>
            <w:r>
              <w:rPr>
                <w:rFonts w:hint="eastAsia" w:eastAsiaTheme="minorEastAsia"/>
                <w:szCs w:val="21"/>
              </w:rPr>
              <w:t>78.0</w:t>
            </w:r>
          </w:p>
        </w:tc>
        <w:tc>
          <w:tcPr>
            <w:tcW w:w="629" w:type="dxa"/>
            <w:vAlign w:val="center"/>
          </w:tcPr>
          <w:p>
            <w:pPr>
              <w:spacing w:line="360" w:lineRule="auto"/>
              <w:jc w:val="center"/>
              <w:rPr>
                <w:rFonts w:eastAsiaTheme="minorEastAsia"/>
                <w:szCs w:val="21"/>
              </w:rPr>
            </w:pPr>
            <w:r>
              <w:rPr>
                <w:rFonts w:hint="eastAsia" w:eastAsiaTheme="minorEastAsia"/>
                <w:szCs w:val="21"/>
              </w:rPr>
              <w:t>74.4</w:t>
            </w:r>
          </w:p>
        </w:tc>
        <w:tc>
          <w:tcPr>
            <w:tcW w:w="629" w:type="dxa"/>
            <w:vAlign w:val="center"/>
          </w:tcPr>
          <w:p>
            <w:pPr>
              <w:spacing w:line="360" w:lineRule="auto"/>
              <w:jc w:val="center"/>
              <w:rPr>
                <w:rFonts w:eastAsiaTheme="minorEastAsia"/>
                <w:szCs w:val="21"/>
              </w:rPr>
            </w:pPr>
            <w:r>
              <w:rPr>
                <w:rFonts w:hint="eastAsia" w:eastAsiaTheme="minorEastAsia"/>
                <w:szCs w:val="21"/>
              </w:rPr>
              <w:t>70.0</w:t>
            </w:r>
          </w:p>
        </w:tc>
        <w:tc>
          <w:tcPr>
            <w:tcW w:w="629" w:type="dxa"/>
            <w:vAlign w:val="center"/>
          </w:tcPr>
          <w:p>
            <w:pPr>
              <w:spacing w:line="360" w:lineRule="auto"/>
              <w:jc w:val="center"/>
              <w:rPr>
                <w:rFonts w:eastAsiaTheme="minorEastAsia"/>
                <w:szCs w:val="21"/>
              </w:rPr>
            </w:pPr>
            <w:r>
              <w:rPr>
                <w:rFonts w:hint="eastAsia" w:eastAsiaTheme="minorEastAsia"/>
                <w:szCs w:val="21"/>
              </w:rPr>
              <w:t>65.9</w:t>
            </w:r>
          </w:p>
        </w:tc>
        <w:tc>
          <w:tcPr>
            <w:tcW w:w="629" w:type="dxa"/>
            <w:vAlign w:val="center"/>
          </w:tcPr>
          <w:p>
            <w:pPr>
              <w:spacing w:line="360" w:lineRule="auto"/>
              <w:jc w:val="center"/>
              <w:rPr>
                <w:rFonts w:eastAsiaTheme="minorEastAsia"/>
                <w:szCs w:val="21"/>
              </w:rPr>
            </w:pPr>
            <w:r>
              <w:rPr>
                <w:rFonts w:hint="eastAsia" w:eastAsiaTheme="minorEastAsia"/>
                <w:szCs w:val="21"/>
              </w:rPr>
              <w:t>64.0</w:t>
            </w:r>
          </w:p>
        </w:tc>
        <w:tc>
          <w:tcPr>
            <w:tcW w:w="629" w:type="dxa"/>
            <w:vAlign w:val="center"/>
          </w:tcPr>
          <w:p>
            <w:pPr>
              <w:spacing w:line="360" w:lineRule="auto"/>
              <w:jc w:val="center"/>
              <w:rPr>
                <w:rFonts w:eastAsiaTheme="minorEastAsia"/>
                <w:szCs w:val="21"/>
              </w:rPr>
            </w:pPr>
            <w:r>
              <w:rPr>
                <w:rFonts w:hint="eastAsia" w:eastAsiaTheme="minorEastAsia"/>
                <w:szCs w:val="21"/>
              </w:rPr>
              <w:t>58.0</w:t>
            </w:r>
          </w:p>
        </w:tc>
        <w:tc>
          <w:tcPr>
            <w:tcW w:w="629" w:type="dxa"/>
            <w:vAlign w:val="center"/>
          </w:tcPr>
          <w:p>
            <w:pPr>
              <w:spacing w:line="360" w:lineRule="auto"/>
              <w:jc w:val="center"/>
              <w:rPr>
                <w:rFonts w:eastAsiaTheme="minorEastAsia"/>
                <w:szCs w:val="21"/>
              </w:rPr>
            </w:pPr>
            <w:r>
              <w:rPr>
                <w:rFonts w:hint="eastAsia" w:eastAsiaTheme="minorEastAsia"/>
                <w:szCs w:val="21"/>
              </w:rPr>
              <w:t>54.4</w:t>
            </w:r>
          </w:p>
        </w:tc>
        <w:tc>
          <w:tcPr>
            <w:tcW w:w="629" w:type="dxa"/>
            <w:vAlign w:val="center"/>
          </w:tcPr>
          <w:p>
            <w:pPr>
              <w:spacing w:line="360" w:lineRule="auto"/>
              <w:jc w:val="center"/>
              <w:rPr>
                <w:rFonts w:eastAsiaTheme="minorEastAsia"/>
                <w:szCs w:val="21"/>
              </w:rPr>
            </w:pPr>
            <w:r>
              <w:rPr>
                <w:rFonts w:hint="eastAsia" w:eastAsiaTheme="minorEastAsia"/>
                <w:szCs w:val="21"/>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54" w:type="dxa"/>
            <w:vAlign w:val="center"/>
          </w:tcPr>
          <w:p>
            <w:pPr>
              <w:spacing w:line="360" w:lineRule="auto"/>
              <w:jc w:val="center"/>
              <w:rPr>
                <w:rFonts w:eastAsiaTheme="minorEastAsia"/>
                <w:szCs w:val="21"/>
              </w:rPr>
            </w:pPr>
            <w:r>
              <w:rPr>
                <w:rFonts w:eastAsiaTheme="minorEastAsia"/>
                <w:szCs w:val="21"/>
              </w:rPr>
              <w:t>混凝土输送泵</w:t>
            </w:r>
          </w:p>
        </w:tc>
        <w:tc>
          <w:tcPr>
            <w:tcW w:w="629" w:type="dxa"/>
            <w:vAlign w:val="center"/>
          </w:tcPr>
          <w:p>
            <w:pPr>
              <w:spacing w:line="360" w:lineRule="auto"/>
              <w:jc w:val="center"/>
              <w:rPr>
                <w:rFonts w:eastAsiaTheme="minorEastAsia"/>
                <w:szCs w:val="21"/>
              </w:rPr>
            </w:pPr>
            <w:r>
              <w:rPr>
                <w:rFonts w:hint="eastAsia" w:eastAsiaTheme="minorEastAsia"/>
                <w:szCs w:val="21"/>
              </w:rPr>
              <w:t>95</w:t>
            </w:r>
          </w:p>
        </w:tc>
        <w:tc>
          <w:tcPr>
            <w:tcW w:w="629" w:type="dxa"/>
            <w:vAlign w:val="center"/>
          </w:tcPr>
          <w:p>
            <w:pPr>
              <w:spacing w:line="360" w:lineRule="auto"/>
              <w:jc w:val="center"/>
              <w:rPr>
                <w:rFonts w:eastAsiaTheme="minorEastAsia"/>
                <w:szCs w:val="21"/>
              </w:rPr>
            </w:pPr>
            <w:r>
              <w:rPr>
                <w:rFonts w:hint="eastAsia" w:eastAsiaTheme="minorEastAsia"/>
                <w:szCs w:val="21"/>
              </w:rPr>
              <w:t>89.0</w:t>
            </w:r>
          </w:p>
        </w:tc>
        <w:tc>
          <w:tcPr>
            <w:tcW w:w="629" w:type="dxa"/>
            <w:vAlign w:val="center"/>
          </w:tcPr>
          <w:p>
            <w:pPr>
              <w:spacing w:line="360" w:lineRule="auto"/>
              <w:jc w:val="center"/>
              <w:rPr>
                <w:rFonts w:eastAsiaTheme="minorEastAsia"/>
                <w:szCs w:val="21"/>
              </w:rPr>
            </w:pPr>
            <w:r>
              <w:rPr>
                <w:rFonts w:hint="eastAsia" w:eastAsiaTheme="minorEastAsia"/>
                <w:szCs w:val="21"/>
              </w:rPr>
              <w:t>83.0</w:t>
            </w:r>
          </w:p>
        </w:tc>
        <w:tc>
          <w:tcPr>
            <w:tcW w:w="629" w:type="dxa"/>
            <w:vAlign w:val="center"/>
          </w:tcPr>
          <w:p>
            <w:pPr>
              <w:spacing w:line="360" w:lineRule="auto"/>
              <w:jc w:val="center"/>
              <w:rPr>
                <w:rFonts w:eastAsiaTheme="minorEastAsia"/>
                <w:szCs w:val="21"/>
              </w:rPr>
            </w:pPr>
            <w:r>
              <w:rPr>
                <w:rFonts w:hint="eastAsia" w:eastAsiaTheme="minorEastAsia"/>
                <w:szCs w:val="21"/>
              </w:rPr>
              <w:t>79.4</w:t>
            </w:r>
          </w:p>
        </w:tc>
        <w:tc>
          <w:tcPr>
            <w:tcW w:w="629" w:type="dxa"/>
            <w:vAlign w:val="center"/>
          </w:tcPr>
          <w:p>
            <w:pPr>
              <w:spacing w:line="360" w:lineRule="auto"/>
              <w:jc w:val="center"/>
              <w:rPr>
                <w:rFonts w:eastAsiaTheme="minorEastAsia"/>
                <w:szCs w:val="21"/>
              </w:rPr>
            </w:pPr>
            <w:r>
              <w:rPr>
                <w:rFonts w:hint="eastAsia" w:eastAsiaTheme="minorEastAsia"/>
                <w:szCs w:val="21"/>
              </w:rPr>
              <w:t>75.0</w:t>
            </w:r>
          </w:p>
        </w:tc>
        <w:tc>
          <w:tcPr>
            <w:tcW w:w="629" w:type="dxa"/>
            <w:vAlign w:val="center"/>
          </w:tcPr>
          <w:p>
            <w:pPr>
              <w:spacing w:line="360" w:lineRule="auto"/>
              <w:jc w:val="center"/>
              <w:rPr>
                <w:rFonts w:eastAsiaTheme="minorEastAsia"/>
                <w:szCs w:val="21"/>
              </w:rPr>
            </w:pPr>
            <w:r>
              <w:rPr>
                <w:rFonts w:hint="eastAsia" w:eastAsiaTheme="minorEastAsia"/>
                <w:szCs w:val="21"/>
              </w:rPr>
              <w:t>70.9</w:t>
            </w:r>
          </w:p>
        </w:tc>
        <w:tc>
          <w:tcPr>
            <w:tcW w:w="629" w:type="dxa"/>
            <w:vAlign w:val="center"/>
          </w:tcPr>
          <w:p>
            <w:pPr>
              <w:spacing w:line="360" w:lineRule="auto"/>
              <w:jc w:val="center"/>
              <w:rPr>
                <w:rFonts w:eastAsiaTheme="minorEastAsia"/>
                <w:szCs w:val="21"/>
              </w:rPr>
            </w:pPr>
            <w:r>
              <w:rPr>
                <w:rFonts w:hint="eastAsia" w:eastAsiaTheme="minorEastAsia"/>
                <w:szCs w:val="21"/>
              </w:rPr>
              <w:t>69.0</w:t>
            </w:r>
          </w:p>
        </w:tc>
        <w:tc>
          <w:tcPr>
            <w:tcW w:w="629" w:type="dxa"/>
            <w:vAlign w:val="center"/>
          </w:tcPr>
          <w:p>
            <w:pPr>
              <w:spacing w:line="360" w:lineRule="auto"/>
              <w:jc w:val="center"/>
              <w:rPr>
                <w:rFonts w:eastAsiaTheme="minorEastAsia"/>
                <w:szCs w:val="21"/>
              </w:rPr>
            </w:pPr>
            <w:r>
              <w:rPr>
                <w:rFonts w:hint="eastAsia" w:eastAsiaTheme="minorEastAsia"/>
                <w:szCs w:val="21"/>
              </w:rPr>
              <w:t>63.0</w:t>
            </w:r>
          </w:p>
        </w:tc>
        <w:tc>
          <w:tcPr>
            <w:tcW w:w="629" w:type="dxa"/>
            <w:vAlign w:val="center"/>
          </w:tcPr>
          <w:p>
            <w:pPr>
              <w:spacing w:line="360" w:lineRule="auto"/>
              <w:jc w:val="center"/>
              <w:rPr>
                <w:rFonts w:eastAsiaTheme="minorEastAsia"/>
                <w:szCs w:val="21"/>
              </w:rPr>
            </w:pPr>
            <w:r>
              <w:rPr>
                <w:rFonts w:hint="eastAsia" w:eastAsiaTheme="minorEastAsia"/>
                <w:szCs w:val="21"/>
              </w:rPr>
              <w:t>59.4</w:t>
            </w:r>
          </w:p>
        </w:tc>
        <w:tc>
          <w:tcPr>
            <w:tcW w:w="629" w:type="dxa"/>
            <w:vAlign w:val="center"/>
          </w:tcPr>
          <w:p>
            <w:pPr>
              <w:spacing w:line="360" w:lineRule="auto"/>
              <w:jc w:val="center"/>
              <w:rPr>
                <w:rFonts w:eastAsiaTheme="minorEastAsia"/>
                <w:szCs w:val="21"/>
              </w:rPr>
            </w:pPr>
            <w:r>
              <w:rPr>
                <w:rFonts w:hint="eastAsia" w:eastAsiaTheme="minorEastAsia"/>
                <w:szCs w:val="21"/>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54" w:type="dxa"/>
            <w:vAlign w:val="center"/>
          </w:tcPr>
          <w:p>
            <w:pPr>
              <w:spacing w:line="360" w:lineRule="auto"/>
              <w:jc w:val="center"/>
              <w:rPr>
                <w:rFonts w:eastAsiaTheme="minorEastAsia"/>
                <w:szCs w:val="21"/>
              </w:rPr>
            </w:pPr>
            <w:r>
              <w:rPr>
                <w:rFonts w:eastAsiaTheme="minorEastAsia"/>
                <w:szCs w:val="21"/>
              </w:rPr>
              <w:t>振动夯锤</w:t>
            </w:r>
          </w:p>
        </w:tc>
        <w:tc>
          <w:tcPr>
            <w:tcW w:w="629" w:type="dxa"/>
            <w:vAlign w:val="center"/>
          </w:tcPr>
          <w:p>
            <w:pPr>
              <w:spacing w:line="360" w:lineRule="auto"/>
              <w:jc w:val="center"/>
              <w:rPr>
                <w:rFonts w:eastAsiaTheme="minorEastAsia"/>
                <w:szCs w:val="21"/>
              </w:rPr>
            </w:pPr>
            <w:r>
              <w:rPr>
                <w:rFonts w:hint="eastAsia" w:eastAsiaTheme="minorEastAsia"/>
                <w:szCs w:val="21"/>
              </w:rPr>
              <w:t>100</w:t>
            </w:r>
          </w:p>
        </w:tc>
        <w:tc>
          <w:tcPr>
            <w:tcW w:w="629" w:type="dxa"/>
            <w:vAlign w:val="center"/>
          </w:tcPr>
          <w:p>
            <w:pPr>
              <w:spacing w:line="360" w:lineRule="auto"/>
              <w:jc w:val="center"/>
              <w:rPr>
                <w:rFonts w:eastAsiaTheme="minorEastAsia"/>
                <w:szCs w:val="21"/>
              </w:rPr>
            </w:pPr>
            <w:r>
              <w:rPr>
                <w:rFonts w:hint="eastAsia" w:eastAsiaTheme="minorEastAsia"/>
                <w:szCs w:val="21"/>
              </w:rPr>
              <w:t>94.0</w:t>
            </w:r>
          </w:p>
        </w:tc>
        <w:tc>
          <w:tcPr>
            <w:tcW w:w="629" w:type="dxa"/>
            <w:vAlign w:val="center"/>
          </w:tcPr>
          <w:p>
            <w:pPr>
              <w:spacing w:line="360" w:lineRule="auto"/>
              <w:jc w:val="center"/>
              <w:rPr>
                <w:rFonts w:eastAsiaTheme="minorEastAsia"/>
                <w:szCs w:val="21"/>
              </w:rPr>
            </w:pPr>
            <w:r>
              <w:rPr>
                <w:rFonts w:hint="eastAsia" w:eastAsiaTheme="minorEastAsia"/>
                <w:szCs w:val="21"/>
              </w:rPr>
              <w:t>88.0</w:t>
            </w:r>
          </w:p>
        </w:tc>
        <w:tc>
          <w:tcPr>
            <w:tcW w:w="629" w:type="dxa"/>
            <w:vAlign w:val="center"/>
          </w:tcPr>
          <w:p>
            <w:pPr>
              <w:spacing w:line="360" w:lineRule="auto"/>
              <w:jc w:val="center"/>
              <w:rPr>
                <w:rFonts w:eastAsiaTheme="minorEastAsia"/>
                <w:szCs w:val="21"/>
              </w:rPr>
            </w:pPr>
            <w:r>
              <w:rPr>
                <w:rFonts w:hint="eastAsia" w:eastAsiaTheme="minorEastAsia"/>
                <w:szCs w:val="21"/>
              </w:rPr>
              <w:t>84.4</w:t>
            </w:r>
          </w:p>
        </w:tc>
        <w:tc>
          <w:tcPr>
            <w:tcW w:w="629" w:type="dxa"/>
            <w:vAlign w:val="center"/>
          </w:tcPr>
          <w:p>
            <w:pPr>
              <w:spacing w:line="360" w:lineRule="auto"/>
              <w:jc w:val="center"/>
              <w:rPr>
                <w:rFonts w:eastAsiaTheme="minorEastAsia"/>
                <w:szCs w:val="21"/>
              </w:rPr>
            </w:pPr>
            <w:r>
              <w:rPr>
                <w:rFonts w:hint="eastAsia" w:eastAsiaTheme="minorEastAsia"/>
                <w:szCs w:val="21"/>
              </w:rPr>
              <w:t>80.0</w:t>
            </w:r>
          </w:p>
        </w:tc>
        <w:tc>
          <w:tcPr>
            <w:tcW w:w="629" w:type="dxa"/>
            <w:vAlign w:val="center"/>
          </w:tcPr>
          <w:p>
            <w:pPr>
              <w:spacing w:line="360" w:lineRule="auto"/>
              <w:jc w:val="center"/>
              <w:rPr>
                <w:rFonts w:eastAsiaTheme="minorEastAsia"/>
                <w:szCs w:val="21"/>
              </w:rPr>
            </w:pPr>
            <w:r>
              <w:rPr>
                <w:rFonts w:hint="eastAsia" w:eastAsiaTheme="minorEastAsia"/>
                <w:szCs w:val="21"/>
              </w:rPr>
              <w:t>75.9</w:t>
            </w:r>
          </w:p>
        </w:tc>
        <w:tc>
          <w:tcPr>
            <w:tcW w:w="629" w:type="dxa"/>
            <w:vAlign w:val="center"/>
          </w:tcPr>
          <w:p>
            <w:pPr>
              <w:spacing w:line="360" w:lineRule="auto"/>
              <w:jc w:val="center"/>
              <w:rPr>
                <w:rFonts w:eastAsiaTheme="minorEastAsia"/>
                <w:szCs w:val="21"/>
              </w:rPr>
            </w:pPr>
            <w:r>
              <w:rPr>
                <w:rFonts w:hint="eastAsia" w:eastAsiaTheme="minorEastAsia"/>
                <w:szCs w:val="21"/>
              </w:rPr>
              <w:t>74.0</w:t>
            </w:r>
          </w:p>
        </w:tc>
        <w:tc>
          <w:tcPr>
            <w:tcW w:w="629" w:type="dxa"/>
            <w:vAlign w:val="center"/>
          </w:tcPr>
          <w:p>
            <w:pPr>
              <w:spacing w:line="360" w:lineRule="auto"/>
              <w:jc w:val="center"/>
              <w:rPr>
                <w:rFonts w:eastAsiaTheme="minorEastAsia"/>
                <w:szCs w:val="21"/>
              </w:rPr>
            </w:pPr>
            <w:r>
              <w:rPr>
                <w:rFonts w:hint="eastAsia" w:eastAsiaTheme="minorEastAsia"/>
                <w:szCs w:val="21"/>
              </w:rPr>
              <w:t>68.0</w:t>
            </w:r>
          </w:p>
        </w:tc>
        <w:tc>
          <w:tcPr>
            <w:tcW w:w="629" w:type="dxa"/>
            <w:vAlign w:val="center"/>
          </w:tcPr>
          <w:p>
            <w:pPr>
              <w:spacing w:line="360" w:lineRule="auto"/>
              <w:jc w:val="center"/>
              <w:rPr>
                <w:rFonts w:eastAsiaTheme="minorEastAsia"/>
                <w:szCs w:val="21"/>
              </w:rPr>
            </w:pPr>
            <w:r>
              <w:rPr>
                <w:rFonts w:hint="eastAsia" w:eastAsiaTheme="minorEastAsia"/>
                <w:szCs w:val="21"/>
              </w:rPr>
              <w:t>64.4</w:t>
            </w:r>
          </w:p>
        </w:tc>
        <w:tc>
          <w:tcPr>
            <w:tcW w:w="629" w:type="dxa"/>
            <w:vAlign w:val="center"/>
          </w:tcPr>
          <w:p>
            <w:pPr>
              <w:spacing w:line="360" w:lineRule="auto"/>
              <w:jc w:val="center"/>
              <w:rPr>
                <w:rFonts w:eastAsiaTheme="minorEastAsia"/>
                <w:szCs w:val="21"/>
              </w:rPr>
            </w:pPr>
            <w:r>
              <w:rPr>
                <w:rFonts w:hint="eastAsia" w:eastAsiaTheme="minorEastAsia"/>
                <w:szCs w:val="21"/>
              </w:rPr>
              <w:t>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54" w:type="dxa"/>
            <w:vAlign w:val="center"/>
          </w:tcPr>
          <w:p>
            <w:pPr>
              <w:spacing w:line="360" w:lineRule="auto"/>
              <w:jc w:val="center"/>
              <w:rPr>
                <w:rFonts w:eastAsiaTheme="minorEastAsia"/>
                <w:szCs w:val="21"/>
              </w:rPr>
            </w:pPr>
            <w:r>
              <w:rPr>
                <w:rFonts w:eastAsiaTheme="minorEastAsia"/>
                <w:szCs w:val="21"/>
              </w:rPr>
              <w:t>混凝土振捣器</w:t>
            </w:r>
          </w:p>
        </w:tc>
        <w:tc>
          <w:tcPr>
            <w:tcW w:w="629" w:type="dxa"/>
            <w:vAlign w:val="center"/>
          </w:tcPr>
          <w:p>
            <w:pPr>
              <w:spacing w:line="360" w:lineRule="auto"/>
              <w:jc w:val="center"/>
              <w:rPr>
                <w:rFonts w:eastAsiaTheme="minorEastAsia"/>
                <w:szCs w:val="21"/>
              </w:rPr>
            </w:pPr>
            <w:r>
              <w:rPr>
                <w:rFonts w:hint="eastAsia" w:eastAsiaTheme="minorEastAsia"/>
                <w:szCs w:val="21"/>
              </w:rPr>
              <w:t>88</w:t>
            </w:r>
          </w:p>
        </w:tc>
        <w:tc>
          <w:tcPr>
            <w:tcW w:w="629" w:type="dxa"/>
            <w:vAlign w:val="center"/>
          </w:tcPr>
          <w:p>
            <w:pPr>
              <w:spacing w:line="360" w:lineRule="auto"/>
              <w:jc w:val="center"/>
              <w:rPr>
                <w:rFonts w:eastAsiaTheme="minorEastAsia"/>
                <w:szCs w:val="21"/>
              </w:rPr>
            </w:pPr>
            <w:r>
              <w:rPr>
                <w:rFonts w:hint="eastAsia" w:eastAsiaTheme="minorEastAsia"/>
                <w:szCs w:val="21"/>
              </w:rPr>
              <w:t>82.0</w:t>
            </w:r>
          </w:p>
        </w:tc>
        <w:tc>
          <w:tcPr>
            <w:tcW w:w="629" w:type="dxa"/>
            <w:vAlign w:val="center"/>
          </w:tcPr>
          <w:p>
            <w:pPr>
              <w:spacing w:line="360" w:lineRule="auto"/>
              <w:jc w:val="center"/>
              <w:rPr>
                <w:rFonts w:eastAsiaTheme="minorEastAsia"/>
                <w:szCs w:val="21"/>
              </w:rPr>
            </w:pPr>
            <w:r>
              <w:rPr>
                <w:rFonts w:hint="eastAsia" w:eastAsiaTheme="minorEastAsia"/>
                <w:szCs w:val="21"/>
              </w:rPr>
              <w:t>76.0</w:t>
            </w:r>
          </w:p>
        </w:tc>
        <w:tc>
          <w:tcPr>
            <w:tcW w:w="629" w:type="dxa"/>
            <w:vAlign w:val="center"/>
          </w:tcPr>
          <w:p>
            <w:pPr>
              <w:spacing w:line="360" w:lineRule="auto"/>
              <w:jc w:val="center"/>
              <w:rPr>
                <w:rFonts w:eastAsiaTheme="minorEastAsia"/>
                <w:szCs w:val="21"/>
              </w:rPr>
            </w:pPr>
            <w:r>
              <w:rPr>
                <w:rFonts w:hint="eastAsia" w:eastAsiaTheme="minorEastAsia"/>
                <w:szCs w:val="21"/>
              </w:rPr>
              <w:t>72.4</w:t>
            </w:r>
          </w:p>
        </w:tc>
        <w:tc>
          <w:tcPr>
            <w:tcW w:w="629" w:type="dxa"/>
            <w:vAlign w:val="center"/>
          </w:tcPr>
          <w:p>
            <w:pPr>
              <w:spacing w:line="360" w:lineRule="auto"/>
              <w:jc w:val="center"/>
              <w:rPr>
                <w:rFonts w:eastAsiaTheme="minorEastAsia"/>
                <w:szCs w:val="21"/>
              </w:rPr>
            </w:pPr>
            <w:r>
              <w:rPr>
                <w:rFonts w:hint="eastAsia" w:eastAsiaTheme="minorEastAsia"/>
                <w:szCs w:val="21"/>
              </w:rPr>
              <w:t>68.0</w:t>
            </w:r>
          </w:p>
        </w:tc>
        <w:tc>
          <w:tcPr>
            <w:tcW w:w="629" w:type="dxa"/>
            <w:vAlign w:val="center"/>
          </w:tcPr>
          <w:p>
            <w:pPr>
              <w:spacing w:line="360" w:lineRule="auto"/>
              <w:jc w:val="center"/>
              <w:rPr>
                <w:rFonts w:eastAsiaTheme="minorEastAsia"/>
                <w:szCs w:val="21"/>
              </w:rPr>
            </w:pPr>
            <w:r>
              <w:rPr>
                <w:rFonts w:hint="eastAsia" w:eastAsiaTheme="minorEastAsia"/>
                <w:szCs w:val="21"/>
              </w:rPr>
              <w:t>63.9</w:t>
            </w:r>
          </w:p>
        </w:tc>
        <w:tc>
          <w:tcPr>
            <w:tcW w:w="629" w:type="dxa"/>
            <w:vAlign w:val="center"/>
          </w:tcPr>
          <w:p>
            <w:pPr>
              <w:spacing w:line="360" w:lineRule="auto"/>
              <w:jc w:val="center"/>
              <w:rPr>
                <w:rFonts w:eastAsiaTheme="minorEastAsia"/>
                <w:szCs w:val="21"/>
              </w:rPr>
            </w:pPr>
            <w:r>
              <w:rPr>
                <w:rFonts w:hint="eastAsia" w:eastAsiaTheme="minorEastAsia"/>
                <w:szCs w:val="21"/>
              </w:rPr>
              <w:t>62.0</w:t>
            </w:r>
          </w:p>
        </w:tc>
        <w:tc>
          <w:tcPr>
            <w:tcW w:w="629" w:type="dxa"/>
            <w:vAlign w:val="center"/>
          </w:tcPr>
          <w:p>
            <w:pPr>
              <w:spacing w:line="360" w:lineRule="auto"/>
              <w:jc w:val="center"/>
              <w:rPr>
                <w:rFonts w:eastAsiaTheme="minorEastAsia"/>
                <w:szCs w:val="21"/>
              </w:rPr>
            </w:pPr>
            <w:r>
              <w:rPr>
                <w:rFonts w:hint="eastAsia" w:eastAsiaTheme="minorEastAsia"/>
                <w:szCs w:val="21"/>
              </w:rPr>
              <w:t>56.0</w:t>
            </w:r>
          </w:p>
        </w:tc>
        <w:tc>
          <w:tcPr>
            <w:tcW w:w="629" w:type="dxa"/>
            <w:vAlign w:val="center"/>
          </w:tcPr>
          <w:p>
            <w:pPr>
              <w:spacing w:line="360" w:lineRule="auto"/>
              <w:jc w:val="center"/>
              <w:rPr>
                <w:rFonts w:eastAsiaTheme="minorEastAsia"/>
                <w:szCs w:val="21"/>
              </w:rPr>
            </w:pPr>
            <w:r>
              <w:rPr>
                <w:rFonts w:hint="eastAsia" w:eastAsiaTheme="minorEastAsia"/>
                <w:szCs w:val="21"/>
              </w:rPr>
              <w:t>52.4</w:t>
            </w:r>
          </w:p>
        </w:tc>
        <w:tc>
          <w:tcPr>
            <w:tcW w:w="629" w:type="dxa"/>
            <w:vAlign w:val="center"/>
          </w:tcPr>
          <w:p>
            <w:pPr>
              <w:spacing w:line="360" w:lineRule="auto"/>
              <w:jc w:val="center"/>
              <w:rPr>
                <w:rFonts w:eastAsiaTheme="minorEastAsia"/>
                <w:szCs w:val="21"/>
              </w:rPr>
            </w:pPr>
            <w:r>
              <w:rPr>
                <w:rFonts w:hint="eastAsia" w:eastAsiaTheme="minorEastAsia"/>
                <w:szCs w:val="21"/>
              </w:rP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54" w:type="dxa"/>
            <w:vAlign w:val="center"/>
          </w:tcPr>
          <w:p>
            <w:pPr>
              <w:spacing w:line="360" w:lineRule="auto"/>
              <w:jc w:val="center"/>
              <w:rPr>
                <w:rFonts w:eastAsiaTheme="minorEastAsia"/>
                <w:szCs w:val="21"/>
              </w:rPr>
            </w:pPr>
            <w:r>
              <w:rPr>
                <w:rFonts w:eastAsiaTheme="minorEastAsia"/>
                <w:szCs w:val="21"/>
              </w:rPr>
              <w:t>卡车（重型）</w:t>
            </w:r>
          </w:p>
        </w:tc>
        <w:tc>
          <w:tcPr>
            <w:tcW w:w="629" w:type="dxa"/>
            <w:vAlign w:val="center"/>
          </w:tcPr>
          <w:p>
            <w:pPr>
              <w:spacing w:line="360" w:lineRule="auto"/>
              <w:jc w:val="center"/>
              <w:rPr>
                <w:rFonts w:eastAsiaTheme="minorEastAsia"/>
                <w:szCs w:val="21"/>
              </w:rPr>
            </w:pPr>
            <w:r>
              <w:rPr>
                <w:rFonts w:hint="eastAsia" w:eastAsiaTheme="minorEastAsia"/>
                <w:szCs w:val="21"/>
              </w:rPr>
              <w:t>90</w:t>
            </w:r>
          </w:p>
        </w:tc>
        <w:tc>
          <w:tcPr>
            <w:tcW w:w="629" w:type="dxa"/>
            <w:vAlign w:val="center"/>
          </w:tcPr>
          <w:p>
            <w:pPr>
              <w:spacing w:line="360" w:lineRule="auto"/>
              <w:jc w:val="center"/>
              <w:rPr>
                <w:rFonts w:eastAsiaTheme="minorEastAsia"/>
                <w:szCs w:val="21"/>
              </w:rPr>
            </w:pPr>
            <w:r>
              <w:rPr>
                <w:rFonts w:hint="eastAsia" w:eastAsiaTheme="minorEastAsia"/>
                <w:szCs w:val="21"/>
              </w:rPr>
              <w:t>84.0</w:t>
            </w:r>
          </w:p>
        </w:tc>
        <w:tc>
          <w:tcPr>
            <w:tcW w:w="629" w:type="dxa"/>
            <w:vAlign w:val="center"/>
          </w:tcPr>
          <w:p>
            <w:pPr>
              <w:spacing w:line="360" w:lineRule="auto"/>
              <w:jc w:val="center"/>
              <w:rPr>
                <w:rFonts w:eastAsiaTheme="minorEastAsia"/>
                <w:szCs w:val="21"/>
              </w:rPr>
            </w:pPr>
            <w:r>
              <w:rPr>
                <w:rFonts w:hint="eastAsia" w:eastAsiaTheme="minorEastAsia"/>
                <w:szCs w:val="21"/>
              </w:rPr>
              <w:t>78.0</w:t>
            </w:r>
          </w:p>
        </w:tc>
        <w:tc>
          <w:tcPr>
            <w:tcW w:w="629" w:type="dxa"/>
            <w:vAlign w:val="center"/>
          </w:tcPr>
          <w:p>
            <w:pPr>
              <w:spacing w:line="360" w:lineRule="auto"/>
              <w:jc w:val="center"/>
              <w:rPr>
                <w:rFonts w:eastAsiaTheme="minorEastAsia"/>
                <w:szCs w:val="21"/>
              </w:rPr>
            </w:pPr>
            <w:r>
              <w:rPr>
                <w:rFonts w:hint="eastAsia" w:eastAsiaTheme="minorEastAsia"/>
                <w:szCs w:val="21"/>
              </w:rPr>
              <w:t>74.4</w:t>
            </w:r>
          </w:p>
        </w:tc>
        <w:tc>
          <w:tcPr>
            <w:tcW w:w="629" w:type="dxa"/>
            <w:vAlign w:val="center"/>
          </w:tcPr>
          <w:p>
            <w:pPr>
              <w:spacing w:line="360" w:lineRule="auto"/>
              <w:jc w:val="center"/>
              <w:rPr>
                <w:rFonts w:eastAsiaTheme="minorEastAsia"/>
                <w:szCs w:val="21"/>
              </w:rPr>
            </w:pPr>
            <w:r>
              <w:rPr>
                <w:rFonts w:hint="eastAsia" w:eastAsiaTheme="minorEastAsia"/>
                <w:szCs w:val="21"/>
              </w:rPr>
              <w:t>70.0</w:t>
            </w:r>
          </w:p>
        </w:tc>
        <w:tc>
          <w:tcPr>
            <w:tcW w:w="629" w:type="dxa"/>
            <w:vAlign w:val="center"/>
          </w:tcPr>
          <w:p>
            <w:pPr>
              <w:spacing w:line="360" w:lineRule="auto"/>
              <w:jc w:val="center"/>
              <w:rPr>
                <w:rFonts w:eastAsiaTheme="minorEastAsia"/>
                <w:szCs w:val="21"/>
              </w:rPr>
            </w:pPr>
            <w:r>
              <w:rPr>
                <w:rFonts w:hint="eastAsia" w:eastAsiaTheme="minorEastAsia"/>
                <w:szCs w:val="21"/>
              </w:rPr>
              <w:t>65.9</w:t>
            </w:r>
          </w:p>
        </w:tc>
        <w:tc>
          <w:tcPr>
            <w:tcW w:w="629" w:type="dxa"/>
            <w:vAlign w:val="center"/>
          </w:tcPr>
          <w:p>
            <w:pPr>
              <w:spacing w:line="360" w:lineRule="auto"/>
              <w:jc w:val="center"/>
              <w:rPr>
                <w:rFonts w:eastAsiaTheme="minorEastAsia"/>
                <w:szCs w:val="21"/>
              </w:rPr>
            </w:pPr>
            <w:r>
              <w:rPr>
                <w:rFonts w:hint="eastAsia" w:eastAsiaTheme="minorEastAsia"/>
                <w:szCs w:val="21"/>
              </w:rPr>
              <w:t>64.0</w:t>
            </w:r>
          </w:p>
        </w:tc>
        <w:tc>
          <w:tcPr>
            <w:tcW w:w="629" w:type="dxa"/>
            <w:vAlign w:val="center"/>
          </w:tcPr>
          <w:p>
            <w:pPr>
              <w:spacing w:line="360" w:lineRule="auto"/>
              <w:jc w:val="center"/>
              <w:rPr>
                <w:rFonts w:eastAsiaTheme="minorEastAsia"/>
                <w:szCs w:val="21"/>
              </w:rPr>
            </w:pPr>
            <w:r>
              <w:rPr>
                <w:rFonts w:hint="eastAsia" w:eastAsiaTheme="minorEastAsia"/>
                <w:szCs w:val="21"/>
              </w:rPr>
              <w:t>58.0</w:t>
            </w:r>
          </w:p>
        </w:tc>
        <w:tc>
          <w:tcPr>
            <w:tcW w:w="629" w:type="dxa"/>
            <w:vAlign w:val="center"/>
          </w:tcPr>
          <w:p>
            <w:pPr>
              <w:spacing w:line="360" w:lineRule="auto"/>
              <w:jc w:val="center"/>
              <w:rPr>
                <w:rFonts w:eastAsiaTheme="minorEastAsia"/>
                <w:szCs w:val="21"/>
              </w:rPr>
            </w:pPr>
            <w:r>
              <w:rPr>
                <w:rFonts w:hint="eastAsia" w:eastAsiaTheme="minorEastAsia"/>
                <w:szCs w:val="21"/>
              </w:rPr>
              <w:t>54.4</w:t>
            </w:r>
          </w:p>
        </w:tc>
        <w:tc>
          <w:tcPr>
            <w:tcW w:w="629" w:type="dxa"/>
            <w:vAlign w:val="center"/>
          </w:tcPr>
          <w:p>
            <w:pPr>
              <w:spacing w:line="360" w:lineRule="auto"/>
              <w:jc w:val="center"/>
              <w:rPr>
                <w:rFonts w:eastAsiaTheme="minorEastAsia"/>
                <w:szCs w:val="21"/>
              </w:rPr>
            </w:pPr>
            <w:r>
              <w:rPr>
                <w:rFonts w:hint="eastAsia" w:eastAsiaTheme="minorEastAsia"/>
                <w:szCs w:val="21"/>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54" w:type="dxa"/>
            <w:vAlign w:val="center"/>
          </w:tcPr>
          <w:p>
            <w:pPr>
              <w:spacing w:line="360" w:lineRule="auto"/>
              <w:jc w:val="center"/>
              <w:rPr>
                <w:rFonts w:eastAsiaTheme="minorEastAsia"/>
                <w:szCs w:val="21"/>
              </w:rPr>
            </w:pPr>
            <w:r>
              <w:rPr>
                <w:rFonts w:eastAsiaTheme="minorEastAsia"/>
                <w:szCs w:val="21"/>
              </w:rPr>
              <w:t>液压挖掘机</w:t>
            </w:r>
          </w:p>
        </w:tc>
        <w:tc>
          <w:tcPr>
            <w:tcW w:w="629" w:type="dxa"/>
            <w:vAlign w:val="center"/>
          </w:tcPr>
          <w:p>
            <w:pPr>
              <w:spacing w:line="360" w:lineRule="auto"/>
              <w:jc w:val="center"/>
              <w:rPr>
                <w:rFonts w:eastAsiaTheme="minorEastAsia"/>
                <w:szCs w:val="21"/>
              </w:rPr>
            </w:pPr>
            <w:r>
              <w:rPr>
                <w:rFonts w:hint="eastAsia" w:eastAsiaTheme="minorEastAsia"/>
                <w:szCs w:val="21"/>
              </w:rPr>
              <w:t>90</w:t>
            </w:r>
          </w:p>
        </w:tc>
        <w:tc>
          <w:tcPr>
            <w:tcW w:w="629" w:type="dxa"/>
            <w:vAlign w:val="center"/>
          </w:tcPr>
          <w:p>
            <w:pPr>
              <w:spacing w:line="360" w:lineRule="auto"/>
              <w:jc w:val="center"/>
              <w:rPr>
                <w:rFonts w:eastAsiaTheme="minorEastAsia"/>
                <w:szCs w:val="21"/>
              </w:rPr>
            </w:pPr>
            <w:r>
              <w:rPr>
                <w:rFonts w:hint="eastAsia" w:eastAsiaTheme="minorEastAsia"/>
                <w:szCs w:val="21"/>
              </w:rPr>
              <w:t>84.0</w:t>
            </w:r>
          </w:p>
        </w:tc>
        <w:tc>
          <w:tcPr>
            <w:tcW w:w="629" w:type="dxa"/>
            <w:vAlign w:val="center"/>
          </w:tcPr>
          <w:p>
            <w:pPr>
              <w:spacing w:line="360" w:lineRule="auto"/>
              <w:jc w:val="center"/>
              <w:rPr>
                <w:rFonts w:eastAsiaTheme="minorEastAsia"/>
                <w:szCs w:val="21"/>
              </w:rPr>
            </w:pPr>
            <w:r>
              <w:rPr>
                <w:rFonts w:hint="eastAsia" w:eastAsiaTheme="minorEastAsia"/>
                <w:szCs w:val="21"/>
              </w:rPr>
              <w:t>78.0</w:t>
            </w:r>
          </w:p>
        </w:tc>
        <w:tc>
          <w:tcPr>
            <w:tcW w:w="629" w:type="dxa"/>
            <w:vAlign w:val="center"/>
          </w:tcPr>
          <w:p>
            <w:pPr>
              <w:spacing w:line="360" w:lineRule="auto"/>
              <w:jc w:val="center"/>
              <w:rPr>
                <w:rFonts w:eastAsiaTheme="minorEastAsia"/>
                <w:szCs w:val="21"/>
              </w:rPr>
            </w:pPr>
            <w:r>
              <w:rPr>
                <w:rFonts w:hint="eastAsia" w:eastAsiaTheme="minorEastAsia"/>
                <w:szCs w:val="21"/>
              </w:rPr>
              <w:t>74.4</w:t>
            </w:r>
          </w:p>
        </w:tc>
        <w:tc>
          <w:tcPr>
            <w:tcW w:w="629" w:type="dxa"/>
            <w:vAlign w:val="center"/>
          </w:tcPr>
          <w:p>
            <w:pPr>
              <w:spacing w:line="360" w:lineRule="auto"/>
              <w:jc w:val="center"/>
              <w:rPr>
                <w:rFonts w:eastAsiaTheme="minorEastAsia"/>
                <w:szCs w:val="21"/>
              </w:rPr>
            </w:pPr>
            <w:r>
              <w:rPr>
                <w:rFonts w:hint="eastAsia" w:eastAsiaTheme="minorEastAsia"/>
                <w:szCs w:val="21"/>
              </w:rPr>
              <w:t>70.0</w:t>
            </w:r>
          </w:p>
        </w:tc>
        <w:tc>
          <w:tcPr>
            <w:tcW w:w="629" w:type="dxa"/>
            <w:vAlign w:val="center"/>
          </w:tcPr>
          <w:p>
            <w:pPr>
              <w:spacing w:line="360" w:lineRule="auto"/>
              <w:jc w:val="center"/>
              <w:rPr>
                <w:rFonts w:eastAsiaTheme="minorEastAsia"/>
                <w:szCs w:val="21"/>
              </w:rPr>
            </w:pPr>
            <w:r>
              <w:rPr>
                <w:rFonts w:hint="eastAsia" w:eastAsiaTheme="minorEastAsia"/>
                <w:szCs w:val="21"/>
              </w:rPr>
              <w:t>65.9</w:t>
            </w:r>
          </w:p>
        </w:tc>
        <w:tc>
          <w:tcPr>
            <w:tcW w:w="629" w:type="dxa"/>
            <w:vAlign w:val="center"/>
          </w:tcPr>
          <w:p>
            <w:pPr>
              <w:spacing w:line="360" w:lineRule="auto"/>
              <w:jc w:val="center"/>
              <w:rPr>
                <w:rFonts w:eastAsiaTheme="minorEastAsia"/>
                <w:szCs w:val="21"/>
              </w:rPr>
            </w:pPr>
            <w:r>
              <w:rPr>
                <w:rFonts w:hint="eastAsia" w:eastAsiaTheme="minorEastAsia"/>
                <w:szCs w:val="21"/>
              </w:rPr>
              <w:t>64.0</w:t>
            </w:r>
          </w:p>
        </w:tc>
        <w:tc>
          <w:tcPr>
            <w:tcW w:w="629" w:type="dxa"/>
            <w:vAlign w:val="center"/>
          </w:tcPr>
          <w:p>
            <w:pPr>
              <w:spacing w:line="360" w:lineRule="auto"/>
              <w:jc w:val="center"/>
              <w:rPr>
                <w:rFonts w:eastAsiaTheme="minorEastAsia"/>
                <w:szCs w:val="21"/>
              </w:rPr>
            </w:pPr>
            <w:r>
              <w:rPr>
                <w:rFonts w:hint="eastAsia" w:eastAsiaTheme="minorEastAsia"/>
                <w:szCs w:val="21"/>
              </w:rPr>
              <w:t>58.0</w:t>
            </w:r>
          </w:p>
        </w:tc>
        <w:tc>
          <w:tcPr>
            <w:tcW w:w="629" w:type="dxa"/>
            <w:vAlign w:val="center"/>
          </w:tcPr>
          <w:p>
            <w:pPr>
              <w:spacing w:line="360" w:lineRule="auto"/>
              <w:jc w:val="center"/>
              <w:rPr>
                <w:rFonts w:eastAsiaTheme="minorEastAsia"/>
                <w:szCs w:val="21"/>
              </w:rPr>
            </w:pPr>
            <w:r>
              <w:rPr>
                <w:rFonts w:hint="eastAsia" w:eastAsiaTheme="minorEastAsia"/>
                <w:szCs w:val="21"/>
              </w:rPr>
              <w:t>54.4</w:t>
            </w:r>
          </w:p>
        </w:tc>
        <w:tc>
          <w:tcPr>
            <w:tcW w:w="629" w:type="dxa"/>
            <w:vAlign w:val="center"/>
          </w:tcPr>
          <w:p>
            <w:pPr>
              <w:spacing w:line="360" w:lineRule="auto"/>
              <w:jc w:val="center"/>
              <w:rPr>
                <w:rFonts w:eastAsiaTheme="minorEastAsia"/>
                <w:szCs w:val="21"/>
              </w:rPr>
            </w:pPr>
            <w:r>
              <w:rPr>
                <w:rFonts w:hint="eastAsia" w:eastAsiaTheme="minorEastAsia"/>
                <w:szCs w:val="21"/>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54" w:type="dxa"/>
            <w:vAlign w:val="center"/>
          </w:tcPr>
          <w:p>
            <w:pPr>
              <w:spacing w:line="360" w:lineRule="auto"/>
              <w:jc w:val="center"/>
              <w:rPr>
                <w:rFonts w:eastAsiaTheme="minorEastAsia"/>
                <w:szCs w:val="21"/>
              </w:rPr>
            </w:pPr>
            <w:r>
              <w:rPr>
                <w:rFonts w:eastAsiaTheme="minorEastAsia"/>
                <w:szCs w:val="21"/>
              </w:rPr>
              <w:t>推土机</w:t>
            </w:r>
          </w:p>
        </w:tc>
        <w:tc>
          <w:tcPr>
            <w:tcW w:w="629" w:type="dxa"/>
            <w:vAlign w:val="center"/>
          </w:tcPr>
          <w:p>
            <w:pPr>
              <w:spacing w:line="360" w:lineRule="auto"/>
              <w:jc w:val="center"/>
              <w:rPr>
                <w:rFonts w:eastAsiaTheme="minorEastAsia"/>
                <w:szCs w:val="21"/>
              </w:rPr>
            </w:pPr>
            <w:r>
              <w:rPr>
                <w:rFonts w:hint="eastAsia" w:eastAsiaTheme="minorEastAsia"/>
                <w:szCs w:val="21"/>
              </w:rPr>
              <w:t>88</w:t>
            </w:r>
          </w:p>
        </w:tc>
        <w:tc>
          <w:tcPr>
            <w:tcW w:w="629" w:type="dxa"/>
            <w:vAlign w:val="center"/>
          </w:tcPr>
          <w:p>
            <w:pPr>
              <w:spacing w:line="360" w:lineRule="auto"/>
              <w:jc w:val="center"/>
              <w:rPr>
                <w:rFonts w:eastAsiaTheme="minorEastAsia"/>
                <w:szCs w:val="21"/>
              </w:rPr>
            </w:pPr>
            <w:r>
              <w:rPr>
                <w:rFonts w:hint="eastAsia" w:eastAsiaTheme="minorEastAsia"/>
                <w:szCs w:val="21"/>
              </w:rPr>
              <w:t>82.0</w:t>
            </w:r>
          </w:p>
        </w:tc>
        <w:tc>
          <w:tcPr>
            <w:tcW w:w="629" w:type="dxa"/>
            <w:vAlign w:val="center"/>
          </w:tcPr>
          <w:p>
            <w:pPr>
              <w:spacing w:line="360" w:lineRule="auto"/>
              <w:jc w:val="center"/>
              <w:rPr>
                <w:rFonts w:eastAsiaTheme="minorEastAsia"/>
                <w:szCs w:val="21"/>
              </w:rPr>
            </w:pPr>
            <w:r>
              <w:rPr>
                <w:rFonts w:hint="eastAsia" w:eastAsiaTheme="minorEastAsia"/>
                <w:szCs w:val="21"/>
              </w:rPr>
              <w:t>76.0</w:t>
            </w:r>
          </w:p>
        </w:tc>
        <w:tc>
          <w:tcPr>
            <w:tcW w:w="629" w:type="dxa"/>
            <w:vAlign w:val="center"/>
          </w:tcPr>
          <w:p>
            <w:pPr>
              <w:spacing w:line="360" w:lineRule="auto"/>
              <w:jc w:val="center"/>
              <w:rPr>
                <w:rFonts w:eastAsiaTheme="minorEastAsia"/>
                <w:szCs w:val="21"/>
              </w:rPr>
            </w:pPr>
            <w:r>
              <w:rPr>
                <w:rFonts w:hint="eastAsia" w:eastAsiaTheme="minorEastAsia"/>
                <w:szCs w:val="21"/>
              </w:rPr>
              <w:t>72.4</w:t>
            </w:r>
          </w:p>
        </w:tc>
        <w:tc>
          <w:tcPr>
            <w:tcW w:w="629" w:type="dxa"/>
            <w:vAlign w:val="center"/>
          </w:tcPr>
          <w:p>
            <w:pPr>
              <w:spacing w:line="360" w:lineRule="auto"/>
              <w:jc w:val="center"/>
              <w:rPr>
                <w:rFonts w:eastAsiaTheme="minorEastAsia"/>
                <w:szCs w:val="21"/>
              </w:rPr>
            </w:pPr>
            <w:r>
              <w:rPr>
                <w:rFonts w:hint="eastAsia" w:eastAsiaTheme="minorEastAsia"/>
                <w:szCs w:val="21"/>
              </w:rPr>
              <w:t>68.0</w:t>
            </w:r>
          </w:p>
        </w:tc>
        <w:tc>
          <w:tcPr>
            <w:tcW w:w="629" w:type="dxa"/>
            <w:vAlign w:val="center"/>
          </w:tcPr>
          <w:p>
            <w:pPr>
              <w:spacing w:line="360" w:lineRule="auto"/>
              <w:jc w:val="center"/>
              <w:rPr>
                <w:rFonts w:eastAsiaTheme="minorEastAsia"/>
                <w:szCs w:val="21"/>
              </w:rPr>
            </w:pPr>
            <w:r>
              <w:rPr>
                <w:rFonts w:hint="eastAsia" w:eastAsiaTheme="minorEastAsia"/>
                <w:szCs w:val="21"/>
              </w:rPr>
              <w:t>63.9</w:t>
            </w:r>
          </w:p>
        </w:tc>
        <w:tc>
          <w:tcPr>
            <w:tcW w:w="629" w:type="dxa"/>
            <w:vAlign w:val="center"/>
          </w:tcPr>
          <w:p>
            <w:pPr>
              <w:spacing w:line="360" w:lineRule="auto"/>
              <w:jc w:val="center"/>
              <w:rPr>
                <w:rFonts w:eastAsiaTheme="minorEastAsia"/>
                <w:szCs w:val="21"/>
              </w:rPr>
            </w:pPr>
            <w:r>
              <w:rPr>
                <w:rFonts w:hint="eastAsia" w:eastAsiaTheme="minorEastAsia"/>
                <w:szCs w:val="21"/>
              </w:rPr>
              <w:t>62.0</w:t>
            </w:r>
          </w:p>
        </w:tc>
        <w:tc>
          <w:tcPr>
            <w:tcW w:w="629" w:type="dxa"/>
            <w:vAlign w:val="center"/>
          </w:tcPr>
          <w:p>
            <w:pPr>
              <w:spacing w:line="360" w:lineRule="auto"/>
              <w:jc w:val="center"/>
              <w:rPr>
                <w:rFonts w:eastAsiaTheme="minorEastAsia"/>
                <w:szCs w:val="21"/>
              </w:rPr>
            </w:pPr>
            <w:r>
              <w:rPr>
                <w:rFonts w:hint="eastAsia" w:eastAsiaTheme="minorEastAsia"/>
                <w:szCs w:val="21"/>
              </w:rPr>
              <w:t>56.0</w:t>
            </w:r>
          </w:p>
        </w:tc>
        <w:tc>
          <w:tcPr>
            <w:tcW w:w="629" w:type="dxa"/>
            <w:vAlign w:val="center"/>
          </w:tcPr>
          <w:p>
            <w:pPr>
              <w:spacing w:line="360" w:lineRule="auto"/>
              <w:jc w:val="center"/>
              <w:rPr>
                <w:rFonts w:eastAsiaTheme="minorEastAsia"/>
                <w:szCs w:val="21"/>
              </w:rPr>
            </w:pPr>
            <w:r>
              <w:rPr>
                <w:rFonts w:hint="eastAsia" w:eastAsiaTheme="minorEastAsia"/>
                <w:szCs w:val="21"/>
              </w:rPr>
              <w:t>52.4</w:t>
            </w:r>
          </w:p>
        </w:tc>
        <w:tc>
          <w:tcPr>
            <w:tcW w:w="629" w:type="dxa"/>
            <w:vAlign w:val="center"/>
          </w:tcPr>
          <w:p>
            <w:pPr>
              <w:spacing w:line="360" w:lineRule="auto"/>
              <w:jc w:val="center"/>
              <w:rPr>
                <w:rFonts w:eastAsiaTheme="minorEastAsia"/>
                <w:szCs w:val="21"/>
              </w:rPr>
            </w:pPr>
            <w:r>
              <w:rPr>
                <w:rFonts w:hint="eastAsia" w:eastAsiaTheme="minorEastAsia"/>
                <w:szCs w:val="21"/>
              </w:rPr>
              <w:t>49.9</w:t>
            </w:r>
          </w:p>
        </w:tc>
      </w:tr>
    </w:tbl>
    <w:p>
      <w:pPr>
        <w:widowControl/>
        <w:spacing w:line="360" w:lineRule="auto"/>
        <w:ind w:firstLine="480"/>
        <w:rPr>
          <w:kern w:val="0"/>
          <w:sz w:val="24"/>
          <w:szCs w:val="24"/>
        </w:rPr>
      </w:pPr>
      <w:r>
        <w:rPr>
          <w:kern w:val="0"/>
          <w:sz w:val="24"/>
          <w:szCs w:val="24"/>
        </w:rPr>
        <w:t>（3）结果分析</w:t>
      </w:r>
    </w:p>
    <w:p>
      <w:pPr>
        <w:widowControl/>
        <w:spacing w:line="360" w:lineRule="auto"/>
        <w:ind w:firstLine="480"/>
        <w:rPr>
          <w:kern w:val="0"/>
          <w:sz w:val="24"/>
          <w:szCs w:val="24"/>
        </w:rPr>
      </w:pPr>
      <w:r>
        <w:rPr>
          <w:kern w:val="0"/>
          <w:sz w:val="24"/>
          <w:szCs w:val="24"/>
        </w:rPr>
        <w:t>a、由表4.1-2可知，施工机械的噪声由于噪声级较高，在空旷地带传播距离很远，施工场界昼夜噪声均超过《建筑施工场界环境噪声排放标准》（GB12523-2011）中建筑施工场界环境噪声排放限值要求。</w:t>
      </w:r>
    </w:p>
    <w:p>
      <w:pPr>
        <w:widowControl/>
        <w:spacing w:line="360" w:lineRule="auto"/>
        <w:ind w:firstLine="480"/>
        <w:rPr>
          <w:kern w:val="0"/>
          <w:sz w:val="24"/>
          <w:szCs w:val="24"/>
        </w:rPr>
      </w:pPr>
      <w:r>
        <w:rPr>
          <w:kern w:val="0"/>
          <w:sz w:val="24"/>
          <w:szCs w:val="24"/>
        </w:rPr>
        <w:t>b、为确保施工场界噪声达标，必须合理安排这些施工机械的施工位置、施工时间，尤其在夜间必须严禁这类机械的施工作业，以免对环境产生较大的影响。为此建设单位要求施工单位严格遵守《中华人民共和国环境噪声污染防治法》中关于建筑施工噪声污染防治 有关规定和《建筑施工场界环境噪声排放标准》（GB12523-2011）的要求，采用低噪声施工设备，合理安排施工计划并采取严格的施工管理措施，定期对设备进行维护和检修，保证设备运行良好，对高噪声施工设备进行隔声减震处理。加强施工期环境监理，做到文明施工，清洁施工。</w:t>
      </w:r>
    </w:p>
    <w:p>
      <w:pPr>
        <w:widowControl/>
        <w:spacing w:line="360" w:lineRule="auto"/>
        <w:ind w:firstLine="480"/>
        <w:rPr>
          <w:kern w:val="0"/>
          <w:sz w:val="24"/>
          <w:szCs w:val="24"/>
        </w:rPr>
      </w:pPr>
      <w:r>
        <w:rPr>
          <w:kern w:val="0"/>
          <w:sz w:val="24"/>
          <w:szCs w:val="24"/>
        </w:rPr>
        <w:t>（4）对敏感目标的影响分析</w:t>
      </w:r>
    </w:p>
    <w:p>
      <w:pPr>
        <w:widowControl/>
        <w:spacing w:line="360" w:lineRule="auto"/>
        <w:ind w:firstLine="480"/>
        <w:rPr>
          <w:kern w:val="0"/>
          <w:sz w:val="24"/>
          <w:szCs w:val="24"/>
        </w:rPr>
      </w:pPr>
      <w:r>
        <w:rPr>
          <w:sz w:val="24"/>
          <w:szCs w:val="21"/>
        </w:rPr>
        <w:t>根据</w:t>
      </w:r>
      <w:r>
        <w:rPr>
          <w:rFonts w:hint="eastAsia"/>
          <w:sz w:val="24"/>
          <w:szCs w:val="21"/>
        </w:rPr>
        <w:t>上述噪声预测，</w:t>
      </w:r>
      <w:r>
        <w:rPr>
          <w:sz w:val="24"/>
          <w:szCs w:val="21"/>
        </w:rPr>
        <w:t>施工机械的噪声由于噪声级较高，施工场界昼夜噪声均超过GB12523-2011标准</w:t>
      </w:r>
      <w:r>
        <w:rPr>
          <w:rFonts w:hint="eastAsia"/>
          <w:sz w:val="24"/>
          <w:szCs w:val="21"/>
        </w:rPr>
        <w:t>，</w:t>
      </w:r>
      <w:r>
        <w:rPr>
          <w:kern w:val="0"/>
          <w:sz w:val="24"/>
          <w:szCs w:val="24"/>
        </w:rPr>
        <w:t>根据本项目周边声环境敏感目标分布情况，项目</w:t>
      </w:r>
      <w:r>
        <w:rPr>
          <w:rFonts w:hint="eastAsia"/>
          <w:sz w:val="24"/>
          <w:szCs w:val="24"/>
        </w:rPr>
        <w:t>赤塘村、三橄榄、国家电网办公楼</w:t>
      </w:r>
      <w:r>
        <w:rPr>
          <w:rFonts w:hint="eastAsia"/>
          <w:kern w:val="0"/>
          <w:sz w:val="24"/>
          <w:szCs w:val="24"/>
        </w:rPr>
        <w:t>收到</w:t>
      </w:r>
      <w:r>
        <w:rPr>
          <w:kern w:val="0"/>
          <w:sz w:val="24"/>
          <w:szCs w:val="24"/>
        </w:rPr>
        <w:t>施工噪声的影响</w:t>
      </w:r>
      <w:r>
        <w:rPr>
          <w:rFonts w:hint="eastAsia"/>
          <w:kern w:val="0"/>
          <w:sz w:val="24"/>
          <w:szCs w:val="24"/>
        </w:rPr>
        <w:t>较大</w:t>
      </w:r>
      <w:r>
        <w:rPr>
          <w:kern w:val="0"/>
          <w:sz w:val="24"/>
          <w:szCs w:val="24"/>
        </w:rPr>
        <w:t>。</w:t>
      </w:r>
    </w:p>
    <w:p>
      <w:pPr>
        <w:widowControl/>
        <w:spacing w:line="360" w:lineRule="auto"/>
        <w:ind w:firstLine="480"/>
        <w:rPr>
          <w:kern w:val="0"/>
          <w:sz w:val="24"/>
          <w:szCs w:val="24"/>
        </w:rPr>
      </w:pPr>
      <w:r>
        <w:rPr>
          <w:kern w:val="0"/>
          <w:sz w:val="24"/>
          <w:szCs w:val="24"/>
        </w:rPr>
        <w:t>为减轻施工噪声对敏感点的影响，施工单位应采取必要的降噪措施，如在施工场界安装临时隔声屏障、合理布局施工场地及设置施工机械、避免高噪设备集中工作等，降低施工噪声对敏感点的影响。由于施工噪声一般周期短、强度大，但可以通过管理与控制进行防范，对其影响是暂时的，夜间不施工，施工结束后，噪声的影响也停止。</w:t>
      </w:r>
    </w:p>
    <w:p>
      <w:pPr>
        <w:spacing w:line="360" w:lineRule="auto"/>
        <w:outlineLvl w:val="2"/>
        <w:rPr>
          <w:b/>
          <w:sz w:val="24"/>
          <w:szCs w:val="24"/>
        </w:rPr>
      </w:pPr>
      <w:bookmarkStart w:id="186" w:name="_Toc472321513"/>
      <w:bookmarkStart w:id="187" w:name="_Toc486070561"/>
      <w:r>
        <w:rPr>
          <w:b/>
          <w:sz w:val="24"/>
          <w:szCs w:val="24"/>
        </w:rPr>
        <w:t>4.1.4 施工期固体废物影响分析</w:t>
      </w:r>
      <w:bookmarkEnd w:id="186"/>
      <w:bookmarkEnd w:id="187"/>
    </w:p>
    <w:p>
      <w:pPr>
        <w:spacing w:line="360" w:lineRule="auto"/>
        <w:ind w:firstLine="480" w:firstLineChars="200"/>
        <w:rPr>
          <w:sz w:val="24"/>
        </w:rPr>
      </w:pPr>
      <w:r>
        <w:rPr>
          <w:sz w:val="24"/>
        </w:rPr>
        <w:t>施工期固体废物主要为建筑垃圾、弃土方和施工人员的生活垃圾。</w:t>
      </w:r>
    </w:p>
    <w:p>
      <w:pPr>
        <w:spacing w:line="360" w:lineRule="auto"/>
        <w:ind w:firstLine="480" w:firstLineChars="200"/>
        <w:rPr>
          <w:sz w:val="24"/>
        </w:rPr>
      </w:pPr>
      <w:r>
        <w:rPr>
          <w:sz w:val="24"/>
        </w:rPr>
        <w:t>（1）建筑垃圾产生量约</w:t>
      </w:r>
      <w:r>
        <w:rPr>
          <w:rFonts w:hint="eastAsia"/>
          <w:sz w:val="24"/>
        </w:rPr>
        <w:t>1854.38</w:t>
      </w:r>
      <w:r>
        <w:rPr>
          <w:sz w:val="24"/>
        </w:rPr>
        <w:t>m</w:t>
      </w:r>
      <w:r>
        <w:rPr>
          <w:sz w:val="24"/>
          <w:vertAlign w:val="superscript"/>
        </w:rPr>
        <w:t>3</w:t>
      </w:r>
      <w:r>
        <w:rPr>
          <w:sz w:val="24"/>
        </w:rPr>
        <w:t>，主要是建材损耗产生的废钢筋、混凝土废碴、废木料、废砖头、废瓷砖（片）等，本项目对建筑垃圾分类处理，回收可利用部分，如废钢筋、废木料等，其余不可利用部分严格按照当地建设管理部门的要求运至指定地点，不会对周边卫生环境产生影响。</w:t>
      </w:r>
    </w:p>
    <w:p>
      <w:pPr>
        <w:spacing w:line="360" w:lineRule="auto"/>
        <w:ind w:firstLine="480" w:firstLineChars="200"/>
        <w:rPr>
          <w:sz w:val="24"/>
        </w:rPr>
      </w:pPr>
      <w:r>
        <w:rPr>
          <w:sz w:val="24"/>
        </w:rPr>
        <w:t>（2）本项目共产生弃方</w:t>
      </w:r>
      <w:r>
        <w:rPr>
          <w:rFonts w:hint="eastAsia"/>
          <w:sz w:val="24"/>
        </w:rPr>
        <w:t>24194</w:t>
      </w:r>
      <w:r>
        <w:rPr>
          <w:sz w:val="24"/>
        </w:rPr>
        <w:t>m³，</w:t>
      </w:r>
      <w:r>
        <w:rPr>
          <w:rFonts w:hint="eastAsia"/>
          <w:sz w:val="24"/>
        </w:rPr>
        <w:t>做好土石方的堆存管理，提高土石方综合利用的前提下，</w:t>
      </w:r>
      <w:r>
        <w:rPr>
          <w:sz w:val="24"/>
        </w:rPr>
        <w:t>在工程施工阶段建设单位严格按照市容管理局审批的受纳点弃置。</w:t>
      </w:r>
    </w:p>
    <w:p>
      <w:pPr>
        <w:spacing w:line="360" w:lineRule="auto"/>
        <w:ind w:firstLine="480" w:firstLineChars="200"/>
        <w:rPr>
          <w:sz w:val="24"/>
        </w:rPr>
      </w:pPr>
      <w:r>
        <w:rPr>
          <w:sz w:val="24"/>
        </w:rPr>
        <w:t>（3）本项目施工人员生活垃圾产生量为</w:t>
      </w:r>
      <w:r>
        <w:rPr>
          <w:rFonts w:hint="eastAsia"/>
          <w:sz w:val="24"/>
        </w:rPr>
        <w:t>25</w:t>
      </w:r>
      <w:r>
        <w:rPr>
          <w:sz w:val="24"/>
        </w:rPr>
        <w:t>kg/d，</w:t>
      </w:r>
      <w:r>
        <w:rPr>
          <w:sz w:val="24"/>
          <w:szCs w:val="24"/>
        </w:rPr>
        <w:t>施工期</w:t>
      </w:r>
      <w:r>
        <w:rPr>
          <w:rFonts w:hint="eastAsia"/>
          <w:sz w:val="24"/>
          <w:szCs w:val="24"/>
        </w:rPr>
        <w:t>16个月</w:t>
      </w:r>
      <w:r>
        <w:rPr>
          <w:sz w:val="24"/>
          <w:szCs w:val="24"/>
        </w:rPr>
        <w:t>产生生活垃圾约</w:t>
      </w:r>
      <w:r>
        <w:rPr>
          <w:rFonts w:hint="eastAsia"/>
          <w:sz w:val="24"/>
          <w:szCs w:val="24"/>
        </w:rPr>
        <w:t>12</w:t>
      </w:r>
      <w:r>
        <w:rPr>
          <w:sz w:val="24"/>
          <w:szCs w:val="24"/>
        </w:rPr>
        <w:t>t。</w:t>
      </w:r>
      <w:r>
        <w:rPr>
          <w:sz w:val="24"/>
        </w:rPr>
        <w:t>生活垃圾依托当地原有的垃圾处理系统并在场地内设置垃圾桶，由当地环卫部门及时清理和清运，则对周边卫生环境影响较小。</w:t>
      </w:r>
    </w:p>
    <w:p>
      <w:pPr>
        <w:spacing w:line="360" w:lineRule="auto"/>
        <w:ind w:firstLine="480" w:firstLineChars="200"/>
        <w:rPr>
          <w:sz w:val="24"/>
          <w:szCs w:val="24"/>
        </w:rPr>
      </w:pPr>
      <w:r>
        <w:rPr>
          <w:rFonts w:hint="eastAsia"/>
          <w:sz w:val="24"/>
        </w:rPr>
        <w:t>（4</w:t>
      </w:r>
      <w:r>
        <w:rPr>
          <w:sz w:val="24"/>
        </w:rPr>
        <w:t>）</w:t>
      </w:r>
      <w:r>
        <w:rPr>
          <w:sz w:val="24"/>
          <w:szCs w:val="24"/>
        </w:rPr>
        <w:t>装修阶段产生的油漆废渣、废油漆桶属于《国家危险废物名录》中的危废，应分类单独收集贮存，经收集后送往有资质的单位进行处置。</w:t>
      </w:r>
    </w:p>
    <w:p>
      <w:pPr>
        <w:spacing w:line="360" w:lineRule="auto"/>
        <w:outlineLvl w:val="2"/>
        <w:rPr>
          <w:b/>
          <w:sz w:val="24"/>
          <w:szCs w:val="24"/>
        </w:rPr>
      </w:pPr>
      <w:bookmarkStart w:id="188" w:name="_Toc472321514"/>
      <w:bookmarkStart w:id="189" w:name="_Toc486070562"/>
      <w:r>
        <w:rPr>
          <w:b/>
          <w:sz w:val="24"/>
          <w:szCs w:val="24"/>
        </w:rPr>
        <w:t>4.1.5</w:t>
      </w:r>
      <w:r>
        <w:rPr>
          <w:rFonts w:hint="eastAsia"/>
          <w:b/>
          <w:sz w:val="24"/>
          <w:szCs w:val="24"/>
        </w:rPr>
        <w:t>生态环境</w:t>
      </w:r>
      <w:r>
        <w:rPr>
          <w:b/>
          <w:sz w:val="24"/>
          <w:szCs w:val="24"/>
        </w:rPr>
        <w:t>影响分析</w:t>
      </w:r>
      <w:bookmarkEnd w:id="188"/>
      <w:bookmarkEnd w:id="189"/>
    </w:p>
    <w:p>
      <w:pPr>
        <w:spacing w:line="360" w:lineRule="auto"/>
        <w:ind w:firstLine="480" w:firstLineChars="200"/>
        <w:rPr>
          <w:sz w:val="24"/>
        </w:rPr>
      </w:pPr>
      <w:bookmarkStart w:id="190" w:name="_Toc486070563"/>
      <w:r>
        <w:rPr>
          <w:sz w:val="24"/>
        </w:rPr>
        <w:t>项目建设将破坏地表植被</w:t>
      </w:r>
      <w:r>
        <w:rPr>
          <w:rFonts w:hint="eastAsia"/>
          <w:sz w:val="24"/>
        </w:rPr>
        <w:t>，改变区域生态系统，</w:t>
      </w:r>
      <w:r>
        <w:rPr>
          <w:sz w:val="24"/>
        </w:rPr>
        <w:t>减少施工区域生物量</w:t>
      </w:r>
      <w:r>
        <w:rPr>
          <w:rFonts w:hint="eastAsia"/>
          <w:sz w:val="24"/>
        </w:rPr>
        <w:t>，</w:t>
      </w:r>
      <w:r>
        <w:rPr>
          <w:sz w:val="24"/>
        </w:rPr>
        <w:t>增加水土流失并降低水土保持能力</w:t>
      </w:r>
      <w:r>
        <w:rPr>
          <w:rFonts w:hint="eastAsia"/>
          <w:sz w:val="24"/>
        </w:rPr>
        <w:t>。</w:t>
      </w:r>
      <w:r>
        <w:rPr>
          <w:sz w:val="24"/>
        </w:rPr>
        <w:t>新增水土流失具有强度大、影响时段集中的特点，如不采取相应的有效措施，将在一定程度上加剧项目区水土流失</w:t>
      </w:r>
      <w:r>
        <w:rPr>
          <w:rFonts w:hint="eastAsia"/>
          <w:sz w:val="24"/>
        </w:rPr>
        <w:t>。</w:t>
      </w:r>
      <w:r>
        <w:rPr>
          <w:sz w:val="24"/>
        </w:rPr>
        <w:t>项目可能造成的生态环境危害主要表现如下：</w:t>
      </w:r>
    </w:p>
    <w:p>
      <w:pPr>
        <w:spacing w:line="360" w:lineRule="auto"/>
        <w:ind w:firstLine="480" w:firstLineChars="200"/>
        <w:rPr>
          <w:sz w:val="24"/>
        </w:rPr>
      </w:pPr>
      <w:r>
        <w:rPr>
          <w:rFonts w:ascii="宋体" w:hAnsi="宋体"/>
          <w:sz w:val="24"/>
        </w:rPr>
        <w:t>①</w:t>
      </w:r>
      <w:r>
        <w:rPr>
          <w:sz w:val="24"/>
        </w:rPr>
        <w:t>对</w:t>
      </w:r>
      <w:r>
        <w:rPr>
          <w:rFonts w:hint="eastAsia"/>
          <w:sz w:val="24"/>
        </w:rPr>
        <w:t>生物</w:t>
      </w:r>
      <w:r>
        <w:rPr>
          <w:sz w:val="24"/>
        </w:rPr>
        <w:t>的影响</w:t>
      </w:r>
    </w:p>
    <w:p>
      <w:pPr>
        <w:spacing w:line="360" w:lineRule="auto"/>
        <w:ind w:firstLine="480" w:firstLineChars="200"/>
        <w:rPr>
          <w:sz w:val="24"/>
        </w:rPr>
      </w:pPr>
      <w:r>
        <w:rPr>
          <w:sz w:val="24"/>
        </w:rPr>
        <w:t>根据现场踏勘</w:t>
      </w:r>
      <w:r>
        <w:rPr>
          <w:rFonts w:hint="eastAsia"/>
          <w:sz w:val="24"/>
        </w:rPr>
        <w:t>，施工区域主要现状有芭蕉、芦苇等植物以及杂草灌木，池塘中主要有鱼类及其他水生生物。</w:t>
      </w:r>
      <w:r>
        <w:rPr>
          <w:sz w:val="24"/>
        </w:rPr>
        <w:t>项目建设过程中，会占用土地，填埋池塘</w:t>
      </w:r>
      <w:r>
        <w:rPr>
          <w:rFonts w:hint="eastAsia"/>
          <w:sz w:val="24"/>
        </w:rPr>
        <w:t>，</w:t>
      </w:r>
      <w:r>
        <w:rPr>
          <w:sz w:val="24"/>
        </w:rPr>
        <w:t>损坏原有土层结构和地表植被，</w:t>
      </w:r>
      <w:r>
        <w:rPr>
          <w:rFonts w:hint="eastAsia"/>
          <w:sz w:val="24"/>
        </w:rPr>
        <w:t>改变原有生态系统</w:t>
      </w:r>
      <w:r>
        <w:rPr>
          <w:sz w:val="24"/>
        </w:rPr>
        <w:t>。在短时期内会大量降低施工区域的生物量</w:t>
      </w:r>
      <w:r>
        <w:rPr>
          <w:rFonts w:hint="eastAsia"/>
          <w:sz w:val="24"/>
        </w:rPr>
        <w:t>，随着施工期的结束进行场地绿化，生物量会有所恢复。</w:t>
      </w:r>
    </w:p>
    <w:p>
      <w:pPr>
        <w:spacing w:line="360" w:lineRule="auto"/>
        <w:ind w:firstLine="480" w:firstLineChars="200"/>
        <w:rPr>
          <w:rFonts w:ascii="宋体" w:hAnsi="宋体"/>
          <w:sz w:val="24"/>
        </w:rPr>
      </w:pPr>
      <w:r>
        <w:rPr>
          <w:rFonts w:ascii="宋体" w:hAnsi="宋体"/>
          <w:sz w:val="24"/>
        </w:rPr>
        <w:t>②</w:t>
      </w:r>
      <w:r>
        <w:rPr>
          <w:sz w:val="24"/>
        </w:rPr>
        <w:t>水土流失的影响</w:t>
      </w:r>
    </w:p>
    <w:p>
      <w:pPr>
        <w:spacing w:line="360" w:lineRule="auto"/>
        <w:ind w:firstLine="480" w:firstLineChars="200"/>
        <w:rPr>
          <w:sz w:val="24"/>
        </w:rPr>
      </w:pPr>
      <w:r>
        <w:rPr>
          <w:sz w:val="24"/>
        </w:rPr>
        <w:t>项目建设</w:t>
      </w:r>
      <w:r>
        <w:rPr>
          <w:rFonts w:hint="eastAsia"/>
          <w:sz w:val="24"/>
        </w:rPr>
        <w:t>将</w:t>
      </w:r>
      <w:r>
        <w:rPr>
          <w:sz w:val="24"/>
        </w:rPr>
        <w:t>降低附近地表的渗水</w:t>
      </w:r>
      <w:r>
        <w:rPr>
          <w:rFonts w:hint="eastAsia"/>
          <w:sz w:val="24"/>
        </w:rPr>
        <w:t>、</w:t>
      </w:r>
      <w:r>
        <w:rPr>
          <w:sz w:val="24"/>
        </w:rPr>
        <w:t>蓄水能力，地表原有的水土保持功能会降低或丧失</w:t>
      </w:r>
      <w:r>
        <w:rPr>
          <w:rFonts w:hint="eastAsia"/>
          <w:sz w:val="24"/>
        </w:rPr>
        <w:t>，</w:t>
      </w:r>
      <w:r>
        <w:rPr>
          <w:sz w:val="24"/>
        </w:rPr>
        <w:t>在短期内难以恢复到原有水平；施工中挖填形成的裸露坡面、松散的土临时堆放，极易造成水土流失，使项目区土壤侵蚀模数远远超过容许范围，从而加剧原有的水土流失，若不采取水土保持措施将</w:t>
      </w:r>
      <w:r>
        <w:rPr>
          <w:rFonts w:hint="eastAsia"/>
          <w:sz w:val="24"/>
        </w:rPr>
        <w:t>对</w:t>
      </w:r>
      <w:r>
        <w:rPr>
          <w:sz w:val="24"/>
        </w:rPr>
        <w:t>区域生态环境产生</w:t>
      </w:r>
      <w:r>
        <w:rPr>
          <w:rFonts w:hint="eastAsia"/>
          <w:sz w:val="24"/>
        </w:rPr>
        <w:t>一定</w:t>
      </w:r>
      <w:r>
        <w:rPr>
          <w:sz w:val="24"/>
        </w:rPr>
        <w:t>负面影响。</w:t>
      </w:r>
    </w:p>
    <w:p>
      <w:pPr>
        <w:spacing w:line="360" w:lineRule="auto"/>
        <w:ind w:firstLine="480" w:firstLineChars="200"/>
        <w:rPr>
          <w:sz w:val="24"/>
        </w:rPr>
      </w:pPr>
      <w:r>
        <w:rPr>
          <w:rFonts w:ascii="宋体" w:hAnsi="宋体"/>
          <w:sz w:val="24"/>
        </w:rPr>
        <w:t>③</w:t>
      </w:r>
      <w:r>
        <w:rPr>
          <w:sz w:val="24"/>
        </w:rPr>
        <w:t>对道路和地块的影响</w:t>
      </w:r>
    </w:p>
    <w:p>
      <w:pPr>
        <w:spacing w:line="360" w:lineRule="auto"/>
        <w:ind w:firstLine="480" w:firstLineChars="200"/>
        <w:rPr>
          <w:sz w:val="24"/>
        </w:rPr>
      </w:pPr>
      <w:r>
        <w:rPr>
          <w:sz w:val="24"/>
        </w:rPr>
        <w:t>工程周边道路主要为乡镇小路</w:t>
      </w:r>
      <w:r>
        <w:rPr>
          <w:rFonts w:hint="eastAsia"/>
          <w:sz w:val="24"/>
        </w:rPr>
        <w:t>，</w:t>
      </w:r>
      <w:r>
        <w:rPr>
          <w:sz w:val="24"/>
        </w:rPr>
        <w:t>建设地块</w:t>
      </w:r>
      <w:r>
        <w:rPr>
          <w:rFonts w:hint="eastAsia"/>
          <w:sz w:val="24"/>
        </w:rPr>
        <w:t>南</w:t>
      </w:r>
      <w:r>
        <w:rPr>
          <w:sz w:val="24"/>
        </w:rPr>
        <w:t>侧为</w:t>
      </w:r>
      <w:r>
        <w:rPr>
          <w:rFonts w:hint="eastAsia"/>
          <w:sz w:val="24"/>
        </w:rPr>
        <w:t>怀梓路</w:t>
      </w:r>
      <w:r>
        <w:rPr>
          <w:sz w:val="24"/>
        </w:rPr>
        <w:t>，南侧为道庆路，</w:t>
      </w:r>
      <w:r>
        <w:rPr>
          <w:rFonts w:hint="eastAsia"/>
          <w:sz w:val="24"/>
        </w:rPr>
        <w:t>东侧、</w:t>
      </w:r>
      <w:r>
        <w:rPr>
          <w:sz w:val="24"/>
        </w:rPr>
        <w:t>北侧为</w:t>
      </w:r>
      <w:r>
        <w:rPr>
          <w:rFonts w:hint="eastAsia"/>
          <w:sz w:val="24"/>
        </w:rPr>
        <w:t>拟规划道路。</w:t>
      </w:r>
      <w:r>
        <w:rPr>
          <w:sz w:val="24"/>
        </w:rPr>
        <w:t>施工车辆进出运输过程中，容易携带泥土，若未采取有效的措施，施工车轮带走泥土污染环境，不仅堵塞交通，还会影响行车安全，对过往车辆的行驶造成一定的困扰，易发生事故，存在交通隐患。</w:t>
      </w:r>
    </w:p>
    <w:p>
      <w:pPr>
        <w:spacing w:line="360" w:lineRule="auto"/>
        <w:ind w:firstLine="480" w:firstLineChars="200"/>
        <w:rPr>
          <w:sz w:val="24"/>
        </w:rPr>
      </w:pPr>
      <w:r>
        <w:rPr>
          <w:rFonts w:ascii="宋体" w:hAnsi="宋体"/>
          <w:sz w:val="24"/>
        </w:rPr>
        <w:t>④</w:t>
      </w:r>
      <w:r>
        <w:rPr>
          <w:sz w:val="24"/>
        </w:rPr>
        <w:t>对周边居民生产生活的影响</w:t>
      </w:r>
    </w:p>
    <w:p>
      <w:pPr>
        <w:spacing w:line="360" w:lineRule="auto"/>
        <w:ind w:firstLine="480" w:firstLineChars="200"/>
        <w:rPr>
          <w:sz w:val="24"/>
        </w:rPr>
      </w:pPr>
      <w:r>
        <w:rPr>
          <w:sz w:val="24"/>
        </w:rPr>
        <w:t>项目区周边主要为</w:t>
      </w:r>
      <w:r>
        <w:rPr>
          <w:rFonts w:hint="eastAsia"/>
          <w:sz w:val="24"/>
        </w:rPr>
        <w:t>村镇</w:t>
      </w:r>
      <w:r>
        <w:rPr>
          <w:sz w:val="24"/>
        </w:rPr>
        <w:t>，施工期如不采取有效的水土保持防护措施、排水系统进行防护，施工时开挖土方晴天时尘土飞扬，增加空气中颗粒物的含量</w:t>
      </w:r>
      <w:r>
        <w:rPr>
          <w:rFonts w:hint="eastAsia"/>
          <w:sz w:val="24"/>
        </w:rPr>
        <w:t>，</w:t>
      </w:r>
      <w:r>
        <w:rPr>
          <w:sz w:val="24"/>
        </w:rPr>
        <w:t>将对居民的生产和生活产生影响。施工期间用彩钢护栏围好，可以一定程度上减缓施工过程的尘土飞扬，同时避免夜间施工，减低对周边居民生产生活的影响。</w:t>
      </w:r>
    </w:p>
    <w:p>
      <w:pPr>
        <w:spacing w:line="360" w:lineRule="auto"/>
        <w:ind w:firstLine="480" w:firstLineChars="200"/>
        <w:rPr>
          <w:sz w:val="24"/>
        </w:rPr>
      </w:pPr>
      <w:r>
        <w:rPr>
          <w:rFonts w:ascii="宋体" w:hAnsi="宋体"/>
          <w:sz w:val="24"/>
        </w:rPr>
        <w:t>④</w:t>
      </w:r>
      <w:r>
        <w:rPr>
          <w:sz w:val="24"/>
        </w:rPr>
        <w:t>泥沙淤积水利设施，影响排洪能力</w:t>
      </w:r>
    </w:p>
    <w:p>
      <w:pPr>
        <w:spacing w:line="360" w:lineRule="auto"/>
        <w:ind w:firstLine="480" w:firstLineChars="200"/>
        <w:rPr>
          <w:sz w:val="24"/>
        </w:rPr>
      </w:pPr>
      <w:r>
        <w:rPr>
          <w:sz w:val="24"/>
        </w:rPr>
        <w:t>项目建设过程中破坏了原有地表</w:t>
      </w:r>
      <w:r>
        <w:rPr>
          <w:rFonts w:hint="eastAsia"/>
          <w:sz w:val="24"/>
        </w:rPr>
        <w:t>生态</w:t>
      </w:r>
      <w:r>
        <w:rPr>
          <w:sz w:val="24"/>
        </w:rPr>
        <w:t>，土石方工程数量较大且要进行池塘填埋，如不采取有效的水土流失防治措施，施工过程中产生的松散土方可能随地表径流进入周边市政雨水管道，将导致雨水管道泥沙含量的增加，淤积水利设施，从而降低市政雨水管网的行洪能力。</w:t>
      </w:r>
    </w:p>
    <w:p>
      <w:pPr>
        <w:spacing w:line="360" w:lineRule="auto"/>
        <w:ind w:firstLine="480" w:firstLineChars="200"/>
        <w:rPr>
          <w:sz w:val="24"/>
        </w:rPr>
      </w:pPr>
      <w:r>
        <w:rPr>
          <w:sz w:val="24"/>
        </w:rPr>
        <w:t>施工过程中，在地面水流的作用下，施工场地的泥沙有可能通过排水系统侵入周边地域排水系统，造成周边排水系统的淤塞，排水抗涝能力减弱，一旦遇到强降雨，有可能造成工程区内及部分周边地域排水不畅，产生渍涝。</w:t>
      </w:r>
    </w:p>
    <w:p>
      <w:pPr>
        <w:pStyle w:val="42"/>
        <w:rPr>
          <w:rStyle w:val="43"/>
          <w:rFonts w:eastAsia="宋体"/>
        </w:rPr>
      </w:pPr>
      <w:r>
        <w:rPr>
          <w:rStyle w:val="43"/>
          <w:rFonts w:eastAsia="宋体"/>
        </w:rPr>
        <w:t>4.2运营期环境影响分析</w:t>
      </w:r>
      <w:bookmarkEnd w:id="190"/>
    </w:p>
    <w:p>
      <w:pPr>
        <w:spacing w:line="360" w:lineRule="auto"/>
        <w:outlineLvl w:val="2"/>
        <w:rPr>
          <w:b/>
          <w:sz w:val="24"/>
          <w:szCs w:val="24"/>
        </w:rPr>
      </w:pPr>
      <w:bookmarkStart w:id="191" w:name="_Toc472321516"/>
      <w:bookmarkStart w:id="192" w:name="_Toc486070564"/>
      <w:r>
        <w:rPr>
          <w:b/>
          <w:sz w:val="24"/>
          <w:szCs w:val="24"/>
        </w:rPr>
        <w:t>4.2.1水环境影响分析</w:t>
      </w:r>
      <w:bookmarkEnd w:id="191"/>
      <w:bookmarkEnd w:id="192"/>
    </w:p>
    <w:p>
      <w:pPr>
        <w:spacing w:line="360" w:lineRule="auto"/>
        <w:ind w:firstLine="480" w:firstLineChars="200"/>
        <w:rPr>
          <w:sz w:val="24"/>
        </w:rPr>
      </w:pPr>
      <w:r>
        <w:rPr>
          <w:sz w:val="24"/>
        </w:rPr>
        <w:t>（1）项目废水产生排放分析</w:t>
      </w:r>
    </w:p>
    <w:p>
      <w:pPr>
        <w:spacing w:line="360" w:lineRule="auto"/>
        <w:ind w:firstLine="480" w:firstLineChars="200"/>
        <w:rPr>
          <w:sz w:val="24"/>
        </w:rPr>
      </w:pPr>
      <w:r>
        <w:rPr>
          <w:sz w:val="24"/>
        </w:rPr>
        <w:t>本项目采用雨污分流制，雨水经雨水管道汇合后排到市政雨水管网。</w:t>
      </w:r>
    </w:p>
    <w:p>
      <w:pPr>
        <w:spacing w:line="360" w:lineRule="auto"/>
        <w:ind w:firstLine="480" w:firstLineChars="200"/>
        <w:rPr>
          <w:sz w:val="24"/>
        </w:rPr>
      </w:pPr>
      <w:r>
        <w:rPr>
          <w:sz w:val="24"/>
        </w:rPr>
        <w:t>项目运营期产生废水主要是在校师生生活污水、食堂废水以及实验室废水</w:t>
      </w:r>
      <w:r>
        <w:rPr>
          <w:rFonts w:hint="eastAsia"/>
          <w:sz w:val="24"/>
        </w:rPr>
        <w:t>，</w:t>
      </w:r>
      <w:r>
        <w:rPr>
          <w:sz w:val="24"/>
        </w:rPr>
        <w:t>污水产生量为</w:t>
      </w:r>
      <w:r>
        <w:rPr>
          <w:rFonts w:hint="eastAsia"/>
          <w:sz w:val="24"/>
        </w:rPr>
        <w:t>252.29</w:t>
      </w:r>
      <w:r>
        <w:rPr>
          <w:sz w:val="24"/>
        </w:rPr>
        <w:t>t/d（</w:t>
      </w:r>
      <w:r>
        <w:rPr>
          <w:rFonts w:hint="eastAsia"/>
          <w:sz w:val="24"/>
        </w:rPr>
        <w:t>50457</w:t>
      </w:r>
      <w:r>
        <w:rPr>
          <w:sz w:val="24"/>
        </w:rPr>
        <w:t>t/a）</w:t>
      </w:r>
      <w:r>
        <w:rPr>
          <w:rFonts w:hint="eastAsia"/>
          <w:sz w:val="24"/>
        </w:rPr>
        <w:t>。</w:t>
      </w:r>
    </w:p>
    <w:p>
      <w:pPr>
        <w:adjustRightInd w:val="0"/>
        <w:spacing w:line="460" w:lineRule="exact"/>
        <w:ind w:firstLine="480" w:firstLineChars="200"/>
        <w:rPr>
          <w:rFonts w:hAnsi="宋体"/>
          <w:sz w:val="24"/>
        </w:rPr>
      </w:pPr>
      <w:r>
        <w:rPr>
          <w:rFonts w:hint="eastAsia" w:hAnsi="宋体"/>
          <w:sz w:val="24"/>
        </w:rPr>
        <w:t>（1）生活污水</w:t>
      </w:r>
    </w:p>
    <w:p>
      <w:pPr>
        <w:adjustRightInd w:val="0"/>
        <w:spacing w:line="460" w:lineRule="exact"/>
        <w:ind w:firstLine="480" w:firstLineChars="200"/>
        <w:rPr>
          <w:rFonts w:hAnsi="宋体"/>
          <w:sz w:val="24"/>
        </w:rPr>
      </w:pPr>
      <w:r>
        <w:rPr>
          <w:rFonts w:hint="eastAsia" w:ascii="宋体" w:hAnsi="宋体"/>
          <w:sz w:val="24"/>
          <w:lang w:val="en-GB"/>
        </w:rPr>
        <w:t>生活污水来源于宿舍、办公楼等</w:t>
      </w:r>
      <w:r>
        <w:rPr>
          <w:rFonts w:hint="eastAsia"/>
          <w:sz w:val="24"/>
        </w:rPr>
        <w:t>，</w:t>
      </w:r>
      <w:r>
        <w:rPr>
          <w:sz w:val="24"/>
        </w:rPr>
        <w:t>产生量为</w:t>
      </w:r>
      <w:r>
        <w:rPr>
          <w:rFonts w:hint="eastAsia"/>
          <w:sz w:val="24"/>
        </w:rPr>
        <w:t>41580</w:t>
      </w:r>
      <w:r>
        <w:rPr>
          <w:sz w:val="24"/>
        </w:rPr>
        <w:t>t/a</w:t>
      </w:r>
      <w:r>
        <w:rPr>
          <w:rFonts w:hint="eastAsia" w:ascii="宋体" w:hAnsi="宋体"/>
          <w:sz w:val="24"/>
          <w:lang w:val="en-GB"/>
        </w:rPr>
        <w:t>。生活污水经化粪池处理后，达到</w:t>
      </w:r>
      <w:r>
        <w:rPr>
          <w:sz w:val="24"/>
        </w:rPr>
        <w:t>GB8978-1996《污水综合排放标准》表4中三级排放标准后</w:t>
      </w:r>
      <w:r>
        <w:rPr>
          <w:rFonts w:hint="eastAsia" w:ascii="宋体" w:hAnsi="宋体"/>
          <w:sz w:val="24"/>
          <w:lang w:val="en-GB"/>
        </w:rPr>
        <w:t>，排入</w:t>
      </w:r>
      <w:r>
        <w:rPr>
          <w:rFonts w:hint="eastAsia"/>
          <w:sz w:val="24"/>
        </w:rPr>
        <w:t>东</w:t>
      </w:r>
      <w:r>
        <w:rPr>
          <w:sz w:val="24"/>
        </w:rPr>
        <w:t>侧拟建</w:t>
      </w:r>
      <w:r>
        <w:rPr>
          <w:rFonts w:hint="eastAsia"/>
          <w:sz w:val="24"/>
        </w:rPr>
        <w:t>规划路处</w:t>
      </w:r>
      <w:r>
        <w:rPr>
          <w:rFonts w:hint="eastAsia" w:ascii="宋体" w:hAnsi="宋体"/>
          <w:sz w:val="24"/>
          <w:lang w:val="en-GB"/>
        </w:rPr>
        <w:t>市政污水管网，纳入</w:t>
      </w:r>
      <w:r>
        <w:rPr>
          <w:rFonts w:hint="eastAsia" w:hAnsi="宋体"/>
          <w:sz w:val="24"/>
        </w:rPr>
        <w:t xml:space="preserve">大学城污水处理厂进行处理，对地表水环境基本不会造成影响。 </w:t>
      </w:r>
    </w:p>
    <w:p>
      <w:pPr>
        <w:adjustRightInd w:val="0"/>
        <w:spacing w:line="460" w:lineRule="exact"/>
        <w:ind w:firstLine="480" w:firstLineChars="200"/>
        <w:rPr>
          <w:rFonts w:hAnsi="宋体"/>
          <w:sz w:val="24"/>
        </w:rPr>
      </w:pPr>
      <w:r>
        <w:rPr>
          <w:rFonts w:hint="eastAsia" w:hAnsi="宋体"/>
          <w:sz w:val="24"/>
        </w:rPr>
        <w:t>（2）食堂含油废水</w:t>
      </w:r>
    </w:p>
    <w:p>
      <w:pPr>
        <w:adjustRightInd w:val="0"/>
        <w:spacing w:line="460" w:lineRule="exact"/>
        <w:ind w:firstLine="480" w:firstLineChars="200"/>
        <w:rPr>
          <w:rFonts w:hAnsi="宋体"/>
          <w:sz w:val="24"/>
        </w:rPr>
      </w:pPr>
      <w:r>
        <w:rPr>
          <w:rFonts w:hint="eastAsia" w:hAnsi="宋体"/>
          <w:sz w:val="24"/>
        </w:rPr>
        <w:t>学校食堂产生的废水主要来源于蔬菜等原料清洗废水、烹饪废水、厨具清洗废水等，</w:t>
      </w:r>
      <w:r>
        <w:rPr>
          <w:sz w:val="24"/>
        </w:rPr>
        <w:t>产生量为</w:t>
      </w:r>
      <w:r>
        <w:rPr>
          <w:rFonts w:hint="eastAsia"/>
          <w:sz w:val="24"/>
        </w:rPr>
        <w:t>8316</w:t>
      </w:r>
      <w:r>
        <w:rPr>
          <w:sz w:val="24"/>
        </w:rPr>
        <w:t>t/a</w:t>
      </w:r>
      <w:r>
        <w:rPr>
          <w:rFonts w:hint="eastAsia" w:hAnsi="宋体"/>
          <w:sz w:val="24"/>
        </w:rPr>
        <w:t>，这部分废水含油脂较高，先经隔油池进行隔油处理，再排入经化粪池处理，达到</w:t>
      </w:r>
      <w:r>
        <w:rPr>
          <w:rFonts w:hAnsi="宋体"/>
          <w:sz w:val="24"/>
        </w:rPr>
        <w:t>GB8978-1996《污水综合排放标准》表4中三级排放标准后</w:t>
      </w:r>
      <w:r>
        <w:rPr>
          <w:rFonts w:hint="eastAsia" w:hAnsi="宋体"/>
          <w:sz w:val="24"/>
        </w:rPr>
        <w:t>，排入市政污水管网，纳入大学城污水处理厂进行处理，对地表水环境基本不会造成影响。</w:t>
      </w:r>
    </w:p>
    <w:p>
      <w:pPr>
        <w:adjustRightInd w:val="0"/>
        <w:spacing w:line="460" w:lineRule="exact"/>
        <w:ind w:firstLine="480" w:firstLineChars="200"/>
        <w:rPr>
          <w:rFonts w:hAnsi="宋体"/>
          <w:sz w:val="24"/>
        </w:rPr>
      </w:pPr>
      <w:r>
        <w:rPr>
          <w:rFonts w:hint="eastAsia" w:hAnsi="宋体"/>
          <w:sz w:val="24"/>
        </w:rPr>
        <w:t>（3）实验室废水</w:t>
      </w:r>
    </w:p>
    <w:p>
      <w:pPr>
        <w:spacing w:line="360" w:lineRule="auto"/>
        <w:ind w:firstLine="480" w:firstLineChars="200"/>
        <w:rPr>
          <w:sz w:val="24"/>
        </w:rPr>
      </w:pPr>
      <w:r>
        <w:rPr>
          <w:rFonts w:hint="eastAsia"/>
          <w:sz w:val="24"/>
        </w:rPr>
        <w:t>建设项目实验室进行的实验主要为初高中基础实验，有一些简单的无机实验、溶液的配置及仪器的使用等，课程中使用的化学药品基本上均为无机类，以酸、碱、盐类为主，涉及极少量含</w:t>
      </w:r>
      <w:r>
        <w:rPr>
          <w:rFonts w:hint="eastAsia"/>
          <w:sz w:val="24"/>
          <w:szCs w:val="24"/>
        </w:rPr>
        <w:t>Ag和Cu的药剂</w:t>
      </w:r>
      <w:r>
        <w:rPr>
          <w:rFonts w:hint="eastAsia"/>
          <w:sz w:val="24"/>
        </w:rPr>
        <w:t>，污染物质为随学生实验科目的变化，每天排放的废水中污染物质无规律性，</w:t>
      </w:r>
      <w:r>
        <w:rPr>
          <w:sz w:val="24"/>
        </w:rPr>
        <w:t>产生量为</w:t>
      </w:r>
      <w:r>
        <w:rPr>
          <w:rFonts w:hint="eastAsia"/>
          <w:sz w:val="24"/>
        </w:rPr>
        <w:t>561</w:t>
      </w:r>
      <w:r>
        <w:rPr>
          <w:sz w:val="24"/>
        </w:rPr>
        <w:t>t/a</w:t>
      </w:r>
      <w:r>
        <w:rPr>
          <w:rFonts w:hint="eastAsia"/>
          <w:sz w:val="24"/>
        </w:rPr>
        <w:t>。实验室废液及清洗废水严禁直接排入下水管道，应该集中收集，排入中和池（容积为1m</w:t>
      </w:r>
      <w:r>
        <w:rPr>
          <w:rFonts w:hint="eastAsia"/>
          <w:sz w:val="24"/>
          <w:vertAlign w:val="superscript"/>
        </w:rPr>
        <w:t>3</w:t>
      </w:r>
      <w:r>
        <w:rPr>
          <w:rFonts w:hint="eastAsia"/>
          <w:sz w:val="24"/>
        </w:rPr>
        <w:t>），经“中和+絮凝剂沉淀”处理实现pH值达标和絮凝沉淀后进入校区排水管网与处理后生活污水合并排入市政管网，纳入大学城污水处理厂进行处理，处理工艺合理可行，对地表水环境不会造成影响。含重金属废液应作为危险废物委托有相关危废处置资质的单位处理。</w:t>
      </w:r>
    </w:p>
    <w:p>
      <w:pPr>
        <w:spacing w:line="360" w:lineRule="auto"/>
        <w:ind w:firstLine="480" w:firstLineChars="200"/>
        <w:rPr>
          <w:sz w:val="24"/>
        </w:rPr>
      </w:pPr>
      <w:r>
        <w:rPr>
          <w:sz w:val="24"/>
        </w:rPr>
        <w:t>（2）项目纳入福州大学城污水处理厂可行性分析</w:t>
      </w:r>
    </w:p>
    <w:p>
      <w:pPr>
        <w:spacing w:line="360" w:lineRule="auto"/>
        <w:ind w:firstLine="480" w:firstLineChars="200"/>
        <w:rPr>
          <w:sz w:val="24"/>
        </w:rPr>
      </w:pPr>
      <w:r>
        <w:rPr>
          <w:sz w:val="24"/>
        </w:rPr>
        <w:t>①福州大学城污水处理厂接纳本项目污水规划及管网可行性分析</w:t>
      </w:r>
    </w:p>
    <w:p>
      <w:pPr>
        <w:spacing w:line="360" w:lineRule="auto"/>
        <w:ind w:firstLine="480" w:firstLineChars="200"/>
        <w:rPr>
          <w:sz w:val="24"/>
        </w:rPr>
      </w:pPr>
      <w:r>
        <w:rPr>
          <w:sz w:val="24"/>
        </w:rPr>
        <w:t>福州大学城污水处理厂位于闽侯县上街镇马保村高岐河西岸，处理规模5万吨/日，服务范围包括上街旧镇区、大学城新校区、科技园区和南屿镇区等38.4km</w:t>
      </w:r>
      <w:r>
        <w:rPr>
          <w:sz w:val="24"/>
          <w:vertAlign w:val="superscript"/>
        </w:rPr>
        <w:t>2</w:t>
      </w:r>
      <w:r>
        <w:rPr>
          <w:sz w:val="24"/>
        </w:rPr>
        <w:t>，排水体制采用分流制。</w:t>
      </w:r>
    </w:p>
    <w:p>
      <w:pPr>
        <w:spacing w:line="360" w:lineRule="auto"/>
        <w:ind w:firstLine="480" w:firstLineChars="200"/>
        <w:rPr>
          <w:sz w:val="24"/>
        </w:rPr>
      </w:pPr>
      <w:r>
        <w:rPr>
          <w:sz w:val="24"/>
        </w:rPr>
        <w:t>本项目位于闽侯县上街镇赤塘山麓，属于福州大学城污水处理厂的服务范围，项目污水经</w:t>
      </w:r>
      <w:r>
        <w:rPr>
          <w:rFonts w:hint="eastAsia"/>
          <w:sz w:val="24"/>
        </w:rPr>
        <w:t>东</w:t>
      </w:r>
      <w:r>
        <w:rPr>
          <w:sz w:val="24"/>
        </w:rPr>
        <w:t>侧市政污水管网，可纳入福州大学城污水处理厂。</w:t>
      </w:r>
    </w:p>
    <w:p>
      <w:pPr>
        <w:spacing w:line="360" w:lineRule="auto"/>
        <w:ind w:firstLine="480" w:firstLineChars="200"/>
        <w:rPr>
          <w:sz w:val="24"/>
        </w:rPr>
      </w:pPr>
      <w:r>
        <w:rPr>
          <w:sz w:val="24"/>
        </w:rPr>
        <w:t>②水量负荷分析</w:t>
      </w:r>
    </w:p>
    <w:p>
      <w:pPr>
        <w:spacing w:line="360" w:lineRule="auto"/>
        <w:ind w:firstLine="480" w:firstLineChars="200"/>
        <w:rPr>
          <w:sz w:val="24"/>
        </w:rPr>
      </w:pPr>
      <w:r>
        <w:rPr>
          <w:sz w:val="24"/>
        </w:rPr>
        <w:t>福州大学城污水处理厂目前设计处理规模为5万t/d，于2008年12月投产，出水满足GB18918-2002《城镇污水处理厂污染物排放标准》一级</w:t>
      </w:r>
      <w:r>
        <w:rPr>
          <w:rFonts w:hint="eastAsia"/>
          <w:sz w:val="24"/>
        </w:rPr>
        <w:t>A</w:t>
      </w:r>
      <w:r>
        <w:rPr>
          <w:sz w:val="24"/>
        </w:rPr>
        <w:t>排放标准。</w:t>
      </w:r>
    </w:p>
    <w:p>
      <w:pPr>
        <w:spacing w:line="360" w:lineRule="auto"/>
        <w:ind w:firstLine="480" w:firstLineChars="200"/>
        <w:rPr>
          <w:sz w:val="24"/>
        </w:rPr>
      </w:pPr>
      <w:r>
        <w:rPr>
          <w:sz w:val="24"/>
        </w:rPr>
        <w:t>福州大学城污水处理厂目前实际处理量约4万t/d，故有剩余处理规模约1万t/d。本项目建成后增加污水产生量为</w:t>
      </w:r>
      <w:r>
        <w:rPr>
          <w:rFonts w:hint="eastAsia"/>
          <w:sz w:val="24"/>
        </w:rPr>
        <w:t>146.19</w:t>
      </w:r>
      <w:r>
        <w:rPr>
          <w:sz w:val="24"/>
        </w:rPr>
        <w:t>t/d（</w:t>
      </w:r>
      <w:r>
        <w:rPr>
          <w:rFonts w:hint="eastAsia"/>
          <w:sz w:val="24"/>
        </w:rPr>
        <w:t>29238</w:t>
      </w:r>
      <w:r>
        <w:rPr>
          <w:sz w:val="24"/>
        </w:rPr>
        <w:t>t/a），在福州大学城污水处理厂剩余处理规模的处理负荷承受范围之内，不会造成明显的负荷冲击。</w:t>
      </w:r>
    </w:p>
    <w:p>
      <w:pPr>
        <w:spacing w:line="360" w:lineRule="auto"/>
        <w:ind w:firstLine="480" w:firstLineChars="200"/>
        <w:rPr>
          <w:sz w:val="24"/>
        </w:rPr>
      </w:pPr>
      <w:r>
        <w:rPr>
          <w:sz w:val="24"/>
        </w:rPr>
        <w:t>③水质分析</w:t>
      </w:r>
    </w:p>
    <w:p>
      <w:pPr>
        <w:spacing w:line="360" w:lineRule="auto"/>
        <w:ind w:firstLine="480" w:firstLineChars="200"/>
        <w:rPr>
          <w:sz w:val="24"/>
        </w:rPr>
      </w:pPr>
      <w:r>
        <w:rPr>
          <w:sz w:val="24"/>
        </w:rPr>
        <w:t>项目废水主要是在校师生生活污水、食堂废水以及实验室废水等</w:t>
      </w:r>
      <w:r>
        <w:rPr>
          <w:rFonts w:hint="eastAsia"/>
          <w:sz w:val="24"/>
        </w:rPr>
        <w:t>。</w:t>
      </w:r>
      <w:r>
        <w:rPr>
          <w:sz w:val="24"/>
        </w:rPr>
        <w:t>针对酸碱类实验废水，本项目设置中和池，主要是调节实验废水的酸碱度，将其 pH 调节为 6~9 左右后；针对危险</w:t>
      </w:r>
      <w:r>
        <w:rPr>
          <w:rFonts w:hint="eastAsia"/>
          <w:sz w:val="24"/>
        </w:rPr>
        <w:t>实验室废液</w:t>
      </w:r>
      <w:r>
        <w:rPr>
          <w:sz w:val="24"/>
        </w:rPr>
        <w:t>，要求倒入</w:t>
      </w:r>
      <w:r>
        <w:rPr>
          <w:rFonts w:hint="eastAsia"/>
          <w:sz w:val="24"/>
        </w:rPr>
        <w:t>危废</w:t>
      </w:r>
      <w:r>
        <w:rPr>
          <w:sz w:val="24"/>
        </w:rPr>
        <w:t>废液桶，</w:t>
      </w:r>
      <w:r>
        <w:rPr>
          <w:rFonts w:hint="eastAsia"/>
          <w:sz w:val="24"/>
        </w:rPr>
        <w:t>暂存于危废间中，</w:t>
      </w:r>
      <w:r>
        <w:rPr>
          <w:sz w:val="24"/>
        </w:rPr>
        <w:t>交由</w:t>
      </w:r>
      <w:r>
        <w:rPr>
          <w:rFonts w:hint="eastAsia"/>
          <w:sz w:val="24"/>
        </w:rPr>
        <w:t>有处理危废资质的单位</w:t>
      </w:r>
      <w:r>
        <w:rPr>
          <w:sz w:val="24"/>
        </w:rPr>
        <w:t>统一处理。项目生活污水所含的污染因子浓度低，污染物成分简单，不含有腐蚀成分，污水的可生化性高，生活污水经过化粪池、隔油池处理后，出水水质可满足《污水综合排放标准》（G8978-1996）表4三级标准要求和《污水排入城镇下水道水质标准》（CJ343-2015）的接管要求，且不含有毒污染物成分，项目污水排放不会对福州</w:t>
      </w:r>
      <w:r>
        <w:rPr>
          <w:rFonts w:hint="eastAsia"/>
          <w:sz w:val="24"/>
        </w:rPr>
        <w:t>大学城</w:t>
      </w:r>
      <w:r>
        <w:rPr>
          <w:sz w:val="24"/>
        </w:rPr>
        <w:t>污水处理厂负荷和处理工艺产生影响，也不会对城市污水管道产生腐蚀影响。</w:t>
      </w:r>
    </w:p>
    <w:p>
      <w:pPr>
        <w:spacing w:line="360" w:lineRule="auto"/>
        <w:ind w:firstLine="480" w:firstLineChars="200"/>
        <w:rPr>
          <w:sz w:val="24"/>
        </w:rPr>
      </w:pPr>
      <w:r>
        <w:rPr>
          <w:sz w:val="24"/>
        </w:rPr>
        <w:t>污染物成分简单，不含腐蚀成分、不含有毒污染物成分，经</w:t>
      </w:r>
      <w:r>
        <w:rPr>
          <w:rFonts w:hint="eastAsia"/>
          <w:sz w:val="24"/>
        </w:rPr>
        <w:t>中和池、</w:t>
      </w:r>
      <w:r>
        <w:rPr>
          <w:sz w:val="24"/>
        </w:rPr>
        <w:t>隔油池</w:t>
      </w:r>
      <w:r>
        <w:rPr>
          <w:rFonts w:hint="eastAsia"/>
          <w:sz w:val="24"/>
        </w:rPr>
        <w:t>和</w:t>
      </w:r>
      <w:r>
        <w:rPr>
          <w:sz w:val="24"/>
        </w:rPr>
        <w:t>化粪池等预处理后，可满足福州大学城污水处理厂进水水质要求。</w:t>
      </w:r>
    </w:p>
    <w:p>
      <w:pPr>
        <w:spacing w:line="520" w:lineRule="exact"/>
        <w:ind w:firstLine="480" w:firstLineChars="200"/>
        <w:rPr>
          <w:sz w:val="24"/>
        </w:rPr>
      </w:pPr>
      <w:r>
        <w:rPr>
          <w:sz w:val="24"/>
        </w:rPr>
        <w:t>综上所述，项目建成并投入使用后，项目产生的污水可接入市政污水管网并最终纳入福州大学城污水处理厂处理，其排水的水质符合福州大学城污水处理厂处理的进水水质要求，并能满足处理工艺要求，对污水厂处理负荷影响不大。故项目污水排入</w:t>
      </w:r>
      <w:r>
        <w:rPr>
          <w:rFonts w:hint="eastAsia"/>
          <w:sz w:val="24"/>
        </w:rPr>
        <w:t>洋里</w:t>
      </w:r>
      <w:r>
        <w:rPr>
          <w:sz w:val="24"/>
        </w:rPr>
        <w:t>污水处理厂是可行的</w:t>
      </w:r>
      <w:r>
        <w:rPr>
          <w:rFonts w:hint="eastAsia"/>
          <w:sz w:val="24"/>
        </w:rPr>
        <w:t>。</w:t>
      </w:r>
    </w:p>
    <w:p>
      <w:pPr>
        <w:spacing w:line="360" w:lineRule="auto"/>
        <w:outlineLvl w:val="2"/>
        <w:rPr>
          <w:b/>
          <w:sz w:val="24"/>
          <w:szCs w:val="24"/>
        </w:rPr>
      </w:pPr>
      <w:bookmarkStart w:id="193" w:name="_Toc472321517"/>
      <w:bookmarkStart w:id="194" w:name="_Toc486070565"/>
      <w:r>
        <w:rPr>
          <w:b/>
          <w:sz w:val="24"/>
          <w:szCs w:val="24"/>
        </w:rPr>
        <w:t>4.2.2大气环境影响分析</w:t>
      </w:r>
      <w:bookmarkEnd w:id="193"/>
      <w:bookmarkEnd w:id="194"/>
    </w:p>
    <w:p>
      <w:pPr>
        <w:spacing w:line="360" w:lineRule="auto"/>
        <w:ind w:firstLine="480" w:firstLineChars="200"/>
        <w:rPr>
          <w:sz w:val="24"/>
        </w:rPr>
      </w:pPr>
      <w:r>
        <w:rPr>
          <w:sz w:val="24"/>
        </w:rPr>
        <w:t>项目建成投入使用后，产生的废气主要为食堂油烟废气、</w:t>
      </w:r>
      <w:r>
        <w:rPr>
          <w:rFonts w:hint="eastAsia"/>
          <w:sz w:val="24"/>
        </w:rPr>
        <w:t>实验废气、</w:t>
      </w:r>
      <w:r>
        <w:rPr>
          <w:sz w:val="24"/>
        </w:rPr>
        <w:t>油烟废气、备用柴油发电机废气以及汽车尾气等。</w:t>
      </w:r>
    </w:p>
    <w:p>
      <w:pPr>
        <w:autoSpaceDE w:val="0"/>
        <w:autoSpaceDN w:val="0"/>
        <w:spacing w:line="520" w:lineRule="exact"/>
        <w:ind w:firstLine="482"/>
        <w:jc w:val="left"/>
        <w:rPr>
          <w:sz w:val="24"/>
        </w:rPr>
      </w:pPr>
      <w:r>
        <w:rPr>
          <w:sz w:val="24"/>
        </w:rPr>
        <w:t>（</w:t>
      </w:r>
      <w:r>
        <w:rPr>
          <w:rFonts w:hint="eastAsia"/>
          <w:sz w:val="24"/>
        </w:rPr>
        <w:t>1</w:t>
      </w:r>
      <w:r>
        <w:rPr>
          <w:sz w:val="24"/>
        </w:rPr>
        <w:t>）</w:t>
      </w:r>
      <w:r>
        <w:rPr>
          <w:rFonts w:hint="eastAsia"/>
          <w:sz w:val="24"/>
        </w:rPr>
        <w:t>实验室废气</w:t>
      </w:r>
    </w:p>
    <w:p>
      <w:pPr>
        <w:spacing w:line="460" w:lineRule="exact"/>
        <w:ind w:right="-3" w:firstLine="470" w:firstLineChars="196"/>
        <w:jc w:val="left"/>
        <w:rPr>
          <w:sz w:val="24"/>
        </w:rPr>
      </w:pPr>
      <w:r>
        <w:rPr>
          <w:rFonts w:hint="eastAsia"/>
          <w:sz w:val="24"/>
        </w:rPr>
        <w:t>建设项目属于初、高中年级，设有化学、物理、生物实验室，物理实验室只进行简单的电路连接、模型制作物理现象方面的验证实验，基本上不会产生废气；生物实验也均为观察、提取及检测实验，不会产生废气。</w:t>
      </w:r>
    </w:p>
    <w:p>
      <w:pPr>
        <w:spacing w:line="460" w:lineRule="exact"/>
        <w:ind w:right="-3" w:firstLine="470" w:firstLineChars="196"/>
        <w:jc w:val="left"/>
        <w:rPr>
          <w:color w:val="FF0000"/>
          <w:sz w:val="24"/>
        </w:rPr>
      </w:pPr>
      <w:r>
        <w:rPr>
          <w:rFonts w:hint="eastAsia"/>
          <w:sz w:val="24"/>
        </w:rPr>
        <w:t>化学实验</w:t>
      </w:r>
      <w:r>
        <w:rPr>
          <w:rFonts w:hint="eastAsia"/>
          <w:sz w:val="24"/>
          <w:szCs w:val="24"/>
        </w:rPr>
        <w:t>有化合反应、分解反应、置换反应、复分解反应等实验，主要用到的原料有氯化钠、硫酸铜、氢氧化钠、氯化铵、氢氧化钙、盐酸、乙醇、硫酸、硝酸等</w:t>
      </w:r>
      <w:r>
        <w:rPr>
          <w:rFonts w:hint="eastAsia"/>
          <w:sz w:val="24"/>
        </w:rPr>
        <w:t xml:space="preserve">。化学实验加热过程中，会产生少量的刺激性气体和白烟，如加热燃烧实验中，镁条燃烧会产生白色的烟、硫在氧气中燃烧会产生明亮的蓝紫色火焰、放出热量，生成一种刺激性的气体；氯化钠固体与浓硫酸混合加热，有白雾和刺激性气体产生；浓盐酸也会产生挥发性刺激气体。因此，本项目化学实验过程中将会产生白烟、雾、和刺激性气体。由于每次实验所需的化学药品量非常少，产生的白烟、雾，和刺激性气的量也较少。且要求在化学实验室内设置通风橱，化学实验产生的废气经通风橱集中于一根专用的竖井于屋顶排放，同时，加强化学实验室内的排风设置管理，排风机安装在室内的窗户上，并加设消声装置。因此，采取以上环保措施后，项目化学实验产生的废气对周围环境产生的影响较小。 </w:t>
      </w:r>
    </w:p>
    <w:p>
      <w:pPr>
        <w:spacing w:line="520" w:lineRule="exact"/>
        <w:ind w:firstLine="480" w:firstLineChars="200"/>
        <w:rPr>
          <w:sz w:val="24"/>
        </w:rPr>
      </w:pPr>
      <w:r>
        <w:rPr>
          <w:sz w:val="24"/>
        </w:rPr>
        <w:t>（</w:t>
      </w:r>
      <w:r>
        <w:rPr>
          <w:rFonts w:hint="eastAsia"/>
          <w:sz w:val="24"/>
        </w:rPr>
        <w:t>2</w:t>
      </w:r>
      <w:r>
        <w:rPr>
          <w:sz w:val="24"/>
        </w:rPr>
        <w:t>）油烟废气</w:t>
      </w:r>
    </w:p>
    <w:p>
      <w:pPr>
        <w:spacing w:line="520" w:lineRule="exact"/>
        <w:ind w:firstLine="480" w:firstLineChars="200"/>
        <w:textAlignment w:val="center"/>
        <w:rPr>
          <w:sz w:val="24"/>
        </w:rPr>
      </w:pPr>
      <w:r>
        <w:rPr>
          <w:snapToGrid w:val="0"/>
          <w:kern w:val="0"/>
          <w:sz w:val="24"/>
          <w:szCs w:val="28"/>
        </w:rPr>
        <w:t>本项目</w:t>
      </w:r>
      <w:r>
        <w:rPr>
          <w:rFonts w:hint="eastAsia"/>
          <w:sz w:val="24"/>
        </w:rPr>
        <w:t>食堂设有14个基准灶头，油烟经油烟净化设施处理后通过专用油烟管道至屋顶排放，油烟废气可达到GB18483-2001《饮食业油烟排放标准（试行）》中“大型规模”的要求（即油烟最高允许排放浓度为2mg/m</w:t>
      </w:r>
      <w:r>
        <w:rPr>
          <w:rFonts w:hint="eastAsia"/>
          <w:sz w:val="24"/>
          <w:vertAlign w:val="superscript"/>
        </w:rPr>
        <w:t>3</w:t>
      </w:r>
      <w:r>
        <w:rPr>
          <w:rFonts w:hint="eastAsia"/>
          <w:sz w:val="24"/>
        </w:rPr>
        <w:t>、净化设施最低去除效率为85%）。净化达标后排放的油烟废气经空气稀释扩散后，对周围大气环境影响较小。</w:t>
      </w:r>
    </w:p>
    <w:p>
      <w:pPr>
        <w:spacing w:line="360" w:lineRule="auto"/>
        <w:ind w:firstLine="480" w:firstLineChars="200"/>
        <w:rPr>
          <w:sz w:val="24"/>
        </w:rPr>
      </w:pPr>
      <w:r>
        <w:rPr>
          <w:sz w:val="24"/>
        </w:rPr>
        <w:t>（3）汽车尾气</w:t>
      </w:r>
    </w:p>
    <w:p>
      <w:pPr>
        <w:spacing w:line="360" w:lineRule="auto"/>
        <w:ind w:firstLine="480" w:firstLineChars="200"/>
        <w:rPr>
          <w:sz w:val="24"/>
        </w:rPr>
      </w:pPr>
      <w:r>
        <w:rPr>
          <w:sz w:val="24"/>
        </w:rPr>
        <w:t>本项目</w:t>
      </w:r>
      <w:r>
        <w:rPr>
          <w:rFonts w:hint="eastAsia"/>
          <w:sz w:val="24"/>
        </w:rPr>
        <w:t>共</w:t>
      </w:r>
      <w:r>
        <w:rPr>
          <w:sz w:val="24"/>
        </w:rPr>
        <w:t>设有</w:t>
      </w:r>
      <w:r>
        <w:rPr>
          <w:rFonts w:hint="eastAsia"/>
          <w:sz w:val="24"/>
        </w:rPr>
        <w:t>144</w:t>
      </w:r>
      <w:r>
        <w:rPr>
          <w:sz w:val="24"/>
        </w:rPr>
        <w:t>个机动车车位</w:t>
      </w:r>
      <w:r>
        <w:rPr>
          <w:rFonts w:hint="eastAsia"/>
          <w:sz w:val="24"/>
        </w:rPr>
        <w:t>，</w:t>
      </w:r>
      <w:r>
        <w:rPr>
          <w:sz w:val="24"/>
        </w:rPr>
        <w:t>项目汽车尾气主要为</w:t>
      </w:r>
      <w:r>
        <w:rPr>
          <w:rFonts w:hint="eastAsia"/>
          <w:sz w:val="24"/>
        </w:rPr>
        <w:t>地面及</w:t>
      </w:r>
      <w:r>
        <w:rPr>
          <w:sz w:val="24"/>
        </w:rPr>
        <w:t>地下车库车辆排放的废气，主要污染物为CO、HC以及NOx等。</w:t>
      </w:r>
      <w:r>
        <w:rPr>
          <w:rFonts w:hint="eastAsia" w:ascii="宋体" w:hAnsi="宋体" w:cs="宋体"/>
          <w:sz w:val="24"/>
        </w:rPr>
        <w:t>地面停车汽车尾气排放量较少，同时经绿化吸收和扩散后，不会产生明显影响。</w:t>
      </w:r>
      <w:r>
        <w:rPr>
          <w:sz w:val="24"/>
        </w:rPr>
        <w:t>项目地下停车采用进入区内直接进地下车库的方式，地下室车库按防火风区设置机械排烟和机械补风系统，地下车库通风设施运行正常，可保证地下层空气质量，对外界环境空气的影响也较小。</w:t>
      </w:r>
    </w:p>
    <w:p>
      <w:pPr>
        <w:spacing w:line="360" w:lineRule="auto"/>
        <w:ind w:firstLine="480" w:firstLineChars="200"/>
        <w:rPr>
          <w:sz w:val="24"/>
        </w:rPr>
      </w:pPr>
      <w:r>
        <w:rPr>
          <w:sz w:val="24"/>
        </w:rPr>
        <w:t>另外地下层停车库的排风口应朝向绿化带，高度建议要在地面2.5m以上，高于人群的呼吸带，以减少对居民的身体健康影响，这样在正常运作下可以保证地下层空气新鲜，不会对人体健康造成影响。</w:t>
      </w:r>
    </w:p>
    <w:p>
      <w:pPr>
        <w:spacing w:line="360" w:lineRule="auto"/>
        <w:ind w:firstLine="480" w:firstLineChars="200"/>
        <w:rPr>
          <w:sz w:val="24"/>
        </w:rPr>
      </w:pPr>
      <w:r>
        <w:rPr>
          <w:sz w:val="24"/>
        </w:rPr>
        <w:t>（4）备用柴油发电机废气</w:t>
      </w:r>
    </w:p>
    <w:p>
      <w:pPr>
        <w:spacing w:line="360" w:lineRule="auto"/>
        <w:ind w:firstLine="480" w:firstLineChars="200"/>
        <w:rPr>
          <w:sz w:val="24"/>
        </w:rPr>
      </w:pPr>
      <w:r>
        <w:rPr>
          <w:sz w:val="24"/>
        </w:rPr>
        <w:t>项目所在区域供电相对充足，柴油发电机仅在停电时使用，柴油发电机燃油废气主要污染物为SO</w:t>
      </w:r>
      <w:r>
        <w:rPr>
          <w:sz w:val="24"/>
          <w:vertAlign w:val="subscript"/>
        </w:rPr>
        <w:t>2</w:t>
      </w:r>
      <w:r>
        <w:rPr>
          <w:sz w:val="24"/>
        </w:rPr>
        <w:t>、NO</w:t>
      </w:r>
      <w:r>
        <w:rPr>
          <w:sz w:val="24"/>
          <w:vertAlign w:val="subscript"/>
        </w:rPr>
        <w:t>X</w:t>
      </w:r>
      <w:r>
        <w:rPr>
          <w:sz w:val="24"/>
        </w:rPr>
        <w:t>等。由于备用发电机只有在停电应急的情况下才会启用，使用时间短、使用概率低，对当地空气环境的二氧化硫和二氧化氮贡献值很小，排放的废气中大气污染物浓度低于GB16297-1996《大气污染物综合排放标准》表2中二级排放标准限值，且烟气经过消声器处理后由排烟管道引至楼顶排放（排放高度不低于15m），对空气环境影响很小。</w:t>
      </w:r>
    </w:p>
    <w:p>
      <w:pPr>
        <w:spacing w:line="360" w:lineRule="auto"/>
        <w:outlineLvl w:val="2"/>
        <w:rPr>
          <w:b/>
          <w:sz w:val="24"/>
          <w:szCs w:val="24"/>
        </w:rPr>
      </w:pPr>
      <w:bookmarkStart w:id="195" w:name="_Toc472321518"/>
      <w:bookmarkStart w:id="196" w:name="_Toc486070566"/>
      <w:r>
        <w:rPr>
          <w:b/>
          <w:sz w:val="24"/>
          <w:szCs w:val="24"/>
        </w:rPr>
        <w:t>4.2.3声环境影响分析</w:t>
      </w:r>
      <w:bookmarkEnd w:id="195"/>
      <w:bookmarkEnd w:id="196"/>
    </w:p>
    <w:p>
      <w:pPr>
        <w:spacing w:line="360" w:lineRule="auto"/>
        <w:ind w:firstLine="480" w:firstLineChars="200"/>
        <w:rPr>
          <w:sz w:val="24"/>
        </w:rPr>
      </w:pPr>
      <w:r>
        <w:rPr>
          <w:sz w:val="24"/>
        </w:rPr>
        <w:t>根据工程分析，项目噪声源主要来自在校师生日常上课、生活等产生的社会噪声，机械设备运行时产生的噪声及学校广播喇叭等噪声。</w:t>
      </w:r>
    </w:p>
    <w:p>
      <w:pPr>
        <w:spacing w:line="360" w:lineRule="auto"/>
        <w:ind w:firstLine="480" w:firstLineChars="200"/>
        <w:rPr>
          <w:sz w:val="24"/>
        </w:rPr>
      </w:pPr>
      <w:r>
        <w:rPr>
          <w:sz w:val="24"/>
        </w:rPr>
        <w:t>（1）社会噪声</w:t>
      </w:r>
    </w:p>
    <w:p>
      <w:pPr>
        <w:spacing w:line="360" w:lineRule="auto"/>
        <w:ind w:firstLine="480" w:firstLineChars="200"/>
        <w:rPr>
          <w:sz w:val="24"/>
        </w:rPr>
      </w:pPr>
      <w:r>
        <w:rPr>
          <w:sz w:val="24"/>
        </w:rPr>
        <w:t>在校师生日常上课、生活等噪声声级范围大多</w:t>
      </w:r>
      <w:r>
        <w:rPr>
          <w:rFonts w:hint="eastAsia"/>
          <w:sz w:val="24"/>
        </w:rPr>
        <w:t>不超过</w:t>
      </w:r>
      <w:r>
        <w:rPr>
          <w:sz w:val="24"/>
        </w:rPr>
        <w:t>60dB(A)，通过墙壁等隔音基本上可消除其影响，其对周边声环境影响较小。</w:t>
      </w:r>
    </w:p>
    <w:p>
      <w:pPr>
        <w:spacing w:line="360" w:lineRule="auto"/>
        <w:ind w:firstLine="480" w:firstLineChars="200"/>
        <w:rPr>
          <w:sz w:val="24"/>
        </w:rPr>
      </w:pPr>
      <w:r>
        <w:rPr>
          <w:sz w:val="24"/>
        </w:rPr>
        <w:t>（2）机械设备噪声</w:t>
      </w:r>
    </w:p>
    <w:p>
      <w:pPr>
        <w:spacing w:line="360" w:lineRule="auto"/>
        <w:ind w:firstLine="480" w:firstLineChars="200"/>
        <w:rPr>
          <w:sz w:val="24"/>
        </w:rPr>
      </w:pPr>
      <w:r>
        <w:rPr>
          <w:sz w:val="24"/>
        </w:rPr>
        <w:t>项目机械设备主要为水泵、柴油发电机、变压器等。设备噪声影响及治理情况详见下表：</w:t>
      </w:r>
    </w:p>
    <w:p>
      <w:pPr>
        <w:spacing w:line="360" w:lineRule="auto"/>
        <w:jc w:val="center"/>
        <w:rPr>
          <w:b/>
          <w:sz w:val="24"/>
        </w:rPr>
      </w:pPr>
      <w:r>
        <w:rPr>
          <w:b/>
          <w:sz w:val="24"/>
        </w:rPr>
        <w:t>表4.2-</w:t>
      </w:r>
      <w:r>
        <w:rPr>
          <w:rFonts w:hint="eastAsia"/>
          <w:b/>
          <w:sz w:val="24"/>
        </w:rPr>
        <w:t>1</w:t>
      </w:r>
      <w:r>
        <w:rPr>
          <w:b/>
          <w:sz w:val="24"/>
        </w:rPr>
        <w:t xml:space="preserve"> 设备噪声影响及治理情况</w:t>
      </w:r>
    </w:p>
    <w:tbl>
      <w:tblPr>
        <w:tblStyle w:val="24"/>
        <w:tblW w:w="9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971"/>
        <w:gridCol w:w="1155"/>
        <w:gridCol w:w="1843"/>
        <w:gridCol w:w="992"/>
        <w:gridCol w:w="3261"/>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jc w:val="center"/>
        </w:trPr>
        <w:tc>
          <w:tcPr>
            <w:tcW w:w="660" w:type="dxa"/>
            <w:vAlign w:val="center"/>
          </w:tcPr>
          <w:p>
            <w:pPr>
              <w:pStyle w:val="32"/>
              <w:ind w:firstLine="0" w:firstLineChars="0"/>
              <w:jc w:val="center"/>
              <w:rPr>
                <w:sz w:val="21"/>
                <w:szCs w:val="21"/>
              </w:rPr>
            </w:pPr>
            <w:r>
              <w:rPr>
                <w:sz w:val="21"/>
                <w:szCs w:val="21"/>
              </w:rPr>
              <w:t>设备名称</w:t>
            </w:r>
          </w:p>
        </w:tc>
        <w:tc>
          <w:tcPr>
            <w:tcW w:w="971" w:type="dxa"/>
            <w:vAlign w:val="center"/>
          </w:tcPr>
          <w:p>
            <w:pPr>
              <w:pStyle w:val="32"/>
              <w:ind w:firstLine="0" w:firstLineChars="0"/>
              <w:jc w:val="center"/>
              <w:rPr>
                <w:color w:val="000000"/>
                <w:sz w:val="21"/>
                <w:szCs w:val="21"/>
              </w:rPr>
            </w:pPr>
            <w:r>
              <w:rPr>
                <w:color w:val="000000"/>
                <w:sz w:val="21"/>
                <w:szCs w:val="21"/>
              </w:rPr>
              <w:t>数量</w:t>
            </w:r>
          </w:p>
        </w:tc>
        <w:tc>
          <w:tcPr>
            <w:tcW w:w="1155" w:type="dxa"/>
            <w:vAlign w:val="center"/>
          </w:tcPr>
          <w:p>
            <w:pPr>
              <w:pStyle w:val="32"/>
              <w:ind w:firstLine="0" w:firstLineChars="0"/>
              <w:jc w:val="center"/>
              <w:rPr>
                <w:color w:val="000000"/>
                <w:sz w:val="21"/>
                <w:szCs w:val="21"/>
              </w:rPr>
            </w:pPr>
            <w:r>
              <w:rPr>
                <w:color w:val="000000"/>
                <w:sz w:val="21"/>
                <w:szCs w:val="21"/>
              </w:rPr>
              <w:t>位置</w:t>
            </w:r>
          </w:p>
        </w:tc>
        <w:tc>
          <w:tcPr>
            <w:tcW w:w="1843" w:type="dxa"/>
            <w:vAlign w:val="center"/>
          </w:tcPr>
          <w:p>
            <w:pPr>
              <w:pStyle w:val="32"/>
              <w:ind w:firstLine="0" w:firstLineChars="0"/>
              <w:jc w:val="center"/>
              <w:rPr>
                <w:color w:val="000000"/>
                <w:sz w:val="21"/>
                <w:szCs w:val="21"/>
              </w:rPr>
            </w:pPr>
            <w:r>
              <w:rPr>
                <w:color w:val="000000"/>
                <w:sz w:val="21"/>
                <w:szCs w:val="21"/>
              </w:rPr>
              <w:t>拟采用治理设备</w:t>
            </w:r>
          </w:p>
        </w:tc>
        <w:tc>
          <w:tcPr>
            <w:tcW w:w="992" w:type="dxa"/>
            <w:vAlign w:val="center"/>
          </w:tcPr>
          <w:p>
            <w:pPr>
              <w:pStyle w:val="32"/>
              <w:ind w:firstLine="0" w:firstLineChars="0"/>
              <w:jc w:val="center"/>
              <w:rPr>
                <w:color w:val="000000"/>
                <w:sz w:val="21"/>
                <w:szCs w:val="21"/>
              </w:rPr>
            </w:pPr>
            <w:r>
              <w:rPr>
                <w:color w:val="000000"/>
                <w:sz w:val="21"/>
                <w:szCs w:val="21"/>
              </w:rPr>
              <w:t>噪声值dB（A）</w:t>
            </w:r>
          </w:p>
        </w:tc>
        <w:tc>
          <w:tcPr>
            <w:tcW w:w="3261" w:type="dxa"/>
            <w:vAlign w:val="center"/>
          </w:tcPr>
          <w:p>
            <w:pPr>
              <w:pStyle w:val="32"/>
              <w:ind w:firstLine="0" w:firstLineChars="0"/>
              <w:jc w:val="center"/>
              <w:rPr>
                <w:color w:val="000000"/>
                <w:sz w:val="21"/>
                <w:szCs w:val="21"/>
              </w:rPr>
            </w:pPr>
            <w:r>
              <w:rPr>
                <w:color w:val="000000"/>
                <w:sz w:val="21"/>
                <w:szCs w:val="21"/>
              </w:rPr>
              <w:t>治理措施</w:t>
            </w:r>
          </w:p>
        </w:tc>
        <w:tc>
          <w:tcPr>
            <w:tcW w:w="1112" w:type="dxa"/>
            <w:vAlign w:val="center"/>
          </w:tcPr>
          <w:p>
            <w:pPr>
              <w:pStyle w:val="32"/>
              <w:ind w:firstLine="0" w:firstLineChars="0"/>
              <w:jc w:val="center"/>
              <w:rPr>
                <w:color w:val="000000"/>
                <w:sz w:val="21"/>
                <w:szCs w:val="21"/>
              </w:rPr>
            </w:pPr>
            <w:r>
              <w:rPr>
                <w:color w:val="000000"/>
                <w:sz w:val="21"/>
                <w:szCs w:val="21"/>
              </w:rPr>
              <w:t>降噪程度dB（A）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exact"/>
          <w:jc w:val="center"/>
        </w:trPr>
        <w:tc>
          <w:tcPr>
            <w:tcW w:w="660" w:type="dxa"/>
            <w:vAlign w:val="center"/>
          </w:tcPr>
          <w:p>
            <w:pPr>
              <w:jc w:val="center"/>
              <w:rPr>
                <w:szCs w:val="21"/>
              </w:rPr>
            </w:pPr>
            <w:r>
              <w:rPr>
                <w:szCs w:val="21"/>
              </w:rPr>
              <w:t>水泵</w:t>
            </w:r>
          </w:p>
        </w:tc>
        <w:tc>
          <w:tcPr>
            <w:tcW w:w="971" w:type="dxa"/>
            <w:vAlign w:val="center"/>
          </w:tcPr>
          <w:p>
            <w:pPr>
              <w:jc w:val="center"/>
              <w:rPr>
                <w:color w:val="000000"/>
                <w:szCs w:val="21"/>
              </w:rPr>
            </w:pPr>
            <w:r>
              <w:rPr>
                <w:color w:val="000000"/>
                <w:szCs w:val="21"/>
              </w:rPr>
              <w:t>2台</w:t>
            </w:r>
          </w:p>
        </w:tc>
        <w:tc>
          <w:tcPr>
            <w:tcW w:w="1155" w:type="dxa"/>
            <w:vAlign w:val="center"/>
          </w:tcPr>
          <w:p>
            <w:pPr>
              <w:jc w:val="center"/>
              <w:rPr>
                <w:color w:val="000000"/>
                <w:szCs w:val="21"/>
              </w:rPr>
            </w:pPr>
            <w:r>
              <w:rPr>
                <w:color w:val="000000"/>
                <w:szCs w:val="21"/>
              </w:rPr>
              <w:t>地下</w:t>
            </w:r>
            <w:r>
              <w:rPr>
                <w:rFonts w:hint="eastAsia"/>
                <w:color w:val="000000"/>
                <w:szCs w:val="21"/>
              </w:rPr>
              <w:t>室北侧</w:t>
            </w:r>
          </w:p>
        </w:tc>
        <w:tc>
          <w:tcPr>
            <w:tcW w:w="1843" w:type="dxa"/>
            <w:vAlign w:val="center"/>
          </w:tcPr>
          <w:p>
            <w:pPr>
              <w:jc w:val="center"/>
              <w:rPr>
                <w:color w:val="000000"/>
                <w:szCs w:val="21"/>
              </w:rPr>
            </w:pPr>
            <w:r>
              <w:rPr>
                <w:color w:val="000000"/>
                <w:szCs w:val="21"/>
              </w:rPr>
              <w:t>专用机房</w:t>
            </w:r>
          </w:p>
        </w:tc>
        <w:tc>
          <w:tcPr>
            <w:tcW w:w="992" w:type="dxa"/>
            <w:vAlign w:val="center"/>
          </w:tcPr>
          <w:p>
            <w:pPr>
              <w:jc w:val="center"/>
              <w:rPr>
                <w:color w:val="000000"/>
                <w:szCs w:val="21"/>
              </w:rPr>
            </w:pPr>
            <w:r>
              <w:rPr>
                <w:color w:val="000000"/>
                <w:szCs w:val="21"/>
              </w:rPr>
              <w:t>80-85</w:t>
            </w:r>
          </w:p>
        </w:tc>
        <w:tc>
          <w:tcPr>
            <w:tcW w:w="3261" w:type="dxa"/>
            <w:vAlign w:val="center"/>
          </w:tcPr>
          <w:p>
            <w:pPr>
              <w:jc w:val="center"/>
              <w:rPr>
                <w:color w:val="000000"/>
                <w:szCs w:val="21"/>
              </w:rPr>
            </w:pPr>
            <w:r>
              <w:rPr>
                <w:color w:val="000000"/>
                <w:szCs w:val="21"/>
              </w:rPr>
              <w:t>低噪声立体水泵，底座设隔震垫，进出水管橡胶接头，止水阀门加装消声器</w:t>
            </w:r>
          </w:p>
        </w:tc>
        <w:tc>
          <w:tcPr>
            <w:tcW w:w="1112" w:type="dxa"/>
            <w:vAlign w:val="center"/>
          </w:tcPr>
          <w:p>
            <w:pPr>
              <w:jc w:val="center"/>
              <w:rPr>
                <w:color w:val="000000"/>
                <w:szCs w:val="21"/>
              </w:rPr>
            </w:pPr>
            <w:r>
              <w:rPr>
                <w:color w:val="000000"/>
                <w:szCs w:val="21"/>
              </w:rPr>
              <w:t>35-40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660" w:type="dxa"/>
            <w:vAlign w:val="center"/>
          </w:tcPr>
          <w:p>
            <w:pPr>
              <w:pStyle w:val="32"/>
              <w:ind w:firstLine="0" w:firstLineChars="0"/>
              <w:jc w:val="center"/>
              <w:rPr>
                <w:sz w:val="21"/>
                <w:szCs w:val="21"/>
              </w:rPr>
            </w:pPr>
            <w:r>
              <w:rPr>
                <w:sz w:val="21"/>
                <w:szCs w:val="21"/>
              </w:rPr>
              <w:t>变压器</w:t>
            </w:r>
          </w:p>
        </w:tc>
        <w:tc>
          <w:tcPr>
            <w:tcW w:w="971" w:type="dxa"/>
            <w:vAlign w:val="center"/>
          </w:tcPr>
          <w:p>
            <w:pPr>
              <w:pStyle w:val="32"/>
              <w:ind w:firstLine="0" w:firstLineChars="0"/>
              <w:jc w:val="center"/>
              <w:rPr>
                <w:color w:val="000000"/>
                <w:sz w:val="21"/>
                <w:szCs w:val="21"/>
              </w:rPr>
            </w:pPr>
            <w:r>
              <w:rPr>
                <w:rFonts w:hint="eastAsia"/>
                <w:color w:val="000000"/>
                <w:sz w:val="21"/>
                <w:szCs w:val="21"/>
              </w:rPr>
              <w:t>3</w:t>
            </w:r>
            <w:r>
              <w:rPr>
                <w:color w:val="000000"/>
                <w:sz w:val="21"/>
                <w:szCs w:val="21"/>
              </w:rPr>
              <w:t>台</w:t>
            </w:r>
          </w:p>
        </w:tc>
        <w:tc>
          <w:tcPr>
            <w:tcW w:w="1155" w:type="dxa"/>
            <w:vAlign w:val="center"/>
          </w:tcPr>
          <w:p>
            <w:pPr>
              <w:pStyle w:val="32"/>
              <w:ind w:firstLine="0" w:firstLineChars="0"/>
              <w:jc w:val="center"/>
              <w:rPr>
                <w:color w:val="000000"/>
                <w:sz w:val="21"/>
                <w:szCs w:val="21"/>
              </w:rPr>
            </w:pPr>
            <w:r>
              <w:rPr>
                <w:rFonts w:hint="eastAsia"/>
                <w:color w:val="000000"/>
                <w:sz w:val="21"/>
                <w:szCs w:val="21"/>
              </w:rPr>
              <w:t>地面一层</w:t>
            </w:r>
            <w:r>
              <w:rPr>
                <w:color w:val="000000"/>
                <w:sz w:val="21"/>
                <w:szCs w:val="21"/>
              </w:rPr>
              <w:t>变配电</w:t>
            </w:r>
            <w:r>
              <w:rPr>
                <w:rFonts w:hint="eastAsia"/>
                <w:color w:val="000000"/>
                <w:sz w:val="21"/>
                <w:szCs w:val="21"/>
              </w:rPr>
              <w:t>房</w:t>
            </w:r>
          </w:p>
        </w:tc>
        <w:tc>
          <w:tcPr>
            <w:tcW w:w="1843" w:type="dxa"/>
            <w:vAlign w:val="center"/>
          </w:tcPr>
          <w:p>
            <w:pPr>
              <w:pStyle w:val="32"/>
              <w:ind w:firstLine="0" w:firstLineChars="0"/>
              <w:jc w:val="center"/>
              <w:rPr>
                <w:color w:val="000000"/>
                <w:sz w:val="21"/>
                <w:szCs w:val="21"/>
              </w:rPr>
            </w:pPr>
            <w:r>
              <w:rPr>
                <w:color w:val="000000"/>
                <w:sz w:val="21"/>
                <w:szCs w:val="21"/>
              </w:rPr>
              <w:t>专用变配电房、减震、吸声等</w:t>
            </w:r>
          </w:p>
        </w:tc>
        <w:tc>
          <w:tcPr>
            <w:tcW w:w="992" w:type="dxa"/>
            <w:vAlign w:val="center"/>
          </w:tcPr>
          <w:p>
            <w:pPr>
              <w:pStyle w:val="32"/>
              <w:ind w:firstLine="0" w:firstLineChars="0"/>
              <w:jc w:val="center"/>
              <w:rPr>
                <w:color w:val="000000"/>
                <w:sz w:val="21"/>
                <w:szCs w:val="21"/>
              </w:rPr>
            </w:pPr>
            <w:r>
              <w:rPr>
                <w:color w:val="000000"/>
                <w:szCs w:val="21"/>
              </w:rPr>
              <w:t>80-85</w:t>
            </w:r>
          </w:p>
        </w:tc>
        <w:tc>
          <w:tcPr>
            <w:tcW w:w="3261" w:type="dxa"/>
            <w:vAlign w:val="center"/>
          </w:tcPr>
          <w:p>
            <w:pPr>
              <w:pStyle w:val="32"/>
              <w:ind w:firstLine="0" w:firstLineChars="0"/>
              <w:jc w:val="center"/>
              <w:rPr>
                <w:color w:val="000000"/>
                <w:sz w:val="21"/>
                <w:szCs w:val="21"/>
              </w:rPr>
            </w:pPr>
            <w:r>
              <w:rPr>
                <w:color w:val="000000"/>
                <w:sz w:val="21"/>
                <w:szCs w:val="21"/>
              </w:rPr>
              <w:t>配电房安装隔声门、基础减震、吸声吊顶和墙体吸声材料等</w:t>
            </w:r>
          </w:p>
        </w:tc>
        <w:tc>
          <w:tcPr>
            <w:tcW w:w="1112" w:type="dxa"/>
            <w:vAlign w:val="center"/>
          </w:tcPr>
          <w:p>
            <w:pPr>
              <w:pStyle w:val="32"/>
              <w:ind w:firstLine="0" w:firstLineChars="0"/>
              <w:jc w:val="center"/>
              <w:rPr>
                <w:color w:val="000000"/>
                <w:sz w:val="21"/>
                <w:szCs w:val="21"/>
              </w:rPr>
            </w:pPr>
            <w:r>
              <w:rPr>
                <w:color w:val="000000"/>
                <w:szCs w:val="21"/>
              </w:rPr>
              <w:t>35-40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exact"/>
          <w:jc w:val="center"/>
        </w:trPr>
        <w:tc>
          <w:tcPr>
            <w:tcW w:w="660" w:type="dxa"/>
            <w:vAlign w:val="center"/>
          </w:tcPr>
          <w:p>
            <w:pPr>
              <w:pStyle w:val="32"/>
              <w:ind w:firstLine="0" w:firstLineChars="0"/>
              <w:jc w:val="center"/>
              <w:rPr>
                <w:sz w:val="21"/>
                <w:szCs w:val="21"/>
              </w:rPr>
            </w:pPr>
            <w:r>
              <w:rPr>
                <w:sz w:val="21"/>
                <w:szCs w:val="21"/>
              </w:rPr>
              <w:t>风机</w:t>
            </w:r>
          </w:p>
        </w:tc>
        <w:tc>
          <w:tcPr>
            <w:tcW w:w="971" w:type="dxa"/>
            <w:vAlign w:val="center"/>
          </w:tcPr>
          <w:p>
            <w:pPr>
              <w:pStyle w:val="32"/>
              <w:ind w:firstLine="0" w:firstLineChars="0"/>
              <w:jc w:val="center"/>
              <w:rPr>
                <w:color w:val="000000"/>
                <w:sz w:val="21"/>
                <w:szCs w:val="21"/>
              </w:rPr>
            </w:pPr>
            <w:r>
              <w:rPr>
                <w:color w:val="000000"/>
                <w:sz w:val="21"/>
                <w:szCs w:val="21"/>
              </w:rPr>
              <w:t>若干</w:t>
            </w:r>
          </w:p>
        </w:tc>
        <w:tc>
          <w:tcPr>
            <w:tcW w:w="1155" w:type="dxa"/>
            <w:vAlign w:val="center"/>
          </w:tcPr>
          <w:p>
            <w:pPr>
              <w:pStyle w:val="32"/>
              <w:ind w:firstLine="0" w:firstLineChars="0"/>
              <w:jc w:val="center"/>
              <w:rPr>
                <w:color w:val="000000"/>
                <w:sz w:val="21"/>
                <w:szCs w:val="21"/>
              </w:rPr>
            </w:pPr>
            <w:r>
              <w:rPr>
                <w:sz w:val="21"/>
                <w:szCs w:val="21"/>
              </w:rPr>
              <w:t>地下室、各楼层</w:t>
            </w:r>
          </w:p>
        </w:tc>
        <w:tc>
          <w:tcPr>
            <w:tcW w:w="1843" w:type="dxa"/>
            <w:vAlign w:val="center"/>
          </w:tcPr>
          <w:p>
            <w:pPr>
              <w:pStyle w:val="32"/>
              <w:ind w:firstLine="0" w:firstLineChars="0"/>
              <w:jc w:val="center"/>
              <w:rPr>
                <w:color w:val="000000"/>
                <w:sz w:val="21"/>
                <w:szCs w:val="21"/>
              </w:rPr>
            </w:pPr>
            <w:r>
              <w:rPr>
                <w:color w:val="000000"/>
                <w:sz w:val="21"/>
                <w:szCs w:val="21"/>
              </w:rPr>
              <w:t>消声、隔声、吸声</w:t>
            </w:r>
          </w:p>
        </w:tc>
        <w:tc>
          <w:tcPr>
            <w:tcW w:w="992" w:type="dxa"/>
            <w:vAlign w:val="center"/>
          </w:tcPr>
          <w:p>
            <w:pPr>
              <w:pStyle w:val="32"/>
              <w:ind w:firstLine="0" w:firstLineChars="0"/>
              <w:jc w:val="center"/>
              <w:rPr>
                <w:color w:val="000000"/>
                <w:sz w:val="21"/>
                <w:szCs w:val="21"/>
              </w:rPr>
            </w:pPr>
            <w:r>
              <w:rPr>
                <w:color w:val="000000"/>
                <w:szCs w:val="21"/>
              </w:rPr>
              <w:t>80-85</w:t>
            </w:r>
          </w:p>
        </w:tc>
        <w:tc>
          <w:tcPr>
            <w:tcW w:w="3261" w:type="dxa"/>
            <w:vAlign w:val="center"/>
          </w:tcPr>
          <w:p>
            <w:pPr>
              <w:pStyle w:val="32"/>
              <w:ind w:firstLine="0" w:firstLineChars="0"/>
              <w:jc w:val="center"/>
              <w:rPr>
                <w:color w:val="000000"/>
                <w:sz w:val="21"/>
                <w:szCs w:val="21"/>
              </w:rPr>
            </w:pPr>
            <w:r>
              <w:rPr>
                <w:color w:val="000000"/>
                <w:sz w:val="21"/>
                <w:szCs w:val="21"/>
              </w:rPr>
              <w:t>风机进出口设置软接头并安装消声器、风机房安装隔声门和墙体吸声材料</w:t>
            </w:r>
          </w:p>
        </w:tc>
        <w:tc>
          <w:tcPr>
            <w:tcW w:w="1112" w:type="dxa"/>
            <w:vAlign w:val="center"/>
          </w:tcPr>
          <w:p>
            <w:pPr>
              <w:pStyle w:val="32"/>
              <w:ind w:firstLine="0" w:firstLineChars="0"/>
              <w:jc w:val="center"/>
              <w:rPr>
                <w:color w:val="000000"/>
                <w:sz w:val="21"/>
                <w:szCs w:val="21"/>
              </w:rPr>
            </w:pPr>
            <w:r>
              <w:rPr>
                <w:color w:val="000000"/>
                <w:szCs w:val="21"/>
              </w:rPr>
              <w:t>35-40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exact"/>
          <w:jc w:val="center"/>
        </w:trPr>
        <w:tc>
          <w:tcPr>
            <w:tcW w:w="660" w:type="dxa"/>
            <w:vAlign w:val="center"/>
          </w:tcPr>
          <w:p>
            <w:pPr>
              <w:pStyle w:val="32"/>
              <w:ind w:firstLine="0" w:firstLineChars="0"/>
              <w:jc w:val="center"/>
              <w:rPr>
                <w:sz w:val="21"/>
                <w:szCs w:val="21"/>
              </w:rPr>
            </w:pPr>
            <w:r>
              <w:rPr>
                <w:sz w:val="21"/>
                <w:szCs w:val="21"/>
              </w:rPr>
              <w:t>柴油发电机</w:t>
            </w:r>
          </w:p>
        </w:tc>
        <w:tc>
          <w:tcPr>
            <w:tcW w:w="971" w:type="dxa"/>
            <w:vAlign w:val="center"/>
          </w:tcPr>
          <w:p>
            <w:pPr>
              <w:pStyle w:val="32"/>
              <w:ind w:firstLine="0" w:firstLineChars="0"/>
              <w:jc w:val="center"/>
              <w:rPr>
                <w:color w:val="000000"/>
                <w:sz w:val="21"/>
                <w:szCs w:val="21"/>
              </w:rPr>
            </w:pPr>
            <w:r>
              <w:rPr>
                <w:rFonts w:hint="eastAsia"/>
                <w:color w:val="000000"/>
                <w:sz w:val="21"/>
                <w:szCs w:val="21"/>
              </w:rPr>
              <w:t>2</w:t>
            </w:r>
            <w:r>
              <w:rPr>
                <w:color w:val="000000"/>
                <w:sz w:val="21"/>
                <w:szCs w:val="21"/>
              </w:rPr>
              <w:t>台</w:t>
            </w:r>
          </w:p>
        </w:tc>
        <w:tc>
          <w:tcPr>
            <w:tcW w:w="1155" w:type="dxa"/>
            <w:vAlign w:val="center"/>
          </w:tcPr>
          <w:p>
            <w:pPr>
              <w:pStyle w:val="32"/>
              <w:ind w:firstLine="0" w:firstLineChars="0"/>
              <w:jc w:val="center"/>
              <w:rPr>
                <w:color w:val="000000"/>
                <w:sz w:val="21"/>
                <w:szCs w:val="21"/>
              </w:rPr>
            </w:pPr>
            <w:r>
              <w:rPr>
                <w:rFonts w:hint="eastAsia"/>
                <w:color w:val="000000"/>
                <w:sz w:val="21"/>
                <w:szCs w:val="21"/>
              </w:rPr>
              <w:t>地面一层发电机房</w:t>
            </w:r>
          </w:p>
        </w:tc>
        <w:tc>
          <w:tcPr>
            <w:tcW w:w="1843" w:type="dxa"/>
            <w:vAlign w:val="center"/>
          </w:tcPr>
          <w:p>
            <w:pPr>
              <w:pStyle w:val="32"/>
              <w:ind w:firstLine="0" w:firstLineChars="0"/>
              <w:jc w:val="center"/>
              <w:rPr>
                <w:color w:val="000000"/>
                <w:sz w:val="21"/>
                <w:szCs w:val="21"/>
              </w:rPr>
            </w:pPr>
            <w:r>
              <w:rPr>
                <w:color w:val="000000"/>
                <w:sz w:val="21"/>
                <w:szCs w:val="21"/>
              </w:rPr>
              <w:t>专用</w:t>
            </w:r>
            <w:r>
              <w:rPr>
                <w:rFonts w:hint="eastAsia"/>
                <w:color w:val="000000"/>
                <w:sz w:val="21"/>
                <w:szCs w:val="21"/>
              </w:rPr>
              <w:t>发电机</w:t>
            </w:r>
            <w:r>
              <w:rPr>
                <w:color w:val="000000"/>
                <w:sz w:val="21"/>
                <w:szCs w:val="21"/>
              </w:rPr>
              <w:t>房、消声、隔声</w:t>
            </w:r>
          </w:p>
        </w:tc>
        <w:tc>
          <w:tcPr>
            <w:tcW w:w="992" w:type="dxa"/>
            <w:vAlign w:val="center"/>
          </w:tcPr>
          <w:p>
            <w:pPr>
              <w:pStyle w:val="32"/>
              <w:ind w:firstLine="0" w:firstLineChars="0"/>
              <w:jc w:val="center"/>
              <w:rPr>
                <w:color w:val="000000"/>
                <w:sz w:val="21"/>
                <w:szCs w:val="21"/>
              </w:rPr>
            </w:pPr>
            <w:r>
              <w:rPr>
                <w:color w:val="000000"/>
                <w:szCs w:val="21"/>
              </w:rPr>
              <w:t>85-90</w:t>
            </w:r>
          </w:p>
        </w:tc>
        <w:tc>
          <w:tcPr>
            <w:tcW w:w="3261" w:type="dxa"/>
            <w:vAlign w:val="center"/>
          </w:tcPr>
          <w:p>
            <w:pPr>
              <w:pStyle w:val="32"/>
              <w:ind w:firstLine="0" w:firstLineChars="0"/>
              <w:jc w:val="center"/>
              <w:rPr>
                <w:color w:val="000000"/>
                <w:sz w:val="21"/>
                <w:szCs w:val="21"/>
              </w:rPr>
            </w:pPr>
            <w:r>
              <w:rPr>
                <w:color w:val="000000"/>
                <w:sz w:val="21"/>
                <w:szCs w:val="21"/>
              </w:rPr>
              <w:t>排风口设置消声设备，机房内墙面及顶棚吸声处理，基座减震降噪处理</w:t>
            </w:r>
          </w:p>
        </w:tc>
        <w:tc>
          <w:tcPr>
            <w:tcW w:w="1112" w:type="dxa"/>
            <w:vAlign w:val="center"/>
          </w:tcPr>
          <w:p>
            <w:pPr>
              <w:pStyle w:val="32"/>
              <w:ind w:firstLine="0" w:firstLineChars="0"/>
              <w:jc w:val="center"/>
              <w:rPr>
                <w:color w:val="000000"/>
                <w:sz w:val="21"/>
                <w:szCs w:val="21"/>
              </w:rPr>
            </w:pPr>
            <w:r>
              <w:rPr>
                <w:color w:val="000000"/>
                <w:szCs w:val="21"/>
              </w:rPr>
              <w:t>40以上</w:t>
            </w:r>
          </w:p>
        </w:tc>
      </w:tr>
    </w:tbl>
    <w:p>
      <w:pPr>
        <w:spacing w:line="360" w:lineRule="auto"/>
        <w:ind w:firstLine="480" w:firstLineChars="200"/>
        <w:rPr>
          <w:sz w:val="24"/>
        </w:rPr>
      </w:pPr>
      <w:r>
        <w:rPr>
          <w:sz w:val="24"/>
        </w:rPr>
        <w:t>①项目水泵房、变压器以及1台柴油发电机等均位于相应机房内，通过采取严格有效的消声、吸声、减震等措施处理后，可确保场界噪声符合GB12348-2008《工业企业厂界环境噪声排放标准》中2类标准的要求。</w:t>
      </w:r>
    </w:p>
    <w:p>
      <w:pPr>
        <w:spacing w:line="360" w:lineRule="auto"/>
        <w:ind w:firstLine="480" w:firstLineChars="200"/>
        <w:rPr>
          <w:sz w:val="24"/>
        </w:rPr>
      </w:pPr>
      <w:r>
        <w:rPr>
          <w:sz w:val="24"/>
        </w:rPr>
        <w:t>②各类风机一般安装在风机房内，通过选用风机进出口设置软接头并安装消声器、风机房安装隔声门和墙体吸声材料等措施后，对周边环境影响较小。</w:t>
      </w:r>
    </w:p>
    <w:p>
      <w:pPr>
        <w:spacing w:line="360" w:lineRule="auto"/>
        <w:ind w:firstLine="480" w:firstLineChars="200"/>
        <w:rPr>
          <w:sz w:val="24"/>
        </w:rPr>
      </w:pPr>
      <w:r>
        <w:rPr>
          <w:sz w:val="24"/>
        </w:rPr>
        <w:t>③项目地处闽侯县区，市政电力供应正常，备用发电机的运行时间很少。发电机经采取严格有效的消声、吸声、减震等措施处理后，发电机房外的噪声在50dB(A)以下，周边声环境可符合GB3096-2008中2类标准（昼间≤70dB(A)、夜间≤55dB(A)）的要求。经距离衰减后，可满足校区内教学环境要求，对敏感目标影响较小。</w:t>
      </w:r>
    </w:p>
    <w:p>
      <w:pPr>
        <w:spacing w:line="360" w:lineRule="auto"/>
        <w:ind w:firstLine="480" w:firstLineChars="200"/>
        <w:rPr>
          <w:sz w:val="24"/>
        </w:rPr>
      </w:pPr>
      <w:r>
        <w:rPr>
          <w:sz w:val="24"/>
        </w:rPr>
        <w:t>（3）学校广播喇叭噪声</w:t>
      </w:r>
    </w:p>
    <w:p>
      <w:pPr>
        <w:spacing w:line="360" w:lineRule="auto"/>
        <w:ind w:firstLine="480" w:firstLineChars="200"/>
        <w:rPr>
          <w:sz w:val="24"/>
        </w:rPr>
      </w:pPr>
      <w:r>
        <w:rPr>
          <w:sz w:val="24"/>
        </w:rPr>
        <w:t>建设单位应选用低噪声的广播喇叭，禁止使用高音喇叭，并对播音喇叭的使用加强管理，广播时应适当控制喇叭音量，并避免在居民休息时间中午（12:00～14:00）和夜间（22:00～次日6:00）进行广播，同时应在学校四周设置树木绿化带。</w:t>
      </w:r>
    </w:p>
    <w:p>
      <w:pPr>
        <w:spacing w:line="360" w:lineRule="auto"/>
        <w:ind w:firstLine="480" w:firstLineChars="200"/>
        <w:rPr>
          <w:sz w:val="24"/>
        </w:rPr>
      </w:pPr>
      <w:r>
        <w:rPr>
          <w:sz w:val="24"/>
        </w:rPr>
        <w:t>（4）其它噪声</w:t>
      </w:r>
    </w:p>
    <w:p>
      <w:pPr>
        <w:spacing w:line="360" w:lineRule="auto"/>
        <w:ind w:firstLine="480" w:firstLineChars="200"/>
        <w:rPr>
          <w:sz w:val="24"/>
        </w:rPr>
      </w:pPr>
      <w:r>
        <w:rPr>
          <w:sz w:val="24"/>
        </w:rPr>
        <w:t>各教室均采用分体空调，防止因不规范安装室外机造成的水滴影响及建筑外观的影响。而进出校区的车辆噪声，主要从管理上把关，进出车辆严禁鸣喇叭。此外，建设单位还应在校区四周边界加强绿化，减小外界噪声对项目的影响。</w:t>
      </w:r>
    </w:p>
    <w:p>
      <w:pPr>
        <w:spacing w:line="360" w:lineRule="auto"/>
        <w:outlineLvl w:val="2"/>
        <w:rPr>
          <w:b/>
          <w:sz w:val="24"/>
          <w:szCs w:val="24"/>
        </w:rPr>
      </w:pPr>
      <w:bookmarkStart w:id="197" w:name="_Toc472321519"/>
      <w:bookmarkStart w:id="198" w:name="_Toc486070567"/>
      <w:r>
        <w:rPr>
          <w:b/>
          <w:sz w:val="24"/>
          <w:szCs w:val="24"/>
        </w:rPr>
        <w:t>4.2.4固体废物影响分析</w:t>
      </w:r>
      <w:bookmarkEnd w:id="197"/>
      <w:bookmarkEnd w:id="198"/>
    </w:p>
    <w:p>
      <w:pPr>
        <w:spacing w:line="360" w:lineRule="auto"/>
        <w:ind w:firstLine="480" w:firstLineChars="200"/>
        <w:rPr>
          <w:sz w:val="24"/>
        </w:rPr>
      </w:pPr>
      <w:r>
        <w:rPr>
          <w:sz w:val="24"/>
        </w:rPr>
        <w:t>运营期产生的固体废物主要是在校师生生活垃圾、食堂固废和化粪池污泥等。</w:t>
      </w:r>
    </w:p>
    <w:p>
      <w:pPr>
        <w:spacing w:line="360" w:lineRule="auto"/>
        <w:ind w:firstLine="480" w:firstLineChars="200"/>
        <w:rPr>
          <w:sz w:val="24"/>
        </w:rPr>
      </w:pPr>
      <w:r>
        <w:rPr>
          <w:sz w:val="24"/>
        </w:rPr>
        <w:t>（1）生活垃圾</w:t>
      </w:r>
    </w:p>
    <w:p>
      <w:pPr>
        <w:spacing w:line="360" w:lineRule="auto"/>
        <w:ind w:firstLine="480" w:firstLineChars="200"/>
        <w:rPr>
          <w:sz w:val="24"/>
        </w:rPr>
      </w:pPr>
      <w:r>
        <w:rPr>
          <w:sz w:val="24"/>
        </w:rPr>
        <w:t>根据工程分析，项目运营期生活垃圾</w:t>
      </w:r>
      <w:r>
        <w:rPr>
          <w:rFonts w:hint="eastAsia"/>
          <w:sz w:val="24"/>
        </w:rPr>
        <w:t>420</w:t>
      </w:r>
      <w:r>
        <w:rPr>
          <w:sz w:val="24"/>
        </w:rPr>
        <w:t>t/a。在项目内设置可移动式垃圾桶，生活垃圾统一收集后委托环卫部门清运处理，做到日产日清。项目产生的垃圾主要是师生的生活垃圾，不含有毒有害物质，并且不直接对外环境排放，对周边环境卫生影响不大。</w:t>
      </w:r>
    </w:p>
    <w:p>
      <w:pPr>
        <w:spacing w:line="360" w:lineRule="auto"/>
        <w:ind w:firstLine="480" w:firstLineChars="200"/>
        <w:rPr>
          <w:sz w:val="24"/>
        </w:rPr>
      </w:pPr>
      <w:r>
        <w:rPr>
          <w:sz w:val="24"/>
        </w:rPr>
        <w:t>（2）食堂固废和化粪池污泥</w:t>
      </w:r>
    </w:p>
    <w:p>
      <w:pPr>
        <w:spacing w:line="360" w:lineRule="auto"/>
        <w:ind w:firstLine="480" w:firstLineChars="200"/>
        <w:rPr>
          <w:sz w:val="24"/>
        </w:rPr>
      </w:pPr>
      <w:r>
        <w:rPr>
          <w:sz w:val="24"/>
        </w:rPr>
        <w:t>根据《福建省餐厨垃圾管理暂行办法》闽政办〔2013〕45号文，本项目将食堂垃圾单独收集、分类存放，禁止与一次性餐具、酒水饮料容器、塑料台布等其他固体生活垃圾混合；设置专用的密闭收集容器，不得裸露存放；定期将食堂垃圾交给与其签订协议的收</w:t>
      </w:r>
      <w:r>
        <w:rPr>
          <w:rFonts w:hint="eastAsia"/>
          <w:sz w:val="24"/>
        </w:rPr>
        <w:t>集运输企业。经过以上措施处理，食堂垃圾对周边环境影响不大。</w:t>
      </w:r>
    </w:p>
    <w:p>
      <w:pPr>
        <w:spacing w:line="360" w:lineRule="auto"/>
        <w:ind w:firstLine="480" w:firstLineChars="200"/>
        <w:rPr>
          <w:sz w:val="24"/>
        </w:rPr>
      </w:pPr>
      <w:r>
        <w:rPr>
          <w:rFonts w:hint="eastAsia"/>
          <w:sz w:val="24"/>
        </w:rPr>
        <w:t>化粪池污泥半年清掏一次，由环卫部门清运处理。隔油沉渣池产生的废油脂应委托由有资质的企业回收处理。</w:t>
      </w:r>
    </w:p>
    <w:p>
      <w:pPr>
        <w:spacing w:line="360" w:lineRule="auto"/>
        <w:ind w:firstLine="480" w:firstLineChars="200"/>
        <w:rPr>
          <w:sz w:val="24"/>
        </w:rPr>
      </w:pPr>
      <w:r>
        <w:rPr>
          <w:sz w:val="24"/>
        </w:rPr>
        <w:t>（3）实验室固废</w:t>
      </w:r>
    </w:p>
    <w:p>
      <w:pPr>
        <w:spacing w:line="360" w:lineRule="auto"/>
        <w:ind w:firstLine="480" w:firstLineChars="200"/>
        <w:rPr>
          <w:sz w:val="24"/>
        </w:rPr>
      </w:pPr>
      <w:r>
        <w:rPr>
          <w:sz w:val="24"/>
        </w:rPr>
        <w:t>本项目运营期进行化学实验室教学活动中产生的</w:t>
      </w:r>
      <w:r>
        <w:rPr>
          <w:rFonts w:hint="eastAsia"/>
          <w:sz w:val="24"/>
        </w:rPr>
        <w:t>含重金属（主要为Ag和Cu）废液，</w:t>
      </w:r>
      <w:r>
        <w:rPr>
          <w:sz w:val="24"/>
        </w:rPr>
        <w:t>以及报废的化学药品</w:t>
      </w:r>
      <w:r>
        <w:rPr>
          <w:rFonts w:hint="eastAsia"/>
          <w:sz w:val="24"/>
        </w:rPr>
        <w:t>、废试剂瓶及其包装物</w:t>
      </w:r>
      <w:r>
        <w:rPr>
          <w:sz w:val="24"/>
        </w:rPr>
        <w:t>等实验室固废均为危险废物（HW49其他废物，900-047-49和900-041-49），根据建设单位介绍，将产生实验废液产生量为</w:t>
      </w:r>
      <w:r>
        <w:rPr>
          <w:rFonts w:hint="eastAsia"/>
          <w:sz w:val="24"/>
        </w:rPr>
        <w:t>6.0t</w:t>
      </w:r>
      <w:r>
        <w:rPr>
          <w:sz w:val="24"/>
        </w:rPr>
        <w:t>/a，报废的化学药品</w:t>
      </w:r>
      <w:r>
        <w:rPr>
          <w:rFonts w:hint="eastAsia"/>
          <w:sz w:val="24"/>
        </w:rPr>
        <w:t>及少量废试剂瓶</w:t>
      </w:r>
      <w:r>
        <w:rPr>
          <w:sz w:val="24"/>
        </w:rPr>
        <w:t>约为0.</w:t>
      </w:r>
      <w:r>
        <w:rPr>
          <w:rFonts w:hint="eastAsia"/>
          <w:sz w:val="24"/>
        </w:rPr>
        <w:t>6</w:t>
      </w:r>
      <w:r>
        <w:rPr>
          <w:sz w:val="24"/>
        </w:rPr>
        <w:t>t/a，实验室固废合计量为</w:t>
      </w:r>
      <w:r>
        <w:rPr>
          <w:rFonts w:hint="eastAsia"/>
          <w:sz w:val="24"/>
        </w:rPr>
        <w:t>6.6t</w:t>
      </w:r>
      <w:r>
        <w:rPr>
          <w:sz w:val="24"/>
        </w:rPr>
        <w:t>/a。实验室固废在实验室内单独收集后委托有资质的单位处置。</w:t>
      </w:r>
    </w:p>
    <w:p>
      <w:pPr>
        <w:spacing w:line="360" w:lineRule="auto"/>
        <w:outlineLvl w:val="2"/>
        <w:rPr>
          <w:b/>
          <w:sz w:val="24"/>
          <w:szCs w:val="24"/>
        </w:rPr>
      </w:pPr>
      <w:bookmarkStart w:id="199" w:name="_Toc472321520"/>
      <w:bookmarkStart w:id="200" w:name="_Toc486070568"/>
      <w:r>
        <w:rPr>
          <w:b/>
          <w:sz w:val="24"/>
          <w:szCs w:val="24"/>
        </w:rPr>
        <w:t>4.2.5项目变配间电磁辐射影响分析</w:t>
      </w:r>
      <w:bookmarkEnd w:id="199"/>
      <w:bookmarkEnd w:id="200"/>
    </w:p>
    <w:p>
      <w:pPr>
        <w:spacing w:line="360" w:lineRule="auto"/>
        <w:ind w:firstLine="480" w:firstLineChars="200"/>
        <w:rPr>
          <w:sz w:val="24"/>
        </w:rPr>
      </w:pPr>
      <w:r>
        <w:rPr>
          <w:sz w:val="24"/>
        </w:rPr>
        <w:t>本项目地面一层</w:t>
      </w:r>
      <w:r>
        <w:rPr>
          <w:rFonts w:hint="eastAsia"/>
          <w:sz w:val="24"/>
        </w:rPr>
        <w:t>原有一间</w:t>
      </w:r>
      <w:r>
        <w:rPr>
          <w:sz w:val="24"/>
        </w:rPr>
        <w:t>配电房，内设有</w:t>
      </w:r>
      <w:r>
        <w:rPr>
          <w:rFonts w:hint="eastAsia"/>
          <w:sz w:val="24"/>
        </w:rPr>
        <w:t>1</w:t>
      </w:r>
      <w:r>
        <w:rPr>
          <w:sz w:val="24"/>
        </w:rPr>
        <w:t>台变压器</w:t>
      </w:r>
      <w:r>
        <w:rPr>
          <w:rFonts w:hint="eastAsia"/>
          <w:sz w:val="24"/>
        </w:rPr>
        <w:t>，并拟在学生教师周转房一层食堂南侧设置一间变配电房，内设2台变压器</w:t>
      </w:r>
      <w:r>
        <w:rPr>
          <w:sz w:val="24"/>
        </w:rPr>
        <w:t>，供电电压采用10kV。根据国内变电所测试结果，110kV变电所界外附近环境工频感应电场强度小于1500V/m，工频感应磁场强度小于10×10</w:t>
      </w:r>
      <w:r>
        <w:rPr>
          <w:sz w:val="24"/>
          <w:vertAlign w:val="superscript"/>
        </w:rPr>
        <w:t>-2</w:t>
      </w:r>
      <w:r>
        <w:rPr>
          <w:sz w:val="24"/>
        </w:rPr>
        <w:t>μT，最大值出现在变电所围墙外15m之内，且工频感应电场强度及工频感应磁场强度均小于《电磁辐射防护规定》（GB8702-88）中标准限值。而本项目变电间仅为10kV，所产生的电场强度及磁场强度均小于110kV变电所产生的强度。故本项目变电所产生的电场电场强度是十分微小的，周围的磁场强度也远小于110kV变电所周围的强度，同时变压器位于配电房内，故对本项目变电所产生的电磁辐射对周边环境影响不大。</w:t>
      </w:r>
    </w:p>
    <w:p>
      <w:pPr>
        <w:spacing w:line="360" w:lineRule="auto"/>
        <w:outlineLvl w:val="2"/>
        <w:rPr>
          <w:b/>
          <w:sz w:val="24"/>
          <w:szCs w:val="24"/>
        </w:rPr>
      </w:pPr>
      <w:bookmarkStart w:id="201" w:name="_Toc486070569"/>
      <w:bookmarkStart w:id="202" w:name="_Toc472321521"/>
      <w:r>
        <w:rPr>
          <w:b/>
          <w:sz w:val="24"/>
          <w:szCs w:val="24"/>
        </w:rPr>
        <w:t>4.2.6外环境对本项目环境影响分析</w:t>
      </w:r>
      <w:bookmarkEnd w:id="201"/>
      <w:bookmarkEnd w:id="202"/>
    </w:p>
    <w:p>
      <w:pPr>
        <w:adjustRightInd w:val="0"/>
        <w:snapToGrid w:val="0"/>
        <w:spacing w:line="520" w:lineRule="exact"/>
        <w:ind w:firstLine="480" w:firstLineChars="200"/>
        <w:rPr>
          <w:rFonts w:eastAsia="新宋体"/>
          <w:sz w:val="24"/>
          <w:szCs w:val="21"/>
        </w:rPr>
      </w:pPr>
      <w:r>
        <w:rPr>
          <w:sz w:val="24"/>
        </w:rPr>
        <w:t>本项目的主要外部污染源为项目</w:t>
      </w:r>
      <w:r>
        <w:rPr>
          <w:rFonts w:hint="eastAsia"/>
          <w:sz w:val="24"/>
        </w:rPr>
        <w:t>南</w:t>
      </w:r>
      <w:r>
        <w:rPr>
          <w:sz w:val="24"/>
        </w:rPr>
        <w:t>侧的</w:t>
      </w:r>
      <w:r>
        <w:rPr>
          <w:rFonts w:hint="eastAsia"/>
          <w:sz w:val="24"/>
        </w:rPr>
        <w:t>怀梓路</w:t>
      </w:r>
      <w:r>
        <w:rPr>
          <w:sz w:val="24"/>
        </w:rPr>
        <w:t>，</w:t>
      </w:r>
      <w:r>
        <w:rPr>
          <w:rFonts w:hint="eastAsia"/>
          <w:sz w:val="24"/>
        </w:rPr>
        <w:t>东侧、北</w:t>
      </w:r>
      <w:r>
        <w:rPr>
          <w:sz w:val="24"/>
        </w:rPr>
        <w:t>侧规划路等道</w:t>
      </w:r>
      <w:r>
        <w:rPr>
          <w:rFonts w:eastAsia="新宋体"/>
          <w:sz w:val="24"/>
          <w:szCs w:val="21"/>
        </w:rPr>
        <w:t>路的汽车尾气、交通噪声</w:t>
      </w:r>
      <w:r>
        <w:rPr>
          <w:rFonts w:hint="eastAsia" w:eastAsia="新宋体"/>
          <w:sz w:val="24"/>
          <w:szCs w:val="21"/>
        </w:rPr>
        <w:t>，以及周边居民噪声</w:t>
      </w:r>
      <w:r>
        <w:rPr>
          <w:rFonts w:eastAsia="新宋体"/>
          <w:sz w:val="24"/>
          <w:szCs w:val="21"/>
        </w:rPr>
        <w:t>可能会在运营期对本项目产生影响。</w:t>
      </w:r>
    </w:p>
    <w:p>
      <w:pPr>
        <w:adjustRightInd w:val="0"/>
        <w:snapToGrid w:val="0"/>
        <w:spacing w:line="520" w:lineRule="exact"/>
        <w:ind w:firstLine="480" w:firstLineChars="200"/>
        <w:rPr>
          <w:rFonts w:eastAsia="新宋体"/>
          <w:sz w:val="24"/>
          <w:szCs w:val="21"/>
        </w:rPr>
      </w:pPr>
      <w:r>
        <w:rPr>
          <w:sz w:val="24"/>
          <w:szCs w:val="24"/>
        </w:rPr>
        <w:t>（</w:t>
      </w:r>
      <w:r>
        <w:rPr>
          <w:rFonts w:eastAsia="TimesNewRomanPSMT"/>
          <w:sz w:val="24"/>
          <w:szCs w:val="24"/>
        </w:rPr>
        <w:t>1</w:t>
      </w:r>
      <w:r>
        <w:rPr>
          <w:sz w:val="24"/>
          <w:szCs w:val="24"/>
        </w:rPr>
        <w:t>）外环境噪声对本项目的影响分析</w:t>
      </w:r>
    </w:p>
    <w:p>
      <w:pPr>
        <w:adjustRightInd w:val="0"/>
        <w:snapToGrid w:val="0"/>
        <w:spacing w:line="520" w:lineRule="exact"/>
        <w:ind w:firstLine="480" w:firstLineChars="200"/>
        <w:rPr>
          <w:rFonts w:eastAsia="新宋体"/>
          <w:sz w:val="24"/>
          <w:szCs w:val="21"/>
        </w:rPr>
      </w:pPr>
      <w:r>
        <w:rPr>
          <w:rFonts w:eastAsia="新宋体"/>
          <w:sz w:val="24"/>
          <w:szCs w:val="21"/>
        </w:rPr>
        <w:fldChar w:fldCharType="begin"/>
      </w:r>
      <w:r>
        <w:rPr>
          <w:rFonts w:eastAsia="新宋体"/>
          <w:sz w:val="24"/>
          <w:szCs w:val="21"/>
        </w:rPr>
        <w:instrText xml:space="preserve"> = 1 \* GB3 \* MERGEFORMAT </w:instrText>
      </w:r>
      <w:r>
        <w:rPr>
          <w:rFonts w:eastAsia="新宋体"/>
          <w:sz w:val="24"/>
          <w:szCs w:val="21"/>
        </w:rPr>
        <w:fldChar w:fldCharType="separate"/>
      </w:r>
      <w:r>
        <w:rPr>
          <w:rFonts w:eastAsia="新宋体"/>
          <w:sz w:val="24"/>
          <w:szCs w:val="21"/>
        </w:rPr>
        <w:t>①</w:t>
      </w:r>
      <w:r>
        <w:rPr>
          <w:rFonts w:eastAsia="新宋体"/>
          <w:sz w:val="24"/>
          <w:szCs w:val="21"/>
        </w:rPr>
        <w:fldChar w:fldCharType="end"/>
      </w:r>
      <w:r>
        <w:rPr>
          <w:rFonts w:eastAsia="新宋体"/>
          <w:sz w:val="24"/>
          <w:szCs w:val="21"/>
        </w:rPr>
        <w:t>周边规划道路交通噪声影响分析</w:t>
      </w:r>
    </w:p>
    <w:p>
      <w:pPr>
        <w:adjustRightInd w:val="0"/>
        <w:snapToGrid w:val="0"/>
        <w:spacing w:line="520" w:lineRule="exact"/>
        <w:ind w:firstLine="480" w:firstLineChars="200"/>
        <w:rPr>
          <w:rFonts w:eastAsia="新宋体"/>
          <w:sz w:val="24"/>
          <w:szCs w:val="21"/>
        </w:rPr>
      </w:pPr>
      <w:r>
        <w:rPr>
          <w:rFonts w:eastAsia="新宋体"/>
          <w:sz w:val="24"/>
          <w:szCs w:val="21"/>
        </w:rPr>
        <w:t>项目</w:t>
      </w:r>
      <w:r>
        <w:rPr>
          <w:rFonts w:hint="eastAsia"/>
          <w:sz w:val="24"/>
        </w:rPr>
        <w:t>东侧、北</w:t>
      </w:r>
      <w:r>
        <w:rPr>
          <w:sz w:val="24"/>
        </w:rPr>
        <w:t>侧</w:t>
      </w:r>
      <w:r>
        <w:rPr>
          <w:rFonts w:eastAsia="新宋体"/>
          <w:sz w:val="24"/>
          <w:szCs w:val="21"/>
        </w:rPr>
        <w:t>规划的道路为支路，</w:t>
      </w:r>
      <w:r>
        <w:rPr>
          <w:rFonts w:hint="eastAsia" w:eastAsia="新宋体"/>
          <w:sz w:val="24"/>
          <w:szCs w:val="21"/>
        </w:rPr>
        <w:t>项目北侧主要为文物保护区，所以主要以东侧规划道路为主。</w:t>
      </w:r>
      <w:r>
        <w:rPr>
          <w:rFonts w:eastAsia="新宋体"/>
          <w:sz w:val="24"/>
          <w:szCs w:val="21"/>
        </w:rPr>
        <w:t>在道路上行驶车辆主要以小型车为主，不鸣笛时噪声约 65dB（A），鸣笛时噪声值较大，在十字交叉路口做好“禁止鸣笛”标志提醒过往的司机，在源头上控制噪声的产生；根据设计方案，项目距离规划路最近的敏感点为</w:t>
      </w:r>
      <w:r>
        <w:rPr>
          <w:rFonts w:hint="eastAsia" w:eastAsia="新宋体"/>
          <w:sz w:val="24"/>
          <w:szCs w:val="21"/>
        </w:rPr>
        <w:t>学生教师周转房，</w:t>
      </w:r>
      <w:r>
        <w:rPr>
          <w:rFonts w:eastAsia="新宋体"/>
          <w:sz w:val="24"/>
          <w:szCs w:val="21"/>
        </w:rPr>
        <w:t>之间</w:t>
      </w:r>
      <w:r>
        <w:rPr>
          <w:rFonts w:hint="eastAsia" w:eastAsia="新宋体"/>
          <w:sz w:val="24"/>
          <w:szCs w:val="21"/>
        </w:rPr>
        <w:t>均</w:t>
      </w:r>
      <w:r>
        <w:rPr>
          <w:rFonts w:eastAsia="新宋体"/>
          <w:sz w:val="24"/>
          <w:szCs w:val="21"/>
        </w:rPr>
        <w:t>种植约</w:t>
      </w:r>
      <w:r>
        <w:rPr>
          <w:rFonts w:hint="eastAsia" w:eastAsia="新宋体"/>
          <w:sz w:val="24"/>
          <w:szCs w:val="21"/>
        </w:rPr>
        <w:t>8</w:t>
      </w:r>
      <w:r>
        <w:rPr>
          <w:rFonts w:eastAsia="新宋体"/>
          <w:sz w:val="24"/>
          <w:szCs w:val="21"/>
        </w:rPr>
        <w:t>m宽绿化带，因此道路噪声经距离衰减、周边绿化隔离带及房屋墙体的阻隔作用，其对本项目的影响较小。</w:t>
      </w:r>
    </w:p>
    <w:p>
      <w:pPr>
        <w:adjustRightInd w:val="0"/>
        <w:snapToGrid w:val="0"/>
        <w:spacing w:line="520" w:lineRule="exact"/>
        <w:ind w:firstLine="480" w:firstLineChars="200"/>
        <w:rPr>
          <w:rFonts w:eastAsia="新宋体"/>
          <w:sz w:val="24"/>
          <w:szCs w:val="21"/>
        </w:rPr>
      </w:pPr>
      <w:r>
        <w:rPr>
          <w:rFonts w:eastAsia="新宋体"/>
          <w:sz w:val="24"/>
          <w:szCs w:val="21"/>
        </w:rPr>
        <w:fldChar w:fldCharType="begin"/>
      </w:r>
      <w:r>
        <w:rPr>
          <w:rFonts w:eastAsia="新宋体"/>
          <w:sz w:val="24"/>
          <w:szCs w:val="21"/>
        </w:rPr>
        <w:instrText xml:space="preserve"> = 2 \* GB3 \* MERGEFORMAT </w:instrText>
      </w:r>
      <w:r>
        <w:rPr>
          <w:rFonts w:eastAsia="新宋体"/>
          <w:sz w:val="24"/>
          <w:szCs w:val="21"/>
        </w:rPr>
        <w:fldChar w:fldCharType="separate"/>
      </w:r>
      <w:r>
        <w:rPr>
          <w:rFonts w:eastAsia="新宋体"/>
          <w:sz w:val="24"/>
          <w:szCs w:val="21"/>
        </w:rPr>
        <w:t>②</w:t>
      </w:r>
      <w:r>
        <w:rPr>
          <w:rFonts w:eastAsia="新宋体"/>
          <w:sz w:val="24"/>
          <w:szCs w:val="21"/>
        </w:rPr>
        <w:fldChar w:fldCharType="end"/>
      </w:r>
      <w:r>
        <w:rPr>
          <w:rFonts w:hint="eastAsia" w:eastAsia="新宋体"/>
          <w:sz w:val="24"/>
          <w:szCs w:val="21"/>
        </w:rPr>
        <w:t>怀梓</w:t>
      </w:r>
      <w:r>
        <w:rPr>
          <w:rFonts w:eastAsia="新宋体"/>
          <w:sz w:val="24"/>
          <w:szCs w:val="21"/>
        </w:rPr>
        <w:t>路（已建）交通噪声影响分析</w:t>
      </w:r>
    </w:p>
    <w:p>
      <w:pPr>
        <w:adjustRightInd w:val="0"/>
        <w:snapToGrid w:val="0"/>
        <w:spacing w:line="520" w:lineRule="exact"/>
        <w:ind w:firstLine="480" w:firstLineChars="200"/>
        <w:rPr>
          <w:rFonts w:eastAsia="新宋体"/>
          <w:sz w:val="24"/>
          <w:szCs w:val="21"/>
        </w:rPr>
      </w:pPr>
      <w:r>
        <w:rPr>
          <w:rFonts w:eastAsia="新宋体"/>
          <w:sz w:val="24"/>
          <w:szCs w:val="21"/>
        </w:rPr>
        <w:t>由“</w:t>
      </w:r>
      <w:r>
        <w:rPr>
          <w:rFonts w:hint="eastAsia" w:eastAsia="新宋体"/>
          <w:sz w:val="24"/>
          <w:szCs w:val="21"/>
        </w:rPr>
        <w:t>2.3</w:t>
      </w:r>
      <w:r>
        <w:rPr>
          <w:rFonts w:eastAsia="新宋体"/>
          <w:sz w:val="24"/>
          <w:szCs w:val="21"/>
        </w:rPr>
        <w:t>.</w:t>
      </w:r>
      <w:r>
        <w:rPr>
          <w:rFonts w:hint="eastAsia" w:eastAsia="新宋体"/>
          <w:sz w:val="24"/>
          <w:szCs w:val="21"/>
        </w:rPr>
        <w:t>2</w:t>
      </w:r>
      <w:r>
        <w:rPr>
          <w:rFonts w:eastAsia="新宋体"/>
          <w:sz w:val="24"/>
          <w:szCs w:val="21"/>
        </w:rPr>
        <w:t>声环境质量现状”中对本项目</w:t>
      </w:r>
      <w:r>
        <w:rPr>
          <w:rFonts w:hint="eastAsia" w:eastAsia="新宋体"/>
          <w:sz w:val="24"/>
          <w:szCs w:val="21"/>
        </w:rPr>
        <w:t>南</w:t>
      </w:r>
      <w:r>
        <w:rPr>
          <w:rFonts w:eastAsia="新宋体"/>
          <w:sz w:val="24"/>
          <w:szCs w:val="21"/>
        </w:rPr>
        <w:t>侧噪声进行监测结果可知，本项目</w:t>
      </w:r>
      <w:r>
        <w:rPr>
          <w:rFonts w:hint="eastAsia" w:eastAsia="新宋体"/>
          <w:sz w:val="24"/>
          <w:szCs w:val="21"/>
        </w:rPr>
        <w:t>南</w:t>
      </w:r>
      <w:r>
        <w:rPr>
          <w:rFonts w:eastAsia="新宋体"/>
          <w:sz w:val="24"/>
          <w:szCs w:val="21"/>
        </w:rPr>
        <w:t>侧场界声环境质量现状满足《声环境质量标准》（ GB3096-2008）2类标准，因此</w:t>
      </w:r>
      <w:r>
        <w:rPr>
          <w:rFonts w:hint="eastAsia" w:eastAsia="新宋体"/>
          <w:sz w:val="24"/>
          <w:szCs w:val="21"/>
        </w:rPr>
        <w:t>怀梓</w:t>
      </w:r>
      <w:r>
        <w:rPr>
          <w:rFonts w:eastAsia="新宋体"/>
          <w:sz w:val="24"/>
          <w:szCs w:val="21"/>
        </w:rPr>
        <w:t>路交通噪声对本项目影响不大。</w:t>
      </w:r>
    </w:p>
    <w:p>
      <w:pPr>
        <w:adjustRightInd w:val="0"/>
        <w:snapToGrid w:val="0"/>
        <w:spacing w:line="520" w:lineRule="exact"/>
        <w:ind w:firstLine="480" w:firstLineChars="200"/>
        <w:rPr>
          <w:rFonts w:eastAsia="新宋体"/>
          <w:sz w:val="24"/>
          <w:szCs w:val="21"/>
        </w:rPr>
      </w:pPr>
      <w:r>
        <w:rPr>
          <w:sz w:val="24"/>
          <w:szCs w:val="24"/>
        </w:rPr>
        <w:t>（2）</w:t>
      </w:r>
      <w:r>
        <w:rPr>
          <w:rFonts w:eastAsia="新宋体"/>
          <w:sz w:val="24"/>
          <w:szCs w:val="21"/>
        </w:rPr>
        <w:t>汽车尾气</w:t>
      </w:r>
      <w:r>
        <w:rPr>
          <w:sz w:val="24"/>
          <w:szCs w:val="24"/>
        </w:rPr>
        <w:t>对本项目的影响分析</w:t>
      </w:r>
    </w:p>
    <w:p>
      <w:pPr>
        <w:spacing w:line="360" w:lineRule="auto"/>
        <w:ind w:firstLine="480" w:firstLineChars="200"/>
        <w:rPr>
          <w:sz w:val="24"/>
        </w:rPr>
      </w:pPr>
      <w:r>
        <w:rPr>
          <w:rFonts w:eastAsia="新宋体"/>
          <w:sz w:val="24"/>
          <w:szCs w:val="21"/>
        </w:rPr>
        <w:t>项目周边规划道路和</w:t>
      </w:r>
      <w:r>
        <w:rPr>
          <w:rFonts w:hint="eastAsia" w:eastAsia="新宋体"/>
          <w:sz w:val="24"/>
          <w:szCs w:val="21"/>
        </w:rPr>
        <w:t>怀梓</w:t>
      </w:r>
      <w:r>
        <w:rPr>
          <w:rFonts w:eastAsia="新宋体"/>
          <w:sz w:val="24"/>
          <w:szCs w:val="21"/>
        </w:rPr>
        <w:t>路汽车尾气、扬尘，</w:t>
      </w:r>
      <w:r>
        <w:rPr>
          <w:sz w:val="24"/>
        </w:rPr>
        <w:t>在正常情况下道路车流排放的CO和NOx污染物，线路较长，体现为分散的线源排放，对沿路的影响浓度增加不多，可以保证其下风向路侧的环境空气质量保持在允许范围内。项目红线与四周的道路均设有8~15m宽绿化带，</w:t>
      </w:r>
      <w:r>
        <w:rPr>
          <w:rFonts w:eastAsia="新宋体"/>
          <w:sz w:val="24"/>
          <w:szCs w:val="21"/>
        </w:rPr>
        <w:t>通过在空气中扩散，周边绿化植绿化带的净化和阻隔、吸附后，对本项目的影响在可接受范围之内</w:t>
      </w:r>
      <w:r>
        <w:rPr>
          <w:rFonts w:hint="eastAsia" w:eastAsia="新宋体"/>
          <w:sz w:val="24"/>
          <w:szCs w:val="21"/>
        </w:rPr>
        <w:t>，</w:t>
      </w:r>
      <w:r>
        <w:rPr>
          <w:rFonts w:eastAsia="新宋体"/>
          <w:sz w:val="24"/>
          <w:szCs w:val="21"/>
        </w:rPr>
        <w:t>因此项目外环境汽车尾气等对本项目影</w:t>
      </w:r>
      <w:r>
        <w:rPr>
          <w:rFonts w:ascii="宋体" w:hAnsi="宋体" w:cs="宋体"/>
          <w:sz w:val="24"/>
          <w:szCs w:val="24"/>
        </w:rPr>
        <w:t>响可以接受</w:t>
      </w:r>
      <w:r>
        <w:rPr>
          <w:rFonts w:hint="eastAsia" w:ascii="宋体" w:hAnsi="宋体" w:cs="宋体"/>
          <w:sz w:val="24"/>
          <w:szCs w:val="24"/>
        </w:rPr>
        <w:t>。</w:t>
      </w:r>
    </w:p>
    <w:p>
      <w:pPr>
        <w:spacing w:line="360" w:lineRule="auto"/>
        <w:ind w:firstLine="480" w:firstLineChars="200"/>
        <w:rPr>
          <w:sz w:val="24"/>
        </w:rPr>
      </w:pPr>
      <w:r>
        <w:rPr>
          <w:sz w:val="24"/>
        </w:rPr>
        <w:t>综上所述，外环境对项目影响较小。</w:t>
      </w:r>
    </w:p>
    <w:p>
      <w:pPr>
        <w:pStyle w:val="2"/>
        <w:keepNext w:val="0"/>
        <w:keepLines w:val="0"/>
        <w:autoSpaceDE w:val="0"/>
        <w:autoSpaceDN w:val="0"/>
        <w:adjustRightInd w:val="0"/>
        <w:spacing w:beforeLines="50" w:after="0" w:line="360" w:lineRule="auto"/>
        <w:rPr>
          <w:rFonts w:eastAsia="宋体"/>
          <w:kern w:val="2"/>
          <w:sz w:val="30"/>
          <w:szCs w:val="28"/>
        </w:rPr>
      </w:pPr>
      <w:r>
        <w:rPr>
          <w:color w:val="000000"/>
          <w:sz w:val="24"/>
        </w:rPr>
        <w:br w:type="page"/>
      </w:r>
      <w:bookmarkStart w:id="203" w:name="_Toc416992953"/>
      <w:bookmarkStart w:id="204" w:name="_Toc402445345"/>
      <w:bookmarkStart w:id="205" w:name="_Toc486070570"/>
      <w:bookmarkStart w:id="206" w:name="_Toc381722828"/>
      <w:bookmarkStart w:id="207" w:name="_Toc416192257"/>
      <w:r>
        <w:rPr>
          <w:rFonts w:hint="eastAsia" w:eastAsia="宋体"/>
          <w:kern w:val="2"/>
          <w:sz w:val="30"/>
          <w:szCs w:val="28"/>
        </w:rPr>
        <w:t>五</w:t>
      </w:r>
      <w:r>
        <w:rPr>
          <w:rFonts w:eastAsia="宋体"/>
          <w:kern w:val="2"/>
          <w:sz w:val="30"/>
          <w:szCs w:val="28"/>
        </w:rPr>
        <w:t>、</w:t>
      </w:r>
      <w:r>
        <w:rPr>
          <w:rFonts w:hint="eastAsia" w:eastAsia="宋体"/>
          <w:kern w:val="2"/>
          <w:sz w:val="30"/>
          <w:szCs w:val="28"/>
        </w:rPr>
        <w:t>环境保护措施</w:t>
      </w:r>
      <w:bookmarkEnd w:id="203"/>
      <w:bookmarkEnd w:id="204"/>
      <w:bookmarkEnd w:id="205"/>
      <w:bookmarkEnd w:id="206"/>
      <w:bookmarkEnd w:id="207"/>
      <w:r>
        <w:rPr>
          <w:rFonts w:hint="eastAsia" w:eastAsia="宋体"/>
          <w:kern w:val="2"/>
          <w:sz w:val="30"/>
          <w:szCs w:val="28"/>
        </w:rPr>
        <w:t>评述</w:t>
      </w:r>
    </w:p>
    <w:p>
      <w:pPr>
        <w:pStyle w:val="73"/>
        <w:rPr>
          <w:rFonts w:eastAsia="宋体"/>
        </w:rPr>
      </w:pPr>
      <w:bookmarkStart w:id="208" w:name="_Toc486070571"/>
      <w:bookmarkStart w:id="209" w:name="_Toc416992954"/>
      <w:bookmarkStart w:id="210" w:name="_Toc400958322"/>
      <w:bookmarkStart w:id="211" w:name="_Toc416192258"/>
      <w:bookmarkStart w:id="212" w:name="_Toc402445346"/>
      <w:r>
        <w:rPr>
          <w:rFonts w:eastAsia="宋体"/>
        </w:rPr>
        <w:t>5.1</w:t>
      </w:r>
      <w:r>
        <w:rPr>
          <w:rFonts w:eastAsia="宋体"/>
          <w:bCs/>
        </w:rPr>
        <w:t>施工期环境保护措施及建议</w:t>
      </w:r>
      <w:bookmarkEnd w:id="208"/>
      <w:bookmarkEnd w:id="209"/>
      <w:bookmarkEnd w:id="210"/>
      <w:bookmarkEnd w:id="211"/>
      <w:bookmarkEnd w:id="212"/>
    </w:p>
    <w:p>
      <w:pPr>
        <w:spacing w:line="360" w:lineRule="auto"/>
        <w:outlineLvl w:val="2"/>
        <w:rPr>
          <w:b/>
          <w:sz w:val="24"/>
          <w:szCs w:val="24"/>
        </w:rPr>
      </w:pPr>
      <w:bookmarkStart w:id="213" w:name="_Toc400958323"/>
      <w:bookmarkStart w:id="214" w:name="_Toc402431775"/>
      <w:bookmarkStart w:id="215" w:name="_Toc402445347"/>
      <w:bookmarkStart w:id="216" w:name="_Toc486070572"/>
      <w:bookmarkStart w:id="217" w:name="_Toc472321524"/>
      <w:r>
        <w:rPr>
          <w:b/>
          <w:sz w:val="24"/>
          <w:szCs w:val="24"/>
        </w:rPr>
        <w:t>5.1.1施工期</w:t>
      </w:r>
      <w:bookmarkEnd w:id="213"/>
      <w:bookmarkEnd w:id="214"/>
      <w:bookmarkEnd w:id="215"/>
      <w:r>
        <w:rPr>
          <w:b/>
          <w:sz w:val="24"/>
          <w:szCs w:val="24"/>
        </w:rPr>
        <w:t>污水防治措施</w:t>
      </w:r>
      <w:bookmarkEnd w:id="216"/>
      <w:bookmarkEnd w:id="217"/>
    </w:p>
    <w:p>
      <w:pPr>
        <w:spacing w:line="360" w:lineRule="auto"/>
        <w:ind w:firstLine="480" w:firstLineChars="200"/>
        <w:rPr>
          <w:sz w:val="24"/>
        </w:rPr>
      </w:pPr>
      <w:r>
        <w:rPr>
          <w:sz w:val="24"/>
        </w:rPr>
        <w:t>项目施工期废水</w:t>
      </w:r>
      <w:r>
        <w:rPr>
          <w:rFonts w:eastAsia="新宋体"/>
          <w:sz w:val="24"/>
          <w:szCs w:val="21"/>
        </w:rPr>
        <w:t>主要为</w:t>
      </w:r>
      <w:r>
        <w:rPr>
          <w:sz w:val="24"/>
        </w:rPr>
        <w:t>施工生产废水和施工人员生活污水</w:t>
      </w:r>
      <w:r>
        <w:rPr>
          <w:rFonts w:eastAsia="新宋体"/>
          <w:sz w:val="24"/>
          <w:szCs w:val="21"/>
        </w:rPr>
        <w:t>，采取的防治措施如下：</w:t>
      </w:r>
    </w:p>
    <w:p>
      <w:pPr>
        <w:spacing w:line="360" w:lineRule="auto"/>
        <w:ind w:firstLine="480" w:firstLineChars="200"/>
        <w:rPr>
          <w:sz w:val="24"/>
        </w:rPr>
      </w:pPr>
      <w:r>
        <w:rPr>
          <w:sz w:val="24"/>
        </w:rPr>
        <w:t>（1）施工生产废水经隔油池和沉淀池沉淀处理后回用于施工场地及道路的洒水，不外排。</w:t>
      </w:r>
    </w:p>
    <w:p>
      <w:pPr>
        <w:spacing w:line="360" w:lineRule="auto"/>
        <w:ind w:firstLine="480" w:firstLineChars="200"/>
        <w:rPr>
          <w:sz w:val="24"/>
        </w:rPr>
      </w:pPr>
      <w:r>
        <w:rPr>
          <w:sz w:val="24"/>
        </w:rPr>
        <w:t>（2）安排好施工计划，做好土石工程的平衡，减少弃土和泥土的裸露时间，以避免受到暴雨的直接冲刷，并对裸露空地进行绿化。</w:t>
      </w:r>
    </w:p>
    <w:p>
      <w:pPr>
        <w:spacing w:line="360" w:lineRule="auto"/>
        <w:ind w:firstLine="480" w:firstLineChars="200"/>
        <w:rPr>
          <w:sz w:val="24"/>
        </w:rPr>
      </w:pPr>
      <w:r>
        <w:rPr>
          <w:sz w:val="24"/>
        </w:rPr>
        <w:t>（3）施工人员分散居住在附近的居住区，施工人员生活污水纳入当地现有的污水排放系统中，不另行单独外排；施工现场则不再新建公厕、食堂等生活设施。</w:t>
      </w:r>
    </w:p>
    <w:p>
      <w:pPr>
        <w:spacing w:line="360" w:lineRule="auto"/>
        <w:outlineLvl w:val="2"/>
        <w:rPr>
          <w:b/>
          <w:sz w:val="24"/>
          <w:szCs w:val="24"/>
        </w:rPr>
      </w:pPr>
      <w:bookmarkStart w:id="218" w:name="_Toc472321525"/>
      <w:bookmarkStart w:id="219" w:name="_Toc486070573"/>
      <w:r>
        <w:rPr>
          <w:b/>
          <w:sz w:val="24"/>
          <w:szCs w:val="24"/>
        </w:rPr>
        <w:t>5.1.2施工期废气防治措施</w:t>
      </w:r>
      <w:bookmarkEnd w:id="218"/>
      <w:bookmarkEnd w:id="219"/>
    </w:p>
    <w:p>
      <w:pPr>
        <w:spacing w:line="360" w:lineRule="auto"/>
        <w:ind w:firstLine="480" w:firstLineChars="200"/>
        <w:rPr>
          <w:sz w:val="24"/>
        </w:rPr>
      </w:pPr>
      <w:r>
        <w:rPr>
          <w:sz w:val="24"/>
        </w:rPr>
        <w:t>（1）施工粉尘治理措施</w:t>
      </w:r>
    </w:p>
    <w:p>
      <w:pPr>
        <w:spacing w:line="360" w:lineRule="auto"/>
        <w:ind w:firstLine="480" w:firstLineChars="200"/>
        <w:rPr>
          <w:sz w:val="24"/>
        </w:rPr>
      </w:pPr>
      <w:r>
        <w:rPr>
          <w:sz w:val="24"/>
        </w:rPr>
        <w:t>①施工时应洒水降尘，以减少粉尘污染。根据施工工序及季节的不同随时调整洒水频次。据有关测试资料，适当洒水对施工扬尘的抑制效果较明显，详见表5.1-1。</w:t>
      </w:r>
    </w:p>
    <w:p>
      <w:pPr>
        <w:spacing w:line="360" w:lineRule="auto"/>
        <w:jc w:val="center"/>
        <w:rPr>
          <w:b/>
          <w:sz w:val="24"/>
        </w:rPr>
      </w:pPr>
      <w:r>
        <w:rPr>
          <w:b/>
          <w:sz w:val="24"/>
        </w:rPr>
        <w:t>表5.1-1 施工路段洒水降尘试验结果</w:t>
      </w:r>
    </w:p>
    <w:p>
      <w:pPr>
        <w:spacing w:line="360" w:lineRule="auto"/>
        <w:rPr>
          <w:sz w:val="24"/>
        </w:rPr>
      </w:pPr>
      <w:r>
        <w:rPr>
          <w:bdr w:val="single" w:color="auto" w:sz="4" w:space="0"/>
        </w:rPr>
        <w:drawing>
          <wp:inline distT="0" distB="0" distL="0" distR="0">
            <wp:extent cx="5486400" cy="733425"/>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32" cstate="print"/>
                    <a:srcRect b="5490"/>
                    <a:stretch>
                      <a:fillRect/>
                    </a:stretch>
                  </pic:blipFill>
                  <pic:spPr>
                    <a:xfrm>
                      <a:off x="0" y="0"/>
                      <a:ext cx="5486400" cy="7334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由表5.1-1可见，施工运输路面适时洒水，对减少空气中的TSP 浓度非常有效，并且洒水处距离路边越近，降尘效果越明显。</w:t>
      </w:r>
    </w:p>
    <w:p>
      <w:pPr>
        <w:spacing w:line="360" w:lineRule="auto"/>
        <w:ind w:firstLine="480" w:firstLineChars="200"/>
        <w:rPr>
          <w:sz w:val="24"/>
        </w:rPr>
      </w:pPr>
      <w:r>
        <w:rPr>
          <w:sz w:val="24"/>
        </w:rPr>
        <w:t>②在施工现场应设置屏障，高度大于2.5m，同时应积极采取喷雾洒水防止扬尘产生。</w:t>
      </w:r>
    </w:p>
    <w:p>
      <w:pPr>
        <w:spacing w:line="360" w:lineRule="auto"/>
        <w:ind w:firstLine="480" w:firstLineChars="200"/>
        <w:rPr>
          <w:sz w:val="24"/>
        </w:rPr>
      </w:pPr>
      <w:r>
        <w:rPr>
          <w:sz w:val="24"/>
        </w:rPr>
        <w:t>③工程材料、砂石、土方等易产生扬尘建筑材料应采取覆盖防尘布、配合定期喷水抑尘等措施，防止风蚀起尘。</w:t>
      </w:r>
    </w:p>
    <w:p>
      <w:pPr>
        <w:spacing w:line="360" w:lineRule="auto"/>
        <w:ind w:firstLine="480" w:firstLineChars="200"/>
        <w:rPr>
          <w:sz w:val="24"/>
        </w:rPr>
      </w:pPr>
      <w:r>
        <w:rPr>
          <w:sz w:val="24"/>
        </w:rPr>
        <w:t>④施工过程使用商品混凝土，不得现场搅拌混凝土，减少粉尘产生。</w:t>
      </w:r>
    </w:p>
    <w:p>
      <w:pPr>
        <w:spacing w:line="360" w:lineRule="auto"/>
        <w:ind w:firstLine="480" w:firstLineChars="200"/>
        <w:rPr>
          <w:sz w:val="24"/>
        </w:rPr>
      </w:pPr>
      <w:r>
        <w:rPr>
          <w:sz w:val="24"/>
        </w:rPr>
        <w:t>⑤避免运输车辆超载，产生物料泄漏，形成二次扬尘。离开工地的车辆要净轮清洁，严禁泥土带入城市道路。</w:t>
      </w:r>
    </w:p>
    <w:p>
      <w:pPr>
        <w:spacing w:line="360" w:lineRule="auto"/>
        <w:ind w:firstLine="480" w:firstLineChars="200"/>
        <w:rPr>
          <w:sz w:val="24"/>
        </w:rPr>
      </w:pPr>
      <w:r>
        <w:rPr>
          <w:sz w:val="24"/>
        </w:rPr>
        <w:t>⑥建筑垃圾应及时处理、清运，以减少占地，防治扬尘污染，改善施工场地环境。</w:t>
      </w:r>
    </w:p>
    <w:p>
      <w:pPr>
        <w:spacing w:line="360" w:lineRule="auto"/>
        <w:ind w:firstLine="480" w:firstLineChars="200"/>
        <w:rPr>
          <w:sz w:val="24"/>
        </w:rPr>
      </w:pPr>
      <w:r>
        <w:rPr>
          <w:rFonts w:hint="eastAsia"/>
          <w:sz w:val="24"/>
        </w:rPr>
        <w:t>（2）物料运输扬尘防治措施</w:t>
      </w:r>
    </w:p>
    <w:p>
      <w:pPr>
        <w:spacing w:line="360" w:lineRule="auto"/>
        <w:ind w:firstLine="480" w:firstLineChars="200"/>
        <w:rPr>
          <w:sz w:val="24"/>
        </w:rPr>
      </w:pPr>
      <w:r>
        <w:rPr>
          <w:rFonts w:hint="eastAsia"/>
          <w:sz w:val="24"/>
        </w:rPr>
        <w:t>①在施工场地出入口、运输道路及主要出入口定期洒水，防止扬尘污染环境。</w:t>
      </w:r>
    </w:p>
    <w:p>
      <w:pPr>
        <w:spacing w:line="360" w:lineRule="auto"/>
        <w:ind w:firstLine="480" w:firstLineChars="200"/>
        <w:rPr>
          <w:sz w:val="24"/>
        </w:rPr>
      </w:pPr>
      <w:r>
        <w:rPr>
          <w:rFonts w:hint="eastAsia"/>
          <w:sz w:val="24"/>
        </w:rPr>
        <w:t>②运输砂土方的汽车必须全封闭，加盖蓬布，运输过程严禁抛、洒、滴、漏。严格限制运输车辆超载，装车不得过满。</w:t>
      </w:r>
    </w:p>
    <w:p>
      <w:pPr>
        <w:spacing w:line="360" w:lineRule="auto"/>
        <w:ind w:firstLine="480" w:firstLineChars="200"/>
        <w:rPr>
          <w:sz w:val="24"/>
        </w:rPr>
      </w:pPr>
      <w:r>
        <w:rPr>
          <w:rFonts w:hint="eastAsia"/>
          <w:sz w:val="24"/>
        </w:rPr>
        <w:t>③运输车辆在施工场地的出入口内侧应设置洗车平台，车辆驶离工地前，应在施工平台冲洗轮胎和车身。</w:t>
      </w:r>
    </w:p>
    <w:p>
      <w:pPr>
        <w:spacing w:line="360" w:lineRule="auto"/>
        <w:ind w:firstLine="480" w:firstLineChars="200"/>
        <w:rPr>
          <w:sz w:val="24"/>
        </w:rPr>
      </w:pPr>
      <w:r>
        <w:rPr>
          <w:rFonts w:hint="eastAsia"/>
          <w:sz w:val="24"/>
        </w:rPr>
        <w:t>④应加强运输车辆的管理工作，优化道路运输路线，尽量选择敏感点分布较少的路线，避开城市密集人口集中区，优先选择三环快速路为主要运输道路。</w:t>
      </w:r>
    </w:p>
    <w:p>
      <w:pPr>
        <w:spacing w:line="360" w:lineRule="auto"/>
        <w:ind w:firstLine="480" w:firstLineChars="200"/>
        <w:rPr>
          <w:sz w:val="24"/>
        </w:rPr>
      </w:pPr>
      <w:r>
        <w:rPr>
          <w:rFonts w:hint="eastAsia"/>
          <w:sz w:val="24"/>
        </w:rPr>
        <w:t>⑤合理安排运输路线和时间，避开交通高峰期进行运输作业。</w:t>
      </w:r>
    </w:p>
    <w:p>
      <w:pPr>
        <w:spacing w:line="360" w:lineRule="auto"/>
        <w:ind w:firstLine="480" w:firstLineChars="200"/>
        <w:rPr>
          <w:sz w:val="24"/>
        </w:rPr>
      </w:pPr>
      <w:r>
        <w:rPr>
          <w:sz w:val="24"/>
        </w:rPr>
        <w:t>（3）施工机械和车辆废气防治措施</w:t>
      </w:r>
    </w:p>
    <w:p>
      <w:pPr>
        <w:spacing w:line="360" w:lineRule="auto"/>
        <w:ind w:firstLine="480" w:firstLineChars="200"/>
        <w:rPr>
          <w:sz w:val="24"/>
        </w:rPr>
      </w:pPr>
      <w:r>
        <w:rPr>
          <w:sz w:val="24"/>
        </w:rPr>
        <w:t>①选择符合环保要求的施工机械，尽量选择以电能或燃轻柴油的设备，减少机械设备燃料废气的产生量。</w:t>
      </w:r>
    </w:p>
    <w:p>
      <w:pPr>
        <w:spacing w:line="360" w:lineRule="auto"/>
        <w:ind w:firstLine="480" w:firstLineChars="200"/>
        <w:rPr>
          <w:sz w:val="24"/>
        </w:rPr>
      </w:pPr>
      <w:r>
        <w:rPr>
          <w:sz w:val="24"/>
        </w:rPr>
        <w:t>②应完善施工工地的路网，铺设经压实的道路，可降低耗油，减少车辆汽车尾气的排放量。</w:t>
      </w:r>
    </w:p>
    <w:p>
      <w:pPr>
        <w:spacing w:line="360" w:lineRule="auto"/>
        <w:ind w:firstLine="480" w:firstLineChars="200"/>
        <w:rPr>
          <w:sz w:val="24"/>
        </w:rPr>
      </w:pPr>
      <w:r>
        <w:rPr>
          <w:sz w:val="24"/>
        </w:rPr>
        <w:t>（4）装修废气防治措施</w:t>
      </w:r>
    </w:p>
    <w:p>
      <w:pPr>
        <w:spacing w:line="360" w:lineRule="auto"/>
        <w:ind w:firstLine="480" w:firstLineChars="200"/>
        <w:rPr>
          <w:sz w:val="24"/>
        </w:rPr>
      </w:pPr>
      <w:r>
        <w:rPr>
          <w:sz w:val="24"/>
        </w:rPr>
        <w:t>①应选用符合《民用建筑工程室内环境污染控制规范》（GB50325-2010）标准规定的建筑材料和装饰材料。</w:t>
      </w:r>
    </w:p>
    <w:p>
      <w:pPr>
        <w:spacing w:line="360" w:lineRule="auto"/>
        <w:ind w:firstLine="480" w:firstLineChars="200"/>
        <w:rPr>
          <w:sz w:val="24"/>
        </w:rPr>
      </w:pPr>
      <w:r>
        <w:rPr>
          <w:sz w:val="24"/>
        </w:rPr>
        <w:t>②在装修期间应加强室内的通风换气。</w:t>
      </w:r>
    </w:p>
    <w:p>
      <w:pPr>
        <w:spacing w:line="360" w:lineRule="auto"/>
        <w:ind w:firstLine="480" w:firstLineChars="200"/>
        <w:rPr>
          <w:sz w:val="24"/>
        </w:rPr>
      </w:pPr>
      <w:r>
        <w:rPr>
          <w:sz w:val="24"/>
        </w:rPr>
        <w:t>③装修完成后不宜立即入住，应每天进行通风换气一至两个月才能投入使用。</w:t>
      </w:r>
    </w:p>
    <w:p>
      <w:pPr>
        <w:spacing w:line="360" w:lineRule="auto"/>
        <w:outlineLvl w:val="2"/>
        <w:rPr>
          <w:b/>
          <w:sz w:val="24"/>
          <w:szCs w:val="24"/>
        </w:rPr>
      </w:pPr>
      <w:bookmarkStart w:id="220" w:name="_Toc472321526"/>
      <w:bookmarkStart w:id="221" w:name="_Toc486070574"/>
      <w:r>
        <w:rPr>
          <w:b/>
          <w:sz w:val="24"/>
          <w:szCs w:val="24"/>
        </w:rPr>
        <w:t>5.1.3施工期噪声污染防治措施</w:t>
      </w:r>
      <w:bookmarkEnd w:id="220"/>
      <w:bookmarkEnd w:id="221"/>
    </w:p>
    <w:p>
      <w:pPr>
        <w:spacing w:line="360" w:lineRule="auto"/>
        <w:ind w:firstLine="480" w:firstLineChars="200"/>
        <w:rPr>
          <w:sz w:val="24"/>
        </w:rPr>
      </w:pPr>
      <w:r>
        <w:rPr>
          <w:sz w:val="24"/>
        </w:rPr>
        <w:t>（1）本项目对近距离的噪声敏感点的影响较大，因此，在施工时要求临敏感目标一侧采取隔声减噪措施（如安装临时隔声屏障，回避、不得设置高噪声施工设备等），最大程度减轻由于施工给周围居民生活环境带来的影响。重视施工噪声对周边居民生活环境影响，及时与周边居民沟通交流，以取得谅解，减少纠纷。</w:t>
      </w:r>
    </w:p>
    <w:p>
      <w:pPr>
        <w:spacing w:line="360" w:lineRule="auto"/>
        <w:ind w:firstLine="480" w:firstLineChars="200"/>
        <w:rPr>
          <w:sz w:val="24"/>
        </w:rPr>
      </w:pPr>
      <w:r>
        <w:rPr>
          <w:sz w:val="24"/>
        </w:rPr>
        <w:t>（2）选用低噪声型的施工设备，降低噪声和振动污染。</w:t>
      </w:r>
    </w:p>
    <w:p>
      <w:pPr>
        <w:spacing w:line="360" w:lineRule="auto"/>
        <w:ind w:firstLine="480" w:firstLineChars="200"/>
        <w:rPr>
          <w:sz w:val="24"/>
        </w:rPr>
      </w:pPr>
      <w:r>
        <w:rPr>
          <w:sz w:val="24"/>
        </w:rPr>
        <w:t>（3）在施工过程中，合理安排施工时间，禁止在午间12:00 至14:00 和夜间22:00至次日6:00进行施工活动。</w:t>
      </w:r>
    </w:p>
    <w:p>
      <w:pPr>
        <w:spacing w:line="360" w:lineRule="auto"/>
        <w:ind w:firstLine="480" w:firstLineChars="200"/>
        <w:rPr>
          <w:sz w:val="24"/>
        </w:rPr>
      </w:pPr>
      <w:r>
        <w:rPr>
          <w:sz w:val="24"/>
        </w:rPr>
        <w:t>（4）施工过程严禁使用锤击桩，要使用商品混凝土，不得在现场搅拌混凝土，降低噪声污染。</w:t>
      </w:r>
    </w:p>
    <w:p>
      <w:pPr>
        <w:spacing w:line="360" w:lineRule="auto"/>
        <w:ind w:firstLine="480" w:firstLineChars="200"/>
        <w:rPr>
          <w:sz w:val="24"/>
        </w:rPr>
      </w:pPr>
      <w:r>
        <w:rPr>
          <w:sz w:val="24"/>
        </w:rPr>
        <w:t>（5）合理安排运输车辆行驶时间，同时在经过敏感目标分布路段减速慢行，禁止鸣笛。</w:t>
      </w:r>
    </w:p>
    <w:p>
      <w:pPr>
        <w:spacing w:line="360" w:lineRule="auto"/>
        <w:ind w:firstLine="480" w:firstLineChars="200"/>
        <w:rPr>
          <w:sz w:val="24"/>
        </w:rPr>
      </w:pPr>
      <w:r>
        <w:rPr>
          <w:sz w:val="24"/>
        </w:rPr>
        <w:t>（6）提高工作效率，加快施工进度，尽可能降低项目建设对周围环境的影响。确保施工期场界噪声达到GB12523-2011《建筑施工场界环境噪声排放标准》（昼间≤70dB（A），夜间≤55dB（A））。</w:t>
      </w:r>
    </w:p>
    <w:p>
      <w:pPr>
        <w:spacing w:line="360" w:lineRule="auto"/>
        <w:outlineLvl w:val="2"/>
        <w:rPr>
          <w:b/>
          <w:sz w:val="24"/>
          <w:szCs w:val="24"/>
        </w:rPr>
      </w:pPr>
      <w:bookmarkStart w:id="222" w:name="_Toc472321527"/>
      <w:bookmarkStart w:id="223" w:name="_Toc486070575"/>
      <w:r>
        <w:rPr>
          <w:b/>
          <w:sz w:val="24"/>
          <w:szCs w:val="24"/>
        </w:rPr>
        <w:t>5.1.4施工期固废污染防治措施</w:t>
      </w:r>
      <w:bookmarkEnd w:id="222"/>
      <w:bookmarkEnd w:id="223"/>
    </w:p>
    <w:p>
      <w:pPr>
        <w:spacing w:line="360" w:lineRule="auto"/>
        <w:ind w:firstLine="480" w:firstLineChars="200"/>
        <w:rPr>
          <w:sz w:val="24"/>
        </w:rPr>
      </w:pPr>
      <w:r>
        <w:rPr>
          <w:sz w:val="24"/>
        </w:rPr>
        <w:t>（1）建筑垃圾中可回收利用的则回收利用，不能回收利用的严格按照城市建设管理部门的要求运至指定地点，并且做好运输过程中的防护工作。</w:t>
      </w:r>
    </w:p>
    <w:p>
      <w:pPr>
        <w:spacing w:line="360" w:lineRule="auto"/>
        <w:ind w:firstLine="480" w:firstLineChars="200"/>
        <w:rPr>
          <w:sz w:val="24"/>
        </w:rPr>
      </w:pPr>
      <w:r>
        <w:rPr>
          <w:sz w:val="24"/>
        </w:rPr>
        <w:t>（2）生活垃圾集中收集，统一交由环卫部门处理，及时清运出工地，不得任意堆放和丢弃，保证工地的环境卫生。</w:t>
      </w:r>
    </w:p>
    <w:p>
      <w:pPr>
        <w:spacing w:line="360" w:lineRule="auto"/>
        <w:ind w:firstLine="480" w:firstLineChars="200"/>
        <w:rPr>
          <w:sz w:val="24"/>
        </w:rPr>
      </w:pPr>
      <w:r>
        <w:rPr>
          <w:sz w:val="24"/>
        </w:rPr>
        <w:t>（3）装修阶段产生的油漆废渣、废油漆桶应分类单独收集贮存，该类固废属于《国家危险废物名录》中的危废，经收集后送往有资质的单位进行处置。</w:t>
      </w:r>
    </w:p>
    <w:p>
      <w:pPr>
        <w:pStyle w:val="73"/>
        <w:rPr>
          <w:rFonts w:eastAsia="宋体"/>
        </w:rPr>
      </w:pPr>
      <w:bookmarkStart w:id="224" w:name="_Toc486070576"/>
      <w:r>
        <w:rPr>
          <w:rFonts w:eastAsia="宋体"/>
        </w:rPr>
        <w:t>5.2运营</w:t>
      </w:r>
      <w:r>
        <w:rPr>
          <w:rFonts w:eastAsia="宋体"/>
          <w:bCs/>
        </w:rPr>
        <w:t>期环境保护措施及建议</w:t>
      </w:r>
      <w:bookmarkEnd w:id="224"/>
    </w:p>
    <w:p>
      <w:pPr>
        <w:spacing w:line="360" w:lineRule="auto"/>
        <w:outlineLvl w:val="2"/>
        <w:rPr>
          <w:b/>
          <w:sz w:val="24"/>
          <w:szCs w:val="24"/>
        </w:rPr>
      </w:pPr>
      <w:bookmarkStart w:id="225" w:name="_Toc486070577"/>
      <w:bookmarkStart w:id="226" w:name="_Toc472321529"/>
      <w:r>
        <w:rPr>
          <w:b/>
          <w:sz w:val="24"/>
          <w:szCs w:val="24"/>
        </w:rPr>
        <w:t>5.2.1 污水防治措施</w:t>
      </w:r>
      <w:bookmarkEnd w:id="225"/>
      <w:bookmarkEnd w:id="226"/>
    </w:p>
    <w:p>
      <w:pPr>
        <w:spacing w:line="360" w:lineRule="auto"/>
        <w:ind w:firstLine="480" w:firstLineChars="200"/>
        <w:rPr>
          <w:sz w:val="24"/>
        </w:rPr>
      </w:pPr>
      <w:r>
        <w:rPr>
          <w:sz w:val="24"/>
        </w:rPr>
        <w:t>（1）项目餐饮废水需先经隔油沉淀池（1个，容积30m</w:t>
      </w:r>
      <w:r>
        <w:rPr>
          <w:sz w:val="24"/>
          <w:vertAlign w:val="superscript"/>
        </w:rPr>
        <w:t>3</w:t>
      </w:r>
      <w:r>
        <w:rPr>
          <w:sz w:val="24"/>
        </w:rPr>
        <w:t>）预处理后，再与生活污水一同进入化粪池（1个，容积100m</w:t>
      </w:r>
      <w:r>
        <w:rPr>
          <w:sz w:val="24"/>
          <w:vertAlign w:val="superscript"/>
        </w:rPr>
        <w:t>3</w:t>
      </w:r>
      <w:r>
        <w:rPr>
          <w:sz w:val="24"/>
        </w:rPr>
        <w:t>）；实验室酸碱废水经中和沉淀池预处理后进入化粪池，经化粪池停留12小时以上处理，达GB8978-1996《污水综合排放标准》表4三级标准，其中氨氮指标执行《污水排入城市下水道水质标准》（CJ343-2010）后，通过项目</w:t>
      </w:r>
      <w:r>
        <w:rPr>
          <w:rFonts w:hint="eastAsia"/>
          <w:sz w:val="24"/>
        </w:rPr>
        <w:t>东侧</w:t>
      </w:r>
      <w:r>
        <w:rPr>
          <w:sz w:val="24"/>
        </w:rPr>
        <w:t>市政污水管网，最终纳入福州大学城污水处理厂。</w:t>
      </w:r>
    </w:p>
    <w:p>
      <w:pPr>
        <w:spacing w:line="360" w:lineRule="auto"/>
        <w:ind w:firstLine="480" w:firstLineChars="200"/>
        <w:rPr>
          <w:sz w:val="24"/>
        </w:rPr>
      </w:pPr>
      <w:r>
        <w:rPr>
          <w:sz w:val="24"/>
        </w:rPr>
        <w:t>（2）污水收集管网接管率必须达到100%，管网设计必须满足收集污水量、埋深和最小不淤流速的要求。</w:t>
      </w:r>
    </w:p>
    <w:p>
      <w:pPr>
        <w:spacing w:line="360" w:lineRule="auto"/>
        <w:ind w:firstLine="480" w:firstLineChars="200"/>
        <w:rPr>
          <w:sz w:val="24"/>
        </w:rPr>
      </w:pPr>
      <w:r>
        <w:rPr>
          <w:sz w:val="24"/>
        </w:rPr>
        <w:t>（3）本项目建设时，化粪池出口应按市政规划部门批准指定的污水干管接口位置进行联接，并预留必要的检查口，保证方便对污水出水水质的监测和日常检查。</w:t>
      </w:r>
    </w:p>
    <w:p>
      <w:pPr>
        <w:spacing w:line="360" w:lineRule="auto"/>
        <w:outlineLvl w:val="2"/>
        <w:rPr>
          <w:b/>
          <w:sz w:val="24"/>
          <w:szCs w:val="24"/>
        </w:rPr>
      </w:pPr>
      <w:bookmarkStart w:id="227" w:name="_Toc472321530"/>
      <w:bookmarkStart w:id="228" w:name="_Toc486070578"/>
      <w:r>
        <w:rPr>
          <w:b/>
          <w:sz w:val="24"/>
          <w:szCs w:val="24"/>
        </w:rPr>
        <w:t>5.2.2大气防治措施</w:t>
      </w:r>
      <w:bookmarkEnd w:id="227"/>
      <w:bookmarkEnd w:id="228"/>
    </w:p>
    <w:p>
      <w:pPr>
        <w:spacing w:line="460" w:lineRule="exact"/>
        <w:ind w:right="-3" w:firstLine="470" w:firstLineChars="196"/>
        <w:jc w:val="left"/>
        <w:rPr>
          <w:sz w:val="24"/>
        </w:rPr>
      </w:pPr>
      <w:r>
        <w:rPr>
          <w:sz w:val="24"/>
        </w:rPr>
        <w:t>（1）</w:t>
      </w:r>
      <w:r>
        <w:rPr>
          <w:rFonts w:hint="eastAsia"/>
          <w:sz w:val="24"/>
        </w:rPr>
        <w:t>化学实验加热过程中，会产生少量的刺激性气体和白烟，如加热燃烧实验中，镁条燃烧会产生白色的烟、硫在氧气中燃烧会产生明亮的蓝紫色火焰、放出热量，生成一种刺激性的气体。氯化钠固体与浓硫酸混合加热，有白雾和刺激性气体产生。因此，本项目化学实验过程中将会产生白烟、雾、和刺激性气体。由于每次实验所需的化学药品量非常少，产生的白烟、雾，和刺激性气的量也较少。且要求在化学实验室内设置通风橱，化学实验产生的废气经通风橱集中于一根专用的竖井于屋顶排放，同时，加强化学实验室内的排风设置管理，排风机安装在室内的窗户上，并加设消声装置。因此，采取以上环保措施后，项目化学实验产生的废气对周围环境产生的影响较小。</w:t>
      </w:r>
    </w:p>
    <w:p>
      <w:pPr>
        <w:spacing w:line="360" w:lineRule="auto"/>
        <w:ind w:firstLine="480" w:firstLineChars="200"/>
        <w:rPr>
          <w:sz w:val="24"/>
        </w:rPr>
      </w:pPr>
      <w:r>
        <w:rPr>
          <w:sz w:val="24"/>
        </w:rPr>
        <w:t>（</w:t>
      </w:r>
      <w:r>
        <w:rPr>
          <w:rFonts w:hint="eastAsia"/>
          <w:sz w:val="24"/>
        </w:rPr>
        <w:t>2</w:t>
      </w:r>
      <w:r>
        <w:rPr>
          <w:sz w:val="24"/>
        </w:rPr>
        <w:t>）食堂设有</w:t>
      </w:r>
      <w:r>
        <w:rPr>
          <w:rFonts w:hint="eastAsia"/>
          <w:sz w:val="24"/>
        </w:rPr>
        <w:t>14</w:t>
      </w:r>
      <w:r>
        <w:rPr>
          <w:sz w:val="24"/>
        </w:rPr>
        <w:t>个基准灶头，油烟经油烟净化设施处理后通过专用油烟管道至所在宿舍楼屋顶排放，油烟废气可达到GB18483-2001《饮食业油烟排放标准（试行）》中“大型规模”的要求（即油烟最高允许排放浓度为2mg/m</w:t>
      </w:r>
      <w:r>
        <w:rPr>
          <w:sz w:val="24"/>
          <w:vertAlign w:val="superscript"/>
        </w:rPr>
        <w:t>3</w:t>
      </w:r>
      <w:r>
        <w:rPr>
          <w:sz w:val="24"/>
        </w:rPr>
        <w:t>、净化设施最低去除效率为85%）。烟囱和竖井的设置应符合《民用建筑设计通则》（GB50352-2005）。</w:t>
      </w:r>
    </w:p>
    <w:p>
      <w:pPr>
        <w:spacing w:line="360" w:lineRule="auto"/>
        <w:ind w:firstLine="480" w:firstLineChars="200"/>
        <w:rPr>
          <w:sz w:val="24"/>
        </w:rPr>
      </w:pPr>
      <w:r>
        <w:rPr>
          <w:sz w:val="24"/>
        </w:rPr>
        <w:t>（3）地下车库设机械排风（兼作排烟），自然进风，排风机采用轴流风机，由土建竖井引至室外排放，废气排放口应高于地面2.5m以上，朝向绿化带，并尽量避开居民窗口和行人道路，风机入口设280℃可关闭的排烟防火阀。</w:t>
      </w:r>
    </w:p>
    <w:p>
      <w:pPr>
        <w:spacing w:line="360" w:lineRule="auto"/>
        <w:ind w:firstLine="480" w:firstLineChars="200"/>
        <w:rPr>
          <w:sz w:val="24"/>
        </w:rPr>
      </w:pPr>
      <w:r>
        <w:rPr>
          <w:sz w:val="24"/>
        </w:rPr>
        <w:t>（4）备用的柴油发电机排风的烟气经过消声器处理后由排烟管道引至</w:t>
      </w:r>
      <w:r>
        <w:rPr>
          <w:rFonts w:hint="eastAsia"/>
          <w:sz w:val="24"/>
        </w:rPr>
        <w:t>学生教师周转房</w:t>
      </w:r>
      <w:r>
        <w:rPr>
          <w:sz w:val="24"/>
        </w:rPr>
        <w:t>屋顶排放（排放高度不低于15m），排烟管道的设置应符合《民用建筑设计通则》（GB50352-2005）。</w:t>
      </w:r>
    </w:p>
    <w:p>
      <w:pPr>
        <w:spacing w:line="360" w:lineRule="auto"/>
        <w:ind w:firstLine="480" w:firstLineChars="200"/>
        <w:rPr>
          <w:sz w:val="24"/>
        </w:rPr>
      </w:pPr>
      <w:r>
        <w:rPr>
          <w:sz w:val="24"/>
        </w:rPr>
        <w:t>（5）建议在项目区四周种植高大的乔木，形成缓冲带，减小周边道路汽车尾气和交通噪声对学校的影响。</w:t>
      </w:r>
    </w:p>
    <w:p>
      <w:pPr>
        <w:spacing w:line="360" w:lineRule="auto"/>
        <w:ind w:firstLine="480" w:firstLineChars="200"/>
        <w:rPr>
          <w:sz w:val="24"/>
        </w:rPr>
      </w:pPr>
      <w:r>
        <w:rPr>
          <w:sz w:val="24"/>
        </w:rPr>
        <w:t>（6）本项目食堂烟囱和竖井、以及备用柴油发电机排烟管道的设置应符合《民用建筑设计通则》（GB50352-2005），摘录如下：</w:t>
      </w:r>
    </w:p>
    <w:p>
      <w:pPr>
        <w:spacing w:line="360" w:lineRule="auto"/>
        <w:ind w:firstLine="480" w:firstLineChars="200"/>
        <w:rPr>
          <w:sz w:val="24"/>
        </w:rPr>
      </w:pPr>
      <w:r>
        <w:rPr>
          <w:sz w:val="24"/>
        </w:rPr>
        <w:t>①6.14.1 管道井、烟道、通风道和垃圾管道应分别独立设置，不得使用同一管道系统，并应用非燃烧体材料制作。</w:t>
      </w:r>
    </w:p>
    <w:p>
      <w:pPr>
        <w:spacing w:line="360" w:lineRule="auto"/>
        <w:ind w:firstLine="480" w:firstLineChars="200"/>
        <w:rPr>
          <w:sz w:val="24"/>
        </w:rPr>
      </w:pPr>
      <w:r>
        <w:rPr>
          <w:sz w:val="24"/>
        </w:rPr>
        <w:t>②6.14.3 烟道和通风道的断面、形状、尺寸和内壁应有利于排烟(气)通畅，防止产生阻滞、涡流、窜烟、漏气和倒灌等现象。</w:t>
      </w:r>
    </w:p>
    <w:p>
      <w:pPr>
        <w:spacing w:line="360" w:lineRule="auto"/>
        <w:ind w:firstLine="480" w:firstLineChars="200"/>
        <w:rPr>
          <w:sz w:val="24"/>
        </w:rPr>
      </w:pPr>
      <w:r>
        <w:rPr>
          <w:sz w:val="24"/>
        </w:rPr>
        <w:t>③6.14.4 烟道和通风道应伸出屋面，伸出高度应有利烟气扩散，并应根据屋面形式、排出口周围遮挡物的高度、距离和积雪深度确定。平屋面伸出高度不得小于0.60m，且不得低于女儿墙的高度。</w:t>
      </w:r>
    </w:p>
    <w:p>
      <w:pPr>
        <w:spacing w:line="360" w:lineRule="auto"/>
        <w:ind w:firstLine="480" w:firstLineChars="200"/>
        <w:rPr>
          <w:sz w:val="24"/>
        </w:rPr>
      </w:pPr>
      <w:r>
        <w:rPr>
          <w:sz w:val="24"/>
        </w:rPr>
        <w:t>④8.3.3 柴油发电机房应符合下列要求：柴油发电机房设置在地下一层时，至少应有一侧靠外墙，热风和排烟管道应伸出室外；排烟管道的设置应达到环境保护要求；柴油发电机房应采取机组消声及机房隔声综合治理措施。</w:t>
      </w:r>
    </w:p>
    <w:p>
      <w:pPr>
        <w:spacing w:line="360" w:lineRule="auto"/>
        <w:outlineLvl w:val="2"/>
        <w:rPr>
          <w:b/>
          <w:sz w:val="24"/>
          <w:szCs w:val="24"/>
        </w:rPr>
      </w:pPr>
      <w:bookmarkStart w:id="229" w:name="_Toc486070579"/>
      <w:bookmarkStart w:id="230" w:name="_Toc472321531"/>
      <w:r>
        <w:rPr>
          <w:b/>
          <w:sz w:val="24"/>
          <w:szCs w:val="24"/>
        </w:rPr>
        <w:t>5.2.3噪声防治措施</w:t>
      </w:r>
      <w:bookmarkEnd w:id="229"/>
      <w:bookmarkEnd w:id="230"/>
    </w:p>
    <w:p>
      <w:pPr>
        <w:spacing w:line="360" w:lineRule="auto"/>
        <w:ind w:firstLine="480" w:firstLineChars="200"/>
        <w:rPr>
          <w:sz w:val="24"/>
        </w:rPr>
      </w:pPr>
      <w:r>
        <w:rPr>
          <w:sz w:val="24"/>
        </w:rPr>
        <w:t>（1）选用变频水泵，水泵设置于密闭的房间内，并多孔介质做减震垫，水泵于管道连接时采用柔性方式，在抽风机进出风口处设消声器；备用发电机设置于密闭的房间内，发电机安装特制的阻抗型复合式的消声器以降低排气噪声，安装阻性片式消声器以降低轴流风机噪声；变压器噪声属于典型的低频噪声，配电房安装隔声门、基础减震、吸声吊顶和墙体吸声材料等减震降噪措施。</w:t>
      </w:r>
    </w:p>
    <w:p>
      <w:pPr>
        <w:spacing w:line="360" w:lineRule="auto"/>
        <w:ind w:firstLine="480" w:firstLineChars="200"/>
        <w:rPr>
          <w:sz w:val="24"/>
        </w:rPr>
      </w:pPr>
      <w:r>
        <w:rPr>
          <w:sz w:val="24"/>
        </w:rPr>
        <w:t>（2）选用低噪声的广播喇叭，禁止使用高音喇叭。</w:t>
      </w:r>
    </w:p>
    <w:p>
      <w:pPr>
        <w:spacing w:line="360" w:lineRule="auto"/>
        <w:ind w:firstLine="480" w:firstLineChars="200"/>
        <w:rPr>
          <w:sz w:val="24"/>
        </w:rPr>
      </w:pPr>
      <w:r>
        <w:rPr>
          <w:sz w:val="24"/>
        </w:rPr>
        <w:t>（3）在学校四周设置树木绿化带。</w:t>
      </w:r>
    </w:p>
    <w:p>
      <w:pPr>
        <w:spacing w:line="360" w:lineRule="auto"/>
        <w:ind w:firstLine="480" w:firstLineChars="200"/>
        <w:rPr>
          <w:sz w:val="24"/>
        </w:rPr>
      </w:pPr>
      <w:r>
        <w:rPr>
          <w:sz w:val="24"/>
        </w:rPr>
        <w:t>采取以上措施后学校场界噪声能够满足GB12348-2008《工业企业厂界环境噪声排放标准》中2类标准；周边敏感点能够满足GB3096-2008《声环境质量标准》中2类标准。</w:t>
      </w:r>
    </w:p>
    <w:p>
      <w:pPr>
        <w:spacing w:line="360" w:lineRule="auto"/>
        <w:outlineLvl w:val="2"/>
        <w:rPr>
          <w:b/>
          <w:sz w:val="24"/>
          <w:szCs w:val="24"/>
        </w:rPr>
      </w:pPr>
      <w:bookmarkStart w:id="231" w:name="_Toc472321532"/>
      <w:bookmarkStart w:id="232" w:name="_Toc486070580"/>
      <w:r>
        <w:rPr>
          <w:b/>
          <w:sz w:val="24"/>
          <w:szCs w:val="24"/>
        </w:rPr>
        <w:t>5.2.4固废防治措施</w:t>
      </w:r>
      <w:bookmarkEnd w:id="231"/>
      <w:bookmarkEnd w:id="232"/>
    </w:p>
    <w:p>
      <w:pPr>
        <w:spacing w:line="360" w:lineRule="auto"/>
        <w:ind w:firstLine="480" w:firstLineChars="200"/>
        <w:rPr>
          <w:sz w:val="24"/>
        </w:rPr>
      </w:pPr>
      <w:r>
        <w:rPr>
          <w:sz w:val="24"/>
        </w:rPr>
        <w:t>（1）在项目内设置可移动式垃圾桶，生活垃圾统一收集后委托环卫部门清运处理，做到日产日清。</w:t>
      </w:r>
    </w:p>
    <w:p>
      <w:pPr>
        <w:spacing w:line="360" w:lineRule="auto"/>
        <w:ind w:firstLine="480" w:firstLineChars="200"/>
        <w:rPr>
          <w:sz w:val="24"/>
        </w:rPr>
      </w:pPr>
      <w:r>
        <w:rPr>
          <w:sz w:val="24"/>
        </w:rPr>
        <w:t>（2）食堂餐厨垃圾应委托有资质的专业化处理运营单位进行回收处理。</w:t>
      </w:r>
    </w:p>
    <w:p>
      <w:pPr>
        <w:spacing w:line="360" w:lineRule="auto"/>
        <w:ind w:firstLine="480" w:firstLineChars="200"/>
        <w:rPr>
          <w:sz w:val="24"/>
        </w:rPr>
      </w:pPr>
      <w:r>
        <w:rPr>
          <w:sz w:val="24"/>
        </w:rPr>
        <w:t>（3）化粪池污泥半年清掏一次，由环卫部门清运处理。固废妥善处理处置后，对周边环境卫生影响不大。</w:t>
      </w:r>
    </w:p>
    <w:p>
      <w:pPr>
        <w:spacing w:line="360" w:lineRule="auto"/>
        <w:ind w:firstLine="480" w:firstLineChars="200"/>
        <w:rPr>
          <w:sz w:val="24"/>
        </w:rPr>
      </w:pPr>
      <w:r>
        <w:rPr>
          <w:sz w:val="24"/>
        </w:rPr>
        <w:t>（4）实验室产生的危险废物在实验室内单独收集后委托有资质的单位处置。</w:t>
      </w:r>
    </w:p>
    <w:p>
      <w:pPr>
        <w:pStyle w:val="2"/>
        <w:keepNext w:val="0"/>
        <w:keepLines w:val="0"/>
        <w:autoSpaceDE w:val="0"/>
        <w:autoSpaceDN w:val="0"/>
        <w:adjustRightInd w:val="0"/>
        <w:spacing w:beforeLines="50" w:after="0" w:line="360" w:lineRule="auto"/>
        <w:rPr>
          <w:rFonts w:eastAsia="宋体"/>
          <w:kern w:val="2"/>
          <w:sz w:val="30"/>
          <w:szCs w:val="28"/>
        </w:rPr>
      </w:pPr>
      <w:bookmarkStart w:id="233" w:name="_Toc486070581"/>
      <w:r>
        <w:rPr>
          <w:rFonts w:hint="eastAsia" w:eastAsia="宋体"/>
          <w:kern w:val="2"/>
          <w:sz w:val="30"/>
          <w:szCs w:val="28"/>
        </w:rPr>
        <w:t>六</w:t>
      </w:r>
      <w:r>
        <w:rPr>
          <w:rFonts w:eastAsia="宋体"/>
          <w:kern w:val="2"/>
          <w:sz w:val="30"/>
          <w:szCs w:val="28"/>
        </w:rPr>
        <w:t>、扩建前后“三本账”</w:t>
      </w:r>
      <w:bookmarkEnd w:id="233"/>
    </w:p>
    <w:p>
      <w:pPr>
        <w:spacing w:line="460" w:lineRule="exact"/>
        <w:ind w:right="-3" w:firstLine="480" w:firstLineChars="200"/>
        <w:rPr>
          <w:bCs/>
          <w:sz w:val="24"/>
        </w:rPr>
      </w:pPr>
      <w:r>
        <w:rPr>
          <w:sz w:val="24"/>
        </w:rPr>
        <w:t>本次扩建后，其三本帐分析见下表。</w:t>
      </w:r>
    </w:p>
    <w:p>
      <w:pPr>
        <w:pStyle w:val="86"/>
        <w:spacing w:line="400" w:lineRule="exact"/>
        <w:ind w:firstLine="1653" w:firstLineChars="686"/>
        <w:rPr>
          <w:b/>
          <w:color w:val="FF0000"/>
          <w:u w:val="single"/>
        </w:rPr>
      </w:pPr>
      <w:r>
        <w:rPr>
          <w:b/>
          <w:color w:val="auto"/>
        </w:rPr>
        <w:t>表</w:t>
      </w:r>
      <w:r>
        <w:rPr>
          <w:rFonts w:hint="eastAsia"/>
          <w:b/>
          <w:color w:val="auto"/>
        </w:rPr>
        <w:t>6-1</w:t>
      </w:r>
      <w:r>
        <w:rPr>
          <w:b/>
          <w:color w:val="auto"/>
        </w:rPr>
        <w:t xml:space="preserve">   项目扩建前后全校污染物产生、排放总量一览表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0"/>
        <w:gridCol w:w="2701"/>
        <w:gridCol w:w="1342"/>
        <w:gridCol w:w="1579"/>
        <w:gridCol w:w="16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90" w:type="dxa"/>
            <w:vAlign w:val="center"/>
          </w:tcPr>
          <w:p>
            <w:pPr>
              <w:jc w:val="center"/>
              <w:rPr>
                <w:szCs w:val="21"/>
              </w:rPr>
            </w:pPr>
            <w:r>
              <w:rPr>
                <w:szCs w:val="21"/>
              </w:rPr>
              <w:t>项目名称</w:t>
            </w:r>
          </w:p>
        </w:tc>
        <w:tc>
          <w:tcPr>
            <w:tcW w:w="2701" w:type="dxa"/>
            <w:vAlign w:val="center"/>
          </w:tcPr>
          <w:p>
            <w:pPr>
              <w:jc w:val="center"/>
              <w:rPr>
                <w:szCs w:val="21"/>
              </w:rPr>
            </w:pPr>
            <w:r>
              <w:rPr>
                <w:szCs w:val="21"/>
              </w:rPr>
              <w:t>类别</w:t>
            </w:r>
          </w:p>
        </w:tc>
        <w:tc>
          <w:tcPr>
            <w:tcW w:w="1342" w:type="dxa"/>
            <w:tcBorders>
              <w:right w:val="single" w:color="auto" w:sz="4" w:space="0"/>
            </w:tcBorders>
            <w:vAlign w:val="center"/>
          </w:tcPr>
          <w:p>
            <w:pPr>
              <w:jc w:val="center"/>
              <w:rPr>
                <w:szCs w:val="21"/>
              </w:rPr>
            </w:pPr>
            <w:r>
              <w:rPr>
                <w:szCs w:val="21"/>
              </w:rPr>
              <w:t>现有项目排放量（t/a）</w:t>
            </w:r>
          </w:p>
        </w:tc>
        <w:tc>
          <w:tcPr>
            <w:tcW w:w="1579" w:type="dxa"/>
            <w:tcBorders>
              <w:left w:val="single" w:color="auto" w:sz="4" w:space="0"/>
            </w:tcBorders>
            <w:vAlign w:val="center"/>
          </w:tcPr>
          <w:p>
            <w:pPr>
              <w:jc w:val="center"/>
              <w:rPr>
                <w:szCs w:val="21"/>
              </w:rPr>
            </w:pPr>
            <w:r>
              <w:rPr>
                <w:szCs w:val="21"/>
              </w:rPr>
              <w:t>扩建后项目排放量（t/a）</w:t>
            </w:r>
          </w:p>
        </w:tc>
        <w:tc>
          <w:tcPr>
            <w:tcW w:w="1647" w:type="dxa"/>
            <w:vAlign w:val="center"/>
          </w:tcPr>
          <w:p>
            <w:pPr>
              <w:jc w:val="center"/>
              <w:rPr>
                <w:szCs w:val="21"/>
              </w:rPr>
            </w:pPr>
            <w:r>
              <w:rPr>
                <w:szCs w:val="21"/>
              </w:rPr>
              <w:t>排放增减量（t/a）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490" w:type="dxa"/>
            <w:vMerge w:val="restart"/>
            <w:vAlign w:val="center"/>
          </w:tcPr>
          <w:p>
            <w:pPr>
              <w:jc w:val="center"/>
              <w:rPr>
                <w:szCs w:val="21"/>
              </w:rPr>
            </w:pPr>
            <w:r>
              <w:rPr>
                <w:szCs w:val="21"/>
              </w:rPr>
              <w:t>废水</w:t>
            </w:r>
          </w:p>
        </w:tc>
        <w:tc>
          <w:tcPr>
            <w:tcW w:w="2701" w:type="dxa"/>
            <w:vAlign w:val="center"/>
          </w:tcPr>
          <w:p>
            <w:pPr>
              <w:jc w:val="center"/>
              <w:rPr>
                <w:szCs w:val="21"/>
              </w:rPr>
            </w:pPr>
            <w:r>
              <w:rPr>
                <w:szCs w:val="21"/>
              </w:rPr>
              <w:t>废水量</w:t>
            </w:r>
          </w:p>
        </w:tc>
        <w:tc>
          <w:tcPr>
            <w:tcW w:w="1342" w:type="dxa"/>
            <w:tcBorders>
              <w:right w:val="single" w:color="auto" w:sz="4" w:space="0"/>
            </w:tcBorders>
            <w:vAlign w:val="center"/>
          </w:tcPr>
          <w:p>
            <w:pPr>
              <w:jc w:val="center"/>
              <w:rPr>
                <w:szCs w:val="21"/>
              </w:rPr>
            </w:pPr>
            <w:r>
              <w:rPr>
                <w:rFonts w:hint="eastAsia"/>
                <w:szCs w:val="21"/>
              </w:rPr>
              <w:t>21219</w:t>
            </w:r>
          </w:p>
        </w:tc>
        <w:tc>
          <w:tcPr>
            <w:tcW w:w="1579" w:type="dxa"/>
            <w:tcBorders>
              <w:left w:val="single" w:color="auto" w:sz="4" w:space="0"/>
            </w:tcBorders>
            <w:vAlign w:val="center"/>
          </w:tcPr>
          <w:p>
            <w:pPr>
              <w:jc w:val="center"/>
              <w:rPr>
                <w:szCs w:val="21"/>
              </w:rPr>
            </w:pPr>
            <w:r>
              <w:rPr>
                <w:rFonts w:hint="eastAsia"/>
                <w:szCs w:val="21"/>
              </w:rPr>
              <w:t>50457</w:t>
            </w:r>
          </w:p>
        </w:tc>
        <w:tc>
          <w:tcPr>
            <w:tcW w:w="1647" w:type="dxa"/>
            <w:vAlign w:val="center"/>
          </w:tcPr>
          <w:p>
            <w:pPr>
              <w:jc w:val="center"/>
              <w:rPr>
                <w:color w:val="000000"/>
                <w:szCs w:val="21"/>
              </w:rPr>
            </w:pPr>
            <w:r>
              <w:rPr>
                <w:rFonts w:hint="eastAsia"/>
                <w:kern w:val="0"/>
                <w:szCs w:val="21"/>
                <w:lang w:bidi="ar"/>
              </w:rPr>
              <w:t>+</w:t>
            </w:r>
            <w:r>
              <w:rPr>
                <w:color w:val="000000"/>
                <w:szCs w:val="21"/>
              </w:rPr>
              <w:t>29238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 w:hRule="atLeast"/>
        </w:trPr>
        <w:tc>
          <w:tcPr>
            <w:tcW w:w="1490" w:type="dxa"/>
            <w:vMerge w:val="continue"/>
            <w:vAlign w:val="center"/>
          </w:tcPr>
          <w:p>
            <w:pPr>
              <w:jc w:val="center"/>
              <w:rPr>
                <w:szCs w:val="21"/>
              </w:rPr>
            </w:pPr>
          </w:p>
        </w:tc>
        <w:tc>
          <w:tcPr>
            <w:tcW w:w="2701" w:type="dxa"/>
            <w:vAlign w:val="center"/>
          </w:tcPr>
          <w:p>
            <w:pPr>
              <w:jc w:val="center"/>
              <w:rPr>
                <w:szCs w:val="21"/>
              </w:rPr>
            </w:pPr>
            <w:r>
              <w:rPr>
                <w:szCs w:val="21"/>
              </w:rPr>
              <w:t>CODcr</w:t>
            </w:r>
          </w:p>
        </w:tc>
        <w:tc>
          <w:tcPr>
            <w:tcW w:w="1342" w:type="dxa"/>
            <w:tcBorders>
              <w:right w:val="single" w:color="auto" w:sz="4" w:space="0"/>
            </w:tcBorders>
            <w:vAlign w:val="center"/>
          </w:tcPr>
          <w:p>
            <w:pPr>
              <w:jc w:val="center"/>
              <w:rPr>
                <w:szCs w:val="21"/>
              </w:rPr>
            </w:pPr>
            <w:r>
              <w:rPr>
                <w:rFonts w:hint="eastAsia"/>
                <w:szCs w:val="21"/>
              </w:rPr>
              <w:t>1.06</w:t>
            </w:r>
          </w:p>
        </w:tc>
        <w:tc>
          <w:tcPr>
            <w:tcW w:w="1579" w:type="dxa"/>
            <w:tcBorders>
              <w:left w:val="single" w:color="auto" w:sz="4" w:space="0"/>
            </w:tcBorders>
            <w:vAlign w:val="center"/>
          </w:tcPr>
          <w:p>
            <w:pPr>
              <w:jc w:val="center"/>
              <w:rPr>
                <w:szCs w:val="21"/>
              </w:rPr>
            </w:pPr>
            <w:r>
              <w:rPr>
                <w:rFonts w:hint="eastAsia"/>
                <w:szCs w:val="21"/>
              </w:rPr>
              <w:t>2.52</w:t>
            </w:r>
          </w:p>
        </w:tc>
        <w:tc>
          <w:tcPr>
            <w:tcW w:w="1647" w:type="dxa"/>
            <w:vAlign w:val="center"/>
          </w:tcPr>
          <w:p>
            <w:pPr>
              <w:jc w:val="center"/>
              <w:rPr>
                <w:color w:val="000000"/>
                <w:szCs w:val="21"/>
              </w:rPr>
            </w:pPr>
            <w:r>
              <w:rPr>
                <w:rFonts w:hint="eastAsia"/>
                <w:kern w:val="0"/>
                <w:szCs w:val="21"/>
                <w:lang w:bidi="ar"/>
              </w:rPr>
              <w:t>+</w:t>
            </w:r>
            <w:r>
              <w:rPr>
                <w:color w:val="000000"/>
                <w:szCs w:val="21"/>
              </w:rPr>
              <w:t>1.46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1490" w:type="dxa"/>
            <w:vMerge w:val="continue"/>
            <w:vAlign w:val="center"/>
          </w:tcPr>
          <w:p>
            <w:pPr>
              <w:jc w:val="center"/>
              <w:rPr>
                <w:szCs w:val="21"/>
              </w:rPr>
            </w:pPr>
          </w:p>
        </w:tc>
        <w:tc>
          <w:tcPr>
            <w:tcW w:w="2701" w:type="dxa"/>
            <w:vAlign w:val="center"/>
          </w:tcPr>
          <w:p>
            <w:pPr>
              <w:pStyle w:val="6"/>
              <w:spacing w:line="340" w:lineRule="exact"/>
              <w:ind w:firstLine="0"/>
              <w:jc w:val="center"/>
              <w:rPr>
                <w:sz w:val="21"/>
                <w:szCs w:val="21"/>
              </w:rPr>
            </w:pPr>
            <w:r>
              <w:rPr>
                <w:sz w:val="21"/>
                <w:szCs w:val="21"/>
              </w:rPr>
              <w:t>BOD</w:t>
            </w:r>
            <w:r>
              <w:rPr>
                <w:sz w:val="21"/>
                <w:szCs w:val="21"/>
                <w:vertAlign w:val="subscript"/>
              </w:rPr>
              <w:t>5</w:t>
            </w:r>
          </w:p>
        </w:tc>
        <w:tc>
          <w:tcPr>
            <w:tcW w:w="1342" w:type="dxa"/>
            <w:tcBorders>
              <w:right w:val="single" w:color="auto" w:sz="4" w:space="0"/>
            </w:tcBorders>
            <w:vAlign w:val="center"/>
          </w:tcPr>
          <w:p>
            <w:pPr>
              <w:jc w:val="center"/>
              <w:rPr>
                <w:szCs w:val="21"/>
              </w:rPr>
            </w:pPr>
            <w:r>
              <w:rPr>
                <w:rFonts w:hint="eastAsia"/>
                <w:szCs w:val="21"/>
              </w:rPr>
              <w:t>0.21</w:t>
            </w:r>
          </w:p>
        </w:tc>
        <w:tc>
          <w:tcPr>
            <w:tcW w:w="1579" w:type="dxa"/>
            <w:tcBorders>
              <w:left w:val="single" w:color="auto" w:sz="4" w:space="0"/>
            </w:tcBorders>
            <w:vAlign w:val="center"/>
          </w:tcPr>
          <w:p>
            <w:pPr>
              <w:jc w:val="center"/>
              <w:rPr>
                <w:szCs w:val="21"/>
              </w:rPr>
            </w:pPr>
            <w:r>
              <w:rPr>
                <w:rFonts w:hint="eastAsia"/>
                <w:szCs w:val="21"/>
              </w:rPr>
              <w:t>0.50</w:t>
            </w:r>
          </w:p>
        </w:tc>
        <w:tc>
          <w:tcPr>
            <w:tcW w:w="1647" w:type="dxa"/>
            <w:vAlign w:val="center"/>
          </w:tcPr>
          <w:p>
            <w:pPr>
              <w:jc w:val="center"/>
              <w:rPr>
                <w:color w:val="000000"/>
                <w:szCs w:val="21"/>
              </w:rPr>
            </w:pPr>
            <w:r>
              <w:rPr>
                <w:rFonts w:hint="eastAsia"/>
                <w:kern w:val="0"/>
                <w:szCs w:val="21"/>
                <w:lang w:bidi="ar"/>
              </w:rPr>
              <w:t>+</w:t>
            </w:r>
            <w:r>
              <w:rPr>
                <w:color w:val="000000"/>
                <w:szCs w:val="21"/>
              </w:rPr>
              <w:t>0.29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1490" w:type="dxa"/>
            <w:vMerge w:val="continue"/>
            <w:vAlign w:val="center"/>
          </w:tcPr>
          <w:p>
            <w:pPr>
              <w:jc w:val="center"/>
              <w:rPr>
                <w:szCs w:val="21"/>
              </w:rPr>
            </w:pPr>
          </w:p>
        </w:tc>
        <w:tc>
          <w:tcPr>
            <w:tcW w:w="2701" w:type="dxa"/>
            <w:vAlign w:val="center"/>
          </w:tcPr>
          <w:p>
            <w:pPr>
              <w:pStyle w:val="6"/>
              <w:spacing w:line="340" w:lineRule="exact"/>
              <w:ind w:firstLine="0"/>
              <w:jc w:val="center"/>
              <w:rPr>
                <w:sz w:val="21"/>
                <w:szCs w:val="21"/>
              </w:rPr>
            </w:pPr>
            <w:r>
              <w:rPr>
                <w:sz w:val="21"/>
                <w:szCs w:val="21"/>
              </w:rPr>
              <w:t>NH</w:t>
            </w:r>
            <w:r>
              <w:rPr>
                <w:sz w:val="21"/>
                <w:szCs w:val="21"/>
                <w:vertAlign w:val="subscript"/>
              </w:rPr>
              <w:t>3</w:t>
            </w:r>
            <w:r>
              <w:rPr>
                <w:sz w:val="21"/>
                <w:szCs w:val="21"/>
              </w:rPr>
              <w:t>-N</w:t>
            </w:r>
          </w:p>
        </w:tc>
        <w:tc>
          <w:tcPr>
            <w:tcW w:w="1342" w:type="dxa"/>
            <w:tcBorders>
              <w:right w:val="single" w:color="auto" w:sz="4" w:space="0"/>
            </w:tcBorders>
            <w:vAlign w:val="center"/>
          </w:tcPr>
          <w:p>
            <w:pPr>
              <w:jc w:val="center"/>
              <w:rPr>
                <w:szCs w:val="21"/>
              </w:rPr>
            </w:pPr>
            <w:r>
              <w:rPr>
                <w:rFonts w:hint="eastAsia"/>
                <w:szCs w:val="21"/>
              </w:rPr>
              <w:t>0.21</w:t>
            </w:r>
          </w:p>
        </w:tc>
        <w:tc>
          <w:tcPr>
            <w:tcW w:w="1579" w:type="dxa"/>
            <w:tcBorders>
              <w:left w:val="single" w:color="auto" w:sz="4" w:space="0"/>
            </w:tcBorders>
            <w:vAlign w:val="center"/>
          </w:tcPr>
          <w:p>
            <w:pPr>
              <w:jc w:val="center"/>
              <w:rPr>
                <w:szCs w:val="21"/>
              </w:rPr>
            </w:pPr>
            <w:r>
              <w:rPr>
                <w:rFonts w:hint="eastAsia"/>
                <w:szCs w:val="21"/>
              </w:rPr>
              <w:t>0.50</w:t>
            </w:r>
          </w:p>
        </w:tc>
        <w:tc>
          <w:tcPr>
            <w:tcW w:w="1647" w:type="dxa"/>
            <w:vAlign w:val="center"/>
          </w:tcPr>
          <w:p>
            <w:pPr>
              <w:jc w:val="center"/>
              <w:rPr>
                <w:color w:val="000000"/>
                <w:szCs w:val="21"/>
              </w:rPr>
            </w:pPr>
            <w:r>
              <w:rPr>
                <w:rFonts w:hint="eastAsia"/>
                <w:kern w:val="0"/>
                <w:szCs w:val="21"/>
                <w:lang w:bidi="ar"/>
              </w:rPr>
              <w:t>+</w:t>
            </w:r>
            <w:r>
              <w:rPr>
                <w:color w:val="000000"/>
                <w:szCs w:val="21"/>
              </w:rPr>
              <w:t>0.29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1490" w:type="dxa"/>
            <w:vMerge w:val="continue"/>
            <w:vAlign w:val="center"/>
          </w:tcPr>
          <w:p>
            <w:pPr>
              <w:jc w:val="center"/>
              <w:rPr>
                <w:szCs w:val="21"/>
              </w:rPr>
            </w:pPr>
          </w:p>
        </w:tc>
        <w:tc>
          <w:tcPr>
            <w:tcW w:w="2701" w:type="dxa"/>
            <w:vAlign w:val="center"/>
          </w:tcPr>
          <w:p>
            <w:pPr>
              <w:pStyle w:val="6"/>
              <w:spacing w:line="340" w:lineRule="exact"/>
              <w:ind w:firstLine="0"/>
              <w:jc w:val="center"/>
              <w:rPr>
                <w:sz w:val="21"/>
                <w:szCs w:val="21"/>
              </w:rPr>
            </w:pPr>
            <w:r>
              <w:rPr>
                <w:sz w:val="21"/>
                <w:szCs w:val="21"/>
              </w:rPr>
              <w:t>SS</w:t>
            </w:r>
          </w:p>
        </w:tc>
        <w:tc>
          <w:tcPr>
            <w:tcW w:w="1342" w:type="dxa"/>
            <w:tcBorders>
              <w:right w:val="single" w:color="auto" w:sz="4" w:space="0"/>
            </w:tcBorders>
            <w:vAlign w:val="center"/>
          </w:tcPr>
          <w:p>
            <w:pPr>
              <w:jc w:val="center"/>
              <w:rPr>
                <w:szCs w:val="21"/>
              </w:rPr>
            </w:pPr>
            <w:r>
              <w:rPr>
                <w:rFonts w:hint="eastAsia"/>
                <w:szCs w:val="21"/>
              </w:rPr>
              <w:t>0.11</w:t>
            </w:r>
          </w:p>
        </w:tc>
        <w:tc>
          <w:tcPr>
            <w:tcW w:w="1579" w:type="dxa"/>
            <w:tcBorders>
              <w:left w:val="single" w:color="auto" w:sz="4" w:space="0"/>
            </w:tcBorders>
            <w:vAlign w:val="center"/>
          </w:tcPr>
          <w:p>
            <w:pPr>
              <w:jc w:val="center"/>
              <w:rPr>
                <w:szCs w:val="21"/>
              </w:rPr>
            </w:pPr>
            <w:r>
              <w:rPr>
                <w:rFonts w:hint="eastAsia"/>
                <w:szCs w:val="21"/>
              </w:rPr>
              <w:t>0.25</w:t>
            </w:r>
          </w:p>
        </w:tc>
        <w:tc>
          <w:tcPr>
            <w:tcW w:w="1647" w:type="dxa"/>
            <w:vAlign w:val="center"/>
          </w:tcPr>
          <w:p>
            <w:pPr>
              <w:jc w:val="center"/>
              <w:rPr>
                <w:color w:val="000000"/>
                <w:szCs w:val="21"/>
              </w:rPr>
            </w:pPr>
            <w:r>
              <w:rPr>
                <w:rFonts w:hint="eastAsia"/>
                <w:kern w:val="0"/>
                <w:szCs w:val="21"/>
                <w:lang w:bidi="ar"/>
              </w:rPr>
              <w:t>+</w:t>
            </w:r>
            <w:r>
              <w:rPr>
                <w:color w:val="000000"/>
                <w:szCs w:val="21"/>
              </w:rPr>
              <w:t>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1490" w:type="dxa"/>
            <w:vMerge w:val="continue"/>
            <w:vAlign w:val="center"/>
          </w:tcPr>
          <w:p>
            <w:pPr>
              <w:jc w:val="center"/>
              <w:rPr>
                <w:szCs w:val="21"/>
              </w:rPr>
            </w:pPr>
          </w:p>
        </w:tc>
        <w:tc>
          <w:tcPr>
            <w:tcW w:w="2701" w:type="dxa"/>
            <w:vAlign w:val="center"/>
          </w:tcPr>
          <w:p>
            <w:pPr>
              <w:pStyle w:val="6"/>
              <w:spacing w:line="340" w:lineRule="exact"/>
              <w:ind w:firstLine="0"/>
              <w:jc w:val="center"/>
              <w:rPr>
                <w:sz w:val="21"/>
                <w:szCs w:val="21"/>
              </w:rPr>
            </w:pPr>
            <w:r>
              <w:rPr>
                <w:sz w:val="21"/>
                <w:szCs w:val="21"/>
              </w:rPr>
              <w:t>油类</w:t>
            </w:r>
          </w:p>
        </w:tc>
        <w:tc>
          <w:tcPr>
            <w:tcW w:w="1342" w:type="dxa"/>
            <w:tcBorders>
              <w:right w:val="single" w:color="auto" w:sz="4" w:space="0"/>
            </w:tcBorders>
            <w:vAlign w:val="center"/>
          </w:tcPr>
          <w:p>
            <w:pPr>
              <w:jc w:val="center"/>
              <w:rPr>
                <w:szCs w:val="21"/>
              </w:rPr>
            </w:pPr>
            <w:r>
              <w:rPr>
                <w:rFonts w:hint="eastAsia"/>
                <w:szCs w:val="21"/>
              </w:rPr>
              <w:t>0.021</w:t>
            </w:r>
          </w:p>
        </w:tc>
        <w:tc>
          <w:tcPr>
            <w:tcW w:w="1579" w:type="dxa"/>
            <w:tcBorders>
              <w:left w:val="single" w:color="auto" w:sz="4" w:space="0"/>
            </w:tcBorders>
            <w:vAlign w:val="center"/>
          </w:tcPr>
          <w:p>
            <w:pPr>
              <w:jc w:val="center"/>
              <w:rPr>
                <w:szCs w:val="21"/>
              </w:rPr>
            </w:pPr>
            <w:r>
              <w:rPr>
                <w:rFonts w:hint="eastAsia"/>
                <w:szCs w:val="21"/>
              </w:rPr>
              <w:t>0.050</w:t>
            </w:r>
          </w:p>
        </w:tc>
        <w:tc>
          <w:tcPr>
            <w:tcW w:w="1647" w:type="dxa"/>
            <w:vAlign w:val="center"/>
          </w:tcPr>
          <w:p>
            <w:pPr>
              <w:jc w:val="center"/>
              <w:rPr>
                <w:color w:val="000000"/>
                <w:szCs w:val="21"/>
              </w:rPr>
            </w:pPr>
            <w:r>
              <w:rPr>
                <w:rFonts w:hint="eastAsia"/>
                <w:kern w:val="0"/>
                <w:szCs w:val="21"/>
                <w:lang w:bidi="ar"/>
              </w:rPr>
              <w:t>+</w:t>
            </w:r>
            <w:r>
              <w:rPr>
                <w:color w:val="000000"/>
                <w:szCs w:val="21"/>
              </w:rPr>
              <w:t>0.029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1490" w:type="dxa"/>
            <w:vMerge w:val="restart"/>
            <w:vAlign w:val="center"/>
          </w:tcPr>
          <w:p>
            <w:pPr>
              <w:jc w:val="center"/>
              <w:rPr>
                <w:szCs w:val="21"/>
              </w:rPr>
            </w:pPr>
            <w:r>
              <w:rPr>
                <w:szCs w:val="21"/>
              </w:rPr>
              <w:t>固废</w:t>
            </w:r>
          </w:p>
        </w:tc>
        <w:tc>
          <w:tcPr>
            <w:tcW w:w="2701" w:type="dxa"/>
            <w:vAlign w:val="center"/>
          </w:tcPr>
          <w:p>
            <w:pPr>
              <w:jc w:val="center"/>
              <w:rPr>
                <w:szCs w:val="21"/>
              </w:rPr>
            </w:pPr>
            <w:r>
              <w:rPr>
                <w:szCs w:val="21"/>
              </w:rPr>
              <w:t>生活垃圾</w:t>
            </w:r>
          </w:p>
        </w:tc>
        <w:tc>
          <w:tcPr>
            <w:tcW w:w="1342" w:type="dxa"/>
            <w:tcBorders>
              <w:right w:val="single" w:color="auto" w:sz="4" w:space="0"/>
            </w:tcBorders>
            <w:vAlign w:val="center"/>
          </w:tcPr>
          <w:p>
            <w:pPr>
              <w:jc w:val="center"/>
              <w:rPr>
                <w:szCs w:val="21"/>
              </w:rPr>
            </w:pPr>
            <w:r>
              <w:rPr>
                <w:rFonts w:hint="eastAsia"/>
                <w:szCs w:val="21"/>
              </w:rPr>
              <w:t>231.1</w:t>
            </w:r>
          </w:p>
        </w:tc>
        <w:tc>
          <w:tcPr>
            <w:tcW w:w="1579" w:type="dxa"/>
            <w:tcBorders>
              <w:left w:val="single" w:color="auto" w:sz="4" w:space="0"/>
            </w:tcBorders>
            <w:vAlign w:val="center"/>
          </w:tcPr>
          <w:p>
            <w:pPr>
              <w:jc w:val="center"/>
              <w:rPr>
                <w:szCs w:val="21"/>
              </w:rPr>
            </w:pPr>
            <w:r>
              <w:rPr>
                <w:rFonts w:hint="eastAsia"/>
                <w:szCs w:val="21"/>
              </w:rPr>
              <w:t>420</w:t>
            </w:r>
          </w:p>
        </w:tc>
        <w:tc>
          <w:tcPr>
            <w:tcW w:w="1647" w:type="dxa"/>
            <w:vAlign w:val="center"/>
          </w:tcPr>
          <w:p>
            <w:pPr>
              <w:jc w:val="center"/>
              <w:rPr>
                <w:color w:val="000000"/>
                <w:szCs w:val="21"/>
              </w:rPr>
            </w:pPr>
            <w:r>
              <w:rPr>
                <w:rFonts w:hint="eastAsia"/>
                <w:kern w:val="0"/>
                <w:szCs w:val="21"/>
                <w:lang w:bidi="ar"/>
              </w:rPr>
              <w:t>+</w:t>
            </w:r>
            <w:r>
              <w:rPr>
                <w:color w:val="000000"/>
                <w:szCs w:val="21"/>
              </w:rPr>
              <w:t>188.9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1490" w:type="dxa"/>
            <w:vMerge w:val="continue"/>
            <w:vAlign w:val="center"/>
          </w:tcPr>
          <w:p>
            <w:pPr>
              <w:jc w:val="center"/>
              <w:rPr>
                <w:szCs w:val="21"/>
              </w:rPr>
            </w:pPr>
          </w:p>
        </w:tc>
        <w:tc>
          <w:tcPr>
            <w:tcW w:w="2701" w:type="dxa"/>
            <w:vAlign w:val="center"/>
          </w:tcPr>
          <w:p>
            <w:pPr>
              <w:jc w:val="center"/>
              <w:rPr>
                <w:szCs w:val="21"/>
              </w:rPr>
            </w:pPr>
            <w:r>
              <w:rPr>
                <w:szCs w:val="21"/>
              </w:rPr>
              <w:t>食堂固废、化粪池污泥</w:t>
            </w:r>
          </w:p>
        </w:tc>
        <w:tc>
          <w:tcPr>
            <w:tcW w:w="1342" w:type="dxa"/>
            <w:tcBorders>
              <w:right w:val="single" w:color="auto" w:sz="4" w:space="0"/>
            </w:tcBorders>
            <w:vAlign w:val="center"/>
          </w:tcPr>
          <w:p>
            <w:pPr>
              <w:jc w:val="center"/>
              <w:rPr>
                <w:szCs w:val="21"/>
              </w:rPr>
            </w:pPr>
            <w:r>
              <w:rPr>
                <w:rFonts w:hint="eastAsia"/>
                <w:szCs w:val="21"/>
              </w:rPr>
              <w:t>98</w:t>
            </w:r>
          </w:p>
        </w:tc>
        <w:tc>
          <w:tcPr>
            <w:tcW w:w="1579" w:type="dxa"/>
            <w:tcBorders>
              <w:left w:val="single" w:color="auto" w:sz="4" w:space="0"/>
            </w:tcBorders>
            <w:vAlign w:val="center"/>
          </w:tcPr>
          <w:p>
            <w:pPr>
              <w:jc w:val="center"/>
              <w:rPr>
                <w:szCs w:val="21"/>
              </w:rPr>
            </w:pPr>
            <w:r>
              <w:rPr>
                <w:rFonts w:hint="eastAsia"/>
                <w:szCs w:val="21"/>
              </w:rPr>
              <w:t>186.2</w:t>
            </w:r>
          </w:p>
        </w:tc>
        <w:tc>
          <w:tcPr>
            <w:tcW w:w="1647" w:type="dxa"/>
            <w:vAlign w:val="center"/>
          </w:tcPr>
          <w:p>
            <w:pPr>
              <w:jc w:val="center"/>
              <w:rPr>
                <w:color w:val="000000"/>
                <w:szCs w:val="21"/>
              </w:rPr>
            </w:pPr>
            <w:r>
              <w:rPr>
                <w:rFonts w:hint="eastAsia"/>
                <w:kern w:val="0"/>
                <w:szCs w:val="21"/>
                <w:lang w:bidi="ar"/>
              </w:rPr>
              <w:t>+</w:t>
            </w:r>
            <w:r>
              <w:rPr>
                <w:color w:val="000000"/>
                <w:szCs w:val="21"/>
              </w:rPr>
              <w:t>88.2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1490" w:type="dxa"/>
            <w:vMerge w:val="continue"/>
            <w:vAlign w:val="center"/>
          </w:tcPr>
          <w:p>
            <w:pPr>
              <w:jc w:val="center"/>
              <w:rPr>
                <w:szCs w:val="21"/>
              </w:rPr>
            </w:pPr>
          </w:p>
        </w:tc>
        <w:tc>
          <w:tcPr>
            <w:tcW w:w="2701" w:type="dxa"/>
            <w:vAlign w:val="center"/>
          </w:tcPr>
          <w:p>
            <w:pPr>
              <w:jc w:val="center"/>
              <w:rPr>
                <w:szCs w:val="21"/>
              </w:rPr>
            </w:pPr>
            <w:r>
              <w:rPr>
                <w:szCs w:val="21"/>
              </w:rPr>
              <w:t>实验室废弃物</w:t>
            </w:r>
          </w:p>
        </w:tc>
        <w:tc>
          <w:tcPr>
            <w:tcW w:w="1342" w:type="dxa"/>
            <w:tcBorders>
              <w:right w:val="single" w:color="auto" w:sz="4" w:space="0"/>
            </w:tcBorders>
            <w:vAlign w:val="center"/>
          </w:tcPr>
          <w:p>
            <w:pPr>
              <w:jc w:val="center"/>
              <w:rPr>
                <w:szCs w:val="21"/>
              </w:rPr>
            </w:pPr>
            <w:r>
              <w:rPr>
                <w:rFonts w:hint="eastAsia"/>
                <w:szCs w:val="21"/>
              </w:rPr>
              <w:t>4.2</w:t>
            </w:r>
          </w:p>
        </w:tc>
        <w:tc>
          <w:tcPr>
            <w:tcW w:w="1579" w:type="dxa"/>
            <w:tcBorders>
              <w:left w:val="single" w:color="auto" w:sz="4" w:space="0"/>
            </w:tcBorders>
            <w:vAlign w:val="center"/>
          </w:tcPr>
          <w:p>
            <w:pPr>
              <w:jc w:val="center"/>
              <w:rPr>
                <w:szCs w:val="21"/>
              </w:rPr>
            </w:pPr>
            <w:r>
              <w:rPr>
                <w:rFonts w:hint="eastAsia"/>
                <w:szCs w:val="21"/>
              </w:rPr>
              <w:t>6.6</w:t>
            </w:r>
          </w:p>
        </w:tc>
        <w:tc>
          <w:tcPr>
            <w:tcW w:w="1647" w:type="dxa"/>
            <w:vAlign w:val="center"/>
          </w:tcPr>
          <w:p>
            <w:pPr>
              <w:jc w:val="center"/>
              <w:rPr>
                <w:color w:val="000000"/>
                <w:szCs w:val="21"/>
              </w:rPr>
            </w:pPr>
            <w:r>
              <w:rPr>
                <w:rFonts w:hint="eastAsia"/>
                <w:kern w:val="0"/>
                <w:szCs w:val="21"/>
                <w:lang w:bidi="ar"/>
              </w:rPr>
              <w:t>+</w:t>
            </w:r>
            <w:r>
              <w:rPr>
                <w:color w:val="000000"/>
                <w:szCs w:val="21"/>
              </w:rPr>
              <w:t>2.4</w:t>
            </w:r>
          </w:p>
        </w:tc>
      </w:tr>
    </w:tbl>
    <w:p>
      <w:pPr>
        <w:pStyle w:val="2"/>
        <w:keepNext w:val="0"/>
        <w:keepLines w:val="0"/>
        <w:autoSpaceDE w:val="0"/>
        <w:autoSpaceDN w:val="0"/>
        <w:adjustRightInd w:val="0"/>
        <w:spacing w:beforeLines="50" w:after="0" w:line="360" w:lineRule="auto"/>
        <w:rPr>
          <w:color w:val="000000"/>
          <w:sz w:val="24"/>
        </w:rPr>
      </w:pPr>
      <w:bookmarkStart w:id="234" w:name="_Toc486070582"/>
      <w:r>
        <w:rPr>
          <w:rFonts w:hint="eastAsia" w:eastAsia="宋体"/>
          <w:kern w:val="2"/>
          <w:sz w:val="30"/>
          <w:szCs w:val="28"/>
        </w:rPr>
        <w:t>七</w:t>
      </w:r>
      <w:r>
        <w:rPr>
          <w:rFonts w:eastAsia="宋体"/>
          <w:kern w:val="2"/>
          <w:sz w:val="30"/>
          <w:szCs w:val="28"/>
        </w:rPr>
        <w:t>、环保投资估算及环境经济损益分析</w:t>
      </w:r>
      <w:bookmarkEnd w:id="234"/>
    </w:p>
    <w:p>
      <w:pPr>
        <w:pStyle w:val="73"/>
        <w:rPr>
          <w:rFonts w:eastAsia="宋体"/>
        </w:rPr>
      </w:pPr>
      <w:bookmarkStart w:id="235" w:name="_Toc486070583"/>
      <w:r>
        <w:rPr>
          <w:rFonts w:eastAsia="宋体"/>
        </w:rPr>
        <w:t>7.1 环保投资估算</w:t>
      </w:r>
      <w:bookmarkEnd w:id="235"/>
    </w:p>
    <w:p>
      <w:pPr>
        <w:spacing w:line="360" w:lineRule="auto"/>
        <w:ind w:firstLine="480" w:firstLineChars="200"/>
        <w:rPr>
          <w:sz w:val="24"/>
        </w:rPr>
      </w:pPr>
      <w:r>
        <w:rPr>
          <w:sz w:val="24"/>
        </w:rPr>
        <w:t>本项目有关环保投资经估算约</w:t>
      </w:r>
      <w:r>
        <w:rPr>
          <w:rFonts w:hint="eastAsia"/>
          <w:sz w:val="24"/>
        </w:rPr>
        <w:t>230</w:t>
      </w:r>
      <w:r>
        <w:rPr>
          <w:sz w:val="24"/>
        </w:rPr>
        <w:t>万元，占项目总投资（13041.38万元）的</w:t>
      </w:r>
      <w:r>
        <w:rPr>
          <w:rFonts w:hint="eastAsia"/>
          <w:sz w:val="24"/>
        </w:rPr>
        <w:t>1.76</w:t>
      </w:r>
      <w:r>
        <w:rPr>
          <w:sz w:val="24"/>
        </w:rPr>
        <w:t>％。具体投资估算见表7.1-1。</w:t>
      </w:r>
    </w:p>
    <w:p>
      <w:pPr>
        <w:spacing w:line="360" w:lineRule="auto"/>
        <w:ind w:firstLine="482" w:firstLineChars="200"/>
        <w:jc w:val="center"/>
        <w:rPr>
          <w:b/>
          <w:sz w:val="24"/>
        </w:rPr>
      </w:pPr>
      <w:r>
        <w:rPr>
          <w:b/>
          <w:sz w:val="24"/>
        </w:rPr>
        <w:t>表7.1-1  “三同时”及环境保护投资清单</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3"/>
        <w:gridCol w:w="1149"/>
        <w:gridCol w:w="5390"/>
        <w:gridCol w:w="1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 w:hRule="atLeast"/>
        </w:trPr>
        <w:tc>
          <w:tcPr>
            <w:tcW w:w="524"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时段</w:t>
            </w:r>
          </w:p>
        </w:tc>
        <w:tc>
          <w:tcPr>
            <w:tcW w:w="638"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类别</w:t>
            </w:r>
          </w:p>
        </w:tc>
        <w:tc>
          <w:tcPr>
            <w:tcW w:w="2993"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项目</w:t>
            </w:r>
          </w:p>
        </w:tc>
        <w:tc>
          <w:tcPr>
            <w:tcW w:w="845"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环保投资(万元)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24" w:type="pct"/>
            <w:vMerge w:val="restart"/>
            <w:tcBorders>
              <w:top w:val="single" w:color="000000" w:sz="4" w:space="0"/>
              <w:left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施工期</w:t>
            </w:r>
          </w:p>
        </w:tc>
        <w:tc>
          <w:tcPr>
            <w:tcW w:w="638"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废水</w:t>
            </w:r>
          </w:p>
        </w:tc>
        <w:tc>
          <w:tcPr>
            <w:tcW w:w="2993"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隔油池+沉淀池等</w:t>
            </w:r>
          </w:p>
        </w:tc>
        <w:tc>
          <w:tcPr>
            <w:tcW w:w="845"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hint="eastAsia" w:ascii="Times New Roman" w:cs="Times New Roman"/>
                <w:sz w:val="21"/>
                <w:szCs w:val="21"/>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24" w:type="pct"/>
            <w:vMerge w:val="continue"/>
            <w:tcBorders>
              <w:left w:val="single" w:color="000000" w:sz="4" w:space="0"/>
              <w:right w:val="single" w:color="000000" w:sz="4" w:space="0"/>
            </w:tcBorders>
            <w:vAlign w:val="center"/>
          </w:tcPr>
          <w:p>
            <w:pPr>
              <w:pStyle w:val="72"/>
              <w:jc w:val="center"/>
              <w:rPr>
                <w:rFonts w:ascii="Times New Roman" w:cs="Times New Roman"/>
                <w:sz w:val="21"/>
                <w:szCs w:val="21"/>
              </w:rPr>
            </w:pPr>
          </w:p>
        </w:tc>
        <w:tc>
          <w:tcPr>
            <w:tcW w:w="638" w:type="pct"/>
            <w:vMerge w:val="restart"/>
            <w:tcBorders>
              <w:top w:val="single" w:color="000000" w:sz="4" w:space="0"/>
              <w:left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废气</w:t>
            </w:r>
          </w:p>
        </w:tc>
        <w:tc>
          <w:tcPr>
            <w:tcW w:w="2993"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设置高度大于2.5m的屏障</w:t>
            </w:r>
          </w:p>
        </w:tc>
        <w:tc>
          <w:tcPr>
            <w:tcW w:w="845" w:type="pct"/>
            <w:vMerge w:val="restart"/>
            <w:tcBorders>
              <w:top w:val="single" w:color="000000" w:sz="4" w:space="0"/>
              <w:left w:val="single" w:color="000000" w:sz="4" w:space="0"/>
              <w:right w:val="single" w:color="000000" w:sz="4" w:space="0"/>
            </w:tcBorders>
            <w:vAlign w:val="center"/>
          </w:tcPr>
          <w:p>
            <w:pPr>
              <w:pStyle w:val="72"/>
              <w:jc w:val="center"/>
              <w:rPr>
                <w:rFonts w:ascii="Times New Roman" w:cs="Times New Roman"/>
                <w:sz w:val="21"/>
                <w:szCs w:val="21"/>
              </w:rPr>
            </w:pPr>
            <w:r>
              <w:rPr>
                <w:rFonts w:hint="eastAsia" w:ascii="Times New Roman" w:cs="Times New Roman"/>
                <w:sz w:val="21"/>
                <w:szCs w:val="21"/>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24" w:type="pct"/>
            <w:vMerge w:val="continue"/>
            <w:tcBorders>
              <w:left w:val="single" w:color="000000" w:sz="4" w:space="0"/>
              <w:right w:val="single" w:color="000000" w:sz="4" w:space="0"/>
            </w:tcBorders>
            <w:vAlign w:val="center"/>
          </w:tcPr>
          <w:p>
            <w:pPr>
              <w:pStyle w:val="72"/>
              <w:jc w:val="center"/>
              <w:rPr>
                <w:rFonts w:ascii="Times New Roman" w:cs="Times New Roman"/>
                <w:sz w:val="21"/>
                <w:szCs w:val="21"/>
              </w:rPr>
            </w:pPr>
          </w:p>
        </w:tc>
        <w:tc>
          <w:tcPr>
            <w:tcW w:w="638" w:type="pct"/>
            <w:vMerge w:val="continue"/>
            <w:tcBorders>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p>
        </w:tc>
        <w:tc>
          <w:tcPr>
            <w:tcW w:w="2993"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洒水抑尘、</w:t>
            </w:r>
            <w:r>
              <w:rPr>
                <w:rFonts w:hint="eastAsia" w:ascii="Times New Roman" w:cs="Times New Roman"/>
                <w:color w:val="auto"/>
                <w:sz w:val="21"/>
                <w:szCs w:val="21"/>
              </w:rPr>
              <w:t>遮盖物</w:t>
            </w:r>
            <w:r>
              <w:rPr>
                <w:rFonts w:hint="eastAsia" w:ascii="Times New Roman" w:cs="Times New Roman"/>
                <w:sz w:val="21"/>
                <w:szCs w:val="21"/>
              </w:rPr>
              <w:t>等</w:t>
            </w:r>
          </w:p>
        </w:tc>
        <w:tc>
          <w:tcPr>
            <w:tcW w:w="845" w:type="pct"/>
            <w:vMerge w:val="continue"/>
            <w:tcBorders>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24" w:type="pct"/>
            <w:vMerge w:val="continue"/>
            <w:tcBorders>
              <w:left w:val="single" w:color="000000" w:sz="4" w:space="0"/>
              <w:right w:val="single" w:color="000000" w:sz="4" w:space="0"/>
            </w:tcBorders>
            <w:vAlign w:val="center"/>
          </w:tcPr>
          <w:p>
            <w:pPr>
              <w:pStyle w:val="72"/>
              <w:jc w:val="center"/>
              <w:rPr>
                <w:rFonts w:ascii="Times New Roman" w:cs="Times New Roman"/>
                <w:sz w:val="21"/>
                <w:szCs w:val="21"/>
              </w:rPr>
            </w:pPr>
          </w:p>
        </w:tc>
        <w:tc>
          <w:tcPr>
            <w:tcW w:w="638"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噪声</w:t>
            </w:r>
          </w:p>
        </w:tc>
        <w:tc>
          <w:tcPr>
            <w:tcW w:w="2993"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选用低噪声施工设备</w:t>
            </w:r>
            <w:r>
              <w:rPr>
                <w:rFonts w:hint="eastAsia" w:ascii="Times New Roman" w:cs="Times New Roman"/>
                <w:sz w:val="21"/>
                <w:szCs w:val="21"/>
              </w:rPr>
              <w:t>、</w:t>
            </w:r>
            <w:r>
              <w:rPr>
                <w:rFonts w:ascii="Times New Roman" w:cs="Times New Roman"/>
                <w:sz w:val="21"/>
                <w:szCs w:val="21"/>
              </w:rPr>
              <w:t>设备维护</w:t>
            </w:r>
            <w:r>
              <w:rPr>
                <w:rFonts w:hint="eastAsia" w:ascii="Times New Roman" w:cs="Times New Roman"/>
                <w:color w:val="auto"/>
                <w:sz w:val="21"/>
                <w:szCs w:val="21"/>
              </w:rPr>
              <w:t>、临时隔声屏障</w:t>
            </w:r>
          </w:p>
        </w:tc>
        <w:tc>
          <w:tcPr>
            <w:tcW w:w="845"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hint="eastAsia" w:ascii="Times New Roman" w:cs="Times New Roman"/>
                <w:sz w:val="21"/>
                <w:szCs w:val="21"/>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24" w:type="pct"/>
            <w:vMerge w:val="continue"/>
            <w:tcBorders>
              <w:left w:val="single" w:color="000000" w:sz="4" w:space="0"/>
              <w:right w:val="single" w:color="000000" w:sz="4" w:space="0"/>
            </w:tcBorders>
            <w:vAlign w:val="center"/>
          </w:tcPr>
          <w:p>
            <w:pPr>
              <w:pStyle w:val="72"/>
              <w:jc w:val="center"/>
              <w:rPr>
                <w:rFonts w:ascii="Times New Roman" w:cs="Times New Roman"/>
                <w:sz w:val="21"/>
                <w:szCs w:val="21"/>
              </w:rPr>
            </w:pPr>
          </w:p>
        </w:tc>
        <w:tc>
          <w:tcPr>
            <w:tcW w:w="638" w:type="pct"/>
            <w:tcBorders>
              <w:top w:val="single" w:color="000000" w:sz="4" w:space="0"/>
              <w:left w:val="single" w:color="000000" w:sz="4" w:space="0"/>
              <w:bottom w:val="single" w:color="000000" w:sz="6"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固废</w:t>
            </w:r>
          </w:p>
        </w:tc>
        <w:tc>
          <w:tcPr>
            <w:tcW w:w="2993" w:type="pct"/>
            <w:tcBorders>
              <w:top w:val="single" w:color="000000" w:sz="4" w:space="0"/>
              <w:left w:val="single" w:color="000000" w:sz="4" w:space="0"/>
              <w:bottom w:val="single" w:color="000000" w:sz="6" w:space="0"/>
              <w:right w:val="single" w:color="000000" w:sz="4" w:space="0"/>
            </w:tcBorders>
            <w:vAlign w:val="center"/>
          </w:tcPr>
          <w:p>
            <w:pPr>
              <w:pStyle w:val="72"/>
              <w:jc w:val="center"/>
              <w:rPr>
                <w:rFonts w:ascii="Times New Roman" w:cs="Times New Roman"/>
                <w:sz w:val="21"/>
                <w:szCs w:val="21"/>
              </w:rPr>
            </w:pPr>
            <w:r>
              <w:rPr>
                <w:rFonts w:hAnsi="宋体"/>
                <w:color w:val="auto"/>
                <w:sz w:val="22"/>
                <w:szCs w:val="22"/>
              </w:rPr>
              <w:t>生活垃圾、</w:t>
            </w:r>
            <w:r>
              <w:rPr>
                <w:rFonts w:ascii="Times New Roman" w:cs="Times New Roman"/>
                <w:sz w:val="21"/>
                <w:szCs w:val="21"/>
              </w:rPr>
              <w:t>建筑垃圾装运与处置、垃圾桶</w:t>
            </w:r>
            <w:r>
              <w:rPr>
                <w:rFonts w:hint="eastAsia" w:ascii="Times New Roman" w:cs="Times New Roman"/>
                <w:sz w:val="21"/>
                <w:szCs w:val="21"/>
              </w:rPr>
              <w:t>，</w:t>
            </w:r>
            <w:r>
              <w:rPr>
                <w:rFonts w:hAnsi="宋体"/>
                <w:color w:val="auto"/>
                <w:sz w:val="22"/>
                <w:szCs w:val="22"/>
              </w:rPr>
              <w:t>土石方</w:t>
            </w:r>
            <w:r>
              <w:rPr>
                <w:rFonts w:hint="eastAsia" w:hAnsi="宋体"/>
                <w:color w:val="auto"/>
                <w:sz w:val="22"/>
                <w:szCs w:val="22"/>
              </w:rPr>
              <w:t>清运</w:t>
            </w:r>
          </w:p>
        </w:tc>
        <w:tc>
          <w:tcPr>
            <w:tcW w:w="845" w:type="pct"/>
            <w:tcBorders>
              <w:top w:val="single" w:color="000000" w:sz="4" w:space="0"/>
              <w:left w:val="single" w:color="000000" w:sz="4" w:space="0"/>
              <w:bottom w:val="single" w:color="000000" w:sz="6" w:space="0"/>
              <w:right w:val="single" w:color="000000" w:sz="4" w:space="0"/>
            </w:tcBorders>
            <w:vAlign w:val="center"/>
          </w:tcPr>
          <w:p>
            <w:pPr>
              <w:pStyle w:val="72"/>
              <w:jc w:val="center"/>
              <w:rPr>
                <w:rFonts w:ascii="Times New Roman" w:cs="Times New Roman"/>
                <w:sz w:val="21"/>
                <w:szCs w:val="21"/>
              </w:rPr>
            </w:pPr>
            <w:r>
              <w:rPr>
                <w:rFonts w:hint="eastAsia" w:ascii="Times New Roman" w:cs="Times New Roman"/>
                <w:sz w:val="21"/>
                <w:szCs w:val="21"/>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24" w:type="pct"/>
            <w:vMerge w:val="continue"/>
            <w:tcBorders>
              <w:left w:val="single" w:color="000000" w:sz="4" w:space="0"/>
              <w:bottom w:val="single" w:color="000000" w:sz="6" w:space="0"/>
              <w:right w:val="single" w:color="000000" w:sz="4" w:space="0"/>
            </w:tcBorders>
            <w:vAlign w:val="center"/>
          </w:tcPr>
          <w:p>
            <w:pPr>
              <w:pStyle w:val="72"/>
              <w:jc w:val="center"/>
              <w:rPr>
                <w:rFonts w:ascii="Times New Roman" w:cs="Times New Roman"/>
                <w:sz w:val="21"/>
                <w:szCs w:val="21"/>
              </w:rPr>
            </w:pPr>
          </w:p>
        </w:tc>
        <w:tc>
          <w:tcPr>
            <w:tcW w:w="638" w:type="pct"/>
            <w:tcBorders>
              <w:top w:val="single" w:color="000000" w:sz="4" w:space="0"/>
              <w:left w:val="single" w:color="000000" w:sz="4" w:space="0"/>
              <w:bottom w:val="single" w:color="000000" w:sz="6" w:space="0"/>
              <w:right w:val="single" w:color="000000" w:sz="4" w:space="0"/>
            </w:tcBorders>
            <w:vAlign w:val="center"/>
          </w:tcPr>
          <w:p>
            <w:pPr>
              <w:pStyle w:val="72"/>
              <w:jc w:val="center"/>
              <w:rPr>
                <w:rFonts w:ascii="Times New Roman" w:cs="Times New Roman"/>
                <w:color w:val="auto"/>
                <w:sz w:val="21"/>
                <w:szCs w:val="21"/>
              </w:rPr>
            </w:pPr>
            <w:r>
              <w:rPr>
                <w:rFonts w:hAnsi="宋体"/>
                <w:color w:val="auto"/>
                <w:sz w:val="22"/>
                <w:szCs w:val="22"/>
              </w:rPr>
              <w:t>水土保持</w:t>
            </w:r>
          </w:p>
        </w:tc>
        <w:tc>
          <w:tcPr>
            <w:tcW w:w="2993" w:type="pct"/>
            <w:tcBorders>
              <w:top w:val="single" w:color="000000" w:sz="4" w:space="0"/>
              <w:left w:val="single" w:color="000000" w:sz="4" w:space="0"/>
              <w:bottom w:val="single" w:color="000000" w:sz="6" w:space="0"/>
              <w:right w:val="single" w:color="000000" w:sz="4" w:space="0"/>
            </w:tcBorders>
            <w:vAlign w:val="center"/>
          </w:tcPr>
          <w:p>
            <w:pPr>
              <w:pStyle w:val="72"/>
              <w:jc w:val="center"/>
              <w:rPr>
                <w:rFonts w:ascii="Times New Roman" w:cs="Times New Roman"/>
                <w:color w:val="auto"/>
                <w:sz w:val="21"/>
                <w:szCs w:val="21"/>
              </w:rPr>
            </w:pPr>
            <w:r>
              <w:rPr>
                <w:rFonts w:hAnsi="宋体"/>
                <w:color w:val="auto"/>
                <w:sz w:val="22"/>
                <w:szCs w:val="22"/>
              </w:rPr>
              <w:t>挡渣墙、排水沟</w:t>
            </w:r>
          </w:p>
        </w:tc>
        <w:tc>
          <w:tcPr>
            <w:tcW w:w="845" w:type="pct"/>
            <w:tcBorders>
              <w:top w:val="single" w:color="000000" w:sz="4" w:space="0"/>
              <w:left w:val="single" w:color="000000" w:sz="4" w:space="0"/>
              <w:bottom w:val="single" w:color="000000" w:sz="6" w:space="0"/>
              <w:right w:val="single" w:color="000000" w:sz="4" w:space="0"/>
            </w:tcBorders>
            <w:vAlign w:val="center"/>
          </w:tcPr>
          <w:p>
            <w:pPr>
              <w:pStyle w:val="72"/>
              <w:jc w:val="center"/>
              <w:rPr>
                <w:rFonts w:ascii="Times New Roman" w:cs="Times New Roman"/>
                <w:color w:val="auto"/>
                <w:sz w:val="21"/>
                <w:szCs w:val="21"/>
              </w:rPr>
            </w:pPr>
            <w:r>
              <w:rPr>
                <w:rFonts w:hint="eastAsia" w:ascii="Times New Roman" w:cs="Times New Roman"/>
                <w:color w:val="auto"/>
                <w:sz w:val="21"/>
                <w:szCs w:val="21"/>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24" w:type="pct"/>
            <w:vMerge w:val="restart"/>
            <w:tcBorders>
              <w:top w:val="single" w:color="000000" w:sz="6" w:space="0"/>
              <w:left w:val="single" w:color="000000" w:sz="6" w:space="0"/>
              <w:right w:val="single" w:color="000000" w:sz="6" w:space="0"/>
            </w:tcBorders>
            <w:vAlign w:val="center"/>
          </w:tcPr>
          <w:p>
            <w:pPr>
              <w:pStyle w:val="72"/>
              <w:jc w:val="center"/>
              <w:rPr>
                <w:rFonts w:ascii="Times New Roman" w:cs="Times New Roman"/>
                <w:sz w:val="21"/>
                <w:szCs w:val="21"/>
              </w:rPr>
            </w:pPr>
            <w:r>
              <w:rPr>
                <w:rFonts w:ascii="Times New Roman" w:cs="Times New Roman"/>
                <w:sz w:val="21"/>
                <w:szCs w:val="21"/>
              </w:rPr>
              <w:t>运营期</w:t>
            </w:r>
          </w:p>
        </w:tc>
        <w:tc>
          <w:tcPr>
            <w:tcW w:w="638" w:type="pct"/>
            <w:tcBorders>
              <w:top w:val="single" w:color="000000" w:sz="6" w:space="0"/>
              <w:left w:val="single" w:color="000000" w:sz="6" w:space="0"/>
              <w:bottom w:val="single" w:color="000000" w:sz="4" w:space="0"/>
              <w:right w:val="single" w:color="000000" w:sz="6" w:space="0"/>
            </w:tcBorders>
            <w:vAlign w:val="center"/>
          </w:tcPr>
          <w:p>
            <w:pPr>
              <w:pStyle w:val="72"/>
              <w:jc w:val="center"/>
              <w:rPr>
                <w:rFonts w:ascii="Times New Roman" w:cs="Times New Roman"/>
                <w:sz w:val="21"/>
                <w:szCs w:val="21"/>
              </w:rPr>
            </w:pPr>
            <w:r>
              <w:rPr>
                <w:rFonts w:ascii="Times New Roman" w:cs="Times New Roman"/>
                <w:sz w:val="21"/>
                <w:szCs w:val="21"/>
              </w:rPr>
              <w:t>废水</w:t>
            </w:r>
          </w:p>
        </w:tc>
        <w:tc>
          <w:tcPr>
            <w:tcW w:w="2993" w:type="pct"/>
            <w:tcBorders>
              <w:top w:val="single" w:color="000000" w:sz="6" w:space="0"/>
              <w:left w:val="single" w:color="000000" w:sz="6" w:space="0"/>
              <w:bottom w:val="single" w:color="000000" w:sz="4" w:space="0"/>
              <w:right w:val="single" w:color="000000" w:sz="6" w:space="0"/>
            </w:tcBorders>
            <w:vAlign w:val="center"/>
          </w:tcPr>
          <w:p>
            <w:pPr>
              <w:pStyle w:val="72"/>
              <w:jc w:val="center"/>
              <w:rPr>
                <w:rFonts w:ascii="Times New Roman" w:cs="Times New Roman"/>
                <w:sz w:val="21"/>
                <w:szCs w:val="21"/>
              </w:rPr>
            </w:pPr>
            <w:r>
              <w:rPr>
                <w:rFonts w:ascii="Times New Roman" w:cs="Times New Roman"/>
                <w:color w:val="auto"/>
                <w:sz w:val="21"/>
                <w:szCs w:val="21"/>
              </w:rPr>
              <w:t>1个化粪池（容积100m</w:t>
            </w:r>
            <w:r>
              <w:rPr>
                <w:rFonts w:ascii="Times New Roman" w:cs="Times New Roman"/>
                <w:color w:val="auto"/>
                <w:sz w:val="21"/>
                <w:szCs w:val="21"/>
                <w:vertAlign w:val="superscript"/>
              </w:rPr>
              <w:t>3</w:t>
            </w:r>
            <w:r>
              <w:rPr>
                <w:rFonts w:ascii="Times New Roman" w:cs="Times New Roman"/>
                <w:color w:val="auto"/>
                <w:sz w:val="21"/>
                <w:szCs w:val="21"/>
              </w:rPr>
              <w:t>）、1个隔油池（容积30m</w:t>
            </w:r>
            <w:r>
              <w:rPr>
                <w:rFonts w:ascii="Times New Roman" w:cs="Times New Roman"/>
                <w:color w:val="auto"/>
                <w:sz w:val="21"/>
                <w:szCs w:val="21"/>
                <w:vertAlign w:val="superscript"/>
              </w:rPr>
              <w:t>3</w:t>
            </w:r>
            <w:r>
              <w:rPr>
                <w:rFonts w:ascii="Times New Roman" w:cs="Times New Roman"/>
                <w:color w:val="auto"/>
                <w:sz w:val="21"/>
                <w:szCs w:val="21"/>
              </w:rPr>
              <w:t>）、1个中和沉淀池（容积1m</w:t>
            </w:r>
            <w:r>
              <w:rPr>
                <w:rFonts w:ascii="Times New Roman" w:cs="Times New Roman"/>
                <w:color w:val="auto"/>
                <w:sz w:val="21"/>
                <w:szCs w:val="21"/>
                <w:vertAlign w:val="superscript"/>
              </w:rPr>
              <w:t>3</w:t>
            </w:r>
            <w:r>
              <w:rPr>
                <w:rFonts w:ascii="Times New Roman" w:cs="Times New Roman"/>
                <w:color w:val="auto"/>
                <w:sz w:val="21"/>
                <w:szCs w:val="21"/>
              </w:rPr>
              <w:t>）。项</w:t>
            </w:r>
            <w:r>
              <w:rPr>
                <w:rFonts w:ascii="Times New Roman" w:cs="Times New Roman"/>
                <w:sz w:val="21"/>
                <w:szCs w:val="21"/>
              </w:rPr>
              <w:t>目区内雨、污水管网建设，自行接入市政雨、污水管网</w:t>
            </w:r>
          </w:p>
        </w:tc>
        <w:tc>
          <w:tcPr>
            <w:tcW w:w="845" w:type="pct"/>
            <w:tcBorders>
              <w:top w:val="single" w:color="000000" w:sz="6" w:space="0"/>
              <w:left w:val="single" w:color="000000" w:sz="6" w:space="0"/>
              <w:bottom w:val="single" w:color="000000" w:sz="4" w:space="0"/>
              <w:right w:val="single" w:color="000000" w:sz="6" w:space="0"/>
            </w:tcBorders>
            <w:vAlign w:val="center"/>
          </w:tcPr>
          <w:p>
            <w:pPr>
              <w:pStyle w:val="72"/>
              <w:jc w:val="center"/>
              <w:rPr>
                <w:rFonts w:ascii="Times New Roman" w:cs="Times New Roman"/>
                <w:sz w:val="21"/>
                <w:szCs w:val="21"/>
              </w:rPr>
            </w:pPr>
            <w:r>
              <w:rPr>
                <w:rFonts w:hint="eastAsia" w:ascii="Times New Roman" w:cs="Times New Roman"/>
                <w:sz w:val="21"/>
                <w:szCs w:val="21"/>
              </w:rPr>
              <w:t>2</w:t>
            </w:r>
            <w:r>
              <w:rPr>
                <w:rFonts w:ascii="Times New Roman" w:cs="Times New Roman"/>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24" w:type="pct"/>
            <w:vMerge w:val="continue"/>
            <w:tcBorders>
              <w:left w:val="single" w:color="000000" w:sz="6" w:space="0"/>
              <w:right w:val="single" w:color="000000" w:sz="6" w:space="0"/>
            </w:tcBorders>
            <w:vAlign w:val="center"/>
          </w:tcPr>
          <w:p>
            <w:pPr>
              <w:pStyle w:val="72"/>
              <w:jc w:val="center"/>
              <w:rPr>
                <w:rFonts w:ascii="Times New Roman" w:cs="Times New Roman"/>
                <w:sz w:val="21"/>
                <w:szCs w:val="21"/>
              </w:rPr>
            </w:pPr>
          </w:p>
        </w:tc>
        <w:tc>
          <w:tcPr>
            <w:tcW w:w="638" w:type="pct"/>
            <w:vMerge w:val="restart"/>
            <w:tcBorders>
              <w:top w:val="single" w:color="000000" w:sz="4" w:space="0"/>
              <w:left w:val="single" w:color="000000" w:sz="6" w:space="0"/>
              <w:right w:val="single" w:color="000000" w:sz="6" w:space="0"/>
            </w:tcBorders>
            <w:vAlign w:val="center"/>
          </w:tcPr>
          <w:p>
            <w:pPr>
              <w:pStyle w:val="72"/>
              <w:jc w:val="center"/>
              <w:rPr>
                <w:rFonts w:ascii="Times New Roman" w:cs="Times New Roman"/>
                <w:sz w:val="21"/>
                <w:szCs w:val="21"/>
              </w:rPr>
            </w:pPr>
            <w:r>
              <w:rPr>
                <w:rFonts w:ascii="Times New Roman" w:cs="Times New Roman"/>
                <w:sz w:val="21"/>
                <w:szCs w:val="21"/>
              </w:rPr>
              <w:t>废气</w:t>
            </w:r>
          </w:p>
        </w:tc>
        <w:tc>
          <w:tcPr>
            <w:tcW w:w="2993" w:type="pct"/>
            <w:tcBorders>
              <w:top w:val="single" w:color="000000" w:sz="4" w:space="0"/>
              <w:left w:val="single" w:color="000000" w:sz="6" w:space="0"/>
              <w:bottom w:val="single" w:color="000000" w:sz="4" w:space="0"/>
              <w:right w:val="single" w:color="000000" w:sz="6" w:space="0"/>
            </w:tcBorders>
            <w:vAlign w:val="center"/>
          </w:tcPr>
          <w:p>
            <w:pPr>
              <w:pStyle w:val="72"/>
              <w:jc w:val="center"/>
              <w:rPr>
                <w:rFonts w:ascii="Times New Roman" w:cs="Times New Roman"/>
                <w:sz w:val="21"/>
                <w:szCs w:val="21"/>
              </w:rPr>
            </w:pPr>
            <w:r>
              <w:rPr>
                <w:rFonts w:ascii="Times New Roman" w:cs="Times New Roman"/>
                <w:sz w:val="21"/>
                <w:szCs w:val="21"/>
              </w:rPr>
              <w:t>油烟净化器处理、排烟管道</w:t>
            </w:r>
          </w:p>
        </w:tc>
        <w:tc>
          <w:tcPr>
            <w:tcW w:w="845" w:type="pct"/>
            <w:tcBorders>
              <w:top w:val="single" w:color="000000" w:sz="4" w:space="0"/>
              <w:left w:val="single" w:color="000000" w:sz="6" w:space="0"/>
              <w:bottom w:val="single" w:color="000000" w:sz="4" w:space="0"/>
              <w:right w:val="single" w:color="000000" w:sz="6" w:space="0"/>
            </w:tcBorders>
            <w:vAlign w:val="center"/>
          </w:tcPr>
          <w:p>
            <w:pPr>
              <w:pStyle w:val="72"/>
              <w:jc w:val="center"/>
              <w:rPr>
                <w:rFonts w:ascii="Times New Roman" w:cs="Times New Roman"/>
                <w:sz w:val="21"/>
                <w:szCs w:val="21"/>
              </w:rPr>
            </w:pPr>
            <w:r>
              <w:rPr>
                <w:rFonts w:hint="eastAsia" w:ascii="Times New Roman" w:cs="Times New Roman"/>
                <w:sz w:val="21"/>
                <w:szCs w:val="21"/>
              </w:rPr>
              <w:t>1</w:t>
            </w:r>
            <w:r>
              <w:rPr>
                <w:rFonts w:ascii="Times New Roman" w:cs="Times New Roman"/>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24" w:type="pct"/>
            <w:vMerge w:val="continue"/>
            <w:tcBorders>
              <w:left w:val="single" w:color="000000" w:sz="6" w:space="0"/>
              <w:right w:val="single" w:color="000000" w:sz="6" w:space="0"/>
            </w:tcBorders>
            <w:vAlign w:val="center"/>
          </w:tcPr>
          <w:p>
            <w:pPr>
              <w:pStyle w:val="72"/>
              <w:jc w:val="center"/>
              <w:rPr>
                <w:rFonts w:ascii="Times New Roman" w:cs="Times New Roman"/>
                <w:sz w:val="21"/>
                <w:szCs w:val="21"/>
              </w:rPr>
            </w:pPr>
          </w:p>
        </w:tc>
        <w:tc>
          <w:tcPr>
            <w:tcW w:w="638" w:type="pct"/>
            <w:vMerge w:val="continue"/>
            <w:tcBorders>
              <w:left w:val="single" w:color="000000" w:sz="6" w:space="0"/>
              <w:right w:val="single" w:color="000000" w:sz="6" w:space="0"/>
            </w:tcBorders>
            <w:vAlign w:val="center"/>
          </w:tcPr>
          <w:p>
            <w:pPr>
              <w:pStyle w:val="72"/>
              <w:jc w:val="center"/>
              <w:rPr>
                <w:rFonts w:ascii="Times New Roman" w:cs="Times New Roman"/>
                <w:sz w:val="21"/>
                <w:szCs w:val="21"/>
              </w:rPr>
            </w:pPr>
          </w:p>
        </w:tc>
        <w:tc>
          <w:tcPr>
            <w:tcW w:w="2993" w:type="pct"/>
            <w:tcBorders>
              <w:top w:val="single" w:color="000000" w:sz="4" w:space="0"/>
              <w:left w:val="single" w:color="000000" w:sz="6" w:space="0"/>
              <w:bottom w:val="single" w:color="000000" w:sz="4" w:space="0"/>
              <w:right w:val="single" w:color="000000" w:sz="6" w:space="0"/>
            </w:tcBorders>
            <w:vAlign w:val="center"/>
          </w:tcPr>
          <w:p>
            <w:pPr>
              <w:pStyle w:val="72"/>
              <w:jc w:val="center"/>
              <w:rPr>
                <w:rFonts w:ascii="Times New Roman" w:cs="Times New Roman"/>
                <w:sz w:val="21"/>
                <w:szCs w:val="21"/>
              </w:rPr>
            </w:pPr>
            <w:r>
              <w:rPr>
                <w:rFonts w:ascii="Times New Roman" w:cs="Times New Roman"/>
                <w:sz w:val="21"/>
                <w:szCs w:val="21"/>
              </w:rPr>
              <w:t>地下车库内设机械排风兼排烟系统、高于地面2.5m的排放口</w:t>
            </w:r>
          </w:p>
        </w:tc>
        <w:tc>
          <w:tcPr>
            <w:tcW w:w="845" w:type="pct"/>
            <w:tcBorders>
              <w:top w:val="single" w:color="000000" w:sz="4" w:space="0"/>
              <w:left w:val="single" w:color="000000" w:sz="6" w:space="0"/>
              <w:bottom w:val="single" w:color="000000" w:sz="4" w:space="0"/>
              <w:right w:val="single" w:color="000000" w:sz="6" w:space="0"/>
            </w:tcBorders>
            <w:vAlign w:val="center"/>
          </w:tcPr>
          <w:p>
            <w:pPr>
              <w:pStyle w:val="72"/>
              <w:jc w:val="center"/>
              <w:rPr>
                <w:rFonts w:ascii="Times New Roman" w:cs="Times New Roman"/>
                <w:sz w:val="21"/>
                <w:szCs w:val="21"/>
              </w:rPr>
            </w:pPr>
            <w:r>
              <w:rPr>
                <w:rFonts w:hint="eastAsia" w:ascii="Times New Roman" w:cs="Times New Roman"/>
                <w:sz w:val="21"/>
                <w:szCs w:val="21"/>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24" w:type="pct"/>
            <w:vMerge w:val="continue"/>
            <w:tcBorders>
              <w:left w:val="single" w:color="000000" w:sz="6" w:space="0"/>
              <w:bottom w:val="single" w:color="000000" w:sz="6" w:space="0"/>
              <w:right w:val="single" w:color="000000" w:sz="6" w:space="0"/>
            </w:tcBorders>
            <w:vAlign w:val="center"/>
          </w:tcPr>
          <w:p>
            <w:pPr>
              <w:pStyle w:val="72"/>
              <w:jc w:val="center"/>
              <w:rPr>
                <w:rFonts w:ascii="Times New Roman" w:cs="Times New Roman"/>
                <w:sz w:val="21"/>
                <w:szCs w:val="21"/>
              </w:rPr>
            </w:pPr>
          </w:p>
        </w:tc>
        <w:tc>
          <w:tcPr>
            <w:tcW w:w="638" w:type="pct"/>
            <w:vMerge w:val="continue"/>
            <w:tcBorders>
              <w:left w:val="single" w:color="000000" w:sz="6" w:space="0"/>
              <w:bottom w:val="single" w:color="000000" w:sz="6" w:space="0"/>
              <w:right w:val="single" w:color="000000" w:sz="6" w:space="0"/>
            </w:tcBorders>
            <w:vAlign w:val="center"/>
          </w:tcPr>
          <w:p>
            <w:pPr>
              <w:pStyle w:val="72"/>
              <w:jc w:val="center"/>
              <w:rPr>
                <w:rFonts w:ascii="Times New Roman" w:cs="Times New Roman"/>
                <w:sz w:val="21"/>
                <w:szCs w:val="21"/>
              </w:rPr>
            </w:pPr>
          </w:p>
        </w:tc>
        <w:tc>
          <w:tcPr>
            <w:tcW w:w="2993" w:type="pct"/>
            <w:tcBorders>
              <w:top w:val="single" w:color="000000" w:sz="4" w:space="0"/>
              <w:left w:val="single" w:color="000000" w:sz="6" w:space="0"/>
              <w:bottom w:val="single" w:color="000000" w:sz="6" w:space="0"/>
              <w:right w:val="single" w:color="000000" w:sz="6" w:space="0"/>
            </w:tcBorders>
            <w:vAlign w:val="center"/>
          </w:tcPr>
          <w:p>
            <w:pPr>
              <w:pStyle w:val="72"/>
              <w:jc w:val="center"/>
              <w:rPr>
                <w:rFonts w:ascii="Times New Roman" w:cs="Times New Roman"/>
                <w:sz w:val="21"/>
                <w:szCs w:val="21"/>
              </w:rPr>
            </w:pPr>
            <w:r>
              <w:rPr>
                <w:rFonts w:ascii="Times New Roman" w:cs="Times New Roman"/>
                <w:sz w:val="21"/>
                <w:szCs w:val="21"/>
              </w:rPr>
              <w:t>柴油发电机排烟管道；设备房排风排烟设备、风井</w:t>
            </w:r>
          </w:p>
        </w:tc>
        <w:tc>
          <w:tcPr>
            <w:tcW w:w="845" w:type="pct"/>
            <w:tcBorders>
              <w:top w:val="single" w:color="000000" w:sz="4" w:space="0"/>
              <w:left w:val="single" w:color="000000" w:sz="6" w:space="0"/>
              <w:bottom w:val="single" w:color="000000" w:sz="6" w:space="0"/>
              <w:right w:val="single" w:color="000000" w:sz="6" w:space="0"/>
            </w:tcBorders>
            <w:vAlign w:val="center"/>
          </w:tcPr>
          <w:p>
            <w:pPr>
              <w:pStyle w:val="72"/>
              <w:jc w:val="center"/>
              <w:rPr>
                <w:rFonts w:ascii="Times New Roman" w:cs="Times New Roman"/>
                <w:sz w:val="21"/>
                <w:szCs w:val="21"/>
              </w:rPr>
            </w:pPr>
            <w:r>
              <w:rPr>
                <w:rFonts w:hint="eastAsia" w:ascii="Times New Roman" w:cs="Times New Roman"/>
                <w:sz w:val="21"/>
                <w:szCs w:val="21"/>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524" w:type="pct"/>
            <w:vMerge w:val="continue"/>
            <w:tcBorders>
              <w:top w:val="single" w:color="000000" w:sz="6" w:space="0"/>
              <w:left w:val="single" w:color="000000" w:sz="4" w:space="0"/>
              <w:right w:val="single" w:color="000000" w:sz="4" w:space="0"/>
            </w:tcBorders>
            <w:vAlign w:val="center"/>
          </w:tcPr>
          <w:p>
            <w:pPr>
              <w:pStyle w:val="72"/>
              <w:jc w:val="center"/>
              <w:rPr>
                <w:rFonts w:ascii="Times New Roman" w:cs="Times New Roman"/>
                <w:sz w:val="21"/>
                <w:szCs w:val="21"/>
              </w:rPr>
            </w:pPr>
          </w:p>
        </w:tc>
        <w:tc>
          <w:tcPr>
            <w:tcW w:w="638" w:type="pct"/>
            <w:tcBorders>
              <w:top w:val="single" w:color="000000" w:sz="6" w:space="0"/>
              <w:left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噪声</w:t>
            </w:r>
          </w:p>
        </w:tc>
        <w:tc>
          <w:tcPr>
            <w:tcW w:w="2993" w:type="pct"/>
            <w:tcBorders>
              <w:top w:val="single" w:color="000000" w:sz="6" w:space="0"/>
              <w:left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水泵房、柴油发电机房、配电房隔声、减振、消声等措施</w:t>
            </w:r>
          </w:p>
        </w:tc>
        <w:tc>
          <w:tcPr>
            <w:tcW w:w="845" w:type="pct"/>
            <w:tcBorders>
              <w:top w:val="single" w:color="000000" w:sz="6" w:space="0"/>
              <w:left w:val="single" w:color="000000" w:sz="4" w:space="0"/>
              <w:right w:val="single" w:color="000000" w:sz="4" w:space="0"/>
            </w:tcBorders>
            <w:vAlign w:val="center"/>
          </w:tcPr>
          <w:p>
            <w:pPr>
              <w:pStyle w:val="72"/>
              <w:jc w:val="center"/>
              <w:rPr>
                <w:rFonts w:ascii="Times New Roman" w:cs="Times New Roman"/>
                <w:sz w:val="21"/>
                <w:szCs w:val="21"/>
              </w:rPr>
            </w:pPr>
            <w:r>
              <w:rPr>
                <w:rFonts w:hint="eastAsia" w:ascii="Times New Roman" w:cs="Times New Roman"/>
                <w:sz w:val="21"/>
                <w:szCs w:val="21"/>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24" w:type="pct"/>
            <w:vMerge w:val="continue"/>
            <w:tcBorders>
              <w:left w:val="single" w:color="000000" w:sz="4" w:space="0"/>
              <w:right w:val="single" w:color="000000" w:sz="4" w:space="0"/>
            </w:tcBorders>
            <w:vAlign w:val="center"/>
          </w:tcPr>
          <w:p>
            <w:pPr>
              <w:pStyle w:val="72"/>
              <w:jc w:val="center"/>
              <w:rPr>
                <w:rFonts w:ascii="Times New Roman" w:cs="Times New Roman"/>
                <w:sz w:val="21"/>
                <w:szCs w:val="21"/>
              </w:rPr>
            </w:pPr>
          </w:p>
        </w:tc>
        <w:tc>
          <w:tcPr>
            <w:tcW w:w="638" w:type="pct"/>
            <w:vMerge w:val="restart"/>
            <w:tcBorders>
              <w:top w:val="single" w:color="000000" w:sz="4" w:space="0"/>
              <w:left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固废</w:t>
            </w:r>
          </w:p>
        </w:tc>
        <w:tc>
          <w:tcPr>
            <w:tcW w:w="2993"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密闭垃圾桶</w:t>
            </w:r>
          </w:p>
        </w:tc>
        <w:tc>
          <w:tcPr>
            <w:tcW w:w="845"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hint="eastAsia" w:ascii="Times New Roman" w:cs="Times New Roman"/>
                <w:sz w:val="21"/>
                <w:szCs w:val="21"/>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24" w:type="pct"/>
            <w:vMerge w:val="continue"/>
            <w:tcBorders>
              <w:left w:val="single" w:color="000000" w:sz="4" w:space="0"/>
              <w:right w:val="single" w:color="000000" w:sz="4" w:space="0"/>
            </w:tcBorders>
            <w:vAlign w:val="center"/>
          </w:tcPr>
          <w:p>
            <w:pPr>
              <w:pStyle w:val="72"/>
              <w:jc w:val="center"/>
              <w:rPr>
                <w:rFonts w:ascii="Times New Roman" w:cs="Times New Roman"/>
                <w:sz w:val="21"/>
                <w:szCs w:val="21"/>
              </w:rPr>
            </w:pPr>
          </w:p>
        </w:tc>
        <w:tc>
          <w:tcPr>
            <w:tcW w:w="638" w:type="pct"/>
            <w:vMerge w:val="continue"/>
            <w:tcBorders>
              <w:left w:val="single" w:color="000000" w:sz="4" w:space="0"/>
              <w:right w:val="single" w:color="000000" w:sz="4" w:space="0"/>
            </w:tcBorders>
            <w:vAlign w:val="center"/>
          </w:tcPr>
          <w:p>
            <w:pPr>
              <w:pStyle w:val="72"/>
              <w:jc w:val="center"/>
              <w:rPr>
                <w:rFonts w:ascii="Times New Roman" w:cs="Times New Roman"/>
                <w:sz w:val="21"/>
                <w:szCs w:val="21"/>
              </w:rPr>
            </w:pPr>
          </w:p>
        </w:tc>
        <w:tc>
          <w:tcPr>
            <w:tcW w:w="2993"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实验室固废委托有危废处置</w:t>
            </w:r>
          </w:p>
        </w:tc>
        <w:tc>
          <w:tcPr>
            <w:tcW w:w="845"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24" w:type="pct"/>
            <w:vMerge w:val="continue"/>
            <w:tcBorders>
              <w:left w:val="single" w:color="000000" w:sz="4" w:space="0"/>
              <w:right w:val="single" w:color="000000" w:sz="4" w:space="0"/>
            </w:tcBorders>
            <w:vAlign w:val="center"/>
          </w:tcPr>
          <w:p>
            <w:pPr>
              <w:pStyle w:val="72"/>
              <w:jc w:val="center"/>
              <w:rPr>
                <w:rFonts w:ascii="Times New Roman" w:cs="Times New Roman"/>
                <w:sz w:val="21"/>
                <w:szCs w:val="21"/>
              </w:rPr>
            </w:pPr>
          </w:p>
        </w:tc>
        <w:tc>
          <w:tcPr>
            <w:tcW w:w="638" w:type="pct"/>
            <w:vMerge w:val="continue"/>
            <w:tcBorders>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p>
        </w:tc>
        <w:tc>
          <w:tcPr>
            <w:tcW w:w="2993"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化粪池污泥半年清掏一次</w:t>
            </w:r>
          </w:p>
        </w:tc>
        <w:tc>
          <w:tcPr>
            <w:tcW w:w="845"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hint="eastAsia" w:ascii="Times New Roman" w:cs="Times New Roman"/>
                <w:sz w:val="21"/>
                <w:szCs w:val="21"/>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4155" w:type="pct"/>
            <w:gridSpan w:val="3"/>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ascii="Times New Roman" w:cs="Times New Roman"/>
                <w:sz w:val="21"/>
                <w:szCs w:val="21"/>
              </w:rPr>
              <w:t>合计</w:t>
            </w:r>
          </w:p>
        </w:tc>
        <w:tc>
          <w:tcPr>
            <w:tcW w:w="845" w:type="pct"/>
            <w:tcBorders>
              <w:top w:val="single" w:color="000000" w:sz="4" w:space="0"/>
              <w:left w:val="single" w:color="000000" w:sz="4" w:space="0"/>
              <w:bottom w:val="single" w:color="000000" w:sz="4" w:space="0"/>
              <w:right w:val="single" w:color="000000" w:sz="4" w:space="0"/>
            </w:tcBorders>
            <w:vAlign w:val="center"/>
          </w:tcPr>
          <w:p>
            <w:pPr>
              <w:pStyle w:val="72"/>
              <w:jc w:val="center"/>
              <w:rPr>
                <w:rFonts w:ascii="Times New Roman" w:cs="Times New Roman"/>
                <w:sz w:val="21"/>
                <w:szCs w:val="21"/>
              </w:rPr>
            </w:pPr>
            <w:r>
              <w:rPr>
                <w:rFonts w:hint="eastAsia" w:ascii="Times New Roman" w:cs="Times New Roman"/>
                <w:sz w:val="21"/>
                <w:szCs w:val="21"/>
              </w:rPr>
              <w:t>230</w:t>
            </w:r>
          </w:p>
        </w:tc>
      </w:tr>
    </w:tbl>
    <w:p>
      <w:pPr>
        <w:pStyle w:val="73"/>
        <w:rPr>
          <w:rFonts w:eastAsia="宋体"/>
        </w:rPr>
      </w:pPr>
      <w:bookmarkStart w:id="236" w:name="_Toc486070584"/>
      <w:r>
        <w:rPr>
          <w:rFonts w:eastAsia="宋体"/>
        </w:rPr>
        <w:t>7.2 环境经济损益分析</w:t>
      </w:r>
      <w:bookmarkEnd w:id="236"/>
    </w:p>
    <w:p>
      <w:pPr>
        <w:spacing w:line="360" w:lineRule="auto"/>
        <w:ind w:firstLine="480" w:firstLineChars="200"/>
        <w:rPr>
          <w:sz w:val="24"/>
        </w:rPr>
      </w:pPr>
      <w:r>
        <w:rPr>
          <w:sz w:val="24"/>
        </w:rPr>
        <w:t>（1）通过绿化景观规划，使学校内的绿化程度得到强化和达标，维护与改善了整个区域的生态环境质量。</w:t>
      </w:r>
    </w:p>
    <w:p>
      <w:pPr>
        <w:spacing w:line="360" w:lineRule="auto"/>
        <w:ind w:firstLine="480" w:firstLineChars="200"/>
        <w:rPr>
          <w:sz w:val="24"/>
        </w:rPr>
      </w:pPr>
      <w:r>
        <w:rPr>
          <w:sz w:val="24"/>
        </w:rPr>
        <w:t>（2）污水经处理达标后纳入城市污水管网，减轻对纳污水体的污染影响。</w:t>
      </w:r>
    </w:p>
    <w:p>
      <w:pPr>
        <w:spacing w:line="360" w:lineRule="auto"/>
        <w:ind w:firstLine="480" w:firstLineChars="200"/>
        <w:rPr>
          <w:sz w:val="24"/>
        </w:rPr>
      </w:pPr>
      <w:r>
        <w:rPr>
          <w:sz w:val="24"/>
        </w:rPr>
        <w:t>（3）整个地区的垃圾都得到妥善处理，保障了环境卫生。</w:t>
      </w:r>
    </w:p>
    <w:p>
      <w:pPr>
        <w:spacing w:line="360" w:lineRule="auto"/>
        <w:ind w:firstLine="480" w:firstLineChars="200"/>
        <w:rPr>
          <w:sz w:val="24"/>
        </w:rPr>
      </w:pPr>
      <w:r>
        <w:rPr>
          <w:sz w:val="24"/>
        </w:rPr>
        <w:t>（4）废气得到有效控制，改善了学校的环境空气质量。</w:t>
      </w:r>
    </w:p>
    <w:p>
      <w:pPr>
        <w:spacing w:line="360" w:lineRule="auto"/>
        <w:ind w:firstLine="480" w:firstLineChars="200"/>
        <w:rPr>
          <w:sz w:val="24"/>
        </w:rPr>
      </w:pPr>
      <w:r>
        <w:rPr>
          <w:sz w:val="24"/>
        </w:rPr>
        <w:t>（5）设备房产生的噪声都得到治理，保证了学校的声环境质量。</w:t>
      </w:r>
    </w:p>
    <w:p>
      <w:pPr>
        <w:spacing w:line="360" w:lineRule="auto"/>
        <w:ind w:firstLine="480" w:firstLineChars="200"/>
        <w:rPr>
          <w:sz w:val="24"/>
        </w:rPr>
      </w:pPr>
      <w:r>
        <w:rPr>
          <w:sz w:val="24"/>
        </w:rPr>
        <w:t>综上所述，本项目环保资金的投入具有良好的社会、经济、环境效益。</w:t>
      </w:r>
    </w:p>
    <w:p>
      <w:pPr>
        <w:pStyle w:val="2"/>
        <w:keepNext w:val="0"/>
        <w:keepLines w:val="0"/>
        <w:autoSpaceDE w:val="0"/>
        <w:autoSpaceDN w:val="0"/>
        <w:adjustRightInd w:val="0"/>
        <w:spacing w:beforeLines="50" w:after="0" w:line="360" w:lineRule="auto"/>
        <w:rPr>
          <w:sz w:val="24"/>
        </w:rPr>
      </w:pPr>
      <w:bookmarkStart w:id="237" w:name="_Toc486070585"/>
      <w:r>
        <w:rPr>
          <w:rFonts w:hint="eastAsia" w:eastAsia="宋体"/>
          <w:kern w:val="2"/>
          <w:sz w:val="30"/>
          <w:szCs w:val="28"/>
        </w:rPr>
        <w:t>八</w:t>
      </w:r>
      <w:r>
        <w:rPr>
          <w:rFonts w:eastAsia="宋体"/>
          <w:kern w:val="2"/>
          <w:sz w:val="30"/>
          <w:szCs w:val="28"/>
        </w:rPr>
        <w:t>、</w:t>
      </w:r>
      <w:bookmarkEnd w:id="237"/>
      <w:r>
        <w:rPr>
          <w:rFonts w:asciiTheme="minorEastAsia" w:hAnsiTheme="minorEastAsia" w:eastAsiaTheme="minorEastAsia"/>
          <w:spacing w:val="6"/>
          <w:sz w:val="30"/>
          <w:szCs w:val="30"/>
        </w:rPr>
        <w:t>排污口规范化</w:t>
      </w:r>
      <w:r>
        <w:rPr>
          <w:rFonts w:hint="eastAsia" w:asciiTheme="minorEastAsia" w:hAnsiTheme="minorEastAsia" w:eastAsiaTheme="minorEastAsia"/>
          <w:spacing w:val="6"/>
          <w:sz w:val="30"/>
          <w:szCs w:val="30"/>
        </w:rPr>
        <w:t>和总量控制</w:t>
      </w:r>
    </w:p>
    <w:p>
      <w:pPr>
        <w:spacing w:line="520" w:lineRule="exact"/>
        <w:outlineLvl w:val="0"/>
        <w:rPr>
          <w:b/>
          <w:sz w:val="28"/>
          <w:szCs w:val="28"/>
        </w:rPr>
      </w:pPr>
      <w:bookmarkStart w:id="238" w:name="_Toc486070586"/>
      <w:r>
        <w:rPr>
          <w:b/>
          <w:sz w:val="28"/>
          <w:szCs w:val="28"/>
        </w:rPr>
        <w:t>8.1</w:t>
      </w:r>
      <w:bookmarkEnd w:id="238"/>
      <w:bookmarkStart w:id="239" w:name="_Toc472321539"/>
      <w:bookmarkStart w:id="240" w:name="_Toc486070587"/>
      <w:r>
        <w:rPr>
          <w:b/>
          <w:sz w:val="28"/>
          <w:szCs w:val="28"/>
        </w:rPr>
        <w:t>总量控制</w:t>
      </w:r>
    </w:p>
    <w:p>
      <w:pPr>
        <w:spacing w:line="520" w:lineRule="exact"/>
        <w:ind w:firstLine="480" w:firstLineChars="200"/>
      </w:pPr>
      <w:r>
        <w:rPr>
          <w:sz w:val="24"/>
        </w:rPr>
        <w:t>根据国家</w:t>
      </w:r>
      <w:r>
        <w:rPr>
          <w:rFonts w:hint="eastAsia"/>
          <w:sz w:val="24"/>
        </w:rPr>
        <w:t>《“十三五”期间全国主要污染物排放总量控制计划》，本项目的总量控制指标：COD、NH</w:t>
      </w:r>
      <w:r>
        <w:rPr>
          <w:rFonts w:hint="eastAsia"/>
          <w:sz w:val="24"/>
          <w:vertAlign w:val="subscript"/>
        </w:rPr>
        <w:t>3</w:t>
      </w:r>
      <w:r>
        <w:rPr>
          <w:rFonts w:hint="eastAsia"/>
          <w:sz w:val="24"/>
        </w:rPr>
        <w:t>-N</w:t>
      </w:r>
      <w:r>
        <w:rPr>
          <w:sz w:val="24"/>
        </w:rPr>
        <w:t>。</w:t>
      </w:r>
    </w:p>
    <w:p>
      <w:pPr>
        <w:spacing w:line="520" w:lineRule="exact"/>
        <w:ind w:firstLine="480" w:firstLineChars="200"/>
        <w:rPr>
          <w:sz w:val="24"/>
        </w:rPr>
      </w:pPr>
      <w:r>
        <w:rPr>
          <w:sz w:val="24"/>
        </w:rPr>
        <w:t>项目运营后废水排放量为</w:t>
      </w:r>
      <w:r>
        <w:rPr>
          <w:rFonts w:hint="eastAsia"/>
          <w:sz w:val="24"/>
        </w:rPr>
        <w:t>50457</w:t>
      </w:r>
      <w:r>
        <w:rPr>
          <w:sz w:val="24"/>
        </w:rPr>
        <w:t>m³/a，排放量为COD</w:t>
      </w:r>
      <w:r>
        <w:rPr>
          <w:rFonts w:hint="eastAsia"/>
          <w:sz w:val="24"/>
        </w:rPr>
        <w:t>2.52</w:t>
      </w:r>
      <w:r>
        <w:rPr>
          <w:sz w:val="24"/>
        </w:rPr>
        <w:t>t/a、氨氮</w:t>
      </w:r>
      <w:r>
        <w:rPr>
          <w:rFonts w:hint="eastAsia"/>
          <w:sz w:val="24"/>
        </w:rPr>
        <w:t>0.25t</w:t>
      </w:r>
      <w:r>
        <w:rPr>
          <w:sz w:val="24"/>
        </w:rPr>
        <w:t>/a。</w:t>
      </w:r>
      <w:r>
        <w:rPr>
          <w:rFonts w:hint="eastAsia"/>
          <w:sz w:val="24"/>
        </w:rPr>
        <w:t>项目运营期污水经预处理达标后经市政污水管网，排入大学城</w:t>
      </w:r>
      <w:r>
        <w:rPr>
          <w:sz w:val="24"/>
        </w:rPr>
        <w:t>污水处理厂处理，已纳入该污水处理厂的总量控制指标中，本项目不再另行申请总量。</w:t>
      </w:r>
    </w:p>
    <w:bookmarkEnd w:id="239"/>
    <w:bookmarkEnd w:id="240"/>
    <w:p>
      <w:pPr>
        <w:spacing w:line="520" w:lineRule="exact"/>
        <w:outlineLvl w:val="0"/>
        <w:rPr>
          <w:b/>
          <w:sz w:val="28"/>
          <w:szCs w:val="28"/>
        </w:rPr>
      </w:pPr>
      <w:bookmarkStart w:id="241" w:name="_Toc56"/>
      <w:bookmarkStart w:id="242" w:name="_Toc486070594"/>
      <w:r>
        <w:rPr>
          <w:rFonts w:hint="eastAsia"/>
          <w:b/>
          <w:sz w:val="28"/>
          <w:szCs w:val="28"/>
        </w:rPr>
        <w:t>8.2 排污口规范化</w:t>
      </w:r>
      <w:bookmarkEnd w:id="241"/>
    </w:p>
    <w:p>
      <w:pPr>
        <w:spacing w:line="520" w:lineRule="exact"/>
        <w:outlineLvl w:val="1"/>
        <w:rPr>
          <w:b/>
          <w:sz w:val="24"/>
        </w:rPr>
      </w:pPr>
      <w:r>
        <w:rPr>
          <w:rFonts w:hint="eastAsia"/>
          <w:b/>
          <w:sz w:val="24"/>
        </w:rPr>
        <w:t>8.2.1 排污口规范化要求的依据</w:t>
      </w:r>
    </w:p>
    <w:p>
      <w:pPr>
        <w:pStyle w:val="70"/>
        <w:autoSpaceDE/>
        <w:autoSpaceDN/>
        <w:adjustRightInd/>
        <w:spacing w:line="520" w:lineRule="exact"/>
        <w:ind w:firstLine="480"/>
      </w:pPr>
      <w:r>
        <w:t>（1）《关于开展排污口规范化整治工作的通知》国家环境保护总局（环发[1999]24号）。</w:t>
      </w:r>
    </w:p>
    <w:p>
      <w:pPr>
        <w:pStyle w:val="70"/>
        <w:autoSpaceDE/>
        <w:autoSpaceDN/>
        <w:adjustRightInd/>
        <w:spacing w:line="520" w:lineRule="exact"/>
        <w:ind w:firstLine="480"/>
      </w:pPr>
      <w:r>
        <w:t>（2）《排污口规范化整治技术》国家环境保护总局（环发[1999]24号）；</w:t>
      </w:r>
    </w:p>
    <w:p>
      <w:pPr>
        <w:pStyle w:val="70"/>
        <w:autoSpaceDE/>
        <w:autoSpaceDN/>
        <w:adjustRightInd/>
        <w:spacing w:line="520" w:lineRule="exact"/>
        <w:ind w:firstLine="480"/>
      </w:pPr>
      <w:r>
        <w:t>（3）“关于转发《关于开展排污口规范化整治工作的通知》的通知”福建省环境保护局（闽环保[1999]理3号）；</w:t>
      </w:r>
    </w:p>
    <w:p>
      <w:pPr>
        <w:pStyle w:val="70"/>
        <w:autoSpaceDE/>
        <w:autoSpaceDN/>
        <w:adjustRightInd/>
        <w:spacing w:line="520" w:lineRule="exact"/>
        <w:ind w:firstLine="480"/>
      </w:pPr>
      <w:r>
        <w:t>（4）“关于印发《福建省污染物排放口规范化整治补充技术要求》的通知”福建省环境保护局（闽环保[1999]理8号）；</w:t>
      </w:r>
    </w:p>
    <w:p>
      <w:pPr>
        <w:pStyle w:val="70"/>
        <w:autoSpaceDE/>
        <w:autoSpaceDN/>
        <w:adjustRightInd/>
        <w:spacing w:line="520" w:lineRule="exact"/>
        <w:ind w:firstLine="480"/>
      </w:pPr>
      <w:r>
        <w:t>（5）“关于印发《福建省工业污染源排放口管理办法》的通知”福建省环境保护局（闽环保[1999]理9号）。</w:t>
      </w:r>
    </w:p>
    <w:p>
      <w:pPr>
        <w:spacing w:line="520" w:lineRule="exact"/>
        <w:outlineLvl w:val="1"/>
        <w:rPr>
          <w:b/>
          <w:sz w:val="24"/>
        </w:rPr>
      </w:pPr>
      <w:bookmarkStart w:id="243" w:name="_Toc114993714"/>
      <w:bookmarkStart w:id="244" w:name="_Toc4098"/>
      <w:bookmarkStart w:id="245" w:name="_Toc26076"/>
      <w:bookmarkStart w:id="246" w:name="_Toc12869"/>
      <w:bookmarkStart w:id="247" w:name="_Toc4033"/>
      <w:r>
        <w:rPr>
          <w:rFonts w:hint="eastAsia"/>
          <w:b/>
          <w:sz w:val="24"/>
        </w:rPr>
        <w:t>8.2.2</w:t>
      </w:r>
      <w:r>
        <w:rPr>
          <w:b/>
          <w:sz w:val="24"/>
        </w:rPr>
        <w:t xml:space="preserve"> 排污口规范化的范围和时间</w:t>
      </w:r>
      <w:bookmarkEnd w:id="243"/>
      <w:bookmarkEnd w:id="244"/>
      <w:bookmarkEnd w:id="245"/>
      <w:bookmarkEnd w:id="246"/>
      <w:bookmarkEnd w:id="247"/>
    </w:p>
    <w:p>
      <w:pPr>
        <w:pStyle w:val="70"/>
        <w:autoSpaceDE/>
        <w:autoSpaceDN/>
        <w:adjustRightInd/>
        <w:spacing w:line="520" w:lineRule="exact"/>
        <w:ind w:firstLine="480"/>
      </w:pPr>
      <w:r>
        <w:t>根据福建省环境保护局闽环保（1999）理3号“关于转发《关于开展排污口规范化整治工作的通知》的通知”文的要求，一切新建、改建的排污单位以及限期治理的排污单位，必须在建设污染治理设施的同时，建设规范化排污口。因此，该项目的排污口必须规范化设置和管理。规范化工作应与污染治理同步实施，即污染治理设施完工时，规范化工作必须同时完成，并列入污染治理设施的竣工验收内容。</w:t>
      </w:r>
    </w:p>
    <w:p>
      <w:pPr>
        <w:spacing w:line="520" w:lineRule="exact"/>
        <w:outlineLvl w:val="1"/>
        <w:rPr>
          <w:b/>
          <w:sz w:val="24"/>
        </w:rPr>
      </w:pPr>
      <w:bookmarkStart w:id="248" w:name="_Toc17290"/>
      <w:bookmarkStart w:id="249" w:name="_Toc26237"/>
      <w:bookmarkStart w:id="250" w:name="_Toc7067"/>
      <w:bookmarkStart w:id="251" w:name="_Toc13802"/>
      <w:r>
        <w:rPr>
          <w:rFonts w:hint="eastAsia"/>
          <w:b/>
          <w:sz w:val="24"/>
        </w:rPr>
        <w:t xml:space="preserve">8.2.3 </w:t>
      </w:r>
      <w:r>
        <w:rPr>
          <w:b/>
          <w:sz w:val="24"/>
        </w:rPr>
        <w:t>排污口规范化内容</w:t>
      </w:r>
      <w:bookmarkEnd w:id="248"/>
      <w:bookmarkEnd w:id="249"/>
      <w:bookmarkEnd w:id="250"/>
      <w:bookmarkEnd w:id="251"/>
    </w:p>
    <w:p>
      <w:pPr>
        <w:pStyle w:val="70"/>
        <w:autoSpaceDE/>
        <w:autoSpaceDN/>
        <w:adjustRightInd/>
        <w:spacing w:line="520" w:lineRule="exact"/>
        <w:ind w:firstLine="480"/>
      </w:pPr>
      <w:r>
        <w:t>项目与市政污水管网的衔接处设置应符合市政管理部门的要求，并设置符合城市排水规范要求的污水排放口、专业检测井。</w:t>
      </w:r>
    </w:p>
    <w:p>
      <w:pPr>
        <w:spacing w:line="520" w:lineRule="exact"/>
        <w:outlineLvl w:val="1"/>
        <w:rPr>
          <w:b/>
          <w:sz w:val="24"/>
        </w:rPr>
      </w:pPr>
      <w:bookmarkStart w:id="252" w:name="_Toc16205"/>
      <w:bookmarkStart w:id="253" w:name="_Toc8130"/>
      <w:bookmarkStart w:id="254" w:name="_Toc15396"/>
      <w:bookmarkStart w:id="255" w:name="_Toc17976"/>
      <w:r>
        <w:rPr>
          <w:rFonts w:hint="eastAsia"/>
          <w:b/>
          <w:sz w:val="24"/>
        </w:rPr>
        <w:t xml:space="preserve">8.2.4 </w:t>
      </w:r>
      <w:r>
        <w:rPr>
          <w:b/>
          <w:sz w:val="24"/>
        </w:rPr>
        <w:t>排污口规范化设置</w:t>
      </w:r>
      <w:bookmarkEnd w:id="252"/>
      <w:bookmarkEnd w:id="253"/>
      <w:bookmarkEnd w:id="254"/>
      <w:bookmarkEnd w:id="255"/>
    </w:p>
    <w:p>
      <w:pPr>
        <w:pStyle w:val="70"/>
        <w:autoSpaceDE/>
        <w:autoSpaceDN/>
        <w:adjustRightInd/>
        <w:spacing w:line="520" w:lineRule="exact"/>
        <w:ind w:firstLine="480"/>
      </w:pPr>
      <w:r>
        <w:t>建设项目的排水应实行雨污分流制，污水经过处理后可由污水排放口排入市政管网，送往</w:t>
      </w:r>
      <w:r>
        <w:rPr>
          <w:rFonts w:hint="eastAsia"/>
        </w:rPr>
        <w:t>大学城</w:t>
      </w:r>
      <w:r>
        <w:t>污水厂集中处理，项目</w:t>
      </w:r>
      <w:r>
        <w:rPr>
          <w:rFonts w:hint="eastAsia"/>
        </w:rPr>
        <w:t>各</w:t>
      </w:r>
      <w:r>
        <w:t>设置</w:t>
      </w:r>
      <w:r>
        <w:rPr>
          <w:rFonts w:hint="eastAsia"/>
        </w:rPr>
        <w:t>1个</w:t>
      </w:r>
      <w:r>
        <w:t>污水排放口</w:t>
      </w:r>
      <w:r>
        <w:rPr>
          <w:rFonts w:hint="eastAsia"/>
        </w:rPr>
        <w:t>和1个</w:t>
      </w:r>
      <w:r>
        <w:t>雨水排放口，同时应在排污口处水质检查井并设置排污口标志，对废水总排放口设置采样监测点。</w:t>
      </w:r>
      <w:r>
        <w:rPr>
          <w:rFonts w:hint="eastAsia"/>
        </w:rPr>
        <w:t>食堂废气排放口1个，备用柴油发电机烟气排放口2个。</w:t>
      </w:r>
    </w:p>
    <w:p>
      <w:pPr>
        <w:pStyle w:val="70"/>
        <w:autoSpaceDE/>
        <w:autoSpaceDN/>
        <w:adjustRightInd/>
        <w:spacing w:line="520" w:lineRule="exact"/>
        <w:ind w:firstLine="0" w:firstLineChars="0"/>
        <w:rPr>
          <w:rFonts w:ascii="宋体" w:hAnsi="宋体" w:cs="宋体"/>
        </w:rPr>
      </w:pPr>
      <w:r>
        <w:rPr>
          <w:rFonts w:hint="eastAsia"/>
          <w:b/>
        </w:rPr>
        <w:t>8.2.5 排污口规范化管理</w:t>
      </w:r>
      <w:r>
        <w:rPr>
          <w:rFonts w:hint="eastAsia" w:ascii="宋体" w:hAnsi="宋体" w:cs="宋体"/>
        </w:rPr>
        <w:t xml:space="preserve"> </w:t>
      </w:r>
    </w:p>
    <w:p>
      <w:pPr>
        <w:pStyle w:val="70"/>
        <w:autoSpaceDE/>
        <w:autoSpaceDN/>
        <w:adjustRightInd/>
        <w:spacing w:line="520" w:lineRule="exact"/>
        <w:ind w:firstLine="480"/>
      </w:pPr>
      <w:r>
        <w:rPr>
          <w:rFonts w:hint="eastAsia"/>
        </w:rPr>
        <w:t>建设单位应如实填写《中华人民共和国规范化排污口标志登记证》的有关内容，由环保主管部门签发登记证。建设单位应把排污口情况如排污口的性质、编号、排污口的位置 以及主要排放的污染物的各类、数量、浓度、排放规律、排放去向以及污染治理实施的运行情况建档管理，并报送环保主管部门备案。</w:t>
      </w:r>
    </w:p>
    <w:p>
      <w:pPr>
        <w:pStyle w:val="2"/>
        <w:keepNext w:val="0"/>
        <w:keepLines w:val="0"/>
        <w:autoSpaceDE w:val="0"/>
        <w:autoSpaceDN w:val="0"/>
        <w:adjustRightInd w:val="0"/>
        <w:spacing w:beforeLines="50" w:after="0" w:line="360" w:lineRule="auto"/>
        <w:rPr>
          <w:sz w:val="24"/>
        </w:rPr>
      </w:pPr>
      <w:r>
        <w:rPr>
          <w:rFonts w:hint="eastAsia" w:eastAsia="宋体"/>
          <w:kern w:val="2"/>
          <w:sz w:val="30"/>
          <w:szCs w:val="28"/>
        </w:rPr>
        <w:t>九</w:t>
      </w:r>
      <w:r>
        <w:rPr>
          <w:rFonts w:eastAsia="宋体"/>
          <w:kern w:val="2"/>
          <w:sz w:val="30"/>
          <w:szCs w:val="28"/>
        </w:rPr>
        <w:t>、环境管理和环境监测</w:t>
      </w:r>
      <w:bookmarkEnd w:id="242"/>
    </w:p>
    <w:p>
      <w:pPr>
        <w:pStyle w:val="42"/>
        <w:rPr>
          <w:rStyle w:val="43"/>
          <w:rFonts w:eastAsia="宋体"/>
        </w:rPr>
      </w:pPr>
      <w:bookmarkStart w:id="256" w:name="_Toc486070595"/>
      <w:r>
        <w:rPr>
          <w:rStyle w:val="43"/>
          <w:rFonts w:eastAsia="宋体"/>
        </w:rPr>
        <w:t>9.1环境管理</w:t>
      </w:r>
      <w:bookmarkEnd w:id="256"/>
    </w:p>
    <w:p>
      <w:pPr>
        <w:spacing w:line="520" w:lineRule="exact"/>
        <w:ind w:firstLine="480" w:firstLineChars="200"/>
        <w:rPr>
          <w:sz w:val="24"/>
          <w:szCs w:val="24"/>
        </w:rPr>
      </w:pPr>
      <w:bookmarkStart w:id="257" w:name="_Toc486070596"/>
      <w:r>
        <w:rPr>
          <w:rFonts w:hint="eastAsia"/>
          <w:sz w:val="24"/>
          <w:szCs w:val="24"/>
        </w:rPr>
        <w:t>（</w:t>
      </w:r>
      <w:r>
        <w:rPr>
          <w:sz w:val="24"/>
          <w:szCs w:val="24"/>
        </w:rPr>
        <w:t>1</w:t>
      </w:r>
      <w:r>
        <w:rPr>
          <w:rFonts w:hint="eastAsia"/>
          <w:sz w:val="24"/>
          <w:szCs w:val="24"/>
        </w:rPr>
        <w:t>）根据国家环保政策、标准及环境监测要求，制定该项目运行期环境管理规章制度。</w:t>
      </w:r>
    </w:p>
    <w:p>
      <w:pPr>
        <w:spacing w:line="520" w:lineRule="exact"/>
        <w:ind w:firstLine="480" w:firstLineChars="200"/>
        <w:rPr>
          <w:sz w:val="24"/>
          <w:szCs w:val="24"/>
        </w:rPr>
      </w:pPr>
      <w:r>
        <w:rPr>
          <w:rFonts w:hint="eastAsia"/>
          <w:sz w:val="24"/>
          <w:szCs w:val="24"/>
        </w:rPr>
        <w:t>（</w:t>
      </w:r>
      <w:r>
        <w:rPr>
          <w:sz w:val="24"/>
          <w:szCs w:val="24"/>
        </w:rPr>
        <w:t>2</w:t>
      </w:r>
      <w:r>
        <w:rPr>
          <w:rFonts w:hint="eastAsia"/>
          <w:sz w:val="24"/>
          <w:szCs w:val="24"/>
        </w:rPr>
        <w:t>）对排水管网进行定期维护和检修，确保正常运行及管网畅通。</w:t>
      </w:r>
    </w:p>
    <w:p>
      <w:pPr>
        <w:spacing w:line="520" w:lineRule="exact"/>
        <w:ind w:firstLine="480" w:firstLineChars="200"/>
        <w:rPr>
          <w:sz w:val="24"/>
          <w:szCs w:val="24"/>
        </w:rPr>
      </w:pPr>
      <w:r>
        <w:rPr>
          <w:rFonts w:hint="eastAsia"/>
          <w:sz w:val="24"/>
          <w:szCs w:val="24"/>
        </w:rPr>
        <w:t>（</w:t>
      </w:r>
      <w:r>
        <w:rPr>
          <w:sz w:val="24"/>
          <w:szCs w:val="24"/>
        </w:rPr>
        <w:t>3</w:t>
      </w:r>
      <w:r>
        <w:rPr>
          <w:rFonts w:hint="eastAsia"/>
          <w:sz w:val="24"/>
          <w:szCs w:val="24"/>
        </w:rPr>
        <w:t>）确保实验废水、食堂废水分别进入中和沉淀池和隔油池处理后才能与生活污水一同处理后接入市政管网，确保接入市政管网的水质达标。</w:t>
      </w:r>
    </w:p>
    <w:p>
      <w:pPr>
        <w:spacing w:line="520" w:lineRule="exact"/>
        <w:ind w:firstLine="480" w:firstLineChars="200"/>
        <w:rPr>
          <w:sz w:val="24"/>
          <w:szCs w:val="24"/>
        </w:rPr>
      </w:pPr>
      <w:r>
        <w:rPr>
          <w:rFonts w:hint="eastAsia"/>
          <w:sz w:val="24"/>
          <w:szCs w:val="24"/>
        </w:rPr>
        <w:t>（</w:t>
      </w:r>
      <w:r>
        <w:rPr>
          <w:sz w:val="24"/>
          <w:szCs w:val="24"/>
        </w:rPr>
        <w:t>4</w:t>
      </w:r>
      <w:r>
        <w:rPr>
          <w:rFonts w:hint="eastAsia"/>
          <w:sz w:val="24"/>
          <w:szCs w:val="24"/>
        </w:rPr>
        <w:t>）生活垃圾、危险废物的收集管理应由专人负责，分类收集，危险废物存储在专门的暂存点中，并委托有资质公司处置。</w:t>
      </w:r>
    </w:p>
    <w:bookmarkEnd w:id="257"/>
    <w:p>
      <w:pPr>
        <w:pStyle w:val="42"/>
        <w:rPr>
          <w:rStyle w:val="43"/>
          <w:rFonts w:eastAsia="宋体"/>
        </w:rPr>
      </w:pPr>
      <w:bookmarkStart w:id="258" w:name="_Toc10197"/>
      <w:bookmarkStart w:id="259" w:name="_Toc402445365"/>
      <w:bookmarkStart w:id="260" w:name="_Toc416992960"/>
      <w:bookmarkStart w:id="261" w:name="_Toc416192264"/>
      <w:bookmarkStart w:id="262" w:name="_Toc381722832"/>
      <w:bookmarkStart w:id="263" w:name="_Toc486070601"/>
      <w:r>
        <w:rPr>
          <w:rStyle w:val="43"/>
          <w:rFonts w:hint="eastAsia" w:eastAsia="宋体"/>
        </w:rPr>
        <w:t>9.2环境监测计划</w:t>
      </w:r>
      <w:bookmarkEnd w:id="258"/>
    </w:p>
    <w:p>
      <w:pPr>
        <w:spacing w:line="520" w:lineRule="exact"/>
        <w:ind w:firstLine="480" w:firstLineChars="200"/>
        <w:rPr>
          <w:sz w:val="24"/>
          <w:szCs w:val="24"/>
        </w:rPr>
      </w:pPr>
      <w:r>
        <w:rPr>
          <w:rFonts w:hint="eastAsia"/>
          <w:sz w:val="24"/>
          <w:szCs w:val="24"/>
        </w:rPr>
        <w:t>为了实施运营期环境监测计划，建设单位应定期委托有资质的环境监测机构对项目的废水和噪声进行监测。每次监测的数据应及时进行整理、统计，监理监测档案，并在监测工作完成后及时上报环保主管部门。项目实施的环境监测内容见表9.2-1。</w:t>
      </w:r>
    </w:p>
    <w:p>
      <w:pPr>
        <w:spacing w:line="520" w:lineRule="exact"/>
        <w:jc w:val="center"/>
        <w:rPr>
          <w:b/>
          <w:sz w:val="24"/>
        </w:rPr>
      </w:pPr>
      <w:r>
        <w:rPr>
          <w:rFonts w:hint="eastAsia"/>
          <w:b/>
          <w:sz w:val="24"/>
        </w:rPr>
        <w:t>表9.2-1  项目运营期环境监测计划一览表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416"/>
        <w:gridCol w:w="1985"/>
        <w:gridCol w:w="1416"/>
        <w:gridCol w:w="33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61" w:type="dxa"/>
            <w:tcBorders>
              <w:tl2br w:val="nil"/>
              <w:tr2bl w:val="nil"/>
            </w:tcBorders>
            <w:vAlign w:val="center"/>
          </w:tcPr>
          <w:p>
            <w:pPr>
              <w:jc w:val="center"/>
              <w:rPr>
                <w:b/>
                <w:szCs w:val="21"/>
              </w:rPr>
            </w:pPr>
            <w:r>
              <w:rPr>
                <w:b/>
                <w:szCs w:val="21"/>
              </w:rPr>
              <w:t>项目</w:t>
            </w:r>
          </w:p>
        </w:tc>
        <w:tc>
          <w:tcPr>
            <w:tcW w:w="1416" w:type="dxa"/>
            <w:tcBorders>
              <w:tl2br w:val="nil"/>
              <w:tr2bl w:val="nil"/>
            </w:tcBorders>
            <w:vAlign w:val="center"/>
          </w:tcPr>
          <w:p>
            <w:pPr>
              <w:jc w:val="center"/>
              <w:rPr>
                <w:b/>
                <w:szCs w:val="21"/>
              </w:rPr>
            </w:pPr>
            <w:r>
              <w:rPr>
                <w:b/>
                <w:szCs w:val="21"/>
              </w:rPr>
              <w:t>监测点位</w:t>
            </w:r>
          </w:p>
        </w:tc>
        <w:tc>
          <w:tcPr>
            <w:tcW w:w="1985" w:type="dxa"/>
            <w:tcBorders>
              <w:tl2br w:val="nil"/>
              <w:tr2bl w:val="nil"/>
            </w:tcBorders>
            <w:vAlign w:val="center"/>
          </w:tcPr>
          <w:p>
            <w:pPr>
              <w:jc w:val="center"/>
              <w:rPr>
                <w:b/>
                <w:szCs w:val="21"/>
              </w:rPr>
            </w:pPr>
            <w:r>
              <w:rPr>
                <w:b/>
                <w:szCs w:val="21"/>
              </w:rPr>
              <w:t>监测因子</w:t>
            </w:r>
          </w:p>
        </w:tc>
        <w:tc>
          <w:tcPr>
            <w:tcW w:w="1416" w:type="dxa"/>
            <w:tcBorders>
              <w:tl2br w:val="nil"/>
              <w:tr2bl w:val="nil"/>
            </w:tcBorders>
            <w:vAlign w:val="center"/>
          </w:tcPr>
          <w:p>
            <w:pPr>
              <w:jc w:val="center"/>
              <w:rPr>
                <w:b/>
                <w:szCs w:val="21"/>
              </w:rPr>
            </w:pPr>
            <w:r>
              <w:rPr>
                <w:b/>
                <w:szCs w:val="21"/>
              </w:rPr>
              <w:t>监测频次</w:t>
            </w:r>
          </w:p>
        </w:tc>
        <w:tc>
          <w:tcPr>
            <w:tcW w:w="3396" w:type="dxa"/>
            <w:tcBorders>
              <w:tl2br w:val="nil"/>
              <w:tr2bl w:val="nil"/>
            </w:tcBorders>
            <w:vAlign w:val="center"/>
          </w:tcPr>
          <w:p>
            <w:pPr>
              <w:jc w:val="center"/>
              <w:rPr>
                <w:b/>
                <w:szCs w:val="21"/>
              </w:rPr>
            </w:pPr>
            <w:r>
              <w:rPr>
                <w:b/>
                <w:szCs w:val="21"/>
              </w:rPr>
              <w:t>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1" w:type="dxa"/>
            <w:tcBorders>
              <w:tl2br w:val="nil"/>
              <w:tr2bl w:val="nil"/>
            </w:tcBorders>
            <w:vAlign w:val="center"/>
          </w:tcPr>
          <w:p>
            <w:pPr>
              <w:jc w:val="center"/>
              <w:rPr>
                <w:szCs w:val="21"/>
              </w:rPr>
            </w:pPr>
            <w:r>
              <w:rPr>
                <w:szCs w:val="21"/>
              </w:rPr>
              <w:t>废水</w:t>
            </w:r>
          </w:p>
        </w:tc>
        <w:tc>
          <w:tcPr>
            <w:tcW w:w="1416" w:type="dxa"/>
            <w:tcBorders>
              <w:tl2br w:val="nil"/>
              <w:tr2bl w:val="nil"/>
            </w:tcBorders>
            <w:vAlign w:val="center"/>
          </w:tcPr>
          <w:p>
            <w:pPr>
              <w:jc w:val="center"/>
              <w:rPr>
                <w:szCs w:val="21"/>
              </w:rPr>
            </w:pPr>
            <w:r>
              <w:rPr>
                <w:rFonts w:hint="eastAsia"/>
                <w:szCs w:val="21"/>
              </w:rPr>
              <w:t>东侧市政管网接</w:t>
            </w:r>
            <w:r>
              <w:rPr>
                <w:szCs w:val="21"/>
              </w:rPr>
              <w:t>口</w:t>
            </w:r>
          </w:p>
        </w:tc>
        <w:tc>
          <w:tcPr>
            <w:tcW w:w="1985" w:type="dxa"/>
            <w:tcBorders>
              <w:tl2br w:val="nil"/>
              <w:tr2bl w:val="nil"/>
            </w:tcBorders>
            <w:vAlign w:val="center"/>
          </w:tcPr>
          <w:p>
            <w:pPr>
              <w:jc w:val="center"/>
              <w:rPr>
                <w:szCs w:val="21"/>
              </w:rPr>
            </w:pPr>
            <w:r>
              <w:rPr>
                <w:szCs w:val="21"/>
              </w:rPr>
              <w:t>COD、NH</w:t>
            </w:r>
            <w:r>
              <w:rPr>
                <w:szCs w:val="21"/>
                <w:vertAlign w:val="subscript"/>
              </w:rPr>
              <w:t>3</w:t>
            </w:r>
            <w:r>
              <w:rPr>
                <w:szCs w:val="21"/>
              </w:rPr>
              <w:t>-N、BOD</w:t>
            </w:r>
            <w:r>
              <w:rPr>
                <w:szCs w:val="21"/>
                <w:vertAlign w:val="subscript"/>
              </w:rPr>
              <w:t>5</w:t>
            </w:r>
            <w:r>
              <w:rPr>
                <w:szCs w:val="21"/>
              </w:rPr>
              <w:t>、SS、石油类</w:t>
            </w:r>
          </w:p>
        </w:tc>
        <w:tc>
          <w:tcPr>
            <w:tcW w:w="1416" w:type="dxa"/>
            <w:tcBorders>
              <w:tl2br w:val="nil"/>
              <w:tr2bl w:val="nil"/>
            </w:tcBorders>
            <w:vAlign w:val="center"/>
          </w:tcPr>
          <w:p>
            <w:pPr>
              <w:jc w:val="center"/>
              <w:rPr>
                <w:szCs w:val="21"/>
              </w:rPr>
            </w:pPr>
            <w:r>
              <w:rPr>
                <w:szCs w:val="21"/>
              </w:rPr>
              <w:t>2次/年</w:t>
            </w:r>
          </w:p>
        </w:tc>
        <w:tc>
          <w:tcPr>
            <w:tcW w:w="3396" w:type="dxa"/>
            <w:tcBorders>
              <w:tl2br w:val="nil"/>
              <w:tr2bl w:val="nil"/>
            </w:tcBorders>
            <w:vAlign w:val="center"/>
          </w:tcPr>
          <w:p>
            <w:pPr>
              <w:jc w:val="center"/>
              <w:rPr>
                <w:szCs w:val="21"/>
              </w:rPr>
            </w:pPr>
            <w:r>
              <w:rPr>
                <w:szCs w:val="21"/>
              </w:rPr>
              <w:t>GB8978-1996《污水综合排放标准》表4中三级排放标准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1" w:type="dxa"/>
            <w:tcBorders>
              <w:tl2br w:val="nil"/>
              <w:tr2bl w:val="nil"/>
            </w:tcBorders>
            <w:vAlign w:val="center"/>
          </w:tcPr>
          <w:p>
            <w:pPr>
              <w:jc w:val="center"/>
              <w:rPr>
                <w:szCs w:val="21"/>
              </w:rPr>
            </w:pPr>
            <w:r>
              <w:rPr>
                <w:szCs w:val="21"/>
              </w:rPr>
              <w:t>噪声</w:t>
            </w:r>
          </w:p>
        </w:tc>
        <w:tc>
          <w:tcPr>
            <w:tcW w:w="1416" w:type="dxa"/>
            <w:tcBorders>
              <w:tl2br w:val="nil"/>
              <w:tr2bl w:val="nil"/>
            </w:tcBorders>
            <w:vAlign w:val="center"/>
          </w:tcPr>
          <w:p>
            <w:pPr>
              <w:jc w:val="center"/>
              <w:rPr>
                <w:szCs w:val="21"/>
              </w:rPr>
            </w:pPr>
            <w:r>
              <w:rPr>
                <w:szCs w:val="21"/>
              </w:rPr>
              <w:t>场地各侧边界外1m</w:t>
            </w:r>
          </w:p>
        </w:tc>
        <w:tc>
          <w:tcPr>
            <w:tcW w:w="1985" w:type="dxa"/>
            <w:tcBorders>
              <w:tl2br w:val="nil"/>
              <w:tr2bl w:val="nil"/>
            </w:tcBorders>
            <w:vAlign w:val="center"/>
          </w:tcPr>
          <w:p>
            <w:pPr>
              <w:jc w:val="center"/>
              <w:rPr>
                <w:szCs w:val="21"/>
              </w:rPr>
            </w:pPr>
            <w:r>
              <w:rPr>
                <w:szCs w:val="21"/>
              </w:rPr>
              <w:t>等效连续A声级</w:t>
            </w:r>
          </w:p>
        </w:tc>
        <w:tc>
          <w:tcPr>
            <w:tcW w:w="1416" w:type="dxa"/>
            <w:tcBorders>
              <w:tl2br w:val="nil"/>
              <w:tr2bl w:val="nil"/>
            </w:tcBorders>
            <w:vAlign w:val="center"/>
          </w:tcPr>
          <w:p>
            <w:pPr>
              <w:jc w:val="center"/>
              <w:rPr>
                <w:szCs w:val="21"/>
              </w:rPr>
            </w:pPr>
            <w:r>
              <w:rPr>
                <w:szCs w:val="21"/>
              </w:rPr>
              <w:t>2次/年</w:t>
            </w:r>
          </w:p>
        </w:tc>
        <w:tc>
          <w:tcPr>
            <w:tcW w:w="3396" w:type="dxa"/>
            <w:tcBorders>
              <w:tl2br w:val="nil"/>
              <w:tr2bl w:val="nil"/>
            </w:tcBorders>
            <w:vAlign w:val="center"/>
          </w:tcPr>
          <w:p>
            <w:pPr>
              <w:jc w:val="center"/>
              <w:rPr>
                <w:szCs w:val="21"/>
              </w:rPr>
            </w:pPr>
            <w:r>
              <w:rPr>
                <w:szCs w:val="21"/>
              </w:rPr>
              <w:t>GB12348-2008《工业企业厂界环境噪声排放标准》2 类标准</w:t>
            </w:r>
          </w:p>
        </w:tc>
      </w:tr>
    </w:tbl>
    <w:p>
      <w:pPr>
        <w:pStyle w:val="2"/>
        <w:keepNext w:val="0"/>
        <w:keepLines w:val="0"/>
        <w:pageBreakBefore/>
        <w:autoSpaceDE w:val="0"/>
        <w:autoSpaceDN w:val="0"/>
        <w:adjustRightInd w:val="0"/>
        <w:spacing w:beforeLines="50" w:after="0" w:line="360" w:lineRule="auto"/>
        <w:rPr>
          <w:rFonts w:eastAsia="宋体"/>
          <w:sz w:val="28"/>
          <w:szCs w:val="32"/>
        </w:rPr>
      </w:pPr>
      <w:r>
        <w:rPr>
          <w:rFonts w:hint="eastAsia" w:eastAsia="宋体"/>
          <w:kern w:val="2"/>
          <w:sz w:val="30"/>
          <w:szCs w:val="28"/>
        </w:rPr>
        <w:t>十</w:t>
      </w:r>
      <w:r>
        <w:rPr>
          <w:rFonts w:eastAsia="宋体"/>
          <w:kern w:val="2"/>
          <w:sz w:val="30"/>
          <w:szCs w:val="28"/>
        </w:rPr>
        <w:t>、评价结论与建议</w:t>
      </w:r>
      <w:bookmarkEnd w:id="259"/>
      <w:bookmarkEnd w:id="260"/>
      <w:bookmarkEnd w:id="261"/>
      <w:bookmarkEnd w:id="262"/>
      <w:bookmarkEnd w:id="263"/>
    </w:p>
    <w:p>
      <w:pPr>
        <w:pStyle w:val="42"/>
        <w:rPr>
          <w:rStyle w:val="43"/>
          <w:rFonts w:eastAsia="宋体"/>
        </w:rPr>
      </w:pPr>
      <w:bookmarkStart w:id="264" w:name="_Toc381722833"/>
      <w:bookmarkStart w:id="265" w:name="_Toc486070602"/>
      <w:bookmarkStart w:id="266" w:name="_Toc416192265"/>
      <w:bookmarkStart w:id="267" w:name="_Toc416992961"/>
      <w:bookmarkStart w:id="268" w:name="_Toc402445366"/>
      <w:r>
        <w:rPr>
          <w:rStyle w:val="43"/>
          <w:rFonts w:eastAsia="宋体"/>
        </w:rPr>
        <w:t>10.1 工程概况</w:t>
      </w:r>
      <w:bookmarkEnd w:id="264"/>
      <w:bookmarkEnd w:id="265"/>
      <w:bookmarkEnd w:id="266"/>
      <w:bookmarkEnd w:id="267"/>
      <w:bookmarkEnd w:id="268"/>
    </w:p>
    <w:p>
      <w:pPr>
        <w:spacing w:line="360" w:lineRule="auto"/>
        <w:ind w:firstLine="480" w:firstLineChars="200"/>
        <w:rPr>
          <w:sz w:val="24"/>
        </w:rPr>
      </w:pPr>
      <w:r>
        <w:rPr>
          <w:sz w:val="24"/>
          <w:szCs w:val="24"/>
        </w:rPr>
        <w:t>闽侯六中校园扩建项目位于闽侯县上街镇赤塘山麓，</w:t>
      </w:r>
      <w:r>
        <w:rPr>
          <w:rFonts w:hint="eastAsia"/>
          <w:sz w:val="24"/>
        </w:rPr>
        <w:t>扩建项目完成后校区总用地面积79712.45平方米（119.5707亩），总建筑面积42516.00平方米。其中：原校区用地面积38710.05平方米，新征用地面积41002.4平方米；保留已建建筑面积 17791.00平方米，新建建筑面积24725.00平方米</w:t>
      </w:r>
      <w:r>
        <w:rPr>
          <w:sz w:val="24"/>
          <w:szCs w:val="22"/>
        </w:rPr>
        <w:t>。扩建项目建成后办学规模为</w:t>
      </w:r>
      <w:r>
        <w:rPr>
          <w:sz w:val="24"/>
        </w:rPr>
        <w:t>高中</w:t>
      </w:r>
      <w:r>
        <w:rPr>
          <w:rFonts w:hint="eastAsia"/>
          <w:sz w:val="24"/>
        </w:rPr>
        <w:t>30</w:t>
      </w:r>
      <w:r>
        <w:rPr>
          <w:sz w:val="24"/>
        </w:rPr>
        <w:t>个班，初中48个班</w:t>
      </w:r>
      <w:r>
        <w:rPr>
          <w:sz w:val="24"/>
          <w:szCs w:val="22"/>
        </w:rPr>
        <w:t>，可容纳学生3</w:t>
      </w:r>
      <w:r>
        <w:rPr>
          <w:rFonts w:hint="eastAsia"/>
          <w:sz w:val="24"/>
          <w:szCs w:val="22"/>
        </w:rPr>
        <w:t>9</w:t>
      </w:r>
      <w:r>
        <w:rPr>
          <w:sz w:val="24"/>
          <w:szCs w:val="22"/>
        </w:rPr>
        <w:t>00人</w:t>
      </w:r>
      <w:r>
        <w:rPr>
          <w:rFonts w:hint="eastAsia"/>
          <w:sz w:val="24"/>
        </w:rPr>
        <w:t>，教职工300人</w:t>
      </w:r>
      <w:r>
        <w:rPr>
          <w:sz w:val="24"/>
          <w:szCs w:val="22"/>
        </w:rPr>
        <w:t>。项目</w:t>
      </w:r>
      <w:r>
        <w:rPr>
          <w:rFonts w:hint="eastAsia"/>
          <w:sz w:val="24"/>
        </w:rPr>
        <w:t>总</w:t>
      </w:r>
      <w:r>
        <w:rPr>
          <w:sz w:val="24"/>
        </w:rPr>
        <w:t>投资为13041.38万元人民币，</w:t>
      </w:r>
      <w:r>
        <w:rPr>
          <w:rFonts w:hint="eastAsia"/>
          <w:sz w:val="24"/>
        </w:rPr>
        <w:t>主要建设高中部综合楼（含教师办公楼）、体育馆、食堂、学生宿舍楼、教师周转房、室外运动场、地下室和配套建设相关的公用工程和设施，包括：道路、给排水、供电、通讯、土石方工程等，二期扩建现有教学楼</w:t>
      </w:r>
      <w:r>
        <w:rPr>
          <w:sz w:val="24"/>
          <w:szCs w:val="22"/>
        </w:rPr>
        <w:t>。本项目建设期为</w:t>
      </w:r>
      <w:r>
        <w:rPr>
          <w:rFonts w:hint="eastAsia"/>
          <w:sz w:val="24"/>
          <w:szCs w:val="22"/>
        </w:rPr>
        <w:t>16</w:t>
      </w:r>
      <w:r>
        <w:rPr>
          <w:sz w:val="24"/>
          <w:szCs w:val="22"/>
        </w:rPr>
        <w:t>个月，即201</w:t>
      </w:r>
      <w:r>
        <w:rPr>
          <w:rFonts w:hint="eastAsia"/>
          <w:sz w:val="24"/>
          <w:szCs w:val="22"/>
        </w:rPr>
        <w:t>8</w:t>
      </w:r>
      <w:r>
        <w:rPr>
          <w:sz w:val="24"/>
          <w:szCs w:val="22"/>
        </w:rPr>
        <w:t>年</w:t>
      </w:r>
      <w:r>
        <w:rPr>
          <w:rFonts w:hint="eastAsia"/>
          <w:sz w:val="24"/>
          <w:szCs w:val="22"/>
        </w:rPr>
        <w:t>9</w:t>
      </w:r>
      <w:r>
        <w:rPr>
          <w:sz w:val="24"/>
          <w:szCs w:val="22"/>
        </w:rPr>
        <w:t>月至2019年</w:t>
      </w:r>
      <w:r>
        <w:rPr>
          <w:rFonts w:hint="eastAsia"/>
          <w:sz w:val="24"/>
          <w:szCs w:val="22"/>
        </w:rPr>
        <w:t>12</w:t>
      </w:r>
      <w:r>
        <w:rPr>
          <w:sz w:val="24"/>
          <w:szCs w:val="22"/>
        </w:rPr>
        <w:t>月。</w:t>
      </w:r>
    </w:p>
    <w:p>
      <w:pPr>
        <w:pStyle w:val="42"/>
        <w:rPr>
          <w:rStyle w:val="43"/>
          <w:rFonts w:eastAsia="宋体"/>
        </w:rPr>
      </w:pPr>
      <w:bookmarkStart w:id="269" w:name="_Toc402445367"/>
      <w:bookmarkStart w:id="270" w:name="_Toc381722834"/>
      <w:bookmarkStart w:id="271" w:name="_Toc416192266"/>
      <w:bookmarkStart w:id="272" w:name="_Toc416992962"/>
      <w:bookmarkStart w:id="273" w:name="_Toc486070603"/>
      <w:r>
        <w:rPr>
          <w:rStyle w:val="43"/>
          <w:rFonts w:eastAsia="宋体"/>
        </w:rPr>
        <w:t>10.2</w:t>
      </w:r>
      <w:bookmarkEnd w:id="269"/>
      <w:bookmarkEnd w:id="270"/>
      <w:bookmarkEnd w:id="271"/>
      <w:bookmarkEnd w:id="272"/>
      <w:r>
        <w:rPr>
          <w:rStyle w:val="43"/>
          <w:rFonts w:hint="eastAsia" w:eastAsia="宋体"/>
        </w:rPr>
        <w:t>环境影响评价</w:t>
      </w:r>
      <w:r>
        <w:rPr>
          <w:rStyle w:val="43"/>
          <w:rFonts w:eastAsia="宋体"/>
        </w:rPr>
        <w:t>结论</w:t>
      </w:r>
      <w:bookmarkEnd w:id="273"/>
    </w:p>
    <w:p>
      <w:pPr>
        <w:spacing w:line="360" w:lineRule="auto"/>
        <w:ind w:firstLine="480" w:firstLineChars="200"/>
        <w:rPr>
          <w:sz w:val="24"/>
          <w:szCs w:val="24"/>
        </w:rPr>
      </w:pPr>
      <w:bookmarkStart w:id="274" w:name="_Toc97525933"/>
      <w:bookmarkStart w:id="275" w:name="_Toc27837375"/>
      <w:r>
        <w:rPr>
          <w:sz w:val="24"/>
          <w:szCs w:val="24"/>
        </w:rPr>
        <w:t>（1）产业政策符合性分析结论</w:t>
      </w:r>
    </w:p>
    <w:p>
      <w:pPr>
        <w:spacing w:line="360" w:lineRule="auto"/>
        <w:ind w:firstLine="480" w:firstLineChars="200"/>
        <w:rPr>
          <w:sz w:val="24"/>
          <w:szCs w:val="24"/>
        </w:rPr>
      </w:pPr>
      <w:r>
        <w:rPr>
          <w:sz w:val="24"/>
          <w:szCs w:val="24"/>
        </w:rPr>
        <w:t>本项目属于教育学校基础设施建设，不属于《产业结构调整指导目录（2011年本）》（2013年修正）中的“限制类”和“淘汰类”，符合国家产业政策。</w:t>
      </w:r>
    </w:p>
    <w:p>
      <w:pPr>
        <w:spacing w:line="360" w:lineRule="auto"/>
        <w:ind w:firstLine="480" w:firstLineChars="200"/>
        <w:rPr>
          <w:sz w:val="24"/>
          <w:szCs w:val="24"/>
        </w:rPr>
      </w:pPr>
      <w:r>
        <w:rPr>
          <w:sz w:val="24"/>
          <w:szCs w:val="24"/>
        </w:rPr>
        <w:t>（2）选址合理性分析结论</w:t>
      </w:r>
    </w:p>
    <w:p>
      <w:pPr>
        <w:spacing w:line="360" w:lineRule="auto"/>
        <w:ind w:firstLine="480" w:firstLineChars="200"/>
        <w:rPr>
          <w:sz w:val="24"/>
        </w:rPr>
      </w:pPr>
      <w:r>
        <w:rPr>
          <w:sz w:val="24"/>
        </w:rPr>
        <w:t>本项目选址于闽侯县上街镇赤塘山麓，项目已于201</w:t>
      </w:r>
      <w:r>
        <w:rPr>
          <w:rFonts w:hint="eastAsia"/>
          <w:sz w:val="24"/>
        </w:rPr>
        <w:t>7</w:t>
      </w:r>
      <w:r>
        <w:rPr>
          <w:sz w:val="24"/>
        </w:rPr>
        <w:t>年1</w:t>
      </w:r>
      <w:r>
        <w:rPr>
          <w:rFonts w:hint="eastAsia"/>
          <w:sz w:val="24"/>
        </w:rPr>
        <w:t>2</w:t>
      </w:r>
      <w:r>
        <w:rPr>
          <w:sz w:val="24"/>
        </w:rPr>
        <w:t>月</w:t>
      </w:r>
      <w:r>
        <w:rPr>
          <w:rFonts w:hint="eastAsia"/>
          <w:sz w:val="24"/>
        </w:rPr>
        <w:t>07</w:t>
      </w:r>
      <w:r>
        <w:rPr>
          <w:sz w:val="24"/>
        </w:rPr>
        <w:t>日获得闽侯县城乡规划局出具的选址意见书（选字第350121201</w:t>
      </w:r>
      <w:r>
        <w:rPr>
          <w:rFonts w:hint="eastAsia"/>
          <w:sz w:val="24"/>
        </w:rPr>
        <w:t>7</w:t>
      </w:r>
      <w:r>
        <w:rPr>
          <w:sz w:val="24"/>
        </w:rPr>
        <w:t>001</w:t>
      </w:r>
      <w:r>
        <w:rPr>
          <w:rFonts w:hint="eastAsia"/>
          <w:sz w:val="24"/>
        </w:rPr>
        <w:t>65</w:t>
      </w:r>
      <w:r>
        <w:rPr>
          <w:sz w:val="24"/>
        </w:rPr>
        <w:t>号），用地类型为</w:t>
      </w:r>
      <w:r>
        <w:rPr>
          <w:rFonts w:hint="eastAsia"/>
          <w:sz w:val="24"/>
        </w:rPr>
        <w:t>科教</w:t>
      </w:r>
      <w:r>
        <w:rPr>
          <w:sz w:val="24"/>
        </w:rPr>
        <w:t>用地，本项目选址可行。</w:t>
      </w:r>
    </w:p>
    <w:p>
      <w:pPr>
        <w:spacing w:line="360" w:lineRule="auto"/>
        <w:ind w:firstLine="480" w:firstLineChars="200"/>
        <w:rPr>
          <w:sz w:val="24"/>
          <w:szCs w:val="24"/>
        </w:rPr>
      </w:pPr>
      <w:r>
        <w:rPr>
          <w:sz w:val="24"/>
          <w:szCs w:val="24"/>
        </w:rPr>
        <w:t>（3）平面布置合理性分析结论</w:t>
      </w:r>
    </w:p>
    <w:p>
      <w:pPr>
        <w:spacing w:line="360" w:lineRule="auto"/>
        <w:ind w:firstLine="480" w:firstLineChars="200"/>
        <w:rPr>
          <w:sz w:val="24"/>
        </w:rPr>
      </w:pPr>
      <w:r>
        <w:rPr>
          <w:rFonts w:hint="eastAsia"/>
          <w:sz w:val="24"/>
        </w:rPr>
        <w:t>项目总平面功能布置充分考虑了基础环境的影响，各功能分区明确，布局合理</w:t>
      </w:r>
      <w:r>
        <w:rPr>
          <w:sz w:val="24"/>
          <w:szCs w:val="24"/>
        </w:rPr>
        <w:t>，本项目平面布置基本合理。</w:t>
      </w:r>
    </w:p>
    <w:p>
      <w:pPr>
        <w:spacing w:line="360" w:lineRule="auto"/>
        <w:ind w:firstLine="480" w:firstLineChars="200"/>
        <w:rPr>
          <w:sz w:val="24"/>
          <w:szCs w:val="24"/>
        </w:rPr>
      </w:pPr>
      <w:r>
        <w:rPr>
          <w:sz w:val="24"/>
          <w:szCs w:val="24"/>
        </w:rPr>
        <w:t>（4）环境功能区</w:t>
      </w:r>
      <w:r>
        <w:rPr>
          <w:rFonts w:hint="eastAsia"/>
          <w:sz w:val="24"/>
          <w:szCs w:val="24"/>
        </w:rPr>
        <w:t>划相符性</w:t>
      </w:r>
      <w:r>
        <w:rPr>
          <w:sz w:val="24"/>
          <w:szCs w:val="24"/>
        </w:rPr>
        <w:t>分析</w:t>
      </w:r>
    </w:p>
    <w:p>
      <w:pPr>
        <w:spacing w:line="360" w:lineRule="auto"/>
        <w:ind w:firstLine="480" w:firstLineChars="200"/>
        <w:rPr>
          <w:sz w:val="24"/>
          <w:szCs w:val="24"/>
        </w:rPr>
      </w:pPr>
      <w:r>
        <w:rPr>
          <w:sz w:val="24"/>
          <w:szCs w:val="24"/>
        </w:rPr>
        <w:t>根据《福州市环境空气质量功能区划(报批稿)》的规划，该区的环境空气质量为二类区</w:t>
      </w:r>
      <w:r>
        <w:rPr>
          <w:rFonts w:hint="eastAsia"/>
          <w:sz w:val="24"/>
          <w:szCs w:val="24"/>
        </w:rPr>
        <w:t>。</w:t>
      </w:r>
      <w:r>
        <w:rPr>
          <w:sz w:val="24"/>
          <w:szCs w:val="24"/>
        </w:rPr>
        <w:t>项目运营期环境空气污染排放源强很低，对周围环境空气不会产生显著影响，符合《环境空气质量标准》(GB3</w:t>
      </w:r>
      <w:r>
        <w:rPr>
          <w:rFonts w:hint="eastAsia"/>
          <w:sz w:val="24"/>
          <w:szCs w:val="24"/>
        </w:rPr>
        <w:t>0</w:t>
      </w:r>
      <w:r>
        <w:rPr>
          <w:sz w:val="24"/>
          <w:szCs w:val="24"/>
        </w:rPr>
        <w:t>95</w:t>
      </w:r>
      <w:r>
        <w:rPr>
          <w:rFonts w:hint="eastAsia"/>
          <w:sz w:val="24"/>
          <w:szCs w:val="24"/>
        </w:rPr>
        <w:t>—</w:t>
      </w:r>
      <w:r>
        <w:rPr>
          <w:sz w:val="24"/>
          <w:szCs w:val="24"/>
        </w:rPr>
        <w:t>2012)二级标准</w:t>
      </w:r>
      <w:r>
        <w:rPr>
          <w:rFonts w:hint="eastAsia"/>
          <w:sz w:val="24"/>
          <w:szCs w:val="24"/>
        </w:rPr>
        <w:t>；</w:t>
      </w:r>
      <w:r>
        <w:rPr>
          <w:sz w:val="24"/>
          <w:szCs w:val="24"/>
        </w:rPr>
        <w:t>项目外排废水排入市政污水管网纳入</w:t>
      </w:r>
      <w:r>
        <w:rPr>
          <w:rFonts w:hint="eastAsia"/>
          <w:sz w:val="24"/>
          <w:szCs w:val="24"/>
        </w:rPr>
        <w:t>大学城</w:t>
      </w:r>
      <w:r>
        <w:rPr>
          <w:sz w:val="24"/>
          <w:szCs w:val="24"/>
        </w:rPr>
        <w:t>污水处理厂集中处理达标后排放，不会对周围水域水质产生</w:t>
      </w:r>
      <w:r>
        <w:rPr>
          <w:rFonts w:hint="eastAsia"/>
          <w:sz w:val="24"/>
          <w:szCs w:val="24"/>
        </w:rPr>
        <w:t>影响；</w:t>
      </w:r>
      <w:r>
        <w:rPr>
          <w:sz w:val="24"/>
          <w:szCs w:val="24"/>
        </w:rPr>
        <w:t>运营期间在采取一定的噪声污染防治措施后，主要设备声源不会对周围环境产生显著影响，项目所在区域的环境噪声符合《声环境质量标准》(GB3095—2012)的2类标准。</w:t>
      </w:r>
    </w:p>
    <w:p>
      <w:pPr>
        <w:spacing w:line="360" w:lineRule="auto"/>
        <w:ind w:firstLine="480" w:firstLineChars="200"/>
        <w:rPr>
          <w:sz w:val="24"/>
          <w:szCs w:val="24"/>
        </w:rPr>
      </w:pPr>
      <w:r>
        <w:rPr>
          <w:sz w:val="24"/>
          <w:szCs w:val="24"/>
        </w:rPr>
        <w:t>（5）环境质量现状达标分析结论</w:t>
      </w:r>
    </w:p>
    <w:p>
      <w:pPr>
        <w:spacing w:line="360" w:lineRule="auto"/>
        <w:ind w:firstLine="480" w:firstLineChars="200"/>
        <w:rPr>
          <w:sz w:val="24"/>
          <w:szCs w:val="24"/>
        </w:rPr>
      </w:pPr>
      <w:r>
        <w:rPr>
          <w:sz w:val="24"/>
          <w:szCs w:val="24"/>
        </w:rPr>
        <w:t>①环境</w:t>
      </w:r>
      <w:r>
        <w:rPr>
          <w:rFonts w:hint="eastAsia"/>
          <w:sz w:val="24"/>
          <w:szCs w:val="24"/>
        </w:rPr>
        <w:t>空气</w:t>
      </w:r>
      <w:r>
        <w:rPr>
          <w:sz w:val="24"/>
          <w:szCs w:val="24"/>
        </w:rPr>
        <w:t>质量现状：项目所在区域大气环境质量现状符合GB3095-2012《环境空气质量标准》中的二级标准。</w:t>
      </w:r>
    </w:p>
    <w:p>
      <w:pPr>
        <w:spacing w:line="360" w:lineRule="auto"/>
        <w:ind w:firstLine="480" w:firstLineChars="200"/>
        <w:rPr>
          <w:sz w:val="24"/>
          <w:szCs w:val="24"/>
        </w:rPr>
      </w:pPr>
      <w:r>
        <w:rPr>
          <w:sz w:val="24"/>
          <w:szCs w:val="24"/>
        </w:rPr>
        <w:t>②声环境质量现状：根据监测结果，项目四周场界及周边敏感目标昼、夜间噪声监测值均可符合GB3096-2008《声环境质量标准》中2类标准（昼间≤60dB(A)、夜间≤50dB(A)）。</w:t>
      </w:r>
    </w:p>
    <w:p>
      <w:pPr>
        <w:spacing w:line="360" w:lineRule="auto"/>
        <w:ind w:firstLine="480" w:firstLineChars="200"/>
        <w:rPr>
          <w:sz w:val="24"/>
          <w:szCs w:val="24"/>
        </w:rPr>
      </w:pPr>
      <w:r>
        <w:rPr>
          <w:sz w:val="24"/>
          <w:szCs w:val="24"/>
        </w:rPr>
        <w:t>③生态环境现状：根据现场调查，项目所在区域植被主要为杂草、灌木丛，无挂牌保护的古树名木。项目区域范围内未发现有珍稀及濒危野生植物资源，或有特定保护价值的地带原生性或林木高大古老的群落类型分布。未发现有重要野生动物集中栖息与繁衍的特定植被生境区域，并无涉及基本农田保护区与生态公益林等。</w:t>
      </w:r>
    </w:p>
    <w:p>
      <w:pPr>
        <w:spacing w:line="360" w:lineRule="auto"/>
        <w:ind w:firstLine="480" w:firstLineChars="200"/>
        <w:rPr>
          <w:sz w:val="24"/>
          <w:szCs w:val="24"/>
        </w:rPr>
      </w:pPr>
      <w:r>
        <w:rPr>
          <w:sz w:val="24"/>
          <w:szCs w:val="24"/>
        </w:rPr>
        <w:t>（6）施工期环境影响评价结论</w:t>
      </w:r>
    </w:p>
    <w:p>
      <w:pPr>
        <w:spacing w:line="360" w:lineRule="auto"/>
        <w:ind w:firstLine="480" w:firstLineChars="200"/>
        <w:rPr>
          <w:sz w:val="24"/>
          <w:szCs w:val="24"/>
        </w:rPr>
      </w:pPr>
      <w:r>
        <w:rPr>
          <w:sz w:val="24"/>
          <w:szCs w:val="24"/>
        </w:rPr>
        <w:t>①水环境</w:t>
      </w:r>
    </w:p>
    <w:p>
      <w:pPr>
        <w:spacing w:line="360" w:lineRule="auto"/>
        <w:ind w:firstLine="480" w:firstLineChars="200"/>
        <w:rPr>
          <w:sz w:val="24"/>
          <w:szCs w:val="24"/>
        </w:rPr>
      </w:pPr>
      <w:r>
        <w:rPr>
          <w:sz w:val="24"/>
          <w:szCs w:val="24"/>
        </w:rPr>
        <w:t>施工废水经隔油、沉淀池处理后循环回用于施工场地及道路的洒水，不外排，对周边水体基本无影响。</w:t>
      </w:r>
    </w:p>
    <w:p>
      <w:pPr>
        <w:spacing w:line="360" w:lineRule="auto"/>
        <w:ind w:firstLine="480" w:firstLineChars="200"/>
        <w:rPr>
          <w:sz w:val="24"/>
          <w:szCs w:val="24"/>
        </w:rPr>
      </w:pPr>
      <w:r>
        <w:rPr>
          <w:sz w:val="24"/>
          <w:szCs w:val="24"/>
        </w:rPr>
        <w:t>本项目施工人员分散居住在附近的居住区，施工人员生活污水纳入当地现有的污水排放系统中，不另行单独外排；施工现场则不再新建公厕、食堂等生活设施。</w:t>
      </w:r>
    </w:p>
    <w:p>
      <w:pPr>
        <w:spacing w:line="360" w:lineRule="auto"/>
        <w:ind w:firstLine="480" w:firstLineChars="200"/>
        <w:rPr>
          <w:sz w:val="24"/>
          <w:szCs w:val="24"/>
        </w:rPr>
      </w:pPr>
      <w:r>
        <w:rPr>
          <w:sz w:val="24"/>
          <w:szCs w:val="24"/>
        </w:rPr>
        <w:t>因此，正常情况施工污废水不会对周边水体产生污染影响。</w:t>
      </w:r>
    </w:p>
    <w:p>
      <w:pPr>
        <w:spacing w:line="360" w:lineRule="auto"/>
        <w:ind w:firstLine="480" w:firstLineChars="200"/>
        <w:rPr>
          <w:sz w:val="24"/>
          <w:szCs w:val="24"/>
        </w:rPr>
      </w:pPr>
      <w:r>
        <w:rPr>
          <w:sz w:val="24"/>
          <w:szCs w:val="24"/>
        </w:rPr>
        <w:t>②大气环境</w:t>
      </w:r>
    </w:p>
    <w:p>
      <w:pPr>
        <w:spacing w:line="360" w:lineRule="auto"/>
        <w:ind w:firstLine="480" w:firstLineChars="200"/>
        <w:rPr>
          <w:sz w:val="24"/>
          <w:szCs w:val="24"/>
        </w:rPr>
      </w:pPr>
      <w:r>
        <w:rPr>
          <w:sz w:val="24"/>
          <w:szCs w:val="24"/>
        </w:rPr>
        <w:t>施工期间产生的施工扬尘</w:t>
      </w:r>
      <w:r>
        <w:rPr>
          <w:rFonts w:hint="eastAsia"/>
          <w:sz w:val="24"/>
          <w:szCs w:val="24"/>
        </w:rPr>
        <w:t>应</w:t>
      </w:r>
      <w:r>
        <w:rPr>
          <w:sz w:val="24"/>
          <w:szCs w:val="24"/>
        </w:rPr>
        <w:t>经常洒水，施工现场设置高度大于2.5m的屏障，建筑材料毡布覆盖等</w:t>
      </w:r>
      <w:r>
        <w:rPr>
          <w:rFonts w:hint="eastAsia"/>
          <w:sz w:val="24"/>
          <w:szCs w:val="24"/>
        </w:rPr>
        <w:t>，</w:t>
      </w:r>
      <w:r>
        <w:rPr>
          <w:sz w:val="24"/>
          <w:szCs w:val="24"/>
        </w:rPr>
        <w:t>装修期间选用环保型涂料等措施</w:t>
      </w:r>
      <w:r>
        <w:rPr>
          <w:rFonts w:hint="eastAsia"/>
          <w:sz w:val="24"/>
          <w:szCs w:val="24"/>
        </w:rPr>
        <w:t>。</w:t>
      </w:r>
      <w:r>
        <w:rPr>
          <w:sz w:val="24"/>
          <w:szCs w:val="24"/>
        </w:rPr>
        <w:t>施工期产生的废气影响时间短，对周边大气环境影响不大。</w:t>
      </w:r>
    </w:p>
    <w:p>
      <w:pPr>
        <w:spacing w:line="360" w:lineRule="auto"/>
        <w:ind w:firstLine="480" w:firstLineChars="200"/>
        <w:rPr>
          <w:sz w:val="24"/>
          <w:szCs w:val="24"/>
        </w:rPr>
      </w:pPr>
      <w:r>
        <w:rPr>
          <w:sz w:val="24"/>
          <w:szCs w:val="24"/>
        </w:rPr>
        <w:t>③声环境</w:t>
      </w:r>
    </w:p>
    <w:p>
      <w:pPr>
        <w:spacing w:line="360" w:lineRule="auto"/>
        <w:ind w:firstLine="480" w:firstLineChars="200"/>
        <w:rPr>
          <w:sz w:val="24"/>
          <w:szCs w:val="24"/>
        </w:rPr>
      </w:pPr>
      <w:r>
        <w:rPr>
          <w:sz w:val="24"/>
          <w:szCs w:val="24"/>
        </w:rPr>
        <w:t>施工时场界噪声将超出GB12523-2011《建筑施工场界环境噪声排放标准》中有关规定，会对周边近距离范围内的敏感点—居住区会受到施工噪声的影响。为减轻施工噪声对敏感点的影响，施工单位应采取必要的降噪措施，降低施工噪声对敏感点的影响。同时禁止在午间12:00 至14:00和夜间22:00至次日6:00施工，如有特殊情况必须夜间施工，需向周围居民张榜公告。施工噪声的影响随着施工期结束而消失。</w:t>
      </w:r>
    </w:p>
    <w:p>
      <w:pPr>
        <w:spacing w:line="360" w:lineRule="auto"/>
        <w:ind w:firstLine="480" w:firstLineChars="200"/>
        <w:rPr>
          <w:sz w:val="24"/>
          <w:szCs w:val="24"/>
        </w:rPr>
      </w:pPr>
      <w:r>
        <w:rPr>
          <w:sz w:val="24"/>
          <w:szCs w:val="24"/>
        </w:rPr>
        <w:t>④固体废物</w:t>
      </w:r>
    </w:p>
    <w:p>
      <w:pPr>
        <w:spacing w:line="360" w:lineRule="auto"/>
        <w:ind w:firstLine="480" w:firstLineChars="200"/>
        <w:rPr>
          <w:sz w:val="24"/>
          <w:szCs w:val="24"/>
        </w:rPr>
      </w:pPr>
      <w:r>
        <w:rPr>
          <w:sz w:val="24"/>
          <w:szCs w:val="24"/>
        </w:rPr>
        <w:t>建筑垃圾中可回收利用的则回收利用，不能回收利用的严格按照城市建设管理部门的要求运至指定地点；</w:t>
      </w:r>
      <w:r>
        <w:rPr>
          <w:rFonts w:hint="eastAsia"/>
          <w:sz w:val="24"/>
        </w:rPr>
        <w:t>做好土石方的堆存管理，提高土石方综合利用；</w:t>
      </w:r>
      <w:r>
        <w:rPr>
          <w:sz w:val="24"/>
          <w:szCs w:val="24"/>
        </w:rPr>
        <w:t>在场地内设置垃圾桶，生活垃圾由当地环卫部门及时清理和清运；装修阶段产生的油漆废渣、废油漆桶属于《国家危险废物名录》中的危废，应分类单独收集贮存，经收集后送往有资质的单位进行处置。</w:t>
      </w:r>
    </w:p>
    <w:p>
      <w:pPr>
        <w:spacing w:line="360" w:lineRule="auto"/>
        <w:ind w:firstLine="480" w:firstLineChars="200"/>
        <w:rPr>
          <w:sz w:val="24"/>
          <w:szCs w:val="24"/>
        </w:rPr>
      </w:pPr>
      <w:r>
        <w:rPr>
          <w:sz w:val="24"/>
          <w:szCs w:val="24"/>
        </w:rPr>
        <w:t>⑤</w:t>
      </w:r>
      <w:r>
        <w:rPr>
          <w:rFonts w:hint="eastAsia"/>
          <w:sz w:val="24"/>
          <w:szCs w:val="24"/>
        </w:rPr>
        <w:t>生态环境</w:t>
      </w:r>
    </w:p>
    <w:p>
      <w:pPr>
        <w:spacing w:line="360" w:lineRule="auto"/>
        <w:ind w:firstLine="480" w:firstLineChars="200"/>
        <w:rPr>
          <w:sz w:val="24"/>
          <w:szCs w:val="24"/>
        </w:rPr>
      </w:pPr>
      <w:r>
        <w:rPr>
          <w:sz w:val="24"/>
          <w:szCs w:val="24"/>
        </w:rPr>
        <w:t>项目在开发施工过程中，在做好防护措施，避开雨季进行土方施工，下雨时停止户外施工，并对裸露土面进行加盖篷布等措施，施工完成后，及时覆土绿化，水土流失对周边环境影响较小。</w:t>
      </w:r>
    </w:p>
    <w:p>
      <w:pPr>
        <w:spacing w:line="360" w:lineRule="auto"/>
        <w:ind w:firstLine="480" w:firstLineChars="200"/>
        <w:rPr>
          <w:sz w:val="24"/>
          <w:szCs w:val="24"/>
        </w:rPr>
      </w:pPr>
      <w:r>
        <w:rPr>
          <w:sz w:val="24"/>
          <w:szCs w:val="24"/>
        </w:rPr>
        <w:t>（7）运营期环境影响评价结论</w:t>
      </w:r>
    </w:p>
    <w:p>
      <w:pPr>
        <w:spacing w:line="360" w:lineRule="auto"/>
        <w:ind w:firstLine="480" w:firstLineChars="200"/>
        <w:rPr>
          <w:sz w:val="24"/>
          <w:szCs w:val="24"/>
        </w:rPr>
      </w:pPr>
      <w:r>
        <w:rPr>
          <w:sz w:val="24"/>
          <w:szCs w:val="24"/>
        </w:rPr>
        <w:t>①水环境</w:t>
      </w:r>
    </w:p>
    <w:p>
      <w:pPr>
        <w:spacing w:line="360" w:lineRule="auto"/>
        <w:ind w:firstLine="480" w:firstLineChars="200"/>
        <w:rPr>
          <w:sz w:val="24"/>
          <w:szCs w:val="24"/>
        </w:rPr>
      </w:pPr>
      <w:r>
        <w:rPr>
          <w:sz w:val="24"/>
          <w:szCs w:val="24"/>
        </w:rPr>
        <w:t>本项目采用雨污分流制，雨水经雨水管道汇合后排到市政雨水管网。项目运营期产生废水主要是在校师生生活污水、食堂废水和实验室废水等，餐饮废水需先经隔油沉淀池预处理，实验室废水经中和沉淀池预处理后，再与生活污水一同进入化粪池，达GB8978-1996《污水综合排放标准》表4三级标准，其中氨氮指标执行《污水排入城市下水道水质标准》（CJ343-2010）后，通过项目</w:t>
      </w:r>
      <w:r>
        <w:rPr>
          <w:rFonts w:hint="eastAsia"/>
          <w:sz w:val="24"/>
          <w:szCs w:val="24"/>
        </w:rPr>
        <w:t>东侧拟规格道路</w:t>
      </w:r>
      <w:r>
        <w:rPr>
          <w:sz w:val="24"/>
          <w:szCs w:val="24"/>
        </w:rPr>
        <w:t>市政污水管网，最终纳入福州大学城污水处理厂，对周边水环境影响不大。</w:t>
      </w:r>
    </w:p>
    <w:p>
      <w:pPr>
        <w:spacing w:line="360" w:lineRule="auto"/>
        <w:ind w:firstLine="480" w:firstLineChars="200"/>
        <w:rPr>
          <w:sz w:val="24"/>
          <w:szCs w:val="24"/>
        </w:rPr>
      </w:pPr>
      <w:r>
        <w:rPr>
          <w:sz w:val="24"/>
          <w:szCs w:val="24"/>
        </w:rPr>
        <w:t>②大气环境</w:t>
      </w:r>
    </w:p>
    <w:p>
      <w:pPr>
        <w:spacing w:line="360" w:lineRule="auto"/>
        <w:ind w:firstLine="480" w:firstLineChars="200"/>
        <w:rPr>
          <w:sz w:val="24"/>
          <w:szCs w:val="24"/>
        </w:rPr>
      </w:pPr>
      <w:r>
        <w:rPr>
          <w:sz w:val="24"/>
          <w:szCs w:val="24"/>
        </w:rPr>
        <w:t>本项目</w:t>
      </w:r>
      <w:r>
        <w:rPr>
          <w:rFonts w:hint="eastAsia"/>
          <w:sz w:val="24"/>
        </w:rPr>
        <w:t>实验废气经通风橱于屋顶排放，加强化学实验室内的排风设置管理，排风机安装在室内的窗户上；</w:t>
      </w:r>
      <w:r>
        <w:rPr>
          <w:sz w:val="24"/>
          <w:szCs w:val="24"/>
        </w:rPr>
        <w:t>食堂油烟经油烟净化设施处理后通过专用油烟管道宿舍楼屋顶排放，可达到GB18483-2001《饮食业油烟排放标准（试行）》中“大型规模”的要求（即油烟最高允许排放浓度为2mg/m</w:t>
      </w:r>
      <w:r>
        <w:rPr>
          <w:sz w:val="24"/>
          <w:szCs w:val="24"/>
          <w:vertAlign w:val="superscript"/>
        </w:rPr>
        <w:t>3</w:t>
      </w:r>
      <w:r>
        <w:rPr>
          <w:sz w:val="24"/>
          <w:szCs w:val="24"/>
        </w:rPr>
        <w:t>、净化设施最低去除效率为85%）；地下停车设置机械排烟和机械补风系统，可保证地下层空气质量，排风口应朝向绿化带，高度建议要在地面2.5m以上；备用发电机烟气经过消声器处理后由排烟管道引至</w:t>
      </w:r>
      <w:r>
        <w:rPr>
          <w:rFonts w:hint="eastAsia"/>
          <w:sz w:val="24"/>
          <w:szCs w:val="24"/>
        </w:rPr>
        <w:t>学生教师周转房</w:t>
      </w:r>
      <w:r>
        <w:rPr>
          <w:sz w:val="24"/>
          <w:szCs w:val="24"/>
        </w:rPr>
        <w:t>屋顶排放（排放高度不低于15m），对周围大气环境影响较小。</w:t>
      </w:r>
    </w:p>
    <w:p>
      <w:pPr>
        <w:spacing w:line="360" w:lineRule="auto"/>
        <w:ind w:firstLine="480" w:firstLineChars="200"/>
        <w:rPr>
          <w:sz w:val="24"/>
          <w:szCs w:val="24"/>
        </w:rPr>
      </w:pPr>
      <w:r>
        <w:rPr>
          <w:sz w:val="24"/>
          <w:szCs w:val="24"/>
        </w:rPr>
        <w:t>③声环境</w:t>
      </w:r>
    </w:p>
    <w:p>
      <w:pPr>
        <w:spacing w:line="360" w:lineRule="auto"/>
        <w:ind w:firstLine="480" w:firstLineChars="200"/>
        <w:rPr>
          <w:sz w:val="24"/>
          <w:szCs w:val="24"/>
        </w:rPr>
      </w:pPr>
      <w:r>
        <w:rPr>
          <w:sz w:val="24"/>
          <w:szCs w:val="24"/>
        </w:rPr>
        <w:t>项目水泵、柴油发电机、变压器等机械设备经过降噪防治后学校场界噪声能够满足GB12348-2008《工业企业厂界环境噪声排放标准》中2类标准，敏感点能够满足GB3096-2008《声环境质量标准》中2类标准。</w:t>
      </w:r>
    </w:p>
    <w:p>
      <w:pPr>
        <w:spacing w:line="360" w:lineRule="auto"/>
        <w:ind w:firstLine="480" w:firstLineChars="200"/>
        <w:rPr>
          <w:sz w:val="24"/>
          <w:szCs w:val="24"/>
        </w:rPr>
      </w:pPr>
      <w:r>
        <w:rPr>
          <w:sz w:val="24"/>
          <w:szCs w:val="24"/>
        </w:rPr>
        <w:t>④固体废物</w:t>
      </w:r>
    </w:p>
    <w:p>
      <w:pPr>
        <w:spacing w:line="360" w:lineRule="auto"/>
        <w:ind w:firstLine="480" w:firstLineChars="200"/>
        <w:rPr>
          <w:sz w:val="24"/>
          <w:szCs w:val="24"/>
        </w:rPr>
      </w:pPr>
      <w:r>
        <w:rPr>
          <w:sz w:val="24"/>
          <w:szCs w:val="24"/>
        </w:rPr>
        <w:t>项目生活垃圾统一收集后委托环卫部门清运处理；食堂餐厨垃圾应委托有资质的专业化处理运营单位进行回收处理；实验室</w:t>
      </w:r>
      <w:r>
        <w:rPr>
          <w:rFonts w:hint="eastAsia"/>
          <w:sz w:val="24"/>
          <w:szCs w:val="24"/>
        </w:rPr>
        <w:t>产生的危险废物</w:t>
      </w:r>
      <w:r>
        <w:rPr>
          <w:sz w:val="24"/>
          <w:szCs w:val="24"/>
        </w:rPr>
        <w:t>在实验室内单独收集后委托有资质的单位处置；化粪池污泥半年清掏一次，由环卫部门清运处理。固废妥善处理处置后，对周边环境卫生影响不大。</w:t>
      </w:r>
    </w:p>
    <w:p>
      <w:pPr>
        <w:spacing w:line="360" w:lineRule="auto"/>
        <w:ind w:firstLine="480" w:firstLineChars="200"/>
        <w:rPr>
          <w:sz w:val="24"/>
          <w:szCs w:val="24"/>
        </w:rPr>
      </w:pPr>
      <w:r>
        <w:rPr>
          <w:sz w:val="24"/>
          <w:szCs w:val="24"/>
        </w:rPr>
        <w:t>⑤外环境对本项目环境影响</w:t>
      </w:r>
    </w:p>
    <w:p>
      <w:pPr>
        <w:spacing w:line="360" w:lineRule="auto"/>
        <w:ind w:firstLine="480" w:firstLineChars="200"/>
        <w:rPr>
          <w:sz w:val="24"/>
          <w:szCs w:val="24"/>
        </w:rPr>
      </w:pPr>
      <w:r>
        <w:rPr>
          <w:sz w:val="24"/>
          <w:szCs w:val="24"/>
        </w:rPr>
        <w:t>项目周边主要为商店及居民等，外环境对本项目的影响主要为周边道路车辆来往产生的汽车尾气、交通噪声等。项目东侧和周边配套道路之间建设有8~15m宽绿化带，经距离及植被衰减后校园四周规划道路、村镇支路产生的汽车尾气和交通噪声对本项目的影响较小。</w:t>
      </w:r>
    </w:p>
    <w:p>
      <w:pPr>
        <w:spacing w:line="360" w:lineRule="auto"/>
        <w:ind w:firstLine="480" w:firstLineChars="200"/>
        <w:rPr>
          <w:sz w:val="24"/>
          <w:szCs w:val="24"/>
        </w:rPr>
      </w:pPr>
      <w:r>
        <w:rPr>
          <w:sz w:val="24"/>
          <w:szCs w:val="24"/>
        </w:rPr>
        <w:t>（8）总量控制</w:t>
      </w:r>
    </w:p>
    <w:p>
      <w:pPr>
        <w:spacing w:line="360" w:lineRule="auto"/>
        <w:ind w:firstLine="480" w:firstLineChars="200"/>
        <w:rPr>
          <w:sz w:val="24"/>
          <w:szCs w:val="24"/>
        </w:rPr>
      </w:pPr>
      <w:r>
        <w:rPr>
          <w:sz w:val="24"/>
          <w:szCs w:val="24"/>
        </w:rPr>
        <w:t>根据国家“十三五”总量控制的要求，结合本项目的特征污染物，确定本项目的污染物中总量控制的项目有COD、NH</w:t>
      </w:r>
      <w:r>
        <w:rPr>
          <w:sz w:val="24"/>
          <w:szCs w:val="24"/>
          <w:vertAlign w:val="subscript"/>
        </w:rPr>
        <w:t>3</w:t>
      </w:r>
      <w:r>
        <w:rPr>
          <w:sz w:val="24"/>
          <w:szCs w:val="24"/>
        </w:rPr>
        <w:t>-N。</w:t>
      </w:r>
    </w:p>
    <w:p>
      <w:pPr>
        <w:spacing w:line="360" w:lineRule="auto"/>
        <w:ind w:firstLine="480" w:firstLineChars="200"/>
        <w:rPr>
          <w:sz w:val="24"/>
          <w:szCs w:val="24"/>
        </w:rPr>
      </w:pPr>
      <w:r>
        <w:rPr>
          <w:sz w:val="24"/>
        </w:rPr>
        <w:t>项目运营后废水排放量为</w:t>
      </w:r>
      <w:r>
        <w:rPr>
          <w:rFonts w:hint="eastAsia"/>
          <w:sz w:val="24"/>
        </w:rPr>
        <w:t>50457</w:t>
      </w:r>
      <w:r>
        <w:rPr>
          <w:sz w:val="24"/>
        </w:rPr>
        <w:t>m³/a，排放量为COD</w:t>
      </w:r>
      <w:r>
        <w:rPr>
          <w:rFonts w:hint="eastAsia"/>
          <w:sz w:val="24"/>
        </w:rPr>
        <w:t>2.52</w:t>
      </w:r>
      <w:r>
        <w:rPr>
          <w:sz w:val="24"/>
        </w:rPr>
        <w:t>t/a、氨氮</w:t>
      </w:r>
      <w:r>
        <w:rPr>
          <w:rFonts w:hint="eastAsia"/>
          <w:sz w:val="24"/>
        </w:rPr>
        <w:t>0.25t</w:t>
      </w:r>
      <w:r>
        <w:rPr>
          <w:sz w:val="24"/>
        </w:rPr>
        <w:t>/a。</w:t>
      </w:r>
      <w:r>
        <w:rPr>
          <w:rFonts w:hint="eastAsia"/>
          <w:sz w:val="24"/>
        </w:rPr>
        <w:t>项目运营期污水经预处理达标后经市政污水管网，排入大学城</w:t>
      </w:r>
      <w:r>
        <w:rPr>
          <w:sz w:val="24"/>
        </w:rPr>
        <w:t>污水处理厂处理，</w:t>
      </w:r>
      <w:r>
        <w:rPr>
          <w:sz w:val="24"/>
          <w:szCs w:val="24"/>
        </w:rPr>
        <w:t>本项目所需的COD、NH</w:t>
      </w:r>
      <w:r>
        <w:rPr>
          <w:sz w:val="24"/>
          <w:szCs w:val="24"/>
          <w:vertAlign w:val="subscript"/>
        </w:rPr>
        <w:t>3</w:t>
      </w:r>
      <w:r>
        <w:rPr>
          <w:sz w:val="24"/>
          <w:szCs w:val="24"/>
        </w:rPr>
        <w:t>-N总量由福州大学城污水处理厂统一调配，</w:t>
      </w:r>
      <w:r>
        <w:rPr>
          <w:sz w:val="24"/>
        </w:rPr>
        <w:t>不再另行申请总量</w:t>
      </w:r>
      <w:r>
        <w:rPr>
          <w:sz w:val="24"/>
          <w:szCs w:val="24"/>
        </w:rPr>
        <w:t>。</w:t>
      </w:r>
    </w:p>
    <w:p>
      <w:pPr>
        <w:pStyle w:val="42"/>
        <w:rPr>
          <w:rStyle w:val="43"/>
          <w:rFonts w:eastAsia="宋体"/>
        </w:rPr>
      </w:pPr>
      <w:bookmarkStart w:id="276" w:name="_Toc486070604"/>
      <w:r>
        <w:rPr>
          <w:rStyle w:val="43"/>
          <w:rFonts w:eastAsia="宋体"/>
        </w:rPr>
        <w:t xml:space="preserve">10.3 </w:t>
      </w:r>
      <w:bookmarkEnd w:id="276"/>
      <w:r>
        <w:rPr>
          <w:rStyle w:val="43"/>
          <w:rFonts w:hint="eastAsia" w:eastAsia="宋体"/>
        </w:rPr>
        <w:t>环保措施及建议</w:t>
      </w:r>
    </w:p>
    <w:p>
      <w:pPr>
        <w:spacing w:line="360" w:lineRule="auto"/>
        <w:outlineLvl w:val="2"/>
        <w:rPr>
          <w:b/>
          <w:sz w:val="24"/>
          <w:szCs w:val="24"/>
        </w:rPr>
      </w:pPr>
      <w:bookmarkStart w:id="277" w:name="_Toc472321557"/>
      <w:bookmarkStart w:id="278" w:name="_Toc486070605"/>
      <w:r>
        <w:rPr>
          <w:b/>
          <w:sz w:val="24"/>
          <w:szCs w:val="24"/>
        </w:rPr>
        <w:t xml:space="preserve">10.3.1 </w:t>
      </w:r>
      <w:bookmarkEnd w:id="277"/>
      <w:bookmarkEnd w:id="278"/>
      <w:r>
        <w:rPr>
          <w:rFonts w:hint="eastAsia"/>
          <w:b/>
          <w:sz w:val="24"/>
          <w:szCs w:val="24"/>
        </w:rPr>
        <w:t>环保措施</w:t>
      </w:r>
    </w:p>
    <w:p>
      <w:pPr>
        <w:spacing w:line="360" w:lineRule="auto"/>
        <w:ind w:firstLine="480" w:firstLineChars="200"/>
        <w:rPr>
          <w:sz w:val="24"/>
          <w:szCs w:val="24"/>
        </w:rPr>
      </w:pPr>
      <w:r>
        <w:rPr>
          <w:sz w:val="24"/>
          <w:szCs w:val="24"/>
        </w:rPr>
        <w:t>建设单位应该落实好各项环保措施，搞好污染防治工作。本项目应落实以下环境保护措施，具体见表10.3-1，表10.3-2。</w:t>
      </w:r>
    </w:p>
    <w:p>
      <w:pPr>
        <w:spacing w:line="360" w:lineRule="auto"/>
        <w:ind w:firstLine="482" w:firstLineChars="200"/>
        <w:jc w:val="center"/>
        <w:rPr>
          <w:b/>
          <w:sz w:val="24"/>
        </w:rPr>
      </w:pPr>
      <w:r>
        <w:rPr>
          <w:b/>
          <w:sz w:val="24"/>
        </w:rPr>
        <w:t>表10.3-1 施工期环境保护措施及“三同时”验收一览表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465"/>
        <w:gridCol w:w="728"/>
        <w:gridCol w:w="3306"/>
        <w:gridCol w:w="3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1" w:type="pct"/>
            <w:vAlign w:val="center"/>
          </w:tcPr>
          <w:p>
            <w:pPr>
              <w:pStyle w:val="36"/>
              <w:rPr>
                <w:sz w:val="21"/>
              </w:rPr>
            </w:pPr>
            <w:r>
              <w:rPr>
                <w:sz w:val="21"/>
              </w:rPr>
              <w:t>类别</w:t>
            </w:r>
          </w:p>
        </w:tc>
        <w:tc>
          <w:tcPr>
            <w:tcW w:w="662" w:type="pct"/>
            <w:gridSpan w:val="2"/>
            <w:vAlign w:val="center"/>
          </w:tcPr>
          <w:p>
            <w:pPr>
              <w:pStyle w:val="36"/>
              <w:rPr>
                <w:bCs/>
                <w:sz w:val="21"/>
              </w:rPr>
            </w:pPr>
            <w:r>
              <w:rPr>
                <w:bCs/>
                <w:sz w:val="21"/>
              </w:rPr>
              <w:t>要素</w:t>
            </w:r>
          </w:p>
        </w:tc>
        <w:tc>
          <w:tcPr>
            <w:tcW w:w="1836" w:type="pct"/>
            <w:vAlign w:val="center"/>
          </w:tcPr>
          <w:p>
            <w:pPr>
              <w:pStyle w:val="36"/>
              <w:rPr>
                <w:bCs/>
                <w:sz w:val="21"/>
              </w:rPr>
            </w:pPr>
            <w:r>
              <w:rPr>
                <w:bCs/>
                <w:sz w:val="21"/>
              </w:rPr>
              <w:t>环保措施或设施</w:t>
            </w:r>
          </w:p>
        </w:tc>
        <w:tc>
          <w:tcPr>
            <w:tcW w:w="1851" w:type="pct"/>
            <w:vAlign w:val="center"/>
          </w:tcPr>
          <w:p>
            <w:pPr>
              <w:pStyle w:val="36"/>
              <w:rPr>
                <w:bCs/>
                <w:sz w:val="21"/>
              </w:rPr>
            </w:pPr>
            <w:r>
              <w:rPr>
                <w:bCs/>
                <w:sz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51" w:type="pct"/>
            <w:vMerge w:val="restart"/>
            <w:vAlign w:val="center"/>
          </w:tcPr>
          <w:p>
            <w:pPr>
              <w:pStyle w:val="36"/>
              <w:rPr>
                <w:sz w:val="21"/>
              </w:rPr>
            </w:pPr>
            <w:r>
              <w:rPr>
                <w:sz w:val="21"/>
              </w:rPr>
              <w:t>施工期环保措施</w:t>
            </w:r>
          </w:p>
        </w:tc>
        <w:tc>
          <w:tcPr>
            <w:tcW w:w="662" w:type="pct"/>
            <w:gridSpan w:val="2"/>
            <w:vAlign w:val="center"/>
          </w:tcPr>
          <w:p>
            <w:pPr>
              <w:pStyle w:val="36"/>
              <w:rPr>
                <w:sz w:val="21"/>
              </w:rPr>
            </w:pPr>
            <w:r>
              <w:rPr>
                <w:sz w:val="21"/>
              </w:rPr>
              <w:t>施工</w:t>
            </w:r>
          </w:p>
          <w:p>
            <w:pPr>
              <w:pStyle w:val="36"/>
              <w:rPr>
                <w:sz w:val="21"/>
              </w:rPr>
            </w:pPr>
            <w:r>
              <w:rPr>
                <w:sz w:val="21"/>
              </w:rPr>
              <w:t>噪声</w:t>
            </w:r>
          </w:p>
        </w:tc>
        <w:tc>
          <w:tcPr>
            <w:tcW w:w="1836" w:type="pct"/>
            <w:vAlign w:val="center"/>
          </w:tcPr>
          <w:p>
            <w:pPr>
              <w:pStyle w:val="36"/>
              <w:jc w:val="left"/>
              <w:rPr>
                <w:sz w:val="21"/>
              </w:rPr>
            </w:pPr>
            <w:r>
              <w:rPr>
                <w:sz w:val="21"/>
              </w:rPr>
              <w:t>①临时围障、吸声、减振、隔声等、控制施工时间；</w:t>
            </w:r>
          </w:p>
          <w:p>
            <w:pPr>
              <w:pStyle w:val="36"/>
              <w:jc w:val="left"/>
              <w:rPr>
                <w:sz w:val="21"/>
              </w:rPr>
            </w:pPr>
            <w:r>
              <w:rPr>
                <w:sz w:val="21"/>
              </w:rPr>
              <w:t>②临敏感点一侧安装临时隔声屏障。</w:t>
            </w:r>
          </w:p>
        </w:tc>
        <w:tc>
          <w:tcPr>
            <w:tcW w:w="1851" w:type="pct"/>
            <w:vAlign w:val="center"/>
          </w:tcPr>
          <w:p>
            <w:pPr>
              <w:pStyle w:val="36"/>
              <w:jc w:val="left"/>
              <w:rPr>
                <w:sz w:val="21"/>
              </w:rPr>
            </w:pPr>
            <w:r>
              <w:rPr>
                <w:sz w:val="21"/>
              </w:rPr>
              <w:t>GB12523-2011《建筑施工场界环境噪声排放标准》（昼间≤70dB（A），夜间≤55dB（A））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1" w:type="pct"/>
            <w:vMerge w:val="continue"/>
            <w:vAlign w:val="center"/>
          </w:tcPr>
          <w:p>
            <w:pPr>
              <w:pStyle w:val="36"/>
              <w:rPr>
                <w:sz w:val="21"/>
              </w:rPr>
            </w:pPr>
          </w:p>
        </w:tc>
        <w:tc>
          <w:tcPr>
            <w:tcW w:w="662" w:type="pct"/>
            <w:gridSpan w:val="2"/>
            <w:vAlign w:val="center"/>
          </w:tcPr>
          <w:p>
            <w:pPr>
              <w:pStyle w:val="36"/>
              <w:rPr>
                <w:sz w:val="21"/>
              </w:rPr>
            </w:pPr>
            <w:r>
              <w:rPr>
                <w:sz w:val="21"/>
              </w:rPr>
              <w:t>施工大气</w:t>
            </w:r>
          </w:p>
        </w:tc>
        <w:tc>
          <w:tcPr>
            <w:tcW w:w="1836" w:type="pct"/>
            <w:vAlign w:val="center"/>
          </w:tcPr>
          <w:p>
            <w:pPr>
              <w:pStyle w:val="36"/>
              <w:jc w:val="left"/>
              <w:rPr>
                <w:sz w:val="21"/>
              </w:rPr>
            </w:pPr>
            <w:r>
              <w:rPr>
                <w:sz w:val="21"/>
              </w:rPr>
              <w:t>①洒水车、料场设蓬、运输加盖篷布、环保型建材；</w:t>
            </w:r>
          </w:p>
          <w:p>
            <w:pPr>
              <w:pStyle w:val="36"/>
              <w:jc w:val="left"/>
              <w:rPr>
                <w:sz w:val="21"/>
              </w:rPr>
            </w:pPr>
            <w:r>
              <w:rPr>
                <w:sz w:val="21"/>
              </w:rPr>
              <w:t>②在施工场地设置屏障（高度大于2.5m）。</w:t>
            </w:r>
          </w:p>
        </w:tc>
        <w:tc>
          <w:tcPr>
            <w:tcW w:w="1851" w:type="pct"/>
            <w:vAlign w:val="center"/>
          </w:tcPr>
          <w:p>
            <w:pPr>
              <w:pStyle w:val="36"/>
              <w:jc w:val="left"/>
              <w:rPr>
                <w:sz w:val="21"/>
              </w:rPr>
            </w:pPr>
            <w:r>
              <w:rPr>
                <w:sz w:val="21"/>
              </w:rPr>
              <w:t>《大气污染物综合排放标准》（GB16297-1996）表2中颗粒物无组织排放监控浓度限值≤1.0mg/m</w:t>
            </w:r>
            <w:r>
              <w:rPr>
                <w:sz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jc w:val="center"/>
        </w:trPr>
        <w:tc>
          <w:tcPr>
            <w:tcW w:w="651" w:type="pct"/>
            <w:vMerge w:val="continue"/>
            <w:vAlign w:val="center"/>
          </w:tcPr>
          <w:p>
            <w:pPr>
              <w:pStyle w:val="36"/>
              <w:rPr>
                <w:sz w:val="21"/>
              </w:rPr>
            </w:pPr>
          </w:p>
        </w:tc>
        <w:tc>
          <w:tcPr>
            <w:tcW w:w="662" w:type="pct"/>
            <w:gridSpan w:val="2"/>
            <w:tcBorders>
              <w:bottom w:val="single" w:color="auto" w:sz="4" w:space="0"/>
            </w:tcBorders>
            <w:vAlign w:val="center"/>
          </w:tcPr>
          <w:p>
            <w:pPr>
              <w:pStyle w:val="36"/>
              <w:rPr>
                <w:sz w:val="21"/>
              </w:rPr>
            </w:pPr>
            <w:r>
              <w:rPr>
                <w:sz w:val="21"/>
              </w:rPr>
              <w:t>施工</w:t>
            </w:r>
          </w:p>
          <w:p>
            <w:pPr>
              <w:pStyle w:val="36"/>
              <w:rPr>
                <w:sz w:val="21"/>
              </w:rPr>
            </w:pPr>
            <w:r>
              <w:rPr>
                <w:sz w:val="21"/>
              </w:rPr>
              <w:t>固废</w:t>
            </w:r>
          </w:p>
        </w:tc>
        <w:tc>
          <w:tcPr>
            <w:tcW w:w="1836" w:type="pct"/>
            <w:tcBorders>
              <w:bottom w:val="single" w:color="auto" w:sz="4" w:space="0"/>
            </w:tcBorders>
            <w:vAlign w:val="center"/>
          </w:tcPr>
          <w:p>
            <w:pPr>
              <w:pStyle w:val="36"/>
              <w:jc w:val="left"/>
              <w:rPr>
                <w:sz w:val="21"/>
              </w:rPr>
            </w:pPr>
            <w:r>
              <w:rPr>
                <w:sz w:val="21"/>
              </w:rPr>
              <w:t>①</w:t>
            </w:r>
            <w:r>
              <w:rPr>
                <w:rFonts w:hint="eastAsia"/>
                <w:sz w:val="21"/>
              </w:rPr>
              <w:t>建筑垃圾</w:t>
            </w:r>
            <w:r>
              <w:rPr>
                <w:sz w:val="21"/>
              </w:rPr>
              <w:t>：尽量回用，不可回用部分及时清运</w:t>
            </w:r>
            <w:r>
              <w:rPr>
                <w:rFonts w:hint="eastAsia"/>
                <w:sz w:val="21"/>
              </w:rPr>
              <w:t>至指定地点；</w:t>
            </w:r>
          </w:p>
          <w:p>
            <w:pPr>
              <w:pStyle w:val="36"/>
              <w:jc w:val="left"/>
              <w:rPr>
                <w:sz w:val="21"/>
              </w:rPr>
            </w:pPr>
            <w:r>
              <w:rPr>
                <w:sz w:val="21"/>
              </w:rPr>
              <w:t>②生活垃圾：统一收集后交由环卫部门处理</w:t>
            </w:r>
            <w:r>
              <w:rPr>
                <w:rFonts w:hint="eastAsia"/>
                <w:sz w:val="21"/>
              </w:rPr>
              <w:t>；</w:t>
            </w:r>
          </w:p>
          <w:p>
            <w:pPr>
              <w:pStyle w:val="36"/>
              <w:jc w:val="left"/>
              <w:rPr>
                <w:sz w:val="21"/>
              </w:rPr>
            </w:pPr>
            <w:r>
              <w:rPr>
                <w:sz w:val="21"/>
              </w:rPr>
              <w:t>③</w:t>
            </w:r>
            <w:r>
              <w:rPr>
                <w:rFonts w:hint="eastAsia"/>
                <w:sz w:val="21"/>
              </w:rPr>
              <w:t>油漆危废：单独收集贮存，委托有资质单位处置。</w:t>
            </w:r>
          </w:p>
        </w:tc>
        <w:tc>
          <w:tcPr>
            <w:tcW w:w="1851" w:type="pct"/>
            <w:tcBorders>
              <w:bottom w:val="single" w:color="auto" w:sz="4" w:space="0"/>
            </w:tcBorders>
            <w:vAlign w:val="center"/>
          </w:tcPr>
          <w:p>
            <w:pPr>
              <w:pStyle w:val="36"/>
              <w:rPr>
                <w:sz w:val="21"/>
              </w:rPr>
            </w:pPr>
            <w:r>
              <w:rPr>
                <w:sz w:val="21"/>
              </w:rPr>
              <w:t>验收落实情况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jc w:val="center"/>
        </w:trPr>
        <w:tc>
          <w:tcPr>
            <w:tcW w:w="651" w:type="pct"/>
            <w:vMerge w:val="continue"/>
            <w:vAlign w:val="center"/>
          </w:tcPr>
          <w:p>
            <w:pPr>
              <w:pStyle w:val="36"/>
              <w:rPr>
                <w:sz w:val="21"/>
              </w:rPr>
            </w:pPr>
          </w:p>
        </w:tc>
        <w:tc>
          <w:tcPr>
            <w:tcW w:w="662" w:type="pct"/>
            <w:gridSpan w:val="2"/>
            <w:tcBorders>
              <w:bottom w:val="single" w:color="auto" w:sz="4" w:space="0"/>
            </w:tcBorders>
            <w:vAlign w:val="center"/>
          </w:tcPr>
          <w:p>
            <w:pPr>
              <w:pStyle w:val="36"/>
              <w:rPr>
                <w:sz w:val="21"/>
              </w:rPr>
            </w:pPr>
            <w:r>
              <w:rPr>
                <w:sz w:val="21"/>
              </w:rPr>
              <w:t>施工废水</w:t>
            </w:r>
          </w:p>
        </w:tc>
        <w:tc>
          <w:tcPr>
            <w:tcW w:w="1836" w:type="pct"/>
            <w:tcBorders>
              <w:bottom w:val="single" w:color="auto" w:sz="4" w:space="0"/>
            </w:tcBorders>
            <w:vAlign w:val="center"/>
          </w:tcPr>
          <w:p>
            <w:pPr>
              <w:pStyle w:val="36"/>
              <w:jc w:val="left"/>
              <w:rPr>
                <w:sz w:val="21"/>
              </w:rPr>
            </w:pPr>
            <w:r>
              <w:rPr>
                <w:sz w:val="21"/>
              </w:rPr>
              <w:t>①生活污水：纳入当地现有的污水排放系统中，不另行单独外排；</w:t>
            </w:r>
          </w:p>
          <w:p>
            <w:pPr>
              <w:pStyle w:val="36"/>
              <w:jc w:val="left"/>
              <w:rPr>
                <w:sz w:val="21"/>
              </w:rPr>
            </w:pPr>
            <w:r>
              <w:rPr>
                <w:sz w:val="21"/>
              </w:rPr>
              <w:t>②生产废水：施工现场应设置简易隔油、沉淀池，废水全部循环使用，不排放。</w:t>
            </w:r>
          </w:p>
        </w:tc>
        <w:tc>
          <w:tcPr>
            <w:tcW w:w="1851" w:type="pct"/>
            <w:tcBorders>
              <w:bottom w:val="single" w:color="auto" w:sz="4" w:space="0"/>
            </w:tcBorders>
            <w:vAlign w:val="center"/>
          </w:tcPr>
          <w:p>
            <w:pPr>
              <w:pStyle w:val="36"/>
              <w:rPr>
                <w:sz w:val="21"/>
              </w:rPr>
            </w:pPr>
            <w:r>
              <w:rPr>
                <w:sz w:val="21"/>
              </w:rPr>
              <w:t>验收落实情况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651" w:type="pct"/>
            <w:vMerge w:val="restart"/>
            <w:vAlign w:val="center"/>
          </w:tcPr>
          <w:p>
            <w:pPr>
              <w:pStyle w:val="36"/>
              <w:rPr>
                <w:sz w:val="21"/>
              </w:rPr>
            </w:pPr>
            <w:r>
              <w:rPr>
                <w:sz w:val="21"/>
              </w:rPr>
              <w:t>运营期控制措施</w:t>
            </w:r>
          </w:p>
        </w:tc>
        <w:tc>
          <w:tcPr>
            <w:tcW w:w="662" w:type="pct"/>
            <w:gridSpan w:val="2"/>
            <w:vMerge w:val="restart"/>
            <w:vAlign w:val="center"/>
          </w:tcPr>
          <w:p>
            <w:pPr>
              <w:pStyle w:val="36"/>
              <w:rPr>
                <w:sz w:val="21"/>
              </w:rPr>
            </w:pPr>
            <w:r>
              <w:rPr>
                <w:sz w:val="21"/>
              </w:rPr>
              <w:t>污水处理措施</w:t>
            </w:r>
          </w:p>
        </w:tc>
        <w:tc>
          <w:tcPr>
            <w:tcW w:w="1836" w:type="pct"/>
            <w:tcBorders>
              <w:bottom w:val="single" w:color="auto" w:sz="4" w:space="0"/>
            </w:tcBorders>
            <w:vAlign w:val="center"/>
          </w:tcPr>
          <w:p>
            <w:pPr>
              <w:pStyle w:val="36"/>
              <w:jc w:val="left"/>
              <w:rPr>
                <w:sz w:val="21"/>
              </w:rPr>
            </w:pPr>
            <w:r>
              <w:rPr>
                <w:sz w:val="21"/>
              </w:rPr>
              <w:t>1个化粪池（容积为100m</w:t>
            </w:r>
            <w:r>
              <w:rPr>
                <w:sz w:val="21"/>
                <w:vertAlign w:val="superscript"/>
              </w:rPr>
              <w:t>3</w:t>
            </w:r>
            <w:r>
              <w:rPr>
                <w:sz w:val="21"/>
              </w:rPr>
              <w:t>）、1个隔油池（容积为30m</w:t>
            </w:r>
            <w:r>
              <w:rPr>
                <w:sz w:val="21"/>
                <w:vertAlign w:val="superscript"/>
              </w:rPr>
              <w:t>3</w:t>
            </w:r>
            <w:r>
              <w:rPr>
                <w:sz w:val="21"/>
              </w:rPr>
              <w:t>）、1个中和沉淀池（容积为1m</w:t>
            </w:r>
            <w:r>
              <w:rPr>
                <w:sz w:val="21"/>
                <w:vertAlign w:val="superscript"/>
              </w:rPr>
              <w:t>3</w:t>
            </w:r>
            <w:r>
              <w:rPr>
                <w:sz w:val="21"/>
              </w:rPr>
              <w:t>）</w:t>
            </w:r>
          </w:p>
        </w:tc>
        <w:tc>
          <w:tcPr>
            <w:tcW w:w="1851" w:type="pct"/>
            <w:tcBorders>
              <w:bottom w:val="single" w:color="auto" w:sz="4" w:space="0"/>
            </w:tcBorders>
            <w:vAlign w:val="center"/>
          </w:tcPr>
          <w:p>
            <w:pPr>
              <w:pStyle w:val="36"/>
              <w:jc w:val="left"/>
              <w:rPr>
                <w:sz w:val="21"/>
              </w:rPr>
            </w:pPr>
            <w:r>
              <w:rPr>
                <w:sz w:val="21"/>
              </w:rPr>
              <w:t>GB8978-1996《污水综合排放标准》表4三级标准（COD≤500m/L、BOD</w:t>
            </w:r>
            <w:r>
              <w:rPr>
                <w:sz w:val="21"/>
                <w:vertAlign w:val="subscript"/>
              </w:rPr>
              <w:t>5</w:t>
            </w:r>
            <w:r>
              <w:rPr>
                <w:sz w:val="21"/>
              </w:rPr>
              <w:t>≤300mg/L、SS≤400mg/L、NH</w:t>
            </w:r>
            <w:r>
              <w:rPr>
                <w:sz w:val="21"/>
                <w:vertAlign w:val="subscript"/>
              </w:rPr>
              <w:t>3</w:t>
            </w:r>
            <w:r>
              <w:rPr>
                <w:sz w:val="21"/>
              </w:rPr>
              <w:t>-N≤45mg/L）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651" w:type="pct"/>
            <w:vMerge w:val="continue"/>
            <w:vAlign w:val="center"/>
          </w:tcPr>
          <w:p>
            <w:pPr>
              <w:pStyle w:val="36"/>
              <w:rPr>
                <w:sz w:val="21"/>
              </w:rPr>
            </w:pPr>
          </w:p>
        </w:tc>
        <w:tc>
          <w:tcPr>
            <w:tcW w:w="662" w:type="pct"/>
            <w:gridSpan w:val="2"/>
            <w:vMerge w:val="continue"/>
            <w:tcBorders>
              <w:bottom w:val="single" w:color="auto" w:sz="4" w:space="0"/>
            </w:tcBorders>
            <w:vAlign w:val="center"/>
          </w:tcPr>
          <w:p>
            <w:pPr>
              <w:pStyle w:val="36"/>
              <w:rPr>
                <w:sz w:val="21"/>
              </w:rPr>
            </w:pPr>
          </w:p>
        </w:tc>
        <w:tc>
          <w:tcPr>
            <w:tcW w:w="1836" w:type="pct"/>
            <w:tcBorders>
              <w:bottom w:val="single" w:color="auto" w:sz="4" w:space="0"/>
            </w:tcBorders>
            <w:vAlign w:val="center"/>
          </w:tcPr>
          <w:p>
            <w:pPr>
              <w:pStyle w:val="36"/>
              <w:rPr>
                <w:sz w:val="21"/>
              </w:rPr>
            </w:pPr>
            <w:r>
              <w:rPr>
                <w:sz w:val="21"/>
              </w:rPr>
              <w:t>污水管网接口、排污口的规范化设计</w:t>
            </w:r>
          </w:p>
        </w:tc>
        <w:tc>
          <w:tcPr>
            <w:tcW w:w="1851" w:type="pct"/>
            <w:tcBorders>
              <w:bottom w:val="single" w:color="auto" w:sz="4" w:space="0"/>
            </w:tcBorders>
            <w:vAlign w:val="center"/>
          </w:tcPr>
          <w:p>
            <w:pPr>
              <w:pStyle w:val="36"/>
              <w:rPr>
                <w:sz w:val="21"/>
              </w:rPr>
            </w:pPr>
            <w:r>
              <w:rPr>
                <w:sz w:val="21"/>
              </w:rPr>
              <w:t>验收措施落实情况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651" w:type="pct"/>
            <w:vMerge w:val="continue"/>
            <w:vAlign w:val="center"/>
          </w:tcPr>
          <w:p>
            <w:pPr>
              <w:pStyle w:val="36"/>
              <w:rPr>
                <w:sz w:val="21"/>
              </w:rPr>
            </w:pPr>
          </w:p>
        </w:tc>
        <w:tc>
          <w:tcPr>
            <w:tcW w:w="258" w:type="pct"/>
            <w:vMerge w:val="restart"/>
            <w:vAlign w:val="center"/>
          </w:tcPr>
          <w:p>
            <w:pPr>
              <w:pStyle w:val="36"/>
              <w:rPr>
                <w:sz w:val="21"/>
              </w:rPr>
            </w:pPr>
            <w:r>
              <w:rPr>
                <w:sz w:val="21"/>
              </w:rPr>
              <w:t>废气</w:t>
            </w:r>
          </w:p>
        </w:tc>
        <w:tc>
          <w:tcPr>
            <w:tcW w:w="404" w:type="pct"/>
            <w:tcBorders>
              <w:bottom w:val="single" w:color="auto" w:sz="4" w:space="0"/>
            </w:tcBorders>
            <w:vAlign w:val="center"/>
          </w:tcPr>
          <w:p>
            <w:pPr>
              <w:pStyle w:val="36"/>
              <w:rPr>
                <w:sz w:val="21"/>
              </w:rPr>
            </w:pPr>
            <w:r>
              <w:rPr>
                <w:sz w:val="21"/>
              </w:rPr>
              <w:t>食堂油烟</w:t>
            </w:r>
          </w:p>
        </w:tc>
        <w:tc>
          <w:tcPr>
            <w:tcW w:w="1836" w:type="pct"/>
            <w:tcBorders>
              <w:bottom w:val="single" w:color="auto" w:sz="4" w:space="0"/>
            </w:tcBorders>
            <w:vAlign w:val="center"/>
          </w:tcPr>
          <w:p>
            <w:pPr>
              <w:pStyle w:val="36"/>
              <w:rPr>
                <w:sz w:val="21"/>
              </w:rPr>
            </w:pPr>
            <w:r>
              <w:rPr>
                <w:sz w:val="21"/>
              </w:rPr>
              <w:t>油烟净化器设施、排烟管道</w:t>
            </w:r>
          </w:p>
        </w:tc>
        <w:tc>
          <w:tcPr>
            <w:tcW w:w="1851" w:type="pct"/>
            <w:tcBorders>
              <w:bottom w:val="single" w:color="auto" w:sz="4" w:space="0"/>
            </w:tcBorders>
            <w:vAlign w:val="center"/>
          </w:tcPr>
          <w:p>
            <w:pPr>
              <w:pStyle w:val="36"/>
              <w:jc w:val="left"/>
              <w:rPr>
                <w:sz w:val="21"/>
              </w:rPr>
            </w:pPr>
            <w:r>
              <w:rPr>
                <w:sz w:val="21"/>
              </w:rPr>
              <w:t>GB18483-2001《饮食业油烟排放标准（试行）》中“大型规模”的要求（即油烟最高允许排放浓度为2mg/m</w:t>
            </w:r>
            <w:r>
              <w:rPr>
                <w:sz w:val="21"/>
                <w:vertAlign w:val="superscript"/>
              </w:rPr>
              <w:t>3</w:t>
            </w:r>
            <w:r>
              <w:rPr>
                <w:sz w:val="21"/>
              </w:rPr>
              <w:t>、净化设施最低去除效率为85%）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651" w:type="pct"/>
            <w:vMerge w:val="continue"/>
            <w:vAlign w:val="center"/>
          </w:tcPr>
          <w:p>
            <w:pPr>
              <w:pStyle w:val="36"/>
              <w:rPr>
                <w:sz w:val="21"/>
              </w:rPr>
            </w:pPr>
          </w:p>
        </w:tc>
        <w:tc>
          <w:tcPr>
            <w:tcW w:w="258" w:type="pct"/>
            <w:vMerge w:val="continue"/>
            <w:vAlign w:val="center"/>
          </w:tcPr>
          <w:p>
            <w:pPr>
              <w:pStyle w:val="36"/>
              <w:rPr>
                <w:sz w:val="21"/>
              </w:rPr>
            </w:pPr>
          </w:p>
        </w:tc>
        <w:tc>
          <w:tcPr>
            <w:tcW w:w="404" w:type="pct"/>
            <w:tcBorders>
              <w:bottom w:val="single" w:color="auto" w:sz="4" w:space="0"/>
            </w:tcBorders>
            <w:vAlign w:val="center"/>
          </w:tcPr>
          <w:p>
            <w:pPr>
              <w:pStyle w:val="36"/>
              <w:rPr>
                <w:sz w:val="21"/>
              </w:rPr>
            </w:pPr>
            <w:r>
              <w:rPr>
                <w:sz w:val="21"/>
              </w:rPr>
              <w:t>地下车库废气</w:t>
            </w:r>
          </w:p>
        </w:tc>
        <w:tc>
          <w:tcPr>
            <w:tcW w:w="1836" w:type="pct"/>
            <w:tcBorders>
              <w:bottom w:val="single" w:color="auto" w:sz="4" w:space="0"/>
            </w:tcBorders>
            <w:vAlign w:val="center"/>
          </w:tcPr>
          <w:p>
            <w:pPr>
              <w:pStyle w:val="36"/>
              <w:rPr>
                <w:sz w:val="21"/>
              </w:rPr>
            </w:pPr>
            <w:r>
              <w:rPr>
                <w:sz w:val="21"/>
              </w:rPr>
              <w:t>机械排风兼排烟系统、高于地面2.5m的排放口</w:t>
            </w:r>
          </w:p>
        </w:tc>
        <w:tc>
          <w:tcPr>
            <w:tcW w:w="1851" w:type="pct"/>
            <w:tcBorders>
              <w:bottom w:val="single" w:color="auto" w:sz="4" w:space="0"/>
            </w:tcBorders>
            <w:vAlign w:val="center"/>
          </w:tcPr>
          <w:p>
            <w:pPr>
              <w:pStyle w:val="36"/>
              <w:rPr>
                <w:sz w:val="21"/>
              </w:rPr>
            </w:pPr>
            <w:r>
              <w:rPr>
                <w:sz w:val="21"/>
              </w:rPr>
              <w:t>验收措施落实情况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651" w:type="pct"/>
            <w:vMerge w:val="continue"/>
            <w:vAlign w:val="center"/>
          </w:tcPr>
          <w:p>
            <w:pPr>
              <w:pStyle w:val="36"/>
              <w:rPr>
                <w:sz w:val="21"/>
              </w:rPr>
            </w:pPr>
          </w:p>
        </w:tc>
        <w:tc>
          <w:tcPr>
            <w:tcW w:w="258" w:type="pct"/>
            <w:vMerge w:val="continue"/>
            <w:tcBorders>
              <w:bottom w:val="single" w:color="auto" w:sz="4" w:space="0"/>
            </w:tcBorders>
            <w:vAlign w:val="center"/>
          </w:tcPr>
          <w:p>
            <w:pPr>
              <w:pStyle w:val="36"/>
              <w:rPr>
                <w:sz w:val="21"/>
              </w:rPr>
            </w:pPr>
          </w:p>
        </w:tc>
        <w:tc>
          <w:tcPr>
            <w:tcW w:w="404" w:type="pct"/>
            <w:tcBorders>
              <w:bottom w:val="single" w:color="auto" w:sz="4" w:space="0"/>
            </w:tcBorders>
            <w:vAlign w:val="center"/>
          </w:tcPr>
          <w:p>
            <w:pPr>
              <w:pStyle w:val="36"/>
              <w:rPr>
                <w:sz w:val="21"/>
              </w:rPr>
            </w:pPr>
            <w:r>
              <w:rPr>
                <w:sz w:val="21"/>
              </w:rPr>
              <w:t>备用柴油发电机废气</w:t>
            </w:r>
          </w:p>
        </w:tc>
        <w:tc>
          <w:tcPr>
            <w:tcW w:w="1836" w:type="pct"/>
            <w:tcBorders>
              <w:bottom w:val="single" w:color="auto" w:sz="4" w:space="0"/>
            </w:tcBorders>
            <w:vAlign w:val="center"/>
          </w:tcPr>
          <w:p>
            <w:pPr>
              <w:pStyle w:val="36"/>
              <w:rPr>
                <w:sz w:val="21"/>
              </w:rPr>
            </w:pPr>
            <w:r>
              <w:rPr>
                <w:sz w:val="21"/>
              </w:rPr>
              <w:t>排烟管道（1根，排放高度不低于15m）</w:t>
            </w:r>
          </w:p>
        </w:tc>
        <w:tc>
          <w:tcPr>
            <w:tcW w:w="1851" w:type="pct"/>
            <w:tcBorders>
              <w:bottom w:val="single" w:color="auto" w:sz="4" w:space="0"/>
            </w:tcBorders>
            <w:vAlign w:val="center"/>
          </w:tcPr>
          <w:p>
            <w:pPr>
              <w:pStyle w:val="36"/>
              <w:rPr>
                <w:sz w:val="21"/>
              </w:rPr>
            </w:pPr>
            <w:r>
              <w:rPr>
                <w:sz w:val="21"/>
              </w:rPr>
              <w:t>GB16297-1996《大气污染物综合排放标准》表2中二级排放标准限值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651" w:type="pct"/>
            <w:vMerge w:val="continue"/>
            <w:vAlign w:val="center"/>
          </w:tcPr>
          <w:p>
            <w:pPr>
              <w:pStyle w:val="36"/>
              <w:rPr>
                <w:sz w:val="21"/>
              </w:rPr>
            </w:pPr>
          </w:p>
        </w:tc>
        <w:tc>
          <w:tcPr>
            <w:tcW w:w="662" w:type="pct"/>
            <w:gridSpan w:val="2"/>
            <w:vMerge w:val="restart"/>
            <w:vAlign w:val="center"/>
          </w:tcPr>
          <w:p>
            <w:pPr>
              <w:pStyle w:val="36"/>
              <w:rPr>
                <w:sz w:val="21"/>
              </w:rPr>
            </w:pPr>
            <w:r>
              <w:rPr>
                <w:sz w:val="21"/>
              </w:rPr>
              <w:t>噪声</w:t>
            </w:r>
          </w:p>
        </w:tc>
        <w:tc>
          <w:tcPr>
            <w:tcW w:w="1836" w:type="pct"/>
            <w:tcBorders>
              <w:bottom w:val="single" w:color="auto" w:sz="4" w:space="0"/>
            </w:tcBorders>
            <w:vAlign w:val="center"/>
          </w:tcPr>
          <w:p>
            <w:pPr>
              <w:pStyle w:val="36"/>
              <w:rPr>
                <w:sz w:val="21"/>
              </w:rPr>
            </w:pPr>
            <w:r>
              <w:rPr>
                <w:sz w:val="21"/>
              </w:rPr>
              <w:t>水泵房、柴油发电机房、配电房隔声、减振、消声等措施</w:t>
            </w:r>
          </w:p>
        </w:tc>
        <w:tc>
          <w:tcPr>
            <w:tcW w:w="1851" w:type="pct"/>
            <w:vMerge w:val="restart"/>
            <w:vAlign w:val="center"/>
          </w:tcPr>
          <w:p>
            <w:pPr>
              <w:pStyle w:val="36"/>
              <w:rPr>
                <w:sz w:val="21"/>
              </w:rPr>
            </w:pPr>
            <w:r>
              <w:rPr>
                <w:sz w:val="21"/>
              </w:rPr>
              <w:t>GB12348-2008《工业企业厂界环境</w:t>
            </w:r>
          </w:p>
          <w:p>
            <w:pPr>
              <w:pStyle w:val="36"/>
              <w:rPr>
                <w:sz w:val="21"/>
              </w:rPr>
            </w:pPr>
            <w:r>
              <w:rPr>
                <w:sz w:val="21"/>
              </w:rPr>
              <w:t>噪声排放标准》中2类标准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5" w:hRule="atLeast"/>
          <w:jc w:val="center"/>
        </w:trPr>
        <w:tc>
          <w:tcPr>
            <w:tcW w:w="651" w:type="pct"/>
            <w:vMerge w:val="continue"/>
            <w:vAlign w:val="center"/>
          </w:tcPr>
          <w:p>
            <w:pPr>
              <w:pStyle w:val="36"/>
              <w:rPr>
                <w:sz w:val="21"/>
              </w:rPr>
            </w:pPr>
          </w:p>
        </w:tc>
        <w:tc>
          <w:tcPr>
            <w:tcW w:w="662" w:type="pct"/>
            <w:gridSpan w:val="2"/>
            <w:vMerge w:val="continue"/>
            <w:tcBorders>
              <w:bottom w:val="single" w:color="auto" w:sz="4" w:space="0"/>
            </w:tcBorders>
            <w:vAlign w:val="center"/>
          </w:tcPr>
          <w:p>
            <w:pPr>
              <w:pStyle w:val="36"/>
              <w:rPr>
                <w:sz w:val="21"/>
              </w:rPr>
            </w:pPr>
          </w:p>
        </w:tc>
        <w:tc>
          <w:tcPr>
            <w:tcW w:w="1836" w:type="pct"/>
            <w:tcBorders>
              <w:bottom w:val="single" w:color="auto" w:sz="4" w:space="0"/>
            </w:tcBorders>
            <w:vAlign w:val="center"/>
          </w:tcPr>
          <w:p>
            <w:pPr>
              <w:pStyle w:val="36"/>
              <w:rPr>
                <w:sz w:val="21"/>
              </w:rPr>
            </w:pPr>
            <w:r>
              <w:rPr>
                <w:sz w:val="21"/>
              </w:rPr>
              <w:t>在学校四周设置树木绿化带</w:t>
            </w:r>
          </w:p>
        </w:tc>
        <w:tc>
          <w:tcPr>
            <w:tcW w:w="1851" w:type="pct"/>
            <w:vMerge w:val="continue"/>
            <w:tcBorders>
              <w:bottom w:val="single" w:color="auto" w:sz="4" w:space="0"/>
            </w:tcBorders>
            <w:vAlign w:val="center"/>
          </w:tcPr>
          <w:p>
            <w:pPr>
              <w:pStyle w:val="36"/>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651" w:type="pct"/>
            <w:vMerge w:val="continue"/>
            <w:vAlign w:val="center"/>
          </w:tcPr>
          <w:p>
            <w:pPr>
              <w:pStyle w:val="36"/>
              <w:rPr>
                <w:sz w:val="21"/>
              </w:rPr>
            </w:pPr>
          </w:p>
        </w:tc>
        <w:tc>
          <w:tcPr>
            <w:tcW w:w="662" w:type="pct"/>
            <w:gridSpan w:val="2"/>
            <w:tcBorders>
              <w:bottom w:val="single" w:color="auto" w:sz="4" w:space="0"/>
            </w:tcBorders>
            <w:vAlign w:val="center"/>
          </w:tcPr>
          <w:p>
            <w:pPr>
              <w:pStyle w:val="36"/>
              <w:rPr>
                <w:sz w:val="21"/>
              </w:rPr>
            </w:pPr>
            <w:r>
              <w:rPr>
                <w:sz w:val="21"/>
              </w:rPr>
              <w:t>固废治理</w:t>
            </w:r>
          </w:p>
        </w:tc>
        <w:tc>
          <w:tcPr>
            <w:tcW w:w="1836" w:type="pct"/>
            <w:tcBorders>
              <w:bottom w:val="single" w:color="auto" w:sz="4" w:space="0"/>
            </w:tcBorders>
            <w:vAlign w:val="center"/>
          </w:tcPr>
          <w:p>
            <w:pPr>
              <w:pStyle w:val="36"/>
              <w:jc w:val="left"/>
              <w:rPr>
                <w:sz w:val="21"/>
              </w:rPr>
            </w:pPr>
            <w:r>
              <w:rPr>
                <w:sz w:val="21"/>
              </w:rPr>
              <w:t>①生活垃圾委托环卫部门清运处理；</w:t>
            </w:r>
          </w:p>
          <w:p>
            <w:pPr>
              <w:pStyle w:val="36"/>
              <w:jc w:val="left"/>
              <w:rPr>
                <w:sz w:val="21"/>
              </w:rPr>
            </w:pPr>
            <w:r>
              <w:rPr>
                <w:sz w:val="21"/>
              </w:rPr>
              <w:t>②食堂餐厨垃圾委托有资质的专业化处理运营单位进行回收处理；</w:t>
            </w:r>
          </w:p>
          <w:p>
            <w:pPr>
              <w:pStyle w:val="36"/>
              <w:jc w:val="left"/>
              <w:rPr>
                <w:sz w:val="21"/>
              </w:rPr>
            </w:pPr>
            <w:r>
              <w:rPr>
                <w:sz w:val="21"/>
              </w:rPr>
              <w:t>③化粪池污泥半年清掏一次，由环卫部门清运处理；</w:t>
            </w:r>
          </w:p>
          <w:p>
            <w:pPr>
              <w:pStyle w:val="36"/>
              <w:jc w:val="left"/>
              <w:rPr>
                <w:sz w:val="21"/>
              </w:rPr>
            </w:pPr>
            <w:r>
              <w:rPr>
                <w:sz w:val="21"/>
              </w:rPr>
              <w:t>④实验室</w:t>
            </w:r>
            <w:r>
              <w:rPr>
                <w:rFonts w:hint="eastAsia"/>
                <w:sz w:val="21"/>
              </w:rPr>
              <w:t>危险</w:t>
            </w:r>
            <w:r>
              <w:rPr>
                <w:sz w:val="21"/>
              </w:rPr>
              <w:t>固废在实验室内单独收集后委托有资质的单位处置。</w:t>
            </w:r>
          </w:p>
        </w:tc>
        <w:tc>
          <w:tcPr>
            <w:tcW w:w="1851" w:type="pct"/>
            <w:tcBorders>
              <w:bottom w:val="single" w:color="auto" w:sz="4" w:space="0"/>
            </w:tcBorders>
            <w:vAlign w:val="center"/>
          </w:tcPr>
          <w:p>
            <w:pPr>
              <w:pStyle w:val="36"/>
              <w:rPr>
                <w:sz w:val="21"/>
              </w:rPr>
            </w:pPr>
            <w:r>
              <w:rPr>
                <w:sz w:val="21"/>
              </w:rPr>
              <w:t>验收措施落实情况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651" w:type="pct"/>
            <w:vMerge w:val="continue"/>
            <w:vAlign w:val="center"/>
          </w:tcPr>
          <w:p>
            <w:pPr>
              <w:pStyle w:val="36"/>
              <w:rPr>
                <w:sz w:val="21"/>
              </w:rPr>
            </w:pPr>
          </w:p>
        </w:tc>
        <w:tc>
          <w:tcPr>
            <w:tcW w:w="662" w:type="pct"/>
            <w:gridSpan w:val="2"/>
            <w:tcBorders>
              <w:bottom w:val="single" w:color="auto" w:sz="4" w:space="0"/>
            </w:tcBorders>
            <w:vAlign w:val="center"/>
          </w:tcPr>
          <w:p>
            <w:pPr>
              <w:pStyle w:val="36"/>
              <w:rPr>
                <w:sz w:val="21"/>
              </w:rPr>
            </w:pPr>
            <w:r>
              <w:rPr>
                <w:sz w:val="21"/>
              </w:rPr>
              <w:t>环境管理</w:t>
            </w:r>
          </w:p>
        </w:tc>
        <w:tc>
          <w:tcPr>
            <w:tcW w:w="1836" w:type="pct"/>
            <w:tcBorders>
              <w:bottom w:val="single" w:color="auto" w:sz="4" w:space="0"/>
            </w:tcBorders>
            <w:vAlign w:val="center"/>
          </w:tcPr>
          <w:p>
            <w:pPr>
              <w:pStyle w:val="36"/>
              <w:jc w:val="left"/>
              <w:rPr>
                <w:sz w:val="21"/>
              </w:rPr>
            </w:pPr>
            <w:r>
              <w:rPr>
                <w:sz w:val="21"/>
              </w:rPr>
              <w:t>建立健全的各项安全、环境管理制度，积极落实环境风险防范措施，加强风险管理。</w:t>
            </w:r>
          </w:p>
        </w:tc>
        <w:tc>
          <w:tcPr>
            <w:tcW w:w="1851" w:type="pct"/>
            <w:tcBorders>
              <w:bottom w:val="single" w:color="auto" w:sz="4" w:space="0"/>
            </w:tcBorders>
            <w:vAlign w:val="center"/>
          </w:tcPr>
          <w:p>
            <w:pPr>
              <w:pStyle w:val="36"/>
              <w:rPr>
                <w:sz w:val="21"/>
              </w:rPr>
            </w:pPr>
            <w:r>
              <w:rPr>
                <w:sz w:val="21"/>
              </w:rPr>
              <w:t>验收落实情况</w:t>
            </w:r>
          </w:p>
        </w:tc>
      </w:tr>
    </w:tbl>
    <w:p>
      <w:pPr>
        <w:spacing w:line="360" w:lineRule="auto"/>
        <w:outlineLvl w:val="2"/>
        <w:rPr>
          <w:b/>
          <w:sz w:val="24"/>
          <w:szCs w:val="24"/>
        </w:rPr>
      </w:pPr>
      <w:bookmarkStart w:id="279" w:name="_Toc472321558"/>
      <w:bookmarkStart w:id="280" w:name="_Toc486070606"/>
      <w:r>
        <w:rPr>
          <w:b/>
          <w:sz w:val="24"/>
          <w:szCs w:val="24"/>
        </w:rPr>
        <w:t>10.3.2 建议</w:t>
      </w:r>
      <w:bookmarkEnd w:id="279"/>
      <w:bookmarkEnd w:id="280"/>
    </w:p>
    <w:p>
      <w:pPr>
        <w:spacing w:line="360" w:lineRule="auto"/>
        <w:ind w:firstLine="480" w:firstLineChars="200"/>
        <w:rPr>
          <w:sz w:val="24"/>
        </w:rPr>
      </w:pPr>
      <w:r>
        <w:rPr>
          <w:sz w:val="24"/>
        </w:rPr>
        <w:t>（1）</w:t>
      </w:r>
      <w:r>
        <w:rPr>
          <w:rFonts w:hint="eastAsia" w:ascii="宋体" w:hAnsi="宋体"/>
          <w:spacing w:val="4"/>
          <w:sz w:val="24"/>
        </w:rPr>
        <w:t>本工程建设期必须严格施工管理，实行清洁文明施工，尽力降低生态破坏，搞好围挡作业，加强局部降尘洒水，防止施工大开大挖和施工扬尘对周围环境空气的影响，同时应搞好施工期水保措施和建材的保管、堆存，防止水土流失，避免施工期水土流失对环境的影响。</w:t>
      </w:r>
    </w:p>
    <w:p>
      <w:pPr>
        <w:spacing w:line="360" w:lineRule="auto"/>
        <w:ind w:firstLine="480" w:firstLineChars="200"/>
        <w:rPr>
          <w:rFonts w:ascii="宋体" w:hAnsi="宋体"/>
          <w:spacing w:val="4"/>
          <w:sz w:val="24"/>
        </w:rPr>
      </w:pPr>
      <w:r>
        <w:rPr>
          <w:sz w:val="24"/>
        </w:rPr>
        <w:t>（2）</w:t>
      </w:r>
      <w:r>
        <w:rPr>
          <w:rFonts w:hint="eastAsia" w:ascii="宋体" w:hAnsi="宋体"/>
          <w:spacing w:val="4"/>
          <w:sz w:val="24"/>
        </w:rPr>
        <w:t>进一步加强绿化和美化设计，提高绿地率，绿化应采用乔、灌、花、草的综合立体绿化，外墙色彩应保持和周围环境的协调性和统一性，避免视觉环境污染,同时在靠近道路的校园围墙内应种植高大阔叶的乔木形绿化隔声挡尘带。</w:t>
      </w:r>
    </w:p>
    <w:p>
      <w:pPr>
        <w:spacing w:line="360" w:lineRule="auto"/>
        <w:ind w:firstLine="480" w:firstLineChars="200"/>
        <w:rPr>
          <w:sz w:val="24"/>
        </w:rPr>
      </w:pPr>
      <w:r>
        <w:rPr>
          <w:sz w:val="24"/>
        </w:rPr>
        <w:t>（3）加强工作人员的安全防范以及环境保护的意识</w:t>
      </w:r>
      <w:r>
        <w:rPr>
          <w:rFonts w:hint="eastAsia"/>
          <w:sz w:val="24"/>
        </w:rPr>
        <w:t>；</w:t>
      </w:r>
      <w:r>
        <w:rPr>
          <w:sz w:val="24"/>
        </w:rPr>
        <w:t>施工前应领取施工许可证，遵守闽侯县关于环保治理措施管理的规定，接受环保管理部门的监督。</w:t>
      </w:r>
    </w:p>
    <w:p>
      <w:pPr>
        <w:spacing w:line="360" w:lineRule="auto"/>
        <w:ind w:firstLine="480" w:firstLineChars="200"/>
        <w:rPr>
          <w:sz w:val="24"/>
        </w:rPr>
      </w:pPr>
      <w:r>
        <w:rPr>
          <w:rFonts w:hint="eastAsia"/>
          <w:sz w:val="24"/>
        </w:rPr>
        <w:t>（4）加强实验室药品及实验室产生固废管理，现有实验室管理不完善之处应对照环评要求进行改进，实验室产生的酸碱废液统一收集至中和池中处理后排放，不可随意倾倒。</w:t>
      </w:r>
    </w:p>
    <w:p>
      <w:pPr>
        <w:spacing w:line="360" w:lineRule="auto"/>
        <w:ind w:firstLine="480" w:firstLineChars="200"/>
        <w:rPr>
          <w:sz w:val="24"/>
        </w:rPr>
      </w:pPr>
      <w:r>
        <w:rPr>
          <w:sz w:val="24"/>
        </w:rPr>
        <w:t>（5）项目竣工后三个月内及时向环保部门申请环保竣工验收。</w:t>
      </w:r>
    </w:p>
    <w:p>
      <w:pPr>
        <w:spacing w:line="360" w:lineRule="auto"/>
        <w:ind w:firstLine="480" w:firstLineChars="200"/>
        <w:rPr>
          <w:sz w:val="24"/>
        </w:rPr>
      </w:pPr>
      <w:r>
        <w:rPr>
          <w:sz w:val="24"/>
        </w:rPr>
        <w:t>（6）当项目的环境影响评价文件经过批准后，若今后建设项目的性质、规模、地点、采用的防治污染、防止生态破坏的措施发生重大变动时，建设单位应当重新报批建设项目的环境影响评价文件。</w:t>
      </w:r>
    </w:p>
    <w:p>
      <w:pPr>
        <w:pStyle w:val="73"/>
        <w:rPr>
          <w:rFonts w:eastAsia="宋体"/>
        </w:rPr>
      </w:pPr>
      <w:bookmarkStart w:id="281" w:name="_Toc486070607"/>
      <w:r>
        <w:rPr>
          <w:rFonts w:eastAsia="宋体"/>
        </w:rPr>
        <w:t>10.4 总结论</w:t>
      </w:r>
      <w:bookmarkEnd w:id="281"/>
    </w:p>
    <w:p>
      <w:pPr>
        <w:spacing w:line="360" w:lineRule="auto"/>
        <w:ind w:firstLine="480" w:firstLineChars="200"/>
        <w:rPr>
          <w:sz w:val="24"/>
        </w:rPr>
      </w:pPr>
      <w:r>
        <w:rPr>
          <w:sz w:val="24"/>
        </w:rPr>
        <w:t>综上所述，闽侯六中校园扩建项目符合国家产业政策，选址可行、平面布局基本合理，符合评价区环境功能区划的要求。项目建设具有较好的社会、经济效益。项目建成后产生污染通过一系列环保措施处理，对周围环境造成影响较小，基本可以满足区域环境功能要求。因此，本评价认为，该项目的建设在采取环保措施，落实环保“三同时”制度，加强环境管理前提下，从环境保护角度分析，本项目建设是可行的。</w:t>
      </w:r>
      <w:bookmarkEnd w:id="274"/>
      <w:bookmarkEnd w:id="275"/>
    </w:p>
    <w:p>
      <w:pPr>
        <w:spacing w:line="360" w:lineRule="auto"/>
        <w:rPr>
          <w:color w:val="000000"/>
          <w:sz w:val="24"/>
        </w:rPr>
      </w:pPr>
    </w:p>
    <w:p>
      <w:pPr>
        <w:spacing w:line="360" w:lineRule="auto"/>
        <w:rPr>
          <w:sz w:val="24"/>
        </w:rPr>
      </w:pPr>
      <w:r>
        <w:br w:type="page"/>
      </w:r>
      <w:r>
        <w:rPr>
          <w:sz w:val="24"/>
        </w:rPr>
        <w:t>附件1：</w:t>
      </w:r>
      <w:r>
        <w:rPr>
          <w:sz w:val="24"/>
          <w:szCs w:val="24"/>
        </w:rPr>
        <w:t>环境影响评价委托</w:t>
      </w:r>
      <w:r>
        <w:rPr>
          <w:rFonts w:hint="eastAsia"/>
          <w:sz w:val="24"/>
          <w:szCs w:val="24"/>
        </w:rPr>
        <w:t>书</w:t>
      </w:r>
    </w:p>
    <w:p>
      <w:pPr>
        <w:spacing w:line="360" w:lineRule="auto"/>
        <w:jc w:val="center"/>
        <w:rPr>
          <w:sz w:val="24"/>
        </w:rPr>
      </w:pPr>
      <w:r>
        <w:rPr>
          <w:sz w:val="24"/>
        </w:rPr>
        <w:drawing>
          <wp:inline distT="0" distB="0" distL="0" distR="0">
            <wp:extent cx="5688330" cy="7821295"/>
            <wp:effectExtent l="0" t="0" r="0" b="0"/>
            <wp:docPr id="4" name="图片 4" descr="C:\Users\Administrator\Desktop\闽侯六中\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闽侯六中\委托书.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88330" cy="7821454"/>
                    </a:xfrm>
                    <a:prstGeom prst="rect">
                      <a:avLst/>
                    </a:prstGeom>
                    <a:noFill/>
                    <a:ln>
                      <a:noFill/>
                    </a:ln>
                  </pic:spPr>
                </pic:pic>
              </a:graphicData>
            </a:graphic>
          </wp:inline>
        </w:drawing>
      </w:r>
    </w:p>
    <w:p>
      <w:pPr>
        <w:widowControl/>
        <w:spacing w:line="360" w:lineRule="auto"/>
        <w:rPr>
          <w:sz w:val="24"/>
        </w:rPr>
      </w:pPr>
      <w:r>
        <w:rPr>
          <w:sz w:val="24"/>
        </w:rPr>
        <w:br w:type="page"/>
      </w:r>
      <w:r>
        <w:rPr>
          <w:sz w:val="24"/>
        </w:rPr>
        <w:t>附件</w:t>
      </w:r>
      <w:r>
        <w:rPr>
          <w:rFonts w:hint="eastAsia"/>
          <w:sz w:val="24"/>
        </w:rPr>
        <w:t>2</w:t>
      </w:r>
      <w:r>
        <w:rPr>
          <w:sz w:val="24"/>
        </w:rPr>
        <w:t>：</w:t>
      </w:r>
      <w:r>
        <w:rPr>
          <w:rFonts w:hint="eastAsia"/>
          <w:sz w:val="24"/>
          <w:szCs w:val="24"/>
        </w:rPr>
        <w:t>项目</w:t>
      </w:r>
      <w:r>
        <w:rPr>
          <w:sz w:val="24"/>
          <w:szCs w:val="24"/>
        </w:rPr>
        <w:t>选址意见</w:t>
      </w:r>
      <w:r>
        <w:rPr>
          <w:rFonts w:hint="eastAsia"/>
          <w:sz w:val="24"/>
          <w:szCs w:val="24"/>
        </w:rPr>
        <w:t>书</w:t>
      </w:r>
    </w:p>
    <w:p>
      <w:pPr>
        <w:widowControl/>
        <w:spacing w:line="360" w:lineRule="auto"/>
        <w:jc w:val="center"/>
        <w:rPr>
          <w:sz w:val="24"/>
        </w:rPr>
      </w:pPr>
      <w:r>
        <w:rPr>
          <w:sz w:val="24"/>
        </w:rPr>
        <w:drawing>
          <wp:inline distT="0" distB="0" distL="0" distR="0">
            <wp:extent cx="5688330" cy="7945755"/>
            <wp:effectExtent l="19050" t="0" r="7620" b="0"/>
            <wp:docPr id="14" name="图片 9" descr="D:\Documents\Tencent Files\308594949\FileRecv\MobileFile\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D:\Documents\Tencent Files\308594949\FileRecv\MobileFile\IMG_4838.JPG"/>
                    <pic:cNvPicPr>
                      <a:picLocks noChangeAspect="1" noChangeArrowheads="1"/>
                    </pic:cNvPicPr>
                  </pic:nvPicPr>
                  <pic:blipFill>
                    <a:blip r:embed="rId34" cstate="print"/>
                    <a:srcRect/>
                    <a:stretch>
                      <a:fillRect/>
                    </a:stretch>
                  </pic:blipFill>
                  <pic:spPr>
                    <a:xfrm>
                      <a:off x="0" y="0"/>
                      <a:ext cx="5688330" cy="7946188"/>
                    </a:xfrm>
                    <a:prstGeom prst="rect">
                      <a:avLst/>
                    </a:prstGeom>
                    <a:noFill/>
                    <a:ln w="9525">
                      <a:noFill/>
                      <a:miter lim="800000"/>
                      <a:headEnd/>
                      <a:tailEnd/>
                    </a:ln>
                  </pic:spPr>
                </pic:pic>
              </a:graphicData>
            </a:graphic>
          </wp:inline>
        </w:drawing>
      </w:r>
    </w:p>
    <w:p>
      <w:pPr>
        <w:widowControl/>
        <w:spacing w:line="360" w:lineRule="auto"/>
        <w:rPr>
          <w:sz w:val="24"/>
        </w:rPr>
      </w:pPr>
    </w:p>
    <w:p>
      <w:pPr>
        <w:widowControl/>
        <w:spacing w:line="360" w:lineRule="auto"/>
        <w:rPr>
          <w:sz w:val="24"/>
        </w:rPr>
      </w:pPr>
    </w:p>
    <w:p>
      <w:pPr>
        <w:tabs>
          <w:tab w:val="left" w:pos="3300"/>
        </w:tabs>
        <w:spacing w:line="520" w:lineRule="exact"/>
        <w:rPr>
          <w:sz w:val="24"/>
          <w:szCs w:val="24"/>
        </w:rPr>
      </w:pPr>
      <w:r>
        <w:rPr>
          <w:sz w:val="24"/>
          <w:szCs w:val="24"/>
        </w:rPr>
        <w:t xml:space="preserve">附件3 </w:t>
      </w:r>
      <w:r>
        <w:rPr>
          <w:rFonts w:hint="eastAsia"/>
          <w:sz w:val="24"/>
          <w:szCs w:val="24"/>
        </w:rPr>
        <w:t>闽侯县</w:t>
      </w:r>
      <w:r>
        <w:rPr>
          <w:sz w:val="24"/>
          <w:szCs w:val="24"/>
        </w:rPr>
        <w:t>人民政府专题会议纪要</w:t>
      </w:r>
    </w:p>
    <w:p>
      <w:r>
        <w:drawing>
          <wp:inline distT="0" distB="0" distL="0" distR="0">
            <wp:extent cx="4990465" cy="8314055"/>
            <wp:effectExtent l="0" t="0" r="635" b="0"/>
            <wp:docPr id="10" name="图片 10" descr="C:\Users\Administrator\Desktop\闽侯六中\项目资料\微信图片_2018050709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闽侯六中\项目资料\微信图片_20180507095815.jpg"/>
                    <pic:cNvPicPr>
                      <a:picLocks noChangeAspect="1" noChangeArrowheads="1"/>
                    </pic:cNvPicPr>
                  </pic:nvPicPr>
                  <pic:blipFill>
                    <a:blip r:embed="rId35">
                      <a:extLst>
                        <a:ext uri="{28A0092B-C50C-407E-A947-70E740481C1C}">
                          <a14:useLocalDpi xmlns:a14="http://schemas.microsoft.com/office/drawing/2010/main" val="0"/>
                        </a:ext>
                      </a:extLst>
                    </a:blip>
                    <a:srcRect t="3254" b="2989"/>
                    <a:stretch>
                      <a:fillRect/>
                    </a:stretch>
                  </pic:blipFill>
                  <pic:spPr>
                    <a:xfrm>
                      <a:off x="0" y="0"/>
                      <a:ext cx="4993072" cy="8318222"/>
                    </a:xfrm>
                    <a:prstGeom prst="rect">
                      <a:avLst/>
                    </a:prstGeom>
                    <a:noFill/>
                    <a:ln>
                      <a:noFill/>
                    </a:ln>
                  </pic:spPr>
                </pic:pic>
              </a:graphicData>
            </a:graphic>
          </wp:inline>
        </w:drawing>
      </w:r>
    </w:p>
    <w:p>
      <w:r>
        <w:drawing>
          <wp:inline distT="0" distB="0" distL="0" distR="0">
            <wp:extent cx="5562600" cy="8718550"/>
            <wp:effectExtent l="0" t="0" r="0" b="6350"/>
            <wp:docPr id="12" name="图片 12" descr="C:\Users\Administrator\Desktop\闽侯六中\项目资料\微信图片_2018050709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闽侯六中\项目资料\微信图片_20180507095819.jpg"/>
                    <pic:cNvPicPr>
                      <a:picLocks noChangeAspect="1" noChangeArrowheads="1"/>
                    </pic:cNvPicPr>
                  </pic:nvPicPr>
                  <pic:blipFill>
                    <a:blip r:embed="rId36">
                      <a:extLst>
                        <a:ext uri="{28A0092B-C50C-407E-A947-70E740481C1C}">
                          <a14:useLocalDpi xmlns:a14="http://schemas.microsoft.com/office/drawing/2010/main" val="0"/>
                        </a:ext>
                      </a:extLst>
                    </a:blip>
                    <a:srcRect t="11800"/>
                    <a:stretch>
                      <a:fillRect/>
                    </a:stretch>
                  </pic:blipFill>
                  <pic:spPr>
                    <a:xfrm>
                      <a:off x="0" y="0"/>
                      <a:ext cx="5563743" cy="8719624"/>
                    </a:xfrm>
                    <a:prstGeom prst="rect">
                      <a:avLst/>
                    </a:prstGeom>
                    <a:noFill/>
                    <a:ln>
                      <a:noFill/>
                    </a:ln>
                  </pic:spPr>
                </pic:pic>
              </a:graphicData>
            </a:graphic>
          </wp:inline>
        </w:drawing>
      </w:r>
    </w:p>
    <w:p>
      <w:r>
        <w:drawing>
          <wp:inline distT="0" distB="0" distL="0" distR="0">
            <wp:extent cx="5382260" cy="8750300"/>
            <wp:effectExtent l="0" t="0" r="8890" b="0"/>
            <wp:docPr id="15" name="图片 15" descr="C:\Users\Administrator\Desktop\闽侯六中\项目资料\微信图片_2018050709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闽侯六中\项目资料\微信图片_20180507095822.jpg"/>
                    <pic:cNvPicPr>
                      <a:picLocks noChangeAspect="1" noChangeArrowheads="1"/>
                    </pic:cNvPicPr>
                  </pic:nvPicPr>
                  <pic:blipFill>
                    <a:blip r:embed="rId37">
                      <a:extLst>
                        <a:ext uri="{28A0092B-C50C-407E-A947-70E740481C1C}">
                          <a14:useLocalDpi xmlns:a14="http://schemas.microsoft.com/office/drawing/2010/main" val="0"/>
                        </a:ext>
                      </a:extLst>
                    </a:blip>
                    <a:srcRect t="4198" b="4313"/>
                    <a:stretch>
                      <a:fillRect/>
                    </a:stretch>
                  </pic:blipFill>
                  <pic:spPr>
                    <a:xfrm>
                      <a:off x="0" y="0"/>
                      <a:ext cx="5394245" cy="8769205"/>
                    </a:xfrm>
                    <a:prstGeom prst="rect">
                      <a:avLst/>
                    </a:prstGeom>
                    <a:noFill/>
                    <a:ln>
                      <a:noFill/>
                    </a:ln>
                  </pic:spPr>
                </pic:pic>
              </a:graphicData>
            </a:graphic>
          </wp:inline>
        </w:drawing>
      </w:r>
    </w:p>
    <w:p>
      <w:pPr>
        <w:tabs>
          <w:tab w:val="left" w:pos="3300"/>
        </w:tabs>
        <w:spacing w:line="520" w:lineRule="exact"/>
        <w:rPr>
          <w:sz w:val="24"/>
          <w:szCs w:val="24"/>
        </w:rPr>
      </w:pPr>
      <w:r>
        <w:rPr>
          <w:sz w:val="24"/>
          <w:szCs w:val="24"/>
        </w:rPr>
        <w:t>附件4建设项目用地预审意见书</w:t>
      </w:r>
    </w:p>
    <w:p>
      <w:r>
        <w:drawing>
          <wp:inline distT="0" distB="0" distL="0" distR="0">
            <wp:extent cx="5156835" cy="8378190"/>
            <wp:effectExtent l="0" t="0" r="5715" b="3810"/>
            <wp:docPr id="18" name="图片 18" descr="用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用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156835" cy="8378190"/>
                    </a:xfrm>
                    <a:prstGeom prst="rect">
                      <a:avLst/>
                    </a:prstGeom>
                    <a:noFill/>
                    <a:ln>
                      <a:noFill/>
                    </a:ln>
                  </pic:spPr>
                </pic:pic>
              </a:graphicData>
            </a:graphic>
          </wp:inline>
        </w:drawing>
      </w:r>
    </w:p>
    <w:p>
      <w:pPr>
        <w:tabs>
          <w:tab w:val="left" w:pos="3300"/>
        </w:tabs>
        <w:spacing w:line="520" w:lineRule="exact"/>
        <w:rPr>
          <w:sz w:val="24"/>
          <w:szCs w:val="24"/>
        </w:rPr>
      </w:pPr>
      <w:r>
        <w:rPr>
          <w:sz w:val="24"/>
          <w:szCs w:val="24"/>
        </w:rPr>
        <w:t xml:space="preserve">附件5 </w:t>
      </w:r>
      <w:r>
        <w:rPr>
          <w:rFonts w:hint="eastAsia"/>
          <w:sz w:val="24"/>
          <w:szCs w:val="24"/>
        </w:rPr>
        <w:t>闽侯县人民政府办公室会审纪要</w:t>
      </w:r>
    </w:p>
    <w:p>
      <w:r>
        <w:drawing>
          <wp:inline distT="0" distB="0" distL="0" distR="0">
            <wp:extent cx="4990465" cy="8314055"/>
            <wp:effectExtent l="0" t="0" r="635" b="0"/>
            <wp:docPr id="19" name="图片 19" descr="C:\Users\Administrator\Desktop\闽侯六中\项目资料\微信图片_2018050709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闽侯六中\项目资料\微信图片_20180507095815.jpg"/>
                    <pic:cNvPicPr>
                      <a:picLocks noChangeAspect="1" noChangeArrowheads="1"/>
                    </pic:cNvPicPr>
                  </pic:nvPicPr>
                  <pic:blipFill>
                    <a:blip r:embed="rId35">
                      <a:extLst>
                        <a:ext uri="{28A0092B-C50C-407E-A947-70E740481C1C}">
                          <a14:useLocalDpi xmlns:a14="http://schemas.microsoft.com/office/drawing/2010/main" val="0"/>
                        </a:ext>
                      </a:extLst>
                    </a:blip>
                    <a:srcRect t="3254" b="2989"/>
                    <a:stretch>
                      <a:fillRect/>
                    </a:stretch>
                  </pic:blipFill>
                  <pic:spPr>
                    <a:xfrm>
                      <a:off x="0" y="0"/>
                      <a:ext cx="4993072" cy="8318222"/>
                    </a:xfrm>
                    <a:prstGeom prst="rect">
                      <a:avLst/>
                    </a:prstGeom>
                    <a:noFill/>
                    <a:ln>
                      <a:noFill/>
                    </a:ln>
                  </pic:spPr>
                </pic:pic>
              </a:graphicData>
            </a:graphic>
          </wp:inline>
        </w:drawing>
      </w:r>
    </w:p>
    <w:p>
      <w:r>
        <w:drawing>
          <wp:inline distT="0" distB="0" distL="0" distR="0">
            <wp:extent cx="5562600" cy="8718550"/>
            <wp:effectExtent l="0" t="0" r="0" b="6350"/>
            <wp:docPr id="20" name="图片 20" descr="C:\Users\Administrator\Desktop\闽侯六中\项目资料\微信图片_2018050709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闽侯六中\项目资料\微信图片_20180507095819.jpg"/>
                    <pic:cNvPicPr>
                      <a:picLocks noChangeAspect="1" noChangeArrowheads="1"/>
                    </pic:cNvPicPr>
                  </pic:nvPicPr>
                  <pic:blipFill>
                    <a:blip r:embed="rId36">
                      <a:extLst>
                        <a:ext uri="{28A0092B-C50C-407E-A947-70E740481C1C}">
                          <a14:useLocalDpi xmlns:a14="http://schemas.microsoft.com/office/drawing/2010/main" val="0"/>
                        </a:ext>
                      </a:extLst>
                    </a:blip>
                    <a:srcRect t="11800"/>
                    <a:stretch>
                      <a:fillRect/>
                    </a:stretch>
                  </pic:blipFill>
                  <pic:spPr>
                    <a:xfrm>
                      <a:off x="0" y="0"/>
                      <a:ext cx="5563743" cy="8719624"/>
                    </a:xfrm>
                    <a:prstGeom prst="rect">
                      <a:avLst/>
                    </a:prstGeom>
                    <a:noFill/>
                    <a:ln>
                      <a:noFill/>
                    </a:ln>
                  </pic:spPr>
                </pic:pic>
              </a:graphicData>
            </a:graphic>
          </wp:inline>
        </w:drawing>
      </w:r>
    </w:p>
    <w:p>
      <w:r>
        <w:drawing>
          <wp:inline distT="0" distB="0" distL="0" distR="0">
            <wp:extent cx="5382260" cy="8750300"/>
            <wp:effectExtent l="0" t="0" r="8890" b="0"/>
            <wp:docPr id="21" name="图片 21" descr="C:\Users\Administrator\Desktop\闽侯六中\项目资料\微信图片_2018050709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闽侯六中\项目资料\微信图片_20180507095822.jpg"/>
                    <pic:cNvPicPr>
                      <a:picLocks noChangeAspect="1" noChangeArrowheads="1"/>
                    </pic:cNvPicPr>
                  </pic:nvPicPr>
                  <pic:blipFill>
                    <a:blip r:embed="rId37">
                      <a:extLst>
                        <a:ext uri="{28A0092B-C50C-407E-A947-70E740481C1C}">
                          <a14:useLocalDpi xmlns:a14="http://schemas.microsoft.com/office/drawing/2010/main" val="0"/>
                        </a:ext>
                      </a:extLst>
                    </a:blip>
                    <a:srcRect t="4198" b="4313"/>
                    <a:stretch>
                      <a:fillRect/>
                    </a:stretch>
                  </pic:blipFill>
                  <pic:spPr>
                    <a:xfrm>
                      <a:off x="0" y="0"/>
                      <a:ext cx="5394245" cy="8769205"/>
                    </a:xfrm>
                    <a:prstGeom prst="rect">
                      <a:avLst/>
                    </a:prstGeom>
                    <a:noFill/>
                    <a:ln>
                      <a:noFill/>
                    </a:ln>
                  </pic:spPr>
                </pic:pic>
              </a:graphicData>
            </a:graphic>
          </wp:inline>
        </w:drawing>
      </w:r>
    </w:p>
    <w:p>
      <w:pPr>
        <w:tabs>
          <w:tab w:val="left" w:pos="3300"/>
        </w:tabs>
        <w:spacing w:line="520" w:lineRule="exact"/>
        <w:rPr>
          <w:sz w:val="24"/>
          <w:szCs w:val="24"/>
        </w:rPr>
      </w:pPr>
      <w:r>
        <w:rPr>
          <w:sz w:val="24"/>
          <w:szCs w:val="24"/>
        </w:rPr>
        <w:t>附件6</w:t>
      </w:r>
      <w:r>
        <w:rPr>
          <w:rFonts w:hint="eastAsia"/>
          <w:sz w:val="24"/>
          <w:szCs w:val="24"/>
        </w:rPr>
        <w:t>闽侯县发展和改革局关于可行性研究报告的复函</w:t>
      </w:r>
    </w:p>
    <w:p>
      <w:r>
        <w:drawing>
          <wp:inline distT="0" distB="0" distL="0" distR="0">
            <wp:extent cx="5300345" cy="8303895"/>
            <wp:effectExtent l="0" t="0" r="0" b="1905"/>
            <wp:docPr id="22" name="图片 22" descr="C:\Users\Administrator\Desktop\闽侯六中\项目资料\微信图片_2018050709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闽侯六中\项目资料\微信图片_20180507095838.jpg"/>
                    <pic:cNvPicPr>
                      <a:picLocks noChangeAspect="1" noChangeArrowheads="1"/>
                    </pic:cNvPicPr>
                  </pic:nvPicPr>
                  <pic:blipFill>
                    <a:blip r:embed="rId39">
                      <a:extLst>
                        <a:ext uri="{28A0092B-C50C-407E-A947-70E740481C1C}">
                          <a14:useLocalDpi xmlns:a14="http://schemas.microsoft.com/office/drawing/2010/main" val="0"/>
                        </a:ext>
                      </a:extLst>
                    </a:blip>
                    <a:srcRect t="7147" b="4691"/>
                    <a:stretch>
                      <a:fillRect/>
                    </a:stretch>
                  </pic:blipFill>
                  <pic:spPr>
                    <a:xfrm>
                      <a:off x="0" y="0"/>
                      <a:ext cx="5304605" cy="8309833"/>
                    </a:xfrm>
                    <a:prstGeom prst="rect">
                      <a:avLst/>
                    </a:prstGeom>
                    <a:noFill/>
                    <a:ln>
                      <a:noFill/>
                    </a:ln>
                  </pic:spPr>
                </pic:pic>
              </a:graphicData>
            </a:graphic>
          </wp:inline>
        </w:drawing>
      </w:r>
    </w:p>
    <w:p/>
    <w:p>
      <w:r>
        <w:drawing>
          <wp:inline distT="0" distB="0" distL="0" distR="0">
            <wp:extent cx="5387340" cy="8559165"/>
            <wp:effectExtent l="0" t="0" r="3810" b="0"/>
            <wp:docPr id="23" name="图片 23" descr="C:\Users\Administrator\Desktop\闽侯六中\项目资料\微信图片_2018050709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闽侯六中\项目资料\微信图片_20180507095841.jpg"/>
                    <pic:cNvPicPr>
                      <a:picLocks noChangeAspect="1" noChangeArrowheads="1"/>
                    </pic:cNvPicPr>
                  </pic:nvPicPr>
                  <pic:blipFill>
                    <a:blip r:embed="rId40">
                      <a:extLst>
                        <a:ext uri="{28A0092B-C50C-407E-A947-70E740481C1C}">
                          <a14:useLocalDpi xmlns:a14="http://schemas.microsoft.com/office/drawing/2010/main" val="0"/>
                        </a:ext>
                      </a:extLst>
                    </a:blip>
                    <a:srcRect t="6921" b="3670"/>
                    <a:stretch>
                      <a:fillRect/>
                    </a:stretch>
                  </pic:blipFill>
                  <pic:spPr>
                    <a:xfrm>
                      <a:off x="0" y="0"/>
                      <a:ext cx="5388096" cy="8560120"/>
                    </a:xfrm>
                    <a:prstGeom prst="rect">
                      <a:avLst/>
                    </a:prstGeom>
                    <a:noFill/>
                    <a:ln>
                      <a:noFill/>
                    </a:ln>
                  </pic:spPr>
                </pic:pic>
              </a:graphicData>
            </a:graphic>
          </wp:inline>
        </w:drawing>
      </w:r>
    </w:p>
    <w:p>
      <w:r>
        <w:drawing>
          <wp:inline distT="0" distB="0" distL="0" distR="0">
            <wp:extent cx="5473065" cy="8441690"/>
            <wp:effectExtent l="0" t="0" r="0" b="0"/>
            <wp:docPr id="24" name="图片 24" descr="C:\Users\Administrator\Desktop\闽侯六中\项目资料\微信图片_2018050709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闽侯六中\项目资料\微信图片_20180507095845.jpg"/>
                    <pic:cNvPicPr>
                      <a:picLocks noChangeAspect="1" noChangeArrowheads="1"/>
                    </pic:cNvPicPr>
                  </pic:nvPicPr>
                  <pic:blipFill>
                    <a:blip r:embed="rId41">
                      <a:extLst>
                        <a:ext uri="{28A0092B-C50C-407E-A947-70E740481C1C}">
                          <a14:useLocalDpi xmlns:a14="http://schemas.microsoft.com/office/drawing/2010/main" val="0"/>
                        </a:ext>
                      </a:extLst>
                    </a:blip>
                    <a:srcRect t="7148" b="6053"/>
                    <a:stretch>
                      <a:fillRect/>
                    </a:stretch>
                  </pic:blipFill>
                  <pic:spPr>
                    <a:xfrm>
                      <a:off x="0" y="0"/>
                      <a:ext cx="5474251" cy="8443149"/>
                    </a:xfrm>
                    <a:prstGeom prst="rect">
                      <a:avLst/>
                    </a:prstGeom>
                    <a:noFill/>
                    <a:ln>
                      <a:noFill/>
                    </a:ln>
                  </pic:spPr>
                </pic:pic>
              </a:graphicData>
            </a:graphic>
          </wp:inline>
        </w:drawing>
      </w:r>
    </w:p>
    <w:p>
      <w:pPr>
        <w:tabs>
          <w:tab w:val="left" w:pos="3300"/>
        </w:tabs>
        <w:spacing w:line="520" w:lineRule="exact"/>
        <w:rPr>
          <w:sz w:val="24"/>
          <w:szCs w:val="24"/>
        </w:rPr>
      </w:pPr>
    </w:p>
    <w:p>
      <w:pPr>
        <w:tabs>
          <w:tab w:val="left" w:pos="3300"/>
        </w:tabs>
        <w:spacing w:line="520" w:lineRule="exact"/>
        <w:rPr>
          <w:sz w:val="24"/>
          <w:szCs w:val="24"/>
        </w:rPr>
      </w:pPr>
      <w:r>
        <w:rPr>
          <w:sz w:val="24"/>
          <w:szCs w:val="24"/>
        </w:rPr>
        <w:drawing>
          <wp:anchor distT="0" distB="0" distL="114300" distR="114300" simplePos="0" relativeHeight="251719680" behindDoc="0" locked="0" layoutInCell="1" allowOverlap="1">
            <wp:simplePos x="0" y="0"/>
            <wp:positionH relativeFrom="column">
              <wp:posOffset>-3810</wp:posOffset>
            </wp:positionH>
            <wp:positionV relativeFrom="paragraph">
              <wp:posOffset>337820</wp:posOffset>
            </wp:positionV>
            <wp:extent cx="5580380" cy="7892415"/>
            <wp:effectExtent l="0" t="0" r="0" b="0"/>
            <wp:wrapTopAndBottom/>
            <wp:docPr id="26" name="图片 26" descr="C:\Users\Administrator\Desktop\闽侯六中综合楼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闽侯六中综合楼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580380" cy="7892415"/>
                    </a:xfrm>
                    <a:prstGeom prst="rect">
                      <a:avLst/>
                    </a:prstGeom>
                    <a:noFill/>
                    <a:ln>
                      <a:noFill/>
                    </a:ln>
                  </pic:spPr>
                </pic:pic>
              </a:graphicData>
            </a:graphic>
          </wp:anchor>
        </w:drawing>
      </w:r>
      <w:r>
        <w:rPr>
          <w:rFonts w:hint="eastAsia" w:ascii="宋体" w:hAnsi="宋体" w:cs="宋体"/>
          <w:sz w:val="24"/>
          <w:szCs w:val="24"/>
        </w:rPr>
        <w:t>附图</w:t>
      </w:r>
      <w:r>
        <w:rPr>
          <w:sz w:val="24"/>
          <w:szCs w:val="24"/>
        </w:rPr>
        <w:t>1</w:t>
      </w:r>
      <w:r>
        <w:rPr>
          <w:rFonts w:hint="eastAsia"/>
          <w:sz w:val="24"/>
          <w:szCs w:val="24"/>
        </w:rPr>
        <w:t>高中部综合楼</w:t>
      </w:r>
      <w:r>
        <w:rPr>
          <w:sz w:val="24"/>
          <w:szCs w:val="24"/>
        </w:rPr>
        <w:t>实验楼（</w:t>
      </w:r>
      <w:r>
        <w:rPr>
          <w:rFonts w:hint="eastAsia"/>
          <w:sz w:val="24"/>
          <w:szCs w:val="24"/>
        </w:rPr>
        <w:t>1</w:t>
      </w:r>
      <w:r>
        <w:rPr>
          <w:sz w:val="24"/>
          <w:szCs w:val="24"/>
        </w:rPr>
        <w:t>~</w:t>
      </w:r>
      <w:r>
        <w:rPr>
          <w:rFonts w:hint="eastAsia"/>
          <w:sz w:val="24"/>
          <w:szCs w:val="24"/>
        </w:rPr>
        <w:t>3</w:t>
      </w:r>
      <w:r>
        <w:rPr>
          <w:sz w:val="24"/>
          <w:szCs w:val="24"/>
        </w:rPr>
        <w:t>F平面图）</w:t>
      </w:r>
    </w:p>
    <w:p>
      <w:pPr>
        <w:tabs>
          <w:tab w:val="left" w:pos="3300"/>
        </w:tabs>
        <w:spacing w:line="520" w:lineRule="exact"/>
        <w:rPr>
          <w:sz w:val="24"/>
          <w:szCs w:val="24"/>
        </w:rPr>
      </w:pPr>
    </w:p>
    <w:p>
      <w:pPr>
        <w:tabs>
          <w:tab w:val="left" w:pos="3300"/>
        </w:tabs>
        <w:spacing w:line="520" w:lineRule="exact"/>
        <w:rPr>
          <w:sz w:val="24"/>
          <w:szCs w:val="24"/>
        </w:rPr>
      </w:pPr>
      <w:r>
        <w:rPr>
          <w:sz w:val="24"/>
          <w:szCs w:val="24"/>
        </w:rPr>
        <w:drawing>
          <wp:anchor distT="0" distB="0" distL="114300" distR="114300" simplePos="0" relativeHeight="251720704" behindDoc="0" locked="0" layoutInCell="1" allowOverlap="1">
            <wp:simplePos x="0" y="0"/>
            <wp:positionH relativeFrom="column">
              <wp:posOffset>-3810</wp:posOffset>
            </wp:positionH>
            <wp:positionV relativeFrom="paragraph">
              <wp:posOffset>90170</wp:posOffset>
            </wp:positionV>
            <wp:extent cx="5580380" cy="7892415"/>
            <wp:effectExtent l="0" t="0" r="0" b="0"/>
            <wp:wrapTopAndBottom/>
            <wp:docPr id="27" name="图片 27" descr="C:\Users\Administrator\Desktop\闽侯六中综合楼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闽侯六中综合楼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580380" cy="7892415"/>
                    </a:xfrm>
                    <a:prstGeom prst="rect">
                      <a:avLst/>
                    </a:prstGeom>
                    <a:noFill/>
                    <a:ln>
                      <a:noFill/>
                    </a:ln>
                  </pic:spPr>
                </pic:pic>
              </a:graphicData>
            </a:graphic>
          </wp:anchor>
        </w:drawing>
      </w:r>
    </w:p>
    <w:p>
      <w:pPr>
        <w:tabs>
          <w:tab w:val="left" w:pos="3300"/>
        </w:tabs>
        <w:spacing w:line="520" w:lineRule="exact"/>
        <w:rPr>
          <w:sz w:val="24"/>
          <w:szCs w:val="24"/>
        </w:rPr>
      </w:pPr>
    </w:p>
    <w:p>
      <w:pPr>
        <w:tabs>
          <w:tab w:val="left" w:pos="3300"/>
        </w:tabs>
        <w:spacing w:line="520" w:lineRule="exact"/>
        <w:rPr>
          <w:sz w:val="24"/>
          <w:szCs w:val="24"/>
        </w:rPr>
      </w:pPr>
      <w:r>
        <w:rPr>
          <w:sz w:val="24"/>
          <w:szCs w:val="24"/>
        </w:rPr>
        <w:drawing>
          <wp:anchor distT="0" distB="0" distL="114300" distR="114300" simplePos="0" relativeHeight="251721728" behindDoc="0" locked="0" layoutInCell="1" allowOverlap="1">
            <wp:simplePos x="0" y="0"/>
            <wp:positionH relativeFrom="column">
              <wp:posOffset>-3810</wp:posOffset>
            </wp:positionH>
            <wp:positionV relativeFrom="paragraph">
              <wp:posOffset>233045</wp:posOffset>
            </wp:positionV>
            <wp:extent cx="5580380" cy="7892415"/>
            <wp:effectExtent l="0" t="0" r="0" b="0"/>
            <wp:wrapTopAndBottom/>
            <wp:docPr id="28" name="图片 28" descr="C:\Users\Administrator\Desktop\闽侯六中综合楼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闽侯六中综合楼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580380" cy="7892415"/>
                    </a:xfrm>
                    <a:prstGeom prst="rect">
                      <a:avLst/>
                    </a:prstGeom>
                    <a:noFill/>
                    <a:ln>
                      <a:noFill/>
                    </a:ln>
                  </pic:spPr>
                </pic:pic>
              </a:graphicData>
            </a:graphic>
          </wp:anchor>
        </w:drawing>
      </w:r>
    </w:p>
    <w:p>
      <w:pPr>
        <w:tabs>
          <w:tab w:val="left" w:pos="3300"/>
        </w:tabs>
        <w:spacing w:line="520" w:lineRule="exact"/>
        <w:rPr>
          <w:sz w:val="24"/>
          <w:szCs w:val="24"/>
        </w:rPr>
      </w:pPr>
    </w:p>
    <w:p>
      <w:pPr>
        <w:widowControl/>
        <w:spacing w:line="360" w:lineRule="auto"/>
        <w:rPr>
          <w:sz w:val="24"/>
        </w:rPr>
      </w:pPr>
      <w:r>
        <w:rPr>
          <w:sz w:val="24"/>
          <w:szCs w:val="24"/>
        </w:rPr>
        <w:t>附图2</w:t>
      </w:r>
      <w:r>
        <w:rPr>
          <w:sz w:val="24"/>
        </w:rPr>
        <w:t>地下室平面图</w:t>
      </w:r>
      <w:r>
        <w:rPr>
          <w:sz w:val="24"/>
          <w:szCs w:val="24"/>
        </w:rPr>
        <w:t>（</w:t>
      </w:r>
      <w:r>
        <w:rPr>
          <w:rFonts w:hint="eastAsia"/>
          <w:sz w:val="24"/>
          <w:szCs w:val="24"/>
        </w:rPr>
        <w:t>-1</w:t>
      </w:r>
      <w:r>
        <w:rPr>
          <w:sz w:val="24"/>
          <w:szCs w:val="24"/>
        </w:rPr>
        <w:t>~</w:t>
      </w:r>
      <w:r>
        <w:rPr>
          <w:rFonts w:hint="eastAsia"/>
          <w:sz w:val="24"/>
          <w:szCs w:val="24"/>
        </w:rPr>
        <w:t>-2</w:t>
      </w:r>
      <w:r>
        <w:rPr>
          <w:sz w:val="24"/>
          <w:szCs w:val="24"/>
        </w:rPr>
        <w:t>F平面图）</w:t>
      </w:r>
    </w:p>
    <w:p>
      <w:pPr>
        <w:widowControl/>
        <w:spacing w:line="360" w:lineRule="auto"/>
        <w:rPr>
          <w:sz w:val="24"/>
        </w:rPr>
      </w:pPr>
      <w:r>
        <w:rPr>
          <w:sz w:val="24"/>
        </w:rPr>
        <w:drawing>
          <wp:inline distT="0" distB="0" distL="0" distR="0">
            <wp:extent cx="5580380" cy="7892415"/>
            <wp:effectExtent l="0" t="0" r="0" b="0"/>
            <wp:docPr id="29" name="图片 29" descr="C:\Users\Administrator\Desktop\闽侯六中综合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闽侯六中综合楼-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580380" cy="7892653"/>
                    </a:xfrm>
                    <a:prstGeom prst="rect">
                      <a:avLst/>
                    </a:prstGeom>
                    <a:noFill/>
                    <a:ln>
                      <a:noFill/>
                    </a:ln>
                  </pic:spPr>
                </pic:pic>
              </a:graphicData>
            </a:graphic>
          </wp:inline>
        </w:drawing>
      </w:r>
    </w:p>
    <w:p>
      <w:pPr>
        <w:widowControl/>
        <w:spacing w:line="360" w:lineRule="auto"/>
        <w:rPr>
          <w:sz w:val="24"/>
        </w:rPr>
      </w:pPr>
    </w:p>
    <w:p>
      <w:pPr>
        <w:widowControl/>
        <w:spacing w:line="360" w:lineRule="auto"/>
        <w:rPr>
          <w:sz w:val="24"/>
        </w:rPr>
      </w:pPr>
    </w:p>
    <w:p>
      <w:pPr>
        <w:widowControl/>
        <w:spacing w:line="360" w:lineRule="auto"/>
        <w:rPr>
          <w:sz w:val="24"/>
        </w:rPr>
      </w:pPr>
      <w:r>
        <w:rPr>
          <w:sz w:val="24"/>
        </w:rPr>
        <w:drawing>
          <wp:inline distT="0" distB="0" distL="0" distR="0">
            <wp:extent cx="5580380" cy="7892415"/>
            <wp:effectExtent l="0" t="0" r="0" b="0"/>
            <wp:docPr id="30" name="图片 30" descr="C:\Users\Administrator\Desktop\闽侯六中综合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闽侯六中综合楼-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580380" cy="7892653"/>
                    </a:xfrm>
                    <a:prstGeom prst="rect">
                      <a:avLst/>
                    </a:prstGeom>
                    <a:noFill/>
                    <a:ln>
                      <a:noFill/>
                    </a:ln>
                  </pic:spPr>
                </pic:pic>
              </a:graphicData>
            </a:graphic>
          </wp:inline>
        </w:drawing>
      </w:r>
    </w:p>
    <w:p>
      <w:pPr>
        <w:widowControl/>
        <w:spacing w:line="360" w:lineRule="auto"/>
        <w:rPr>
          <w:sz w:val="24"/>
        </w:rPr>
      </w:pPr>
    </w:p>
    <w:sectPr>
      <w:pgSz w:w="11907" w:h="16839"/>
      <w:pgMar w:top="1418" w:right="1418" w:bottom="1418" w:left="170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imesNewRomanPSMT">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2094783"/>
      <w:docPartObj>
        <w:docPartGallery w:val="AutoText"/>
      </w:docPartObj>
    </w:sdtPr>
    <w:sdtContent>
      <w:p>
        <w:pPr>
          <w:pStyle w:val="16"/>
          <w:jc w:val="center"/>
        </w:pPr>
        <w:r>
          <w:fldChar w:fldCharType="begin"/>
        </w:r>
        <w:r>
          <w:instrText xml:space="preserve">PAGE   \* MERGEFORMAT</w:instrText>
        </w:r>
        <w:r>
          <w:fldChar w:fldCharType="separate"/>
        </w:r>
        <w:r>
          <w:rPr>
            <w:lang w:val="zh-CN"/>
          </w:rPr>
          <w:t>-</w:t>
        </w:r>
        <w:r>
          <w:t xml:space="preserve"> 2 -</w:t>
        </w:r>
        <w:r>
          <w:fldChar w:fldCharType="end"/>
        </w:r>
      </w:p>
    </w:sdtContent>
  </w:sdt>
  <w:p>
    <w:pPr>
      <w:pStyle w:val="1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7"/>
      </w:rPr>
    </w:pPr>
    <w:r>
      <w:fldChar w:fldCharType="begin"/>
    </w:r>
    <w:r>
      <w:rPr>
        <w:rStyle w:val="27"/>
      </w:rPr>
      <w:instrText xml:space="preserve">PAGE  </w:instrText>
    </w:r>
    <w:r>
      <w:fldChar w:fldCharType="end"/>
    </w:r>
  </w:p>
  <w:p>
    <w:pPr>
      <w:pStyle w:val="1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6055E"/>
    <w:multiLevelType w:val="singleLevel"/>
    <w:tmpl w:val="9CD6055E"/>
    <w:lvl w:ilvl="0" w:tentative="0">
      <w:start w:val="1"/>
      <w:numFmt w:val="decimal"/>
      <w:suff w:val="nothing"/>
      <w:lvlText w:val="%1、"/>
      <w:lvlJc w:val="left"/>
    </w:lvl>
  </w:abstractNum>
  <w:abstractNum w:abstractNumId="1">
    <w:nsid w:val="638B1CF7"/>
    <w:multiLevelType w:val="multilevel"/>
    <w:tmpl w:val="638B1CF7"/>
    <w:lvl w:ilvl="0" w:tentative="0">
      <w:start w:val="1"/>
      <w:numFmt w:val="bullet"/>
      <w:lvlText w:val=""/>
      <w:lvlJc w:val="left"/>
      <w:pPr>
        <w:ind w:left="947" w:hanging="420"/>
      </w:pPr>
      <w:rPr>
        <w:rFonts w:hint="default" w:ascii="Wingdings" w:hAnsi="Wingdings"/>
      </w:rPr>
    </w:lvl>
    <w:lvl w:ilvl="1" w:tentative="0">
      <w:start w:val="1"/>
      <w:numFmt w:val="bullet"/>
      <w:lvlText w:val=""/>
      <w:lvlJc w:val="left"/>
      <w:pPr>
        <w:ind w:left="1367" w:hanging="420"/>
      </w:pPr>
      <w:rPr>
        <w:rFonts w:hint="default" w:ascii="Wingdings" w:hAnsi="Wingdings"/>
      </w:rPr>
    </w:lvl>
    <w:lvl w:ilvl="2" w:tentative="0">
      <w:start w:val="1"/>
      <w:numFmt w:val="bullet"/>
      <w:lvlText w:val=""/>
      <w:lvlJc w:val="left"/>
      <w:pPr>
        <w:ind w:left="1787" w:hanging="420"/>
      </w:pPr>
      <w:rPr>
        <w:rFonts w:hint="default" w:ascii="Wingdings" w:hAnsi="Wingdings"/>
      </w:rPr>
    </w:lvl>
    <w:lvl w:ilvl="3" w:tentative="0">
      <w:start w:val="1"/>
      <w:numFmt w:val="bullet"/>
      <w:lvlText w:val=""/>
      <w:lvlJc w:val="left"/>
      <w:pPr>
        <w:ind w:left="2207" w:hanging="420"/>
      </w:pPr>
      <w:rPr>
        <w:rFonts w:hint="default" w:ascii="Wingdings" w:hAnsi="Wingdings"/>
      </w:rPr>
    </w:lvl>
    <w:lvl w:ilvl="4" w:tentative="0">
      <w:start w:val="1"/>
      <w:numFmt w:val="bullet"/>
      <w:lvlText w:val=""/>
      <w:lvlJc w:val="left"/>
      <w:pPr>
        <w:ind w:left="2627" w:hanging="420"/>
      </w:pPr>
      <w:rPr>
        <w:rFonts w:hint="default" w:ascii="Wingdings" w:hAnsi="Wingdings"/>
      </w:rPr>
    </w:lvl>
    <w:lvl w:ilvl="5" w:tentative="0">
      <w:start w:val="1"/>
      <w:numFmt w:val="bullet"/>
      <w:lvlText w:val=""/>
      <w:lvlJc w:val="left"/>
      <w:pPr>
        <w:ind w:left="3047" w:hanging="420"/>
      </w:pPr>
      <w:rPr>
        <w:rFonts w:hint="default" w:ascii="Wingdings" w:hAnsi="Wingdings"/>
      </w:rPr>
    </w:lvl>
    <w:lvl w:ilvl="6" w:tentative="0">
      <w:start w:val="1"/>
      <w:numFmt w:val="bullet"/>
      <w:lvlText w:val=""/>
      <w:lvlJc w:val="left"/>
      <w:pPr>
        <w:ind w:left="3467" w:hanging="420"/>
      </w:pPr>
      <w:rPr>
        <w:rFonts w:hint="default" w:ascii="Wingdings" w:hAnsi="Wingdings"/>
      </w:rPr>
    </w:lvl>
    <w:lvl w:ilvl="7" w:tentative="0">
      <w:start w:val="1"/>
      <w:numFmt w:val="bullet"/>
      <w:lvlText w:val=""/>
      <w:lvlJc w:val="left"/>
      <w:pPr>
        <w:ind w:left="3887" w:hanging="420"/>
      </w:pPr>
      <w:rPr>
        <w:rFonts w:hint="default" w:ascii="Wingdings" w:hAnsi="Wingdings"/>
      </w:rPr>
    </w:lvl>
    <w:lvl w:ilvl="8" w:tentative="0">
      <w:start w:val="1"/>
      <w:numFmt w:val="bullet"/>
      <w:lvlText w:val=""/>
      <w:lvlJc w:val="left"/>
      <w:pPr>
        <w:ind w:left="4307"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30F"/>
    <w:rsid w:val="000018FA"/>
    <w:rsid w:val="0000201D"/>
    <w:rsid w:val="0000271E"/>
    <w:rsid w:val="000029C9"/>
    <w:rsid w:val="00004A93"/>
    <w:rsid w:val="00004F75"/>
    <w:rsid w:val="0000546A"/>
    <w:rsid w:val="00005A8A"/>
    <w:rsid w:val="00005D93"/>
    <w:rsid w:val="000076BC"/>
    <w:rsid w:val="00010997"/>
    <w:rsid w:val="00014082"/>
    <w:rsid w:val="00015CC1"/>
    <w:rsid w:val="00017F45"/>
    <w:rsid w:val="000205BD"/>
    <w:rsid w:val="000217A9"/>
    <w:rsid w:val="00021DA5"/>
    <w:rsid w:val="00023261"/>
    <w:rsid w:val="00023565"/>
    <w:rsid w:val="00023607"/>
    <w:rsid w:val="0002380E"/>
    <w:rsid w:val="000240FF"/>
    <w:rsid w:val="00024C3A"/>
    <w:rsid w:val="00025DB3"/>
    <w:rsid w:val="00027B00"/>
    <w:rsid w:val="000307BA"/>
    <w:rsid w:val="000321F3"/>
    <w:rsid w:val="000332A1"/>
    <w:rsid w:val="00034AA5"/>
    <w:rsid w:val="000370BA"/>
    <w:rsid w:val="000403ED"/>
    <w:rsid w:val="0004111B"/>
    <w:rsid w:val="00041148"/>
    <w:rsid w:val="0004263E"/>
    <w:rsid w:val="00043D89"/>
    <w:rsid w:val="00043F04"/>
    <w:rsid w:val="0004632C"/>
    <w:rsid w:val="00046C75"/>
    <w:rsid w:val="000508EE"/>
    <w:rsid w:val="000520FA"/>
    <w:rsid w:val="00054433"/>
    <w:rsid w:val="000549EB"/>
    <w:rsid w:val="00056D32"/>
    <w:rsid w:val="00057E4D"/>
    <w:rsid w:val="00060CBC"/>
    <w:rsid w:val="00063565"/>
    <w:rsid w:val="00063CF1"/>
    <w:rsid w:val="00064B17"/>
    <w:rsid w:val="00065DC7"/>
    <w:rsid w:val="00066B0E"/>
    <w:rsid w:val="00067EAF"/>
    <w:rsid w:val="0007186C"/>
    <w:rsid w:val="0007281A"/>
    <w:rsid w:val="0007296C"/>
    <w:rsid w:val="0007299E"/>
    <w:rsid w:val="000733A4"/>
    <w:rsid w:val="00073880"/>
    <w:rsid w:val="000753DB"/>
    <w:rsid w:val="000756D2"/>
    <w:rsid w:val="00076249"/>
    <w:rsid w:val="00080051"/>
    <w:rsid w:val="00081564"/>
    <w:rsid w:val="00081BFD"/>
    <w:rsid w:val="00081DA7"/>
    <w:rsid w:val="00086069"/>
    <w:rsid w:val="000868D1"/>
    <w:rsid w:val="00087A00"/>
    <w:rsid w:val="00090440"/>
    <w:rsid w:val="00090797"/>
    <w:rsid w:val="0009199C"/>
    <w:rsid w:val="00095702"/>
    <w:rsid w:val="00096F34"/>
    <w:rsid w:val="00097BC0"/>
    <w:rsid w:val="000A33C4"/>
    <w:rsid w:val="000A5B18"/>
    <w:rsid w:val="000A679A"/>
    <w:rsid w:val="000A6DA1"/>
    <w:rsid w:val="000A7FEB"/>
    <w:rsid w:val="000B3967"/>
    <w:rsid w:val="000B5CF9"/>
    <w:rsid w:val="000B617D"/>
    <w:rsid w:val="000B7E70"/>
    <w:rsid w:val="000C1059"/>
    <w:rsid w:val="000C1DC9"/>
    <w:rsid w:val="000C2514"/>
    <w:rsid w:val="000C3C22"/>
    <w:rsid w:val="000C4087"/>
    <w:rsid w:val="000C51A8"/>
    <w:rsid w:val="000C5B2A"/>
    <w:rsid w:val="000C75A7"/>
    <w:rsid w:val="000D0063"/>
    <w:rsid w:val="000D17BD"/>
    <w:rsid w:val="000D29A0"/>
    <w:rsid w:val="000D3253"/>
    <w:rsid w:val="000D4ED6"/>
    <w:rsid w:val="000D5A34"/>
    <w:rsid w:val="000E0004"/>
    <w:rsid w:val="000E0637"/>
    <w:rsid w:val="000E1681"/>
    <w:rsid w:val="000E35E5"/>
    <w:rsid w:val="000E38EE"/>
    <w:rsid w:val="000E53BD"/>
    <w:rsid w:val="000E55C2"/>
    <w:rsid w:val="000E662C"/>
    <w:rsid w:val="000F0414"/>
    <w:rsid w:val="000F05E7"/>
    <w:rsid w:val="000F0B9E"/>
    <w:rsid w:val="000F271F"/>
    <w:rsid w:val="000F5A5D"/>
    <w:rsid w:val="000F5AED"/>
    <w:rsid w:val="000F5DCC"/>
    <w:rsid w:val="000F6710"/>
    <w:rsid w:val="000F69AF"/>
    <w:rsid w:val="00100072"/>
    <w:rsid w:val="001008D7"/>
    <w:rsid w:val="0010141D"/>
    <w:rsid w:val="00102384"/>
    <w:rsid w:val="0010355A"/>
    <w:rsid w:val="00103581"/>
    <w:rsid w:val="00105864"/>
    <w:rsid w:val="00107828"/>
    <w:rsid w:val="001128C7"/>
    <w:rsid w:val="0011360D"/>
    <w:rsid w:val="001147BD"/>
    <w:rsid w:val="00114CAF"/>
    <w:rsid w:val="00114D70"/>
    <w:rsid w:val="00117380"/>
    <w:rsid w:val="00117BF2"/>
    <w:rsid w:val="00120652"/>
    <w:rsid w:val="00122E4E"/>
    <w:rsid w:val="00124AEB"/>
    <w:rsid w:val="001301C1"/>
    <w:rsid w:val="0013328B"/>
    <w:rsid w:val="00133ED7"/>
    <w:rsid w:val="00134A63"/>
    <w:rsid w:val="001354DA"/>
    <w:rsid w:val="00136076"/>
    <w:rsid w:val="00137063"/>
    <w:rsid w:val="00137CB8"/>
    <w:rsid w:val="001404BE"/>
    <w:rsid w:val="00140960"/>
    <w:rsid w:val="00140E87"/>
    <w:rsid w:val="0014489D"/>
    <w:rsid w:val="0014519E"/>
    <w:rsid w:val="001457D1"/>
    <w:rsid w:val="001463D6"/>
    <w:rsid w:val="001471E2"/>
    <w:rsid w:val="0014762C"/>
    <w:rsid w:val="00147ECB"/>
    <w:rsid w:val="00150A62"/>
    <w:rsid w:val="00150FA4"/>
    <w:rsid w:val="001512DD"/>
    <w:rsid w:val="00151A47"/>
    <w:rsid w:val="00153FD8"/>
    <w:rsid w:val="00154551"/>
    <w:rsid w:val="00154E94"/>
    <w:rsid w:val="00156B60"/>
    <w:rsid w:val="00156DFF"/>
    <w:rsid w:val="001608AD"/>
    <w:rsid w:val="00163B4B"/>
    <w:rsid w:val="00164AA9"/>
    <w:rsid w:val="00165044"/>
    <w:rsid w:val="00165B05"/>
    <w:rsid w:val="00165BC3"/>
    <w:rsid w:val="00167834"/>
    <w:rsid w:val="001679E4"/>
    <w:rsid w:val="00167FBC"/>
    <w:rsid w:val="00172A27"/>
    <w:rsid w:val="00174238"/>
    <w:rsid w:val="00174494"/>
    <w:rsid w:val="001751BD"/>
    <w:rsid w:val="001769C2"/>
    <w:rsid w:val="0018084F"/>
    <w:rsid w:val="00180B93"/>
    <w:rsid w:val="00181B70"/>
    <w:rsid w:val="0018210E"/>
    <w:rsid w:val="00182E62"/>
    <w:rsid w:val="00183971"/>
    <w:rsid w:val="001844B1"/>
    <w:rsid w:val="00187B53"/>
    <w:rsid w:val="00191E2B"/>
    <w:rsid w:val="001928E6"/>
    <w:rsid w:val="00194340"/>
    <w:rsid w:val="001A132C"/>
    <w:rsid w:val="001A16AD"/>
    <w:rsid w:val="001A25A9"/>
    <w:rsid w:val="001A3EC4"/>
    <w:rsid w:val="001A4B41"/>
    <w:rsid w:val="001A4D0D"/>
    <w:rsid w:val="001A54DD"/>
    <w:rsid w:val="001A7C14"/>
    <w:rsid w:val="001B11FD"/>
    <w:rsid w:val="001B182E"/>
    <w:rsid w:val="001B1EF7"/>
    <w:rsid w:val="001B4CAF"/>
    <w:rsid w:val="001B5866"/>
    <w:rsid w:val="001B6122"/>
    <w:rsid w:val="001B7E2A"/>
    <w:rsid w:val="001C007F"/>
    <w:rsid w:val="001C01D2"/>
    <w:rsid w:val="001C573E"/>
    <w:rsid w:val="001C7569"/>
    <w:rsid w:val="001C7822"/>
    <w:rsid w:val="001C7BC3"/>
    <w:rsid w:val="001D0847"/>
    <w:rsid w:val="001D0B81"/>
    <w:rsid w:val="001D4BC7"/>
    <w:rsid w:val="001D5C4F"/>
    <w:rsid w:val="001D694C"/>
    <w:rsid w:val="001E097C"/>
    <w:rsid w:val="001E5738"/>
    <w:rsid w:val="001E68E4"/>
    <w:rsid w:val="001F0522"/>
    <w:rsid w:val="001F13E1"/>
    <w:rsid w:val="001F1D2F"/>
    <w:rsid w:val="001F24CD"/>
    <w:rsid w:val="001F265D"/>
    <w:rsid w:val="001F315A"/>
    <w:rsid w:val="001F3406"/>
    <w:rsid w:val="002003BA"/>
    <w:rsid w:val="00201008"/>
    <w:rsid w:val="0020202F"/>
    <w:rsid w:val="002022B3"/>
    <w:rsid w:val="002030B8"/>
    <w:rsid w:val="00204656"/>
    <w:rsid w:val="00205FDC"/>
    <w:rsid w:val="00206BA4"/>
    <w:rsid w:val="00206E48"/>
    <w:rsid w:val="00212780"/>
    <w:rsid w:val="00213AB2"/>
    <w:rsid w:val="0021437D"/>
    <w:rsid w:val="0021537D"/>
    <w:rsid w:val="002153B3"/>
    <w:rsid w:val="00217068"/>
    <w:rsid w:val="00217CDF"/>
    <w:rsid w:val="00217EF8"/>
    <w:rsid w:val="00221781"/>
    <w:rsid w:val="00221C94"/>
    <w:rsid w:val="002223E3"/>
    <w:rsid w:val="0022293F"/>
    <w:rsid w:val="00222A04"/>
    <w:rsid w:val="002239F8"/>
    <w:rsid w:val="002249DD"/>
    <w:rsid w:val="0022799C"/>
    <w:rsid w:val="00230371"/>
    <w:rsid w:val="0023119A"/>
    <w:rsid w:val="00231558"/>
    <w:rsid w:val="00231BF7"/>
    <w:rsid w:val="002324C6"/>
    <w:rsid w:val="00235F40"/>
    <w:rsid w:val="00240B40"/>
    <w:rsid w:val="0024392D"/>
    <w:rsid w:val="002469C5"/>
    <w:rsid w:val="00247ABA"/>
    <w:rsid w:val="00247F9C"/>
    <w:rsid w:val="00250765"/>
    <w:rsid w:val="002517B3"/>
    <w:rsid w:val="002522F9"/>
    <w:rsid w:val="002531A6"/>
    <w:rsid w:val="002550B2"/>
    <w:rsid w:val="00255D92"/>
    <w:rsid w:val="00260B66"/>
    <w:rsid w:val="002617EC"/>
    <w:rsid w:val="00263A9F"/>
    <w:rsid w:val="00263EE3"/>
    <w:rsid w:val="00264E85"/>
    <w:rsid w:val="00264F33"/>
    <w:rsid w:val="00267350"/>
    <w:rsid w:val="0026759F"/>
    <w:rsid w:val="00267E7A"/>
    <w:rsid w:val="002709B7"/>
    <w:rsid w:val="00270C75"/>
    <w:rsid w:val="00271079"/>
    <w:rsid w:val="002718F6"/>
    <w:rsid w:val="002767BE"/>
    <w:rsid w:val="0028392A"/>
    <w:rsid w:val="0028422B"/>
    <w:rsid w:val="00284A4B"/>
    <w:rsid w:val="00286D10"/>
    <w:rsid w:val="00287146"/>
    <w:rsid w:val="002875F4"/>
    <w:rsid w:val="00291433"/>
    <w:rsid w:val="002920E9"/>
    <w:rsid w:val="002926BA"/>
    <w:rsid w:val="00294EF8"/>
    <w:rsid w:val="00295DDE"/>
    <w:rsid w:val="00295EE9"/>
    <w:rsid w:val="00296205"/>
    <w:rsid w:val="002967A5"/>
    <w:rsid w:val="0029684E"/>
    <w:rsid w:val="002A174A"/>
    <w:rsid w:val="002A285F"/>
    <w:rsid w:val="002B0F4B"/>
    <w:rsid w:val="002B1F9D"/>
    <w:rsid w:val="002B3BF4"/>
    <w:rsid w:val="002B410D"/>
    <w:rsid w:val="002B4AAD"/>
    <w:rsid w:val="002B5374"/>
    <w:rsid w:val="002C13C3"/>
    <w:rsid w:val="002C2D40"/>
    <w:rsid w:val="002C2E15"/>
    <w:rsid w:val="002C46F2"/>
    <w:rsid w:val="002C650F"/>
    <w:rsid w:val="002C716C"/>
    <w:rsid w:val="002D056D"/>
    <w:rsid w:val="002D0876"/>
    <w:rsid w:val="002D18E1"/>
    <w:rsid w:val="002D21A4"/>
    <w:rsid w:val="002D44CC"/>
    <w:rsid w:val="002D4A1D"/>
    <w:rsid w:val="002D5605"/>
    <w:rsid w:val="002D57F9"/>
    <w:rsid w:val="002D6FB0"/>
    <w:rsid w:val="002D7A79"/>
    <w:rsid w:val="002E0880"/>
    <w:rsid w:val="002E1863"/>
    <w:rsid w:val="002E199D"/>
    <w:rsid w:val="002E21C8"/>
    <w:rsid w:val="002E281D"/>
    <w:rsid w:val="002E323A"/>
    <w:rsid w:val="002E3430"/>
    <w:rsid w:val="002E7D27"/>
    <w:rsid w:val="002F24D7"/>
    <w:rsid w:val="002F286B"/>
    <w:rsid w:val="002F4187"/>
    <w:rsid w:val="002F47D2"/>
    <w:rsid w:val="002F64DE"/>
    <w:rsid w:val="00300018"/>
    <w:rsid w:val="003024E4"/>
    <w:rsid w:val="0030252C"/>
    <w:rsid w:val="00302DFC"/>
    <w:rsid w:val="00305DDE"/>
    <w:rsid w:val="00305E55"/>
    <w:rsid w:val="00307AF3"/>
    <w:rsid w:val="00311C70"/>
    <w:rsid w:val="00315788"/>
    <w:rsid w:val="00320CD3"/>
    <w:rsid w:val="003214D4"/>
    <w:rsid w:val="00321F22"/>
    <w:rsid w:val="00322CE2"/>
    <w:rsid w:val="003262A6"/>
    <w:rsid w:val="003276AC"/>
    <w:rsid w:val="00332B80"/>
    <w:rsid w:val="00333C85"/>
    <w:rsid w:val="00336CDC"/>
    <w:rsid w:val="00337563"/>
    <w:rsid w:val="00341CDB"/>
    <w:rsid w:val="003422AB"/>
    <w:rsid w:val="003430A2"/>
    <w:rsid w:val="003435A3"/>
    <w:rsid w:val="00343B23"/>
    <w:rsid w:val="00343DE3"/>
    <w:rsid w:val="00343EFD"/>
    <w:rsid w:val="0034517E"/>
    <w:rsid w:val="00347C29"/>
    <w:rsid w:val="003502F0"/>
    <w:rsid w:val="00350961"/>
    <w:rsid w:val="0035149A"/>
    <w:rsid w:val="0035154B"/>
    <w:rsid w:val="003539E9"/>
    <w:rsid w:val="0035407F"/>
    <w:rsid w:val="00354E35"/>
    <w:rsid w:val="00357FF6"/>
    <w:rsid w:val="00360E63"/>
    <w:rsid w:val="00362766"/>
    <w:rsid w:val="00362BDE"/>
    <w:rsid w:val="00363D33"/>
    <w:rsid w:val="00364AAF"/>
    <w:rsid w:val="00366DC4"/>
    <w:rsid w:val="0036771B"/>
    <w:rsid w:val="00370023"/>
    <w:rsid w:val="00370C77"/>
    <w:rsid w:val="003716EB"/>
    <w:rsid w:val="00372AD7"/>
    <w:rsid w:val="00372B0C"/>
    <w:rsid w:val="003747A5"/>
    <w:rsid w:val="00376A0D"/>
    <w:rsid w:val="00376E06"/>
    <w:rsid w:val="00376FD3"/>
    <w:rsid w:val="00381E35"/>
    <w:rsid w:val="00382DE0"/>
    <w:rsid w:val="00383C91"/>
    <w:rsid w:val="00385EB8"/>
    <w:rsid w:val="00386269"/>
    <w:rsid w:val="00386941"/>
    <w:rsid w:val="00386B2A"/>
    <w:rsid w:val="00387149"/>
    <w:rsid w:val="00391507"/>
    <w:rsid w:val="00391DC3"/>
    <w:rsid w:val="003920EE"/>
    <w:rsid w:val="0039315B"/>
    <w:rsid w:val="00393EC8"/>
    <w:rsid w:val="0039457E"/>
    <w:rsid w:val="003A1C3E"/>
    <w:rsid w:val="003A6603"/>
    <w:rsid w:val="003A7F54"/>
    <w:rsid w:val="003A7FFB"/>
    <w:rsid w:val="003B040E"/>
    <w:rsid w:val="003B1942"/>
    <w:rsid w:val="003B2FD7"/>
    <w:rsid w:val="003B4AF3"/>
    <w:rsid w:val="003B51AA"/>
    <w:rsid w:val="003C2203"/>
    <w:rsid w:val="003C3287"/>
    <w:rsid w:val="003C3A24"/>
    <w:rsid w:val="003C5422"/>
    <w:rsid w:val="003C67F7"/>
    <w:rsid w:val="003C74FA"/>
    <w:rsid w:val="003C7647"/>
    <w:rsid w:val="003D2E28"/>
    <w:rsid w:val="003D4104"/>
    <w:rsid w:val="003D57F8"/>
    <w:rsid w:val="003D6BA7"/>
    <w:rsid w:val="003E007C"/>
    <w:rsid w:val="003E0CD8"/>
    <w:rsid w:val="003E1A96"/>
    <w:rsid w:val="003E2A8F"/>
    <w:rsid w:val="003E4783"/>
    <w:rsid w:val="003E58F8"/>
    <w:rsid w:val="003E69DE"/>
    <w:rsid w:val="003F100B"/>
    <w:rsid w:val="003F1E1E"/>
    <w:rsid w:val="003F4183"/>
    <w:rsid w:val="003F41BD"/>
    <w:rsid w:val="003F4762"/>
    <w:rsid w:val="003F562E"/>
    <w:rsid w:val="003F6C38"/>
    <w:rsid w:val="00400C8A"/>
    <w:rsid w:val="00400E18"/>
    <w:rsid w:val="0040137A"/>
    <w:rsid w:val="00402820"/>
    <w:rsid w:val="00403100"/>
    <w:rsid w:val="004039E2"/>
    <w:rsid w:val="00404A86"/>
    <w:rsid w:val="0040547F"/>
    <w:rsid w:val="00406DFA"/>
    <w:rsid w:val="00410B73"/>
    <w:rsid w:val="004110B8"/>
    <w:rsid w:val="00412BD2"/>
    <w:rsid w:val="00415033"/>
    <w:rsid w:val="00415141"/>
    <w:rsid w:val="004174F4"/>
    <w:rsid w:val="00420E8A"/>
    <w:rsid w:val="00422A1B"/>
    <w:rsid w:val="00422B3D"/>
    <w:rsid w:val="0042362B"/>
    <w:rsid w:val="004239BA"/>
    <w:rsid w:val="00424416"/>
    <w:rsid w:val="00425E3F"/>
    <w:rsid w:val="0042652B"/>
    <w:rsid w:val="00426ED6"/>
    <w:rsid w:val="0043000E"/>
    <w:rsid w:val="00430122"/>
    <w:rsid w:val="00431A3E"/>
    <w:rsid w:val="00435C4C"/>
    <w:rsid w:val="00441311"/>
    <w:rsid w:val="00445E22"/>
    <w:rsid w:val="004502B6"/>
    <w:rsid w:val="00451393"/>
    <w:rsid w:val="00452ABC"/>
    <w:rsid w:val="00453205"/>
    <w:rsid w:val="00453C95"/>
    <w:rsid w:val="0045407A"/>
    <w:rsid w:val="004541A2"/>
    <w:rsid w:val="00456E9E"/>
    <w:rsid w:val="00457715"/>
    <w:rsid w:val="004600C2"/>
    <w:rsid w:val="004627D9"/>
    <w:rsid w:val="00465498"/>
    <w:rsid w:val="00465757"/>
    <w:rsid w:val="004662E1"/>
    <w:rsid w:val="00470072"/>
    <w:rsid w:val="00470782"/>
    <w:rsid w:val="0047097A"/>
    <w:rsid w:val="00470D05"/>
    <w:rsid w:val="00471167"/>
    <w:rsid w:val="00471483"/>
    <w:rsid w:val="00475E6D"/>
    <w:rsid w:val="004804AF"/>
    <w:rsid w:val="004837FF"/>
    <w:rsid w:val="0048393C"/>
    <w:rsid w:val="0048485B"/>
    <w:rsid w:val="004851A4"/>
    <w:rsid w:val="00486565"/>
    <w:rsid w:val="004875BB"/>
    <w:rsid w:val="004907F3"/>
    <w:rsid w:val="0049283B"/>
    <w:rsid w:val="00492ABB"/>
    <w:rsid w:val="0049737D"/>
    <w:rsid w:val="00497BBC"/>
    <w:rsid w:val="004A1F2B"/>
    <w:rsid w:val="004A4821"/>
    <w:rsid w:val="004A52A3"/>
    <w:rsid w:val="004A67BB"/>
    <w:rsid w:val="004B0D8F"/>
    <w:rsid w:val="004B0E7A"/>
    <w:rsid w:val="004B1E24"/>
    <w:rsid w:val="004B40ED"/>
    <w:rsid w:val="004B7011"/>
    <w:rsid w:val="004B72A6"/>
    <w:rsid w:val="004C2169"/>
    <w:rsid w:val="004C273F"/>
    <w:rsid w:val="004C3634"/>
    <w:rsid w:val="004C3FAF"/>
    <w:rsid w:val="004C4B0F"/>
    <w:rsid w:val="004C735E"/>
    <w:rsid w:val="004C7656"/>
    <w:rsid w:val="004D012F"/>
    <w:rsid w:val="004D0E59"/>
    <w:rsid w:val="004D1023"/>
    <w:rsid w:val="004D1FB4"/>
    <w:rsid w:val="004D34A5"/>
    <w:rsid w:val="004D5655"/>
    <w:rsid w:val="004D711C"/>
    <w:rsid w:val="004D7CE3"/>
    <w:rsid w:val="004E12A8"/>
    <w:rsid w:val="004F2676"/>
    <w:rsid w:val="004F346B"/>
    <w:rsid w:val="004F3DCF"/>
    <w:rsid w:val="004F406B"/>
    <w:rsid w:val="00500369"/>
    <w:rsid w:val="005005E7"/>
    <w:rsid w:val="00500F1D"/>
    <w:rsid w:val="00503C30"/>
    <w:rsid w:val="005040C6"/>
    <w:rsid w:val="0050497F"/>
    <w:rsid w:val="00506403"/>
    <w:rsid w:val="00507A55"/>
    <w:rsid w:val="00511904"/>
    <w:rsid w:val="00512C8B"/>
    <w:rsid w:val="00512EF9"/>
    <w:rsid w:val="0051417C"/>
    <w:rsid w:val="005143E9"/>
    <w:rsid w:val="00516220"/>
    <w:rsid w:val="005177A8"/>
    <w:rsid w:val="00521307"/>
    <w:rsid w:val="0052284C"/>
    <w:rsid w:val="00522FB7"/>
    <w:rsid w:val="0052595E"/>
    <w:rsid w:val="0052772D"/>
    <w:rsid w:val="00531CD1"/>
    <w:rsid w:val="005331C3"/>
    <w:rsid w:val="0053433C"/>
    <w:rsid w:val="00534795"/>
    <w:rsid w:val="00534C0B"/>
    <w:rsid w:val="00536685"/>
    <w:rsid w:val="00541F3F"/>
    <w:rsid w:val="005426E8"/>
    <w:rsid w:val="00542C17"/>
    <w:rsid w:val="00542F11"/>
    <w:rsid w:val="005436AE"/>
    <w:rsid w:val="005438D4"/>
    <w:rsid w:val="00544C6C"/>
    <w:rsid w:val="0054515D"/>
    <w:rsid w:val="005452B9"/>
    <w:rsid w:val="0054619F"/>
    <w:rsid w:val="00546547"/>
    <w:rsid w:val="00546930"/>
    <w:rsid w:val="005478D4"/>
    <w:rsid w:val="00547D73"/>
    <w:rsid w:val="00550EF6"/>
    <w:rsid w:val="005513FA"/>
    <w:rsid w:val="00551A69"/>
    <w:rsid w:val="00551C89"/>
    <w:rsid w:val="00551F48"/>
    <w:rsid w:val="005520EC"/>
    <w:rsid w:val="00554F95"/>
    <w:rsid w:val="005550F6"/>
    <w:rsid w:val="00556B3A"/>
    <w:rsid w:val="00557856"/>
    <w:rsid w:val="00560CA7"/>
    <w:rsid w:val="0056148F"/>
    <w:rsid w:val="0056199C"/>
    <w:rsid w:val="00562C66"/>
    <w:rsid w:val="00564118"/>
    <w:rsid w:val="0056566D"/>
    <w:rsid w:val="00567F1A"/>
    <w:rsid w:val="00570C72"/>
    <w:rsid w:val="005721CC"/>
    <w:rsid w:val="00574B0E"/>
    <w:rsid w:val="005829BF"/>
    <w:rsid w:val="00583FB1"/>
    <w:rsid w:val="00585237"/>
    <w:rsid w:val="00590A88"/>
    <w:rsid w:val="0059250A"/>
    <w:rsid w:val="0059485C"/>
    <w:rsid w:val="00594C6F"/>
    <w:rsid w:val="00595129"/>
    <w:rsid w:val="005953B6"/>
    <w:rsid w:val="00596778"/>
    <w:rsid w:val="00596A35"/>
    <w:rsid w:val="00596B59"/>
    <w:rsid w:val="00596F0E"/>
    <w:rsid w:val="005A1F50"/>
    <w:rsid w:val="005A27A1"/>
    <w:rsid w:val="005A3F06"/>
    <w:rsid w:val="005A48B4"/>
    <w:rsid w:val="005A56DE"/>
    <w:rsid w:val="005A6318"/>
    <w:rsid w:val="005A6B82"/>
    <w:rsid w:val="005A7A9E"/>
    <w:rsid w:val="005B4EE2"/>
    <w:rsid w:val="005C1C99"/>
    <w:rsid w:val="005C28B2"/>
    <w:rsid w:val="005C407C"/>
    <w:rsid w:val="005C43BA"/>
    <w:rsid w:val="005C555D"/>
    <w:rsid w:val="005C56B9"/>
    <w:rsid w:val="005C58BE"/>
    <w:rsid w:val="005C5E9E"/>
    <w:rsid w:val="005D0DC5"/>
    <w:rsid w:val="005D1AE0"/>
    <w:rsid w:val="005D1EF8"/>
    <w:rsid w:val="005D2206"/>
    <w:rsid w:val="005D54A4"/>
    <w:rsid w:val="005D7354"/>
    <w:rsid w:val="005D7BE6"/>
    <w:rsid w:val="005E001C"/>
    <w:rsid w:val="005E078C"/>
    <w:rsid w:val="005E105E"/>
    <w:rsid w:val="005E109B"/>
    <w:rsid w:val="005E1A3B"/>
    <w:rsid w:val="005E33FC"/>
    <w:rsid w:val="005E4728"/>
    <w:rsid w:val="005E5123"/>
    <w:rsid w:val="005E65F7"/>
    <w:rsid w:val="005E667A"/>
    <w:rsid w:val="005E724C"/>
    <w:rsid w:val="005E7BB1"/>
    <w:rsid w:val="005F034D"/>
    <w:rsid w:val="005F0972"/>
    <w:rsid w:val="005F3783"/>
    <w:rsid w:val="005F5F92"/>
    <w:rsid w:val="005F743F"/>
    <w:rsid w:val="006001AF"/>
    <w:rsid w:val="00600294"/>
    <w:rsid w:val="00601CFB"/>
    <w:rsid w:val="0060276F"/>
    <w:rsid w:val="0060544E"/>
    <w:rsid w:val="006057CA"/>
    <w:rsid w:val="006063F3"/>
    <w:rsid w:val="00607C87"/>
    <w:rsid w:val="00610263"/>
    <w:rsid w:val="00610C00"/>
    <w:rsid w:val="00612723"/>
    <w:rsid w:val="00614A1B"/>
    <w:rsid w:val="00615C6D"/>
    <w:rsid w:val="00617B9E"/>
    <w:rsid w:val="006222F6"/>
    <w:rsid w:val="006243BB"/>
    <w:rsid w:val="006246CB"/>
    <w:rsid w:val="006252FA"/>
    <w:rsid w:val="00626D73"/>
    <w:rsid w:val="00627867"/>
    <w:rsid w:val="006312EF"/>
    <w:rsid w:val="00631480"/>
    <w:rsid w:val="006322AB"/>
    <w:rsid w:val="00632396"/>
    <w:rsid w:val="006323B5"/>
    <w:rsid w:val="006325CE"/>
    <w:rsid w:val="0063323E"/>
    <w:rsid w:val="00633B99"/>
    <w:rsid w:val="00634300"/>
    <w:rsid w:val="00635D0D"/>
    <w:rsid w:val="006360BF"/>
    <w:rsid w:val="00637AEA"/>
    <w:rsid w:val="00640039"/>
    <w:rsid w:val="00640748"/>
    <w:rsid w:val="00640D54"/>
    <w:rsid w:val="006412FA"/>
    <w:rsid w:val="00642643"/>
    <w:rsid w:val="00642BC6"/>
    <w:rsid w:val="0064711D"/>
    <w:rsid w:val="00654835"/>
    <w:rsid w:val="00655749"/>
    <w:rsid w:val="006577B4"/>
    <w:rsid w:val="00660533"/>
    <w:rsid w:val="0066070D"/>
    <w:rsid w:val="00661516"/>
    <w:rsid w:val="00662D48"/>
    <w:rsid w:val="00663350"/>
    <w:rsid w:val="00663F47"/>
    <w:rsid w:val="0066543C"/>
    <w:rsid w:val="006659BA"/>
    <w:rsid w:val="00665A34"/>
    <w:rsid w:val="00666175"/>
    <w:rsid w:val="006665D7"/>
    <w:rsid w:val="00666B96"/>
    <w:rsid w:val="006670B5"/>
    <w:rsid w:val="00667E45"/>
    <w:rsid w:val="006727B5"/>
    <w:rsid w:val="0067332B"/>
    <w:rsid w:val="0067353D"/>
    <w:rsid w:val="00676301"/>
    <w:rsid w:val="00676564"/>
    <w:rsid w:val="00676C85"/>
    <w:rsid w:val="00680E31"/>
    <w:rsid w:val="00684D41"/>
    <w:rsid w:val="00685D03"/>
    <w:rsid w:val="0068694A"/>
    <w:rsid w:val="006871A0"/>
    <w:rsid w:val="006909A1"/>
    <w:rsid w:val="0069173C"/>
    <w:rsid w:val="00691EB1"/>
    <w:rsid w:val="0069205D"/>
    <w:rsid w:val="006939FD"/>
    <w:rsid w:val="00693F8F"/>
    <w:rsid w:val="00694746"/>
    <w:rsid w:val="00697D3E"/>
    <w:rsid w:val="006A0AD9"/>
    <w:rsid w:val="006A2276"/>
    <w:rsid w:val="006A2D54"/>
    <w:rsid w:val="006A4311"/>
    <w:rsid w:val="006B009B"/>
    <w:rsid w:val="006B01CF"/>
    <w:rsid w:val="006B052C"/>
    <w:rsid w:val="006B0EF7"/>
    <w:rsid w:val="006B178F"/>
    <w:rsid w:val="006B187C"/>
    <w:rsid w:val="006B1FB1"/>
    <w:rsid w:val="006B2534"/>
    <w:rsid w:val="006B3386"/>
    <w:rsid w:val="006B3593"/>
    <w:rsid w:val="006B3C2E"/>
    <w:rsid w:val="006B3F37"/>
    <w:rsid w:val="006B64F4"/>
    <w:rsid w:val="006B738C"/>
    <w:rsid w:val="006C085E"/>
    <w:rsid w:val="006C3190"/>
    <w:rsid w:val="006C4C6C"/>
    <w:rsid w:val="006C5057"/>
    <w:rsid w:val="006C51BD"/>
    <w:rsid w:val="006C5A29"/>
    <w:rsid w:val="006C5B40"/>
    <w:rsid w:val="006C649A"/>
    <w:rsid w:val="006C6DBE"/>
    <w:rsid w:val="006D22EB"/>
    <w:rsid w:val="006D30E4"/>
    <w:rsid w:val="006D7464"/>
    <w:rsid w:val="006E239F"/>
    <w:rsid w:val="006E3E3C"/>
    <w:rsid w:val="006E4A5A"/>
    <w:rsid w:val="006E4A9A"/>
    <w:rsid w:val="006E7BDB"/>
    <w:rsid w:val="006F04EE"/>
    <w:rsid w:val="006F4281"/>
    <w:rsid w:val="006F66F3"/>
    <w:rsid w:val="006F6ADD"/>
    <w:rsid w:val="006F748D"/>
    <w:rsid w:val="006F7A4B"/>
    <w:rsid w:val="007017F4"/>
    <w:rsid w:val="0070261D"/>
    <w:rsid w:val="00703461"/>
    <w:rsid w:val="00703E2F"/>
    <w:rsid w:val="00704CB7"/>
    <w:rsid w:val="00704DA1"/>
    <w:rsid w:val="00705638"/>
    <w:rsid w:val="0070586A"/>
    <w:rsid w:val="007062AC"/>
    <w:rsid w:val="0070724F"/>
    <w:rsid w:val="0071422B"/>
    <w:rsid w:val="00715BB0"/>
    <w:rsid w:val="00720816"/>
    <w:rsid w:val="00721152"/>
    <w:rsid w:val="007229B2"/>
    <w:rsid w:val="007237B3"/>
    <w:rsid w:val="007238D0"/>
    <w:rsid w:val="007306C6"/>
    <w:rsid w:val="00730E6D"/>
    <w:rsid w:val="0073199A"/>
    <w:rsid w:val="0073312F"/>
    <w:rsid w:val="007332B4"/>
    <w:rsid w:val="00733D75"/>
    <w:rsid w:val="00733F7C"/>
    <w:rsid w:val="00735E5F"/>
    <w:rsid w:val="00737BAA"/>
    <w:rsid w:val="0074277B"/>
    <w:rsid w:val="00742C3E"/>
    <w:rsid w:val="0074394E"/>
    <w:rsid w:val="00746159"/>
    <w:rsid w:val="007463AB"/>
    <w:rsid w:val="0075044E"/>
    <w:rsid w:val="007504B1"/>
    <w:rsid w:val="007514B0"/>
    <w:rsid w:val="00751699"/>
    <w:rsid w:val="0075275E"/>
    <w:rsid w:val="00753654"/>
    <w:rsid w:val="00754CD5"/>
    <w:rsid w:val="007556D3"/>
    <w:rsid w:val="007563B7"/>
    <w:rsid w:val="007571C3"/>
    <w:rsid w:val="007575D7"/>
    <w:rsid w:val="00761FEC"/>
    <w:rsid w:val="0076409F"/>
    <w:rsid w:val="00764204"/>
    <w:rsid w:val="007654DC"/>
    <w:rsid w:val="007665B6"/>
    <w:rsid w:val="00767D6C"/>
    <w:rsid w:val="00770534"/>
    <w:rsid w:val="00770BF0"/>
    <w:rsid w:val="00771D14"/>
    <w:rsid w:val="00771E35"/>
    <w:rsid w:val="00772B3C"/>
    <w:rsid w:val="0077539E"/>
    <w:rsid w:val="00775932"/>
    <w:rsid w:val="0077642E"/>
    <w:rsid w:val="00776D63"/>
    <w:rsid w:val="0077723F"/>
    <w:rsid w:val="00777262"/>
    <w:rsid w:val="007804F5"/>
    <w:rsid w:val="00781346"/>
    <w:rsid w:val="007815FD"/>
    <w:rsid w:val="00782399"/>
    <w:rsid w:val="00783B4C"/>
    <w:rsid w:val="00783CD5"/>
    <w:rsid w:val="00783ED5"/>
    <w:rsid w:val="00784CBC"/>
    <w:rsid w:val="00785BAF"/>
    <w:rsid w:val="00786401"/>
    <w:rsid w:val="00786478"/>
    <w:rsid w:val="00786DBF"/>
    <w:rsid w:val="007955CE"/>
    <w:rsid w:val="00795DAB"/>
    <w:rsid w:val="007960C5"/>
    <w:rsid w:val="007977AE"/>
    <w:rsid w:val="00797A4B"/>
    <w:rsid w:val="00797A54"/>
    <w:rsid w:val="007A0DA6"/>
    <w:rsid w:val="007A2414"/>
    <w:rsid w:val="007A24B3"/>
    <w:rsid w:val="007A30BE"/>
    <w:rsid w:val="007A499B"/>
    <w:rsid w:val="007A50F2"/>
    <w:rsid w:val="007A539C"/>
    <w:rsid w:val="007A5A06"/>
    <w:rsid w:val="007A6082"/>
    <w:rsid w:val="007A7E71"/>
    <w:rsid w:val="007B243E"/>
    <w:rsid w:val="007B4EEA"/>
    <w:rsid w:val="007B6E53"/>
    <w:rsid w:val="007C3FCA"/>
    <w:rsid w:val="007C4918"/>
    <w:rsid w:val="007C4A52"/>
    <w:rsid w:val="007D125B"/>
    <w:rsid w:val="007D25F0"/>
    <w:rsid w:val="007D308E"/>
    <w:rsid w:val="007D4362"/>
    <w:rsid w:val="007F04C7"/>
    <w:rsid w:val="007F1816"/>
    <w:rsid w:val="007F2949"/>
    <w:rsid w:val="007F5CCF"/>
    <w:rsid w:val="007F7356"/>
    <w:rsid w:val="007F78FA"/>
    <w:rsid w:val="008002A0"/>
    <w:rsid w:val="00800D18"/>
    <w:rsid w:val="008013D1"/>
    <w:rsid w:val="00801EFE"/>
    <w:rsid w:val="008021D9"/>
    <w:rsid w:val="00802337"/>
    <w:rsid w:val="00802E9D"/>
    <w:rsid w:val="008034D7"/>
    <w:rsid w:val="00804151"/>
    <w:rsid w:val="00805589"/>
    <w:rsid w:val="00805A17"/>
    <w:rsid w:val="00805F54"/>
    <w:rsid w:val="00806F79"/>
    <w:rsid w:val="00806F8B"/>
    <w:rsid w:val="0080716F"/>
    <w:rsid w:val="008071FE"/>
    <w:rsid w:val="00810054"/>
    <w:rsid w:val="0081075E"/>
    <w:rsid w:val="00810B4C"/>
    <w:rsid w:val="008125FC"/>
    <w:rsid w:val="00813A27"/>
    <w:rsid w:val="008150D6"/>
    <w:rsid w:val="00822F6B"/>
    <w:rsid w:val="00823091"/>
    <w:rsid w:val="008231A8"/>
    <w:rsid w:val="00823FE1"/>
    <w:rsid w:val="0082450A"/>
    <w:rsid w:val="00825B9C"/>
    <w:rsid w:val="00825CF5"/>
    <w:rsid w:val="00825F6D"/>
    <w:rsid w:val="00827653"/>
    <w:rsid w:val="00827D37"/>
    <w:rsid w:val="0083013C"/>
    <w:rsid w:val="00831F88"/>
    <w:rsid w:val="00832F8D"/>
    <w:rsid w:val="0083382D"/>
    <w:rsid w:val="00833A59"/>
    <w:rsid w:val="008354B7"/>
    <w:rsid w:val="008355D1"/>
    <w:rsid w:val="0083575E"/>
    <w:rsid w:val="00836464"/>
    <w:rsid w:val="0083797B"/>
    <w:rsid w:val="008416EB"/>
    <w:rsid w:val="008422C1"/>
    <w:rsid w:val="008455AC"/>
    <w:rsid w:val="00845DDF"/>
    <w:rsid w:val="008463A8"/>
    <w:rsid w:val="008466F5"/>
    <w:rsid w:val="00846D6D"/>
    <w:rsid w:val="00847B7A"/>
    <w:rsid w:val="00851295"/>
    <w:rsid w:val="008616C0"/>
    <w:rsid w:val="00864026"/>
    <w:rsid w:val="00864E2D"/>
    <w:rsid w:val="008650D0"/>
    <w:rsid w:val="00871FE1"/>
    <w:rsid w:val="00872528"/>
    <w:rsid w:val="00874F6C"/>
    <w:rsid w:val="00875712"/>
    <w:rsid w:val="00875F35"/>
    <w:rsid w:val="00880C8E"/>
    <w:rsid w:val="008814F8"/>
    <w:rsid w:val="00882CEF"/>
    <w:rsid w:val="0088342C"/>
    <w:rsid w:val="00884F09"/>
    <w:rsid w:val="008854E1"/>
    <w:rsid w:val="00885C38"/>
    <w:rsid w:val="0088677D"/>
    <w:rsid w:val="0089149D"/>
    <w:rsid w:val="00893EC3"/>
    <w:rsid w:val="008958D4"/>
    <w:rsid w:val="00895EA6"/>
    <w:rsid w:val="00896186"/>
    <w:rsid w:val="008A09DD"/>
    <w:rsid w:val="008A14EA"/>
    <w:rsid w:val="008A5E64"/>
    <w:rsid w:val="008A7B12"/>
    <w:rsid w:val="008B053C"/>
    <w:rsid w:val="008B0923"/>
    <w:rsid w:val="008B0CCA"/>
    <w:rsid w:val="008B26C9"/>
    <w:rsid w:val="008B277A"/>
    <w:rsid w:val="008B5569"/>
    <w:rsid w:val="008B57A2"/>
    <w:rsid w:val="008B5BCC"/>
    <w:rsid w:val="008B7B9B"/>
    <w:rsid w:val="008C1511"/>
    <w:rsid w:val="008C17C9"/>
    <w:rsid w:val="008C2BA4"/>
    <w:rsid w:val="008C3FEA"/>
    <w:rsid w:val="008C4353"/>
    <w:rsid w:val="008C49CD"/>
    <w:rsid w:val="008C4BCF"/>
    <w:rsid w:val="008C4FF2"/>
    <w:rsid w:val="008C582A"/>
    <w:rsid w:val="008C6521"/>
    <w:rsid w:val="008C6E52"/>
    <w:rsid w:val="008D1D32"/>
    <w:rsid w:val="008D2F51"/>
    <w:rsid w:val="008D4331"/>
    <w:rsid w:val="008D737D"/>
    <w:rsid w:val="008E1229"/>
    <w:rsid w:val="008E158B"/>
    <w:rsid w:val="008E4658"/>
    <w:rsid w:val="008E4EE3"/>
    <w:rsid w:val="008E61CC"/>
    <w:rsid w:val="008E79C9"/>
    <w:rsid w:val="008F1633"/>
    <w:rsid w:val="008F1917"/>
    <w:rsid w:val="008F2BED"/>
    <w:rsid w:val="008F2FA5"/>
    <w:rsid w:val="008F5CA4"/>
    <w:rsid w:val="008F69EB"/>
    <w:rsid w:val="008F6F7F"/>
    <w:rsid w:val="0090037B"/>
    <w:rsid w:val="00900424"/>
    <w:rsid w:val="009028AE"/>
    <w:rsid w:val="00905195"/>
    <w:rsid w:val="00905BD1"/>
    <w:rsid w:val="00905FAA"/>
    <w:rsid w:val="009061E7"/>
    <w:rsid w:val="009065DB"/>
    <w:rsid w:val="00915227"/>
    <w:rsid w:val="00926B9E"/>
    <w:rsid w:val="0092725D"/>
    <w:rsid w:val="009273B7"/>
    <w:rsid w:val="00927F15"/>
    <w:rsid w:val="00931801"/>
    <w:rsid w:val="00933CDE"/>
    <w:rsid w:val="00934AC0"/>
    <w:rsid w:val="00935D22"/>
    <w:rsid w:val="00936D50"/>
    <w:rsid w:val="009377AC"/>
    <w:rsid w:val="00941C4B"/>
    <w:rsid w:val="00942812"/>
    <w:rsid w:val="00944028"/>
    <w:rsid w:val="00944A78"/>
    <w:rsid w:val="00945B1A"/>
    <w:rsid w:val="009463BE"/>
    <w:rsid w:val="00950DE2"/>
    <w:rsid w:val="009522A0"/>
    <w:rsid w:val="00952332"/>
    <w:rsid w:val="00952CC5"/>
    <w:rsid w:val="00954795"/>
    <w:rsid w:val="009560B8"/>
    <w:rsid w:val="009570D0"/>
    <w:rsid w:val="00960826"/>
    <w:rsid w:val="00961FEB"/>
    <w:rsid w:val="00962E7B"/>
    <w:rsid w:val="00963B24"/>
    <w:rsid w:val="00965587"/>
    <w:rsid w:val="00966A8A"/>
    <w:rsid w:val="009670D6"/>
    <w:rsid w:val="00970744"/>
    <w:rsid w:val="00971018"/>
    <w:rsid w:val="009714B2"/>
    <w:rsid w:val="00971F2A"/>
    <w:rsid w:val="00972A84"/>
    <w:rsid w:val="00972CC2"/>
    <w:rsid w:val="009735F1"/>
    <w:rsid w:val="00973C00"/>
    <w:rsid w:val="009768AB"/>
    <w:rsid w:val="0098074B"/>
    <w:rsid w:val="00984AAF"/>
    <w:rsid w:val="00984B34"/>
    <w:rsid w:val="009851E6"/>
    <w:rsid w:val="00985AC5"/>
    <w:rsid w:val="009873A4"/>
    <w:rsid w:val="0099211F"/>
    <w:rsid w:val="00992474"/>
    <w:rsid w:val="00992D06"/>
    <w:rsid w:val="00993812"/>
    <w:rsid w:val="009A255B"/>
    <w:rsid w:val="009A26D0"/>
    <w:rsid w:val="009A3B94"/>
    <w:rsid w:val="009A3EE3"/>
    <w:rsid w:val="009A456C"/>
    <w:rsid w:val="009A61D6"/>
    <w:rsid w:val="009A7D69"/>
    <w:rsid w:val="009B08DE"/>
    <w:rsid w:val="009B279E"/>
    <w:rsid w:val="009B2E2A"/>
    <w:rsid w:val="009B3CC9"/>
    <w:rsid w:val="009B567F"/>
    <w:rsid w:val="009B6038"/>
    <w:rsid w:val="009B749E"/>
    <w:rsid w:val="009C1012"/>
    <w:rsid w:val="009C4AE2"/>
    <w:rsid w:val="009C572B"/>
    <w:rsid w:val="009C6CFC"/>
    <w:rsid w:val="009D336F"/>
    <w:rsid w:val="009D368C"/>
    <w:rsid w:val="009D3FAA"/>
    <w:rsid w:val="009D46D9"/>
    <w:rsid w:val="009D5BDD"/>
    <w:rsid w:val="009D5F52"/>
    <w:rsid w:val="009D6CA3"/>
    <w:rsid w:val="009D77C2"/>
    <w:rsid w:val="009D7BE1"/>
    <w:rsid w:val="009E08ED"/>
    <w:rsid w:val="009E16CB"/>
    <w:rsid w:val="009E2479"/>
    <w:rsid w:val="009E2872"/>
    <w:rsid w:val="009E377C"/>
    <w:rsid w:val="009E3B94"/>
    <w:rsid w:val="009E491F"/>
    <w:rsid w:val="009E51FD"/>
    <w:rsid w:val="009E708E"/>
    <w:rsid w:val="009F0259"/>
    <w:rsid w:val="009F1119"/>
    <w:rsid w:val="009F41A9"/>
    <w:rsid w:val="009F7505"/>
    <w:rsid w:val="00A006BA"/>
    <w:rsid w:val="00A01661"/>
    <w:rsid w:val="00A01997"/>
    <w:rsid w:val="00A01E7B"/>
    <w:rsid w:val="00A02F1F"/>
    <w:rsid w:val="00A0301F"/>
    <w:rsid w:val="00A107DD"/>
    <w:rsid w:val="00A10F1E"/>
    <w:rsid w:val="00A126B3"/>
    <w:rsid w:val="00A126E5"/>
    <w:rsid w:val="00A1465C"/>
    <w:rsid w:val="00A16C07"/>
    <w:rsid w:val="00A1733F"/>
    <w:rsid w:val="00A2054A"/>
    <w:rsid w:val="00A2312B"/>
    <w:rsid w:val="00A23404"/>
    <w:rsid w:val="00A23AB3"/>
    <w:rsid w:val="00A26421"/>
    <w:rsid w:val="00A303C1"/>
    <w:rsid w:val="00A307EA"/>
    <w:rsid w:val="00A32940"/>
    <w:rsid w:val="00A33799"/>
    <w:rsid w:val="00A3571D"/>
    <w:rsid w:val="00A3574A"/>
    <w:rsid w:val="00A35D46"/>
    <w:rsid w:val="00A36143"/>
    <w:rsid w:val="00A37D76"/>
    <w:rsid w:val="00A37ECA"/>
    <w:rsid w:val="00A42607"/>
    <w:rsid w:val="00A47BBD"/>
    <w:rsid w:val="00A529A7"/>
    <w:rsid w:val="00A54CF4"/>
    <w:rsid w:val="00A5515A"/>
    <w:rsid w:val="00A60463"/>
    <w:rsid w:val="00A60893"/>
    <w:rsid w:val="00A61951"/>
    <w:rsid w:val="00A621BF"/>
    <w:rsid w:val="00A62308"/>
    <w:rsid w:val="00A63665"/>
    <w:rsid w:val="00A63AC0"/>
    <w:rsid w:val="00A66AB4"/>
    <w:rsid w:val="00A732E0"/>
    <w:rsid w:val="00A7378B"/>
    <w:rsid w:val="00A73809"/>
    <w:rsid w:val="00A7468C"/>
    <w:rsid w:val="00A816C3"/>
    <w:rsid w:val="00A822F7"/>
    <w:rsid w:val="00A82372"/>
    <w:rsid w:val="00A83107"/>
    <w:rsid w:val="00A848CE"/>
    <w:rsid w:val="00A863DF"/>
    <w:rsid w:val="00A867D3"/>
    <w:rsid w:val="00A86BEC"/>
    <w:rsid w:val="00A9002E"/>
    <w:rsid w:val="00A90F3A"/>
    <w:rsid w:val="00A922F6"/>
    <w:rsid w:val="00A94EBD"/>
    <w:rsid w:val="00A96083"/>
    <w:rsid w:val="00A9658F"/>
    <w:rsid w:val="00AA34B1"/>
    <w:rsid w:val="00AA4411"/>
    <w:rsid w:val="00AA4AC3"/>
    <w:rsid w:val="00AA57C6"/>
    <w:rsid w:val="00AA6E5A"/>
    <w:rsid w:val="00AB03C1"/>
    <w:rsid w:val="00AB24B9"/>
    <w:rsid w:val="00AB3365"/>
    <w:rsid w:val="00AB4EA7"/>
    <w:rsid w:val="00AB592C"/>
    <w:rsid w:val="00AB6534"/>
    <w:rsid w:val="00AC0A78"/>
    <w:rsid w:val="00AC0BFC"/>
    <w:rsid w:val="00AC4332"/>
    <w:rsid w:val="00AC75DC"/>
    <w:rsid w:val="00AD29B5"/>
    <w:rsid w:val="00AD47E9"/>
    <w:rsid w:val="00AD4B8C"/>
    <w:rsid w:val="00AD5948"/>
    <w:rsid w:val="00AD6A05"/>
    <w:rsid w:val="00AD79E1"/>
    <w:rsid w:val="00AD7EAA"/>
    <w:rsid w:val="00AD7FD1"/>
    <w:rsid w:val="00AE11F9"/>
    <w:rsid w:val="00AE2C82"/>
    <w:rsid w:val="00AE2DD5"/>
    <w:rsid w:val="00AE3BD2"/>
    <w:rsid w:val="00AE4235"/>
    <w:rsid w:val="00AE7E4C"/>
    <w:rsid w:val="00AE7EDC"/>
    <w:rsid w:val="00AF0DE7"/>
    <w:rsid w:val="00AF18E8"/>
    <w:rsid w:val="00AF28EA"/>
    <w:rsid w:val="00AF2B1F"/>
    <w:rsid w:val="00AF541F"/>
    <w:rsid w:val="00AF5560"/>
    <w:rsid w:val="00AF6782"/>
    <w:rsid w:val="00B01003"/>
    <w:rsid w:val="00B01866"/>
    <w:rsid w:val="00B01A38"/>
    <w:rsid w:val="00B01E14"/>
    <w:rsid w:val="00B03012"/>
    <w:rsid w:val="00B04944"/>
    <w:rsid w:val="00B04DE8"/>
    <w:rsid w:val="00B07CB0"/>
    <w:rsid w:val="00B07CC7"/>
    <w:rsid w:val="00B10B9C"/>
    <w:rsid w:val="00B1545A"/>
    <w:rsid w:val="00B17AFD"/>
    <w:rsid w:val="00B21C2B"/>
    <w:rsid w:val="00B22A1A"/>
    <w:rsid w:val="00B22B41"/>
    <w:rsid w:val="00B233BA"/>
    <w:rsid w:val="00B242D7"/>
    <w:rsid w:val="00B249BD"/>
    <w:rsid w:val="00B24C04"/>
    <w:rsid w:val="00B25F96"/>
    <w:rsid w:val="00B27606"/>
    <w:rsid w:val="00B3551E"/>
    <w:rsid w:val="00B36447"/>
    <w:rsid w:val="00B36E6B"/>
    <w:rsid w:val="00B37734"/>
    <w:rsid w:val="00B41A13"/>
    <w:rsid w:val="00B42AE2"/>
    <w:rsid w:val="00B42C1B"/>
    <w:rsid w:val="00B45C89"/>
    <w:rsid w:val="00B46370"/>
    <w:rsid w:val="00B46D10"/>
    <w:rsid w:val="00B5012D"/>
    <w:rsid w:val="00B51D04"/>
    <w:rsid w:val="00B51E9B"/>
    <w:rsid w:val="00B5259E"/>
    <w:rsid w:val="00B56D1A"/>
    <w:rsid w:val="00B57210"/>
    <w:rsid w:val="00B57511"/>
    <w:rsid w:val="00B6011E"/>
    <w:rsid w:val="00B60406"/>
    <w:rsid w:val="00B612E7"/>
    <w:rsid w:val="00B61DBE"/>
    <w:rsid w:val="00B622CD"/>
    <w:rsid w:val="00B63B5B"/>
    <w:rsid w:val="00B63B7C"/>
    <w:rsid w:val="00B63F5B"/>
    <w:rsid w:val="00B641DC"/>
    <w:rsid w:val="00B64FE4"/>
    <w:rsid w:val="00B6552E"/>
    <w:rsid w:val="00B6658A"/>
    <w:rsid w:val="00B70793"/>
    <w:rsid w:val="00B72292"/>
    <w:rsid w:val="00B73B8B"/>
    <w:rsid w:val="00B75075"/>
    <w:rsid w:val="00B768C9"/>
    <w:rsid w:val="00B770B1"/>
    <w:rsid w:val="00B7755E"/>
    <w:rsid w:val="00B8077E"/>
    <w:rsid w:val="00B8115D"/>
    <w:rsid w:val="00B87225"/>
    <w:rsid w:val="00B905DC"/>
    <w:rsid w:val="00B90907"/>
    <w:rsid w:val="00B914DB"/>
    <w:rsid w:val="00B921C8"/>
    <w:rsid w:val="00B93AD8"/>
    <w:rsid w:val="00B94005"/>
    <w:rsid w:val="00B960BF"/>
    <w:rsid w:val="00B9630E"/>
    <w:rsid w:val="00BA182D"/>
    <w:rsid w:val="00BA4596"/>
    <w:rsid w:val="00BA5DB2"/>
    <w:rsid w:val="00BB0B7A"/>
    <w:rsid w:val="00BB20C7"/>
    <w:rsid w:val="00BB3D5D"/>
    <w:rsid w:val="00BB5082"/>
    <w:rsid w:val="00BB5907"/>
    <w:rsid w:val="00BB6814"/>
    <w:rsid w:val="00BC01B9"/>
    <w:rsid w:val="00BC200A"/>
    <w:rsid w:val="00BC297F"/>
    <w:rsid w:val="00BC46D7"/>
    <w:rsid w:val="00BC54BE"/>
    <w:rsid w:val="00BC60DA"/>
    <w:rsid w:val="00BC62C0"/>
    <w:rsid w:val="00BC69B3"/>
    <w:rsid w:val="00BC6C8B"/>
    <w:rsid w:val="00BC6F6D"/>
    <w:rsid w:val="00BC706B"/>
    <w:rsid w:val="00BC7FE1"/>
    <w:rsid w:val="00BD11F9"/>
    <w:rsid w:val="00BD2C0B"/>
    <w:rsid w:val="00BD4A69"/>
    <w:rsid w:val="00BD662A"/>
    <w:rsid w:val="00BD70CF"/>
    <w:rsid w:val="00BD71F8"/>
    <w:rsid w:val="00BE2D38"/>
    <w:rsid w:val="00BE440D"/>
    <w:rsid w:val="00BE5129"/>
    <w:rsid w:val="00BE79F7"/>
    <w:rsid w:val="00BF0E86"/>
    <w:rsid w:val="00BF1396"/>
    <w:rsid w:val="00BF1903"/>
    <w:rsid w:val="00BF2CFE"/>
    <w:rsid w:val="00BF3E2A"/>
    <w:rsid w:val="00BF4203"/>
    <w:rsid w:val="00BF5B9D"/>
    <w:rsid w:val="00BF698A"/>
    <w:rsid w:val="00BF6C71"/>
    <w:rsid w:val="00BF78A5"/>
    <w:rsid w:val="00BF7A28"/>
    <w:rsid w:val="00C007B7"/>
    <w:rsid w:val="00C01372"/>
    <w:rsid w:val="00C01439"/>
    <w:rsid w:val="00C020B8"/>
    <w:rsid w:val="00C05799"/>
    <w:rsid w:val="00C05FBF"/>
    <w:rsid w:val="00C077CD"/>
    <w:rsid w:val="00C07876"/>
    <w:rsid w:val="00C12BCD"/>
    <w:rsid w:val="00C142AC"/>
    <w:rsid w:val="00C14CF9"/>
    <w:rsid w:val="00C15B7E"/>
    <w:rsid w:val="00C15C35"/>
    <w:rsid w:val="00C17725"/>
    <w:rsid w:val="00C20387"/>
    <w:rsid w:val="00C22A3E"/>
    <w:rsid w:val="00C23F35"/>
    <w:rsid w:val="00C31A7F"/>
    <w:rsid w:val="00C32049"/>
    <w:rsid w:val="00C324B2"/>
    <w:rsid w:val="00C33B24"/>
    <w:rsid w:val="00C340DE"/>
    <w:rsid w:val="00C34C46"/>
    <w:rsid w:val="00C36588"/>
    <w:rsid w:val="00C37ABB"/>
    <w:rsid w:val="00C40F3C"/>
    <w:rsid w:val="00C42D3B"/>
    <w:rsid w:val="00C446C4"/>
    <w:rsid w:val="00C45E5D"/>
    <w:rsid w:val="00C46FF6"/>
    <w:rsid w:val="00C5174E"/>
    <w:rsid w:val="00C52171"/>
    <w:rsid w:val="00C53941"/>
    <w:rsid w:val="00C54B29"/>
    <w:rsid w:val="00C55649"/>
    <w:rsid w:val="00C60F96"/>
    <w:rsid w:val="00C6260C"/>
    <w:rsid w:val="00C6489A"/>
    <w:rsid w:val="00C65463"/>
    <w:rsid w:val="00C65572"/>
    <w:rsid w:val="00C6591E"/>
    <w:rsid w:val="00C67999"/>
    <w:rsid w:val="00C7085F"/>
    <w:rsid w:val="00C7089B"/>
    <w:rsid w:val="00C73E91"/>
    <w:rsid w:val="00C7436F"/>
    <w:rsid w:val="00C743A9"/>
    <w:rsid w:val="00C77113"/>
    <w:rsid w:val="00C81895"/>
    <w:rsid w:val="00C82B76"/>
    <w:rsid w:val="00C834E4"/>
    <w:rsid w:val="00C8350C"/>
    <w:rsid w:val="00C857DA"/>
    <w:rsid w:val="00C860E5"/>
    <w:rsid w:val="00C86FFF"/>
    <w:rsid w:val="00C870BF"/>
    <w:rsid w:val="00C877EE"/>
    <w:rsid w:val="00C87C75"/>
    <w:rsid w:val="00C87ED9"/>
    <w:rsid w:val="00C90623"/>
    <w:rsid w:val="00C927FD"/>
    <w:rsid w:val="00C93C47"/>
    <w:rsid w:val="00C94662"/>
    <w:rsid w:val="00C95D47"/>
    <w:rsid w:val="00CA0579"/>
    <w:rsid w:val="00CA0FBA"/>
    <w:rsid w:val="00CA1452"/>
    <w:rsid w:val="00CA1DDB"/>
    <w:rsid w:val="00CA1E4D"/>
    <w:rsid w:val="00CA1FA5"/>
    <w:rsid w:val="00CA23C1"/>
    <w:rsid w:val="00CA2FE0"/>
    <w:rsid w:val="00CA4110"/>
    <w:rsid w:val="00CA5117"/>
    <w:rsid w:val="00CA53F7"/>
    <w:rsid w:val="00CA5783"/>
    <w:rsid w:val="00CA5B63"/>
    <w:rsid w:val="00CA6075"/>
    <w:rsid w:val="00CB24F7"/>
    <w:rsid w:val="00CC22D3"/>
    <w:rsid w:val="00CC2E63"/>
    <w:rsid w:val="00CC3F97"/>
    <w:rsid w:val="00CC459C"/>
    <w:rsid w:val="00CC53DD"/>
    <w:rsid w:val="00CC550E"/>
    <w:rsid w:val="00CC626C"/>
    <w:rsid w:val="00CC7150"/>
    <w:rsid w:val="00CC7B28"/>
    <w:rsid w:val="00CD1DD1"/>
    <w:rsid w:val="00CD26D1"/>
    <w:rsid w:val="00CD2ED4"/>
    <w:rsid w:val="00CD3084"/>
    <w:rsid w:val="00CD330E"/>
    <w:rsid w:val="00CD3DFE"/>
    <w:rsid w:val="00CD6241"/>
    <w:rsid w:val="00CE0DBB"/>
    <w:rsid w:val="00CE349E"/>
    <w:rsid w:val="00CE3AEB"/>
    <w:rsid w:val="00CE3D4A"/>
    <w:rsid w:val="00CE5D85"/>
    <w:rsid w:val="00CE6C4F"/>
    <w:rsid w:val="00CE7563"/>
    <w:rsid w:val="00CE757B"/>
    <w:rsid w:val="00CE7918"/>
    <w:rsid w:val="00CF041D"/>
    <w:rsid w:val="00CF4200"/>
    <w:rsid w:val="00CF5C69"/>
    <w:rsid w:val="00CF61E8"/>
    <w:rsid w:val="00CF6C56"/>
    <w:rsid w:val="00CF736C"/>
    <w:rsid w:val="00D00082"/>
    <w:rsid w:val="00D01168"/>
    <w:rsid w:val="00D0138A"/>
    <w:rsid w:val="00D06DD0"/>
    <w:rsid w:val="00D07640"/>
    <w:rsid w:val="00D07CF1"/>
    <w:rsid w:val="00D104BD"/>
    <w:rsid w:val="00D10868"/>
    <w:rsid w:val="00D10AAA"/>
    <w:rsid w:val="00D11850"/>
    <w:rsid w:val="00D14D2D"/>
    <w:rsid w:val="00D15289"/>
    <w:rsid w:val="00D169F0"/>
    <w:rsid w:val="00D1736D"/>
    <w:rsid w:val="00D17F5D"/>
    <w:rsid w:val="00D20145"/>
    <w:rsid w:val="00D202C5"/>
    <w:rsid w:val="00D213DC"/>
    <w:rsid w:val="00D2294A"/>
    <w:rsid w:val="00D25C06"/>
    <w:rsid w:val="00D26421"/>
    <w:rsid w:val="00D2704C"/>
    <w:rsid w:val="00D309C1"/>
    <w:rsid w:val="00D31A62"/>
    <w:rsid w:val="00D337FE"/>
    <w:rsid w:val="00D33B1E"/>
    <w:rsid w:val="00D352F5"/>
    <w:rsid w:val="00D36160"/>
    <w:rsid w:val="00D3669B"/>
    <w:rsid w:val="00D37439"/>
    <w:rsid w:val="00D40688"/>
    <w:rsid w:val="00D40D15"/>
    <w:rsid w:val="00D4113B"/>
    <w:rsid w:val="00D42897"/>
    <w:rsid w:val="00D43EAD"/>
    <w:rsid w:val="00D440BF"/>
    <w:rsid w:val="00D45785"/>
    <w:rsid w:val="00D46A08"/>
    <w:rsid w:val="00D46CC8"/>
    <w:rsid w:val="00D475B4"/>
    <w:rsid w:val="00D47AAA"/>
    <w:rsid w:val="00D50186"/>
    <w:rsid w:val="00D50ADB"/>
    <w:rsid w:val="00D50B2C"/>
    <w:rsid w:val="00D50FFC"/>
    <w:rsid w:val="00D522C2"/>
    <w:rsid w:val="00D526E4"/>
    <w:rsid w:val="00D529DD"/>
    <w:rsid w:val="00D52D04"/>
    <w:rsid w:val="00D55526"/>
    <w:rsid w:val="00D5720F"/>
    <w:rsid w:val="00D64F76"/>
    <w:rsid w:val="00D660F4"/>
    <w:rsid w:val="00D67DE0"/>
    <w:rsid w:val="00D71811"/>
    <w:rsid w:val="00D7196F"/>
    <w:rsid w:val="00D720A6"/>
    <w:rsid w:val="00D731CD"/>
    <w:rsid w:val="00D738A4"/>
    <w:rsid w:val="00D7469C"/>
    <w:rsid w:val="00D77078"/>
    <w:rsid w:val="00D776AE"/>
    <w:rsid w:val="00D77C88"/>
    <w:rsid w:val="00D80A92"/>
    <w:rsid w:val="00D81F15"/>
    <w:rsid w:val="00D828D5"/>
    <w:rsid w:val="00D838FE"/>
    <w:rsid w:val="00D8433A"/>
    <w:rsid w:val="00D9026B"/>
    <w:rsid w:val="00D9077A"/>
    <w:rsid w:val="00D9110A"/>
    <w:rsid w:val="00D9112E"/>
    <w:rsid w:val="00D9148A"/>
    <w:rsid w:val="00D91B88"/>
    <w:rsid w:val="00D93F54"/>
    <w:rsid w:val="00D94789"/>
    <w:rsid w:val="00D948F1"/>
    <w:rsid w:val="00D95549"/>
    <w:rsid w:val="00D97EAD"/>
    <w:rsid w:val="00DA0B1D"/>
    <w:rsid w:val="00DA103D"/>
    <w:rsid w:val="00DA148D"/>
    <w:rsid w:val="00DA157C"/>
    <w:rsid w:val="00DA25C9"/>
    <w:rsid w:val="00DA3147"/>
    <w:rsid w:val="00DA3844"/>
    <w:rsid w:val="00DA4138"/>
    <w:rsid w:val="00DA60BD"/>
    <w:rsid w:val="00DA7AD2"/>
    <w:rsid w:val="00DB59B2"/>
    <w:rsid w:val="00DB6040"/>
    <w:rsid w:val="00DB6197"/>
    <w:rsid w:val="00DC0750"/>
    <w:rsid w:val="00DC3C37"/>
    <w:rsid w:val="00DC3EE9"/>
    <w:rsid w:val="00DC4E6E"/>
    <w:rsid w:val="00DD179D"/>
    <w:rsid w:val="00DD28A2"/>
    <w:rsid w:val="00DD3542"/>
    <w:rsid w:val="00DD3BC0"/>
    <w:rsid w:val="00DD4ADA"/>
    <w:rsid w:val="00DD6B3A"/>
    <w:rsid w:val="00DD6FC7"/>
    <w:rsid w:val="00DD75B9"/>
    <w:rsid w:val="00DD7B7F"/>
    <w:rsid w:val="00DE00EC"/>
    <w:rsid w:val="00DE146E"/>
    <w:rsid w:val="00DE1B3A"/>
    <w:rsid w:val="00DE2F48"/>
    <w:rsid w:val="00DE3322"/>
    <w:rsid w:val="00DE4648"/>
    <w:rsid w:val="00DE607B"/>
    <w:rsid w:val="00DE69CD"/>
    <w:rsid w:val="00DE7ADF"/>
    <w:rsid w:val="00DF0654"/>
    <w:rsid w:val="00DF0AEB"/>
    <w:rsid w:val="00DF38CE"/>
    <w:rsid w:val="00E00169"/>
    <w:rsid w:val="00E01368"/>
    <w:rsid w:val="00E0298E"/>
    <w:rsid w:val="00E02CA4"/>
    <w:rsid w:val="00E04662"/>
    <w:rsid w:val="00E047F3"/>
    <w:rsid w:val="00E06665"/>
    <w:rsid w:val="00E06AE4"/>
    <w:rsid w:val="00E10644"/>
    <w:rsid w:val="00E12BF7"/>
    <w:rsid w:val="00E12CF9"/>
    <w:rsid w:val="00E144B0"/>
    <w:rsid w:val="00E14D3F"/>
    <w:rsid w:val="00E156EB"/>
    <w:rsid w:val="00E15C4A"/>
    <w:rsid w:val="00E17121"/>
    <w:rsid w:val="00E1736A"/>
    <w:rsid w:val="00E208C5"/>
    <w:rsid w:val="00E217CC"/>
    <w:rsid w:val="00E2266C"/>
    <w:rsid w:val="00E26921"/>
    <w:rsid w:val="00E26B46"/>
    <w:rsid w:val="00E26D30"/>
    <w:rsid w:val="00E31B4B"/>
    <w:rsid w:val="00E31E2D"/>
    <w:rsid w:val="00E350D7"/>
    <w:rsid w:val="00E37EF5"/>
    <w:rsid w:val="00E40071"/>
    <w:rsid w:val="00E44528"/>
    <w:rsid w:val="00E4539D"/>
    <w:rsid w:val="00E47C35"/>
    <w:rsid w:val="00E52283"/>
    <w:rsid w:val="00E5418C"/>
    <w:rsid w:val="00E54FEA"/>
    <w:rsid w:val="00E57B44"/>
    <w:rsid w:val="00E61380"/>
    <w:rsid w:val="00E62889"/>
    <w:rsid w:val="00E62B64"/>
    <w:rsid w:val="00E62EC3"/>
    <w:rsid w:val="00E62F7E"/>
    <w:rsid w:val="00E64D2E"/>
    <w:rsid w:val="00E6672C"/>
    <w:rsid w:val="00E66756"/>
    <w:rsid w:val="00E71738"/>
    <w:rsid w:val="00E734E9"/>
    <w:rsid w:val="00E74DA3"/>
    <w:rsid w:val="00E74FAE"/>
    <w:rsid w:val="00E75B65"/>
    <w:rsid w:val="00E774EF"/>
    <w:rsid w:val="00E77DB8"/>
    <w:rsid w:val="00E812A2"/>
    <w:rsid w:val="00E82CAC"/>
    <w:rsid w:val="00E83DF3"/>
    <w:rsid w:val="00E854FB"/>
    <w:rsid w:val="00E8566A"/>
    <w:rsid w:val="00E86F5F"/>
    <w:rsid w:val="00E90139"/>
    <w:rsid w:val="00E911CA"/>
    <w:rsid w:val="00E91EAD"/>
    <w:rsid w:val="00E929A9"/>
    <w:rsid w:val="00E94B06"/>
    <w:rsid w:val="00EA1DBD"/>
    <w:rsid w:val="00EA2AC3"/>
    <w:rsid w:val="00EA3003"/>
    <w:rsid w:val="00EA3EE6"/>
    <w:rsid w:val="00EA459E"/>
    <w:rsid w:val="00EA474A"/>
    <w:rsid w:val="00EA72B5"/>
    <w:rsid w:val="00EB0DAC"/>
    <w:rsid w:val="00EB15A3"/>
    <w:rsid w:val="00EB4A2D"/>
    <w:rsid w:val="00EB4FCB"/>
    <w:rsid w:val="00EC08CB"/>
    <w:rsid w:val="00EC0D87"/>
    <w:rsid w:val="00EC7F81"/>
    <w:rsid w:val="00ED079D"/>
    <w:rsid w:val="00ED0FC2"/>
    <w:rsid w:val="00ED26AE"/>
    <w:rsid w:val="00ED3DA1"/>
    <w:rsid w:val="00ED42FD"/>
    <w:rsid w:val="00ED4459"/>
    <w:rsid w:val="00ED54D5"/>
    <w:rsid w:val="00ED6BF4"/>
    <w:rsid w:val="00ED75E6"/>
    <w:rsid w:val="00EE0364"/>
    <w:rsid w:val="00EE0E40"/>
    <w:rsid w:val="00EE10EE"/>
    <w:rsid w:val="00EE145E"/>
    <w:rsid w:val="00EE17BA"/>
    <w:rsid w:val="00EE21DF"/>
    <w:rsid w:val="00EE25DE"/>
    <w:rsid w:val="00EE2A6B"/>
    <w:rsid w:val="00EE35CF"/>
    <w:rsid w:val="00EE5338"/>
    <w:rsid w:val="00EE6202"/>
    <w:rsid w:val="00EE6D41"/>
    <w:rsid w:val="00EE7A05"/>
    <w:rsid w:val="00EF0089"/>
    <w:rsid w:val="00EF0098"/>
    <w:rsid w:val="00EF0D40"/>
    <w:rsid w:val="00EF20D4"/>
    <w:rsid w:val="00EF3E60"/>
    <w:rsid w:val="00F00AA1"/>
    <w:rsid w:val="00F02E8E"/>
    <w:rsid w:val="00F0412A"/>
    <w:rsid w:val="00F04F37"/>
    <w:rsid w:val="00F054A3"/>
    <w:rsid w:val="00F059C0"/>
    <w:rsid w:val="00F05DC7"/>
    <w:rsid w:val="00F05E41"/>
    <w:rsid w:val="00F12F11"/>
    <w:rsid w:val="00F1328F"/>
    <w:rsid w:val="00F13C9A"/>
    <w:rsid w:val="00F150C5"/>
    <w:rsid w:val="00F16367"/>
    <w:rsid w:val="00F16C0E"/>
    <w:rsid w:val="00F175D7"/>
    <w:rsid w:val="00F204D4"/>
    <w:rsid w:val="00F263DB"/>
    <w:rsid w:val="00F267A4"/>
    <w:rsid w:val="00F26818"/>
    <w:rsid w:val="00F27301"/>
    <w:rsid w:val="00F328E7"/>
    <w:rsid w:val="00F364ED"/>
    <w:rsid w:val="00F36B60"/>
    <w:rsid w:val="00F37125"/>
    <w:rsid w:val="00F37717"/>
    <w:rsid w:val="00F42D82"/>
    <w:rsid w:val="00F4638E"/>
    <w:rsid w:val="00F46397"/>
    <w:rsid w:val="00F5036D"/>
    <w:rsid w:val="00F5484F"/>
    <w:rsid w:val="00F553B6"/>
    <w:rsid w:val="00F55E23"/>
    <w:rsid w:val="00F56784"/>
    <w:rsid w:val="00F602ED"/>
    <w:rsid w:val="00F61C25"/>
    <w:rsid w:val="00F63A7D"/>
    <w:rsid w:val="00F63BC6"/>
    <w:rsid w:val="00F661FD"/>
    <w:rsid w:val="00F6651E"/>
    <w:rsid w:val="00F67B19"/>
    <w:rsid w:val="00F709FD"/>
    <w:rsid w:val="00F714D1"/>
    <w:rsid w:val="00F74CED"/>
    <w:rsid w:val="00F776B3"/>
    <w:rsid w:val="00F8005F"/>
    <w:rsid w:val="00F80F19"/>
    <w:rsid w:val="00F8311B"/>
    <w:rsid w:val="00F8361B"/>
    <w:rsid w:val="00F846E6"/>
    <w:rsid w:val="00F84A1D"/>
    <w:rsid w:val="00F85E02"/>
    <w:rsid w:val="00F91C57"/>
    <w:rsid w:val="00F926A5"/>
    <w:rsid w:val="00FA4FBC"/>
    <w:rsid w:val="00FA5D13"/>
    <w:rsid w:val="00FA7E1F"/>
    <w:rsid w:val="00FB0A2B"/>
    <w:rsid w:val="00FB2B93"/>
    <w:rsid w:val="00FB3AA7"/>
    <w:rsid w:val="00FB5F91"/>
    <w:rsid w:val="00FC1828"/>
    <w:rsid w:val="00FC7233"/>
    <w:rsid w:val="00FD0383"/>
    <w:rsid w:val="00FD36FD"/>
    <w:rsid w:val="00FD4DF4"/>
    <w:rsid w:val="00FD5BF0"/>
    <w:rsid w:val="00FD7374"/>
    <w:rsid w:val="00FD7825"/>
    <w:rsid w:val="00FE2175"/>
    <w:rsid w:val="00FE28BC"/>
    <w:rsid w:val="00FE3435"/>
    <w:rsid w:val="00FE41B2"/>
    <w:rsid w:val="00FE4F52"/>
    <w:rsid w:val="00FE7E47"/>
    <w:rsid w:val="00FF2016"/>
    <w:rsid w:val="00FF2389"/>
    <w:rsid w:val="00FF2442"/>
    <w:rsid w:val="00FF437A"/>
    <w:rsid w:val="00FF4E14"/>
    <w:rsid w:val="00FF5543"/>
    <w:rsid w:val="2E006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120" w:after="120"/>
      <w:outlineLvl w:val="0"/>
    </w:pPr>
    <w:rPr>
      <w:rFonts w:eastAsia="楷体_GB2312"/>
      <w:b/>
      <w:kern w:val="44"/>
    </w:rPr>
  </w:style>
  <w:style w:type="paragraph" w:styleId="3">
    <w:name w:val="heading 2"/>
    <w:basedOn w:val="1"/>
    <w:next w:val="1"/>
    <w:qFormat/>
    <w:uiPriority w:val="0"/>
    <w:pPr>
      <w:keepNext/>
      <w:keepLines/>
      <w:outlineLvl w:val="1"/>
    </w:pPr>
    <w:rPr>
      <w:rFonts w:ascii="Arial" w:hAnsi="Arial"/>
    </w:rPr>
  </w:style>
  <w:style w:type="paragraph" w:styleId="4">
    <w:name w:val="heading 3"/>
    <w:basedOn w:val="1"/>
    <w:next w:val="1"/>
    <w:link w:val="43"/>
    <w:qFormat/>
    <w:uiPriority w:val="0"/>
    <w:pPr>
      <w:keepNext/>
      <w:keepLines/>
      <w:outlineLvl w:val="2"/>
    </w:pPr>
    <w:rPr>
      <w:rFonts w:eastAsia="仿宋_GB2312"/>
      <w:sz w:val="28"/>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uiPriority w:val="39"/>
    <w:pPr>
      <w:ind w:left="2520" w:leftChars="1200"/>
    </w:pPr>
    <w:rPr>
      <w:rFonts w:ascii="Calibri" w:hAnsi="Calibri"/>
      <w:szCs w:val="22"/>
    </w:rPr>
  </w:style>
  <w:style w:type="paragraph" w:styleId="6">
    <w:name w:val="Normal Indent"/>
    <w:basedOn w:val="1"/>
    <w:link w:val="84"/>
    <w:uiPriority w:val="0"/>
    <w:pPr>
      <w:ind w:firstLine="420"/>
    </w:pPr>
    <w:rPr>
      <w:sz w:val="28"/>
    </w:rPr>
  </w:style>
  <w:style w:type="paragraph" w:styleId="7">
    <w:name w:val="Document Map"/>
    <w:basedOn w:val="1"/>
    <w:semiHidden/>
    <w:qFormat/>
    <w:uiPriority w:val="0"/>
    <w:pPr>
      <w:shd w:val="clear" w:color="auto" w:fill="000080"/>
    </w:pPr>
  </w:style>
  <w:style w:type="paragraph" w:styleId="8">
    <w:name w:val="Body Text Indent"/>
    <w:basedOn w:val="1"/>
    <w:qFormat/>
    <w:uiPriority w:val="0"/>
  </w:style>
  <w:style w:type="paragraph" w:styleId="9">
    <w:name w:val="toc 5"/>
    <w:basedOn w:val="1"/>
    <w:next w:val="1"/>
    <w:unhideWhenUsed/>
    <w:uiPriority w:val="39"/>
    <w:pPr>
      <w:ind w:left="1680" w:leftChars="800"/>
    </w:pPr>
    <w:rPr>
      <w:rFonts w:ascii="Calibri" w:hAnsi="Calibri"/>
      <w:szCs w:val="22"/>
    </w:rPr>
  </w:style>
  <w:style w:type="paragraph" w:styleId="10">
    <w:name w:val="toc 3"/>
    <w:basedOn w:val="1"/>
    <w:next w:val="1"/>
    <w:qFormat/>
    <w:uiPriority w:val="39"/>
    <w:pPr>
      <w:ind w:left="840" w:leftChars="400"/>
    </w:pPr>
  </w:style>
  <w:style w:type="paragraph" w:styleId="11">
    <w:name w:val="Plain Text"/>
    <w:basedOn w:val="1"/>
    <w:link w:val="65"/>
    <w:qFormat/>
    <w:uiPriority w:val="0"/>
    <w:rPr>
      <w:rFonts w:ascii="宋体" w:hAnsi="Courier New"/>
    </w:rPr>
  </w:style>
  <w:style w:type="paragraph" w:styleId="12">
    <w:name w:val="toc 8"/>
    <w:basedOn w:val="1"/>
    <w:next w:val="1"/>
    <w:unhideWhenUsed/>
    <w:uiPriority w:val="39"/>
    <w:pPr>
      <w:ind w:left="2940" w:leftChars="1400"/>
    </w:pPr>
    <w:rPr>
      <w:rFonts w:ascii="Calibri" w:hAnsi="Calibri"/>
      <w:szCs w:val="22"/>
    </w:rPr>
  </w:style>
  <w:style w:type="paragraph" w:styleId="13">
    <w:name w:val="Date"/>
    <w:basedOn w:val="1"/>
    <w:next w:val="1"/>
    <w:uiPriority w:val="0"/>
    <w:pPr>
      <w:ind w:left="100" w:leftChars="2500"/>
    </w:pPr>
  </w:style>
  <w:style w:type="paragraph" w:styleId="14">
    <w:name w:val="Body Text Indent 2"/>
    <w:basedOn w:val="1"/>
    <w:uiPriority w:val="0"/>
    <w:pPr>
      <w:spacing w:after="120" w:line="480" w:lineRule="auto"/>
      <w:ind w:left="420" w:leftChars="200"/>
    </w:pPr>
  </w:style>
  <w:style w:type="paragraph" w:styleId="15">
    <w:name w:val="Balloon Text"/>
    <w:basedOn w:val="1"/>
    <w:link w:val="79"/>
    <w:uiPriority w:val="0"/>
    <w:rPr>
      <w:sz w:val="18"/>
      <w:szCs w:val="18"/>
    </w:rPr>
  </w:style>
  <w:style w:type="paragraph" w:styleId="16">
    <w:name w:val="footer"/>
    <w:basedOn w:val="1"/>
    <w:link w:val="75"/>
    <w:qFormat/>
    <w:uiPriority w:val="99"/>
    <w:pPr>
      <w:tabs>
        <w:tab w:val="center" w:pos="4153"/>
        <w:tab w:val="right" w:pos="8306"/>
      </w:tabs>
      <w:snapToGrid w:val="0"/>
      <w:jc w:val="left"/>
    </w:pPr>
    <w:rPr>
      <w:sz w:val="18"/>
    </w:rPr>
  </w:style>
  <w:style w:type="paragraph" w:styleId="17">
    <w:name w:val="header"/>
    <w:basedOn w:val="1"/>
    <w:link w:val="7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qFormat/>
    <w:uiPriority w:val="39"/>
    <w:pPr>
      <w:tabs>
        <w:tab w:val="right" w:leader="middleDot" w:pos="8948"/>
      </w:tabs>
      <w:spacing w:before="120" w:after="120" w:line="360" w:lineRule="auto"/>
    </w:pPr>
    <w:rPr>
      <w:b/>
      <w:sz w:val="24"/>
      <w:szCs w:val="24"/>
    </w:rPr>
  </w:style>
  <w:style w:type="paragraph" w:styleId="19">
    <w:name w:val="toc 4"/>
    <w:basedOn w:val="1"/>
    <w:next w:val="1"/>
    <w:unhideWhenUsed/>
    <w:uiPriority w:val="39"/>
    <w:pPr>
      <w:ind w:left="1260" w:leftChars="600"/>
    </w:pPr>
    <w:rPr>
      <w:rFonts w:ascii="Calibri" w:hAnsi="Calibri"/>
      <w:szCs w:val="22"/>
    </w:rPr>
  </w:style>
  <w:style w:type="paragraph" w:styleId="20">
    <w:name w:val="List"/>
    <w:basedOn w:val="1"/>
    <w:uiPriority w:val="0"/>
    <w:pPr>
      <w:ind w:left="200" w:hanging="200" w:hangingChars="200"/>
    </w:pPr>
  </w:style>
  <w:style w:type="paragraph" w:styleId="21">
    <w:name w:val="toc 6"/>
    <w:basedOn w:val="1"/>
    <w:next w:val="1"/>
    <w:unhideWhenUsed/>
    <w:uiPriority w:val="39"/>
    <w:pPr>
      <w:ind w:left="2100" w:leftChars="1000"/>
    </w:pPr>
    <w:rPr>
      <w:rFonts w:ascii="Calibri" w:hAnsi="Calibri"/>
      <w:szCs w:val="22"/>
    </w:rPr>
  </w:style>
  <w:style w:type="paragraph" w:styleId="22">
    <w:name w:val="toc 2"/>
    <w:basedOn w:val="1"/>
    <w:next w:val="1"/>
    <w:qFormat/>
    <w:uiPriority w:val="39"/>
    <w:pPr>
      <w:tabs>
        <w:tab w:val="right" w:leader="middleDot" w:pos="9175"/>
      </w:tabs>
      <w:spacing w:line="360" w:lineRule="auto"/>
      <w:ind w:firstLine="480" w:firstLineChars="200"/>
    </w:pPr>
    <w:rPr>
      <w:bCs/>
      <w:sz w:val="24"/>
      <w:szCs w:val="24"/>
    </w:rPr>
  </w:style>
  <w:style w:type="paragraph" w:styleId="23">
    <w:name w:val="toc 9"/>
    <w:basedOn w:val="1"/>
    <w:next w:val="1"/>
    <w:unhideWhenUsed/>
    <w:uiPriority w:val="39"/>
    <w:pPr>
      <w:ind w:left="3360" w:leftChars="1600"/>
    </w:pPr>
    <w:rPr>
      <w:rFonts w:ascii="Calibri" w:hAnsi="Calibri"/>
      <w:szCs w:val="22"/>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uiPriority w:val="0"/>
    <w:rPr>
      <w:sz w:val="20"/>
    </w:rPr>
  </w:style>
  <w:style w:type="character" w:styleId="28">
    <w:name w:val="Emphasis"/>
    <w:basedOn w:val="26"/>
    <w:qFormat/>
    <w:uiPriority w:val="20"/>
    <w:rPr>
      <w:i/>
      <w:iCs/>
    </w:rPr>
  </w:style>
  <w:style w:type="character" w:styleId="29">
    <w:name w:val="Hyperlink"/>
    <w:unhideWhenUsed/>
    <w:uiPriority w:val="99"/>
    <w:rPr>
      <w:color w:val="0000FF"/>
      <w:u w:val="single"/>
    </w:rPr>
  </w:style>
  <w:style w:type="character" w:styleId="30">
    <w:name w:val="footnote reference"/>
    <w:uiPriority w:val="0"/>
    <w:rPr>
      <w:vertAlign w:val="superscript"/>
    </w:rPr>
  </w:style>
  <w:style w:type="character" w:customStyle="1" w:styleId="31">
    <w:name w:val="zhang正文{858D7CFB-ED40-4347-BF05-701D383B685F}"/>
    <w:link w:val="32"/>
    <w:uiPriority w:val="0"/>
    <w:rPr>
      <w:rFonts w:eastAsia="宋体"/>
      <w:lang w:bidi="he-IL"/>
    </w:rPr>
  </w:style>
  <w:style w:type="paragraph" w:customStyle="1" w:styleId="32">
    <w:name w:val="zhang正文"/>
    <w:basedOn w:val="8"/>
    <w:link w:val="31"/>
    <w:qFormat/>
    <w:uiPriority w:val="0"/>
    <w:pPr>
      <w:autoSpaceDE w:val="0"/>
      <w:autoSpaceDN w:val="0"/>
      <w:adjustRightInd w:val="0"/>
      <w:snapToGrid w:val="0"/>
      <w:ind w:firstLine="200" w:firstLineChars="200"/>
      <w:textAlignment w:val="baseline"/>
    </w:pPr>
    <w:rPr>
      <w:kern w:val="0"/>
      <w:sz w:val="20"/>
      <w:lang w:bidi="he-IL"/>
    </w:rPr>
  </w:style>
  <w:style w:type="paragraph" w:customStyle="1" w:styleId="33">
    <w:name w:val="表格"/>
    <w:basedOn w:val="1"/>
    <w:qFormat/>
    <w:uiPriority w:val="0"/>
    <w:pPr>
      <w:autoSpaceDE w:val="0"/>
      <w:autoSpaceDN w:val="0"/>
      <w:adjustRightInd w:val="0"/>
      <w:jc w:val="center"/>
    </w:pPr>
    <w:rPr>
      <w:kern w:val="0"/>
      <w:lang w:bidi="he-IL"/>
    </w:rPr>
  </w:style>
  <w:style w:type="paragraph" w:customStyle="1" w:styleId="34">
    <w:name w:val="正文{858D7CFB-ED40-4347-BF05-701D383B685F}{858D7CFB-ED40-4347-BF05-701D383B685F}"/>
    <w:basedOn w:val="35"/>
    <w:qFormat/>
    <w:uiPriority w:val="0"/>
    <w:rPr>
      <w:sz w:val="24"/>
    </w:rPr>
  </w:style>
  <w:style w:type="paragraph" w:customStyle="1" w:styleId="35">
    <w:name w:val="zhang正文 Char Char"/>
    <w:basedOn w:val="8"/>
    <w:link w:val="67"/>
    <w:qFormat/>
    <w:uiPriority w:val="0"/>
    <w:pPr>
      <w:autoSpaceDE w:val="0"/>
      <w:autoSpaceDN w:val="0"/>
      <w:adjustRightInd w:val="0"/>
      <w:snapToGrid w:val="0"/>
      <w:spacing w:line="360" w:lineRule="auto"/>
      <w:ind w:firstLine="200" w:firstLineChars="200"/>
      <w:textAlignment w:val="baseline"/>
    </w:pPr>
    <w:rPr>
      <w:sz w:val="28"/>
      <w:lang w:bidi="he-IL"/>
    </w:rPr>
  </w:style>
  <w:style w:type="paragraph" w:customStyle="1" w:styleId="36">
    <w:name w:val="表格内容"/>
    <w:basedOn w:val="1"/>
    <w:link w:val="81"/>
    <w:qFormat/>
    <w:uiPriority w:val="0"/>
    <w:pPr>
      <w:autoSpaceDE w:val="0"/>
      <w:autoSpaceDN w:val="0"/>
      <w:jc w:val="center"/>
    </w:pPr>
    <w:rPr>
      <w:kern w:val="0"/>
      <w:sz w:val="24"/>
      <w:lang w:bidi="he-IL"/>
    </w:rPr>
  </w:style>
  <w:style w:type="paragraph" w:customStyle="1" w:styleId="37">
    <w:name w:val="表头"/>
    <w:basedOn w:val="1"/>
    <w:link w:val="49"/>
    <w:qFormat/>
    <w:uiPriority w:val="0"/>
    <w:pPr>
      <w:adjustRightInd w:val="0"/>
      <w:spacing w:line="500" w:lineRule="exact"/>
      <w:jc w:val="center"/>
    </w:pPr>
    <w:rPr>
      <w:lang w:bidi="he-IL"/>
    </w:rPr>
  </w:style>
  <w:style w:type="paragraph" w:customStyle="1" w:styleId="38">
    <w:name w:val="Char Char Char Char Char Char Char Char Char Char"/>
    <w:basedOn w:val="1"/>
    <w:qFormat/>
    <w:uiPriority w:val="0"/>
  </w:style>
  <w:style w:type="paragraph" w:customStyle="1" w:styleId="39">
    <w:name w:val="表"/>
    <w:basedOn w:val="40"/>
    <w:link w:val="47"/>
    <w:qFormat/>
    <w:uiPriority w:val="0"/>
    <w:pPr>
      <w:autoSpaceDE w:val="0"/>
      <w:autoSpaceDN w:val="0"/>
    </w:pPr>
    <w:rPr>
      <w:color w:val="000000"/>
      <w:szCs w:val="21"/>
    </w:rPr>
  </w:style>
  <w:style w:type="paragraph" w:customStyle="1" w:styleId="40">
    <w:name w:val="a表格"/>
    <w:basedOn w:val="1"/>
    <w:link w:val="57"/>
    <w:qFormat/>
    <w:uiPriority w:val="0"/>
    <w:pPr>
      <w:snapToGrid w:val="0"/>
      <w:jc w:val="center"/>
      <w:outlineLvl w:val="2"/>
    </w:pPr>
    <w:rPr>
      <w:szCs w:val="24"/>
    </w:rPr>
  </w:style>
  <w:style w:type="paragraph" w:customStyle="1" w:styleId="41">
    <w:name w:val="标准中文啊 啊"/>
    <w:basedOn w:val="1"/>
    <w:qFormat/>
    <w:uiPriority w:val="0"/>
    <w:pPr>
      <w:widowControl/>
      <w:adjustRightInd w:val="0"/>
      <w:snapToGrid w:val="0"/>
      <w:spacing w:line="360" w:lineRule="auto"/>
      <w:ind w:firstLine="560" w:firstLineChars="200"/>
    </w:pPr>
    <w:rPr>
      <w:rFonts w:eastAsia="楷体_GB2312"/>
      <w:kern w:val="0"/>
      <w:sz w:val="28"/>
      <w:szCs w:val="28"/>
    </w:rPr>
  </w:style>
  <w:style w:type="paragraph" w:customStyle="1" w:styleId="42">
    <w:name w:val="1标题2级"/>
    <w:basedOn w:val="3"/>
    <w:qFormat/>
    <w:uiPriority w:val="0"/>
    <w:pPr>
      <w:keepNext w:val="0"/>
      <w:keepLines w:val="0"/>
      <w:autoSpaceDE w:val="0"/>
      <w:autoSpaceDN w:val="0"/>
      <w:adjustRightInd w:val="0"/>
      <w:spacing w:line="360" w:lineRule="auto"/>
    </w:pPr>
    <w:rPr>
      <w:rFonts w:ascii="Times New Roman" w:hAnsi="Times New Roman"/>
      <w:b/>
      <w:sz w:val="28"/>
      <w:szCs w:val="28"/>
    </w:rPr>
  </w:style>
  <w:style w:type="character" w:customStyle="1" w:styleId="43">
    <w:name w:val="标题 3 Char"/>
    <w:link w:val="4"/>
    <w:qFormat/>
    <w:uiPriority w:val="0"/>
    <w:rPr>
      <w:rFonts w:eastAsia="仿宋_GB2312"/>
      <w:kern w:val="2"/>
      <w:sz w:val="28"/>
      <w:lang w:val="en-US" w:eastAsia="zh-CN" w:bidi="ar-SA"/>
    </w:rPr>
  </w:style>
  <w:style w:type="paragraph" w:customStyle="1" w:styleId="44">
    <w:name w:val="1文章"/>
    <w:basedOn w:val="1"/>
    <w:semiHidden/>
    <w:qFormat/>
    <w:uiPriority w:val="0"/>
    <w:pPr>
      <w:snapToGrid w:val="0"/>
      <w:spacing w:line="420" w:lineRule="auto"/>
      <w:ind w:firstLine="454"/>
      <w:outlineLvl w:val="4"/>
    </w:pPr>
    <w:rPr>
      <w:spacing w:val="4"/>
      <w:sz w:val="24"/>
      <w:szCs w:val="24"/>
    </w:rPr>
  </w:style>
  <w:style w:type="paragraph" w:customStyle="1" w:styleId="45">
    <w:name w:val="正文2"/>
    <w:link w:val="46"/>
    <w:qFormat/>
    <w:uiPriority w:val="0"/>
    <w:rPr>
      <w:rFonts w:ascii="Times New Roman" w:hAnsi="Times New Roman" w:eastAsia="宋体" w:cs="Times New Roman"/>
      <w:kern w:val="2"/>
      <w:sz w:val="24"/>
      <w:szCs w:val="24"/>
      <w:lang w:val="en-US" w:eastAsia="zh-CN" w:bidi="he-IL"/>
    </w:rPr>
  </w:style>
  <w:style w:type="character" w:customStyle="1" w:styleId="46">
    <w:name w:val="Char Char1"/>
    <w:link w:val="45"/>
    <w:qFormat/>
    <w:uiPriority w:val="0"/>
    <w:rPr>
      <w:kern w:val="2"/>
      <w:sz w:val="24"/>
      <w:szCs w:val="24"/>
      <w:lang w:val="en-US" w:eastAsia="zh-CN" w:bidi="he-IL"/>
    </w:rPr>
  </w:style>
  <w:style w:type="character" w:customStyle="1" w:styleId="47">
    <w:name w:val="表 Char"/>
    <w:link w:val="39"/>
    <w:qFormat/>
    <w:uiPriority w:val="0"/>
    <w:rPr>
      <w:rFonts w:eastAsia="宋体"/>
      <w:color w:val="000000"/>
      <w:kern w:val="2"/>
      <w:sz w:val="21"/>
      <w:szCs w:val="21"/>
      <w:lang w:val="en-US" w:eastAsia="zh-CN" w:bidi="ar-SA"/>
    </w:rPr>
  </w:style>
  <w:style w:type="paragraph" w:customStyle="1" w:styleId="48">
    <w:name w:val="6表内容"/>
    <w:basedOn w:val="1"/>
    <w:qFormat/>
    <w:uiPriority w:val="0"/>
    <w:pPr>
      <w:adjustRightInd w:val="0"/>
      <w:snapToGrid w:val="0"/>
      <w:spacing w:line="340" w:lineRule="exact"/>
      <w:jc w:val="center"/>
    </w:pPr>
    <w:rPr>
      <w:rFonts w:cs="宋体"/>
      <w:color w:val="000000"/>
    </w:rPr>
  </w:style>
  <w:style w:type="character" w:customStyle="1" w:styleId="49">
    <w:name w:val="表头 Char"/>
    <w:link w:val="37"/>
    <w:qFormat/>
    <w:uiPriority w:val="0"/>
    <w:rPr>
      <w:rFonts w:eastAsia="宋体"/>
      <w:kern w:val="2"/>
      <w:sz w:val="21"/>
      <w:lang w:val="en-US" w:eastAsia="zh-CN" w:bidi="he-IL"/>
    </w:rPr>
  </w:style>
  <w:style w:type="paragraph" w:customStyle="1" w:styleId="50">
    <w:name w:val="表格文字"/>
    <w:basedOn w:val="1"/>
    <w:link w:val="51"/>
    <w:qFormat/>
    <w:uiPriority w:val="0"/>
    <w:pPr>
      <w:adjustRightInd w:val="0"/>
      <w:snapToGrid w:val="0"/>
      <w:jc w:val="center"/>
    </w:pPr>
    <w:rPr>
      <w:rFonts w:ascii="宋体"/>
      <w:sz w:val="24"/>
    </w:rPr>
  </w:style>
  <w:style w:type="character" w:customStyle="1" w:styleId="51">
    <w:name w:val="表格文字 Char"/>
    <w:link w:val="50"/>
    <w:qFormat/>
    <w:uiPriority w:val="0"/>
    <w:rPr>
      <w:rFonts w:ascii="宋体" w:eastAsia="宋体"/>
      <w:kern w:val="2"/>
      <w:sz w:val="24"/>
      <w:lang w:val="en-US" w:eastAsia="zh-CN" w:bidi="ar-SA"/>
    </w:rPr>
  </w:style>
  <w:style w:type="paragraph" w:customStyle="1" w:styleId="52">
    <w:name w:val="表格内文字"/>
    <w:link w:val="53"/>
    <w:qFormat/>
    <w:uiPriority w:val="0"/>
    <w:pPr>
      <w:spacing w:line="264" w:lineRule="auto"/>
      <w:jc w:val="center"/>
    </w:pPr>
    <w:rPr>
      <w:rFonts w:ascii="Times New Roman" w:hAnsi="Times New Roman" w:eastAsia="宋体" w:cs="宋体"/>
      <w:kern w:val="2"/>
      <w:sz w:val="21"/>
      <w:lang w:val="en-US" w:eastAsia="zh-CN" w:bidi="ar-SA"/>
    </w:rPr>
  </w:style>
  <w:style w:type="character" w:customStyle="1" w:styleId="53">
    <w:name w:val="表格内文字 Char"/>
    <w:link w:val="52"/>
    <w:qFormat/>
    <w:uiPriority w:val="0"/>
    <w:rPr>
      <w:rFonts w:cs="宋体"/>
      <w:kern w:val="2"/>
      <w:sz w:val="21"/>
      <w:lang w:val="en-US" w:eastAsia="zh-CN" w:bidi="ar-SA"/>
    </w:rPr>
  </w:style>
  <w:style w:type="paragraph" w:customStyle="1" w:styleId="54">
    <w:name w:val="图中字"/>
    <w:basedOn w:val="1"/>
    <w:link w:val="55"/>
    <w:qFormat/>
    <w:uiPriority w:val="0"/>
    <w:pPr>
      <w:widowControl/>
      <w:jc w:val="center"/>
    </w:pPr>
    <w:rPr>
      <w:kern w:val="0"/>
      <w:szCs w:val="24"/>
      <w:lang w:eastAsia="en-US" w:bidi="en-US"/>
    </w:rPr>
  </w:style>
  <w:style w:type="character" w:customStyle="1" w:styleId="55">
    <w:name w:val="图中字 Char"/>
    <w:link w:val="54"/>
    <w:qFormat/>
    <w:uiPriority w:val="0"/>
    <w:rPr>
      <w:rFonts w:eastAsia="宋体"/>
      <w:sz w:val="21"/>
      <w:szCs w:val="24"/>
      <w:lang w:val="en-US" w:eastAsia="en-US" w:bidi="en-US"/>
    </w:rPr>
  </w:style>
  <w:style w:type="paragraph" w:customStyle="1" w:styleId="56">
    <w:name w:val="1目录"/>
    <w:basedOn w:val="1"/>
    <w:semiHidden/>
    <w:qFormat/>
    <w:uiPriority w:val="0"/>
    <w:pPr>
      <w:tabs>
        <w:tab w:val="left" w:leader="middleDot" w:pos="8190"/>
      </w:tabs>
      <w:autoSpaceDE w:val="0"/>
      <w:autoSpaceDN w:val="0"/>
      <w:adjustRightInd w:val="0"/>
      <w:spacing w:line="360" w:lineRule="auto"/>
      <w:ind w:left="80" w:leftChars="80"/>
      <w:outlineLvl w:val="1"/>
    </w:pPr>
    <w:rPr>
      <w:bCs/>
      <w:sz w:val="24"/>
      <w:szCs w:val="24"/>
    </w:rPr>
  </w:style>
  <w:style w:type="character" w:customStyle="1" w:styleId="57">
    <w:name w:val="a表格 Char"/>
    <w:link w:val="40"/>
    <w:qFormat/>
    <w:uiPriority w:val="0"/>
    <w:rPr>
      <w:rFonts w:eastAsia="宋体"/>
      <w:kern w:val="2"/>
      <w:sz w:val="21"/>
      <w:szCs w:val="24"/>
      <w:lang w:val="en-US" w:eastAsia="zh-CN" w:bidi="ar-SA"/>
    </w:rPr>
  </w:style>
  <w:style w:type="paragraph" w:customStyle="1" w:styleId="58">
    <w:name w:val="Char1 Char Char Char Char Char Char"/>
    <w:basedOn w:val="1"/>
    <w:next w:val="1"/>
    <w:qFormat/>
    <w:uiPriority w:val="0"/>
    <w:rPr>
      <w:szCs w:val="24"/>
    </w:rPr>
  </w:style>
  <w:style w:type="paragraph" w:customStyle="1" w:styleId="59">
    <w:name w:val="Char Char Char"/>
    <w:basedOn w:val="1"/>
    <w:qFormat/>
    <w:uiPriority w:val="0"/>
    <w:pPr>
      <w:spacing w:line="360" w:lineRule="auto"/>
      <w:ind w:firstLine="200" w:firstLineChars="200"/>
    </w:pPr>
    <w:rPr>
      <w:szCs w:val="24"/>
    </w:rPr>
  </w:style>
  <w:style w:type="paragraph" w:customStyle="1" w:styleId="60">
    <w:name w:val="Char Char Char Char Char Char Char Char Char Char1"/>
    <w:basedOn w:val="1"/>
    <w:qFormat/>
    <w:uiPriority w:val="0"/>
    <w:rPr>
      <w:szCs w:val="24"/>
    </w:rPr>
  </w:style>
  <w:style w:type="paragraph" w:customStyle="1" w:styleId="61">
    <w:name w:val="az"/>
    <w:basedOn w:val="1"/>
    <w:semiHidden/>
    <w:qFormat/>
    <w:uiPriority w:val="0"/>
    <w:pPr>
      <w:ind w:firstLine="200" w:firstLineChars="200"/>
      <w:outlineLvl w:val="2"/>
    </w:pPr>
    <w:rPr>
      <w:sz w:val="24"/>
      <w:szCs w:val="24"/>
    </w:rPr>
  </w:style>
  <w:style w:type="paragraph" w:customStyle="1" w:styleId="62">
    <w:name w:val="5文章(治)"/>
    <w:basedOn w:val="1"/>
    <w:link w:val="63"/>
    <w:qFormat/>
    <w:uiPriority w:val="0"/>
    <w:pPr>
      <w:spacing w:line="360" w:lineRule="auto"/>
      <w:ind w:firstLine="480" w:firstLineChars="200"/>
    </w:pPr>
    <w:rPr>
      <w:rFonts w:ascii="Arial" w:hAnsi="Arial" w:cs="Tahoma"/>
      <w:snapToGrid w:val="0"/>
      <w:kern w:val="0"/>
      <w:sz w:val="24"/>
      <w:szCs w:val="24"/>
    </w:rPr>
  </w:style>
  <w:style w:type="character" w:customStyle="1" w:styleId="63">
    <w:name w:val="5文章(治) Char"/>
    <w:link w:val="62"/>
    <w:qFormat/>
    <w:uiPriority w:val="0"/>
    <w:rPr>
      <w:rFonts w:ascii="Arial" w:hAnsi="Arial" w:eastAsia="宋体" w:cs="Tahoma"/>
      <w:snapToGrid w:val="0"/>
      <w:sz w:val="24"/>
      <w:szCs w:val="24"/>
      <w:lang w:val="en-US" w:eastAsia="zh-CN" w:bidi="ar-SA"/>
    </w:rPr>
  </w:style>
  <w:style w:type="paragraph" w:customStyle="1" w:styleId="64">
    <w:name w:val="Char Char"/>
    <w:basedOn w:val="1"/>
    <w:semiHidden/>
    <w:qFormat/>
    <w:uiPriority w:val="0"/>
    <w:pPr>
      <w:spacing w:line="360" w:lineRule="auto"/>
      <w:ind w:firstLine="200" w:firstLineChars="200"/>
    </w:pPr>
    <w:rPr>
      <w:rFonts w:ascii="宋体" w:hAnsi="宋体" w:cs="宋体"/>
      <w:sz w:val="24"/>
      <w:szCs w:val="24"/>
    </w:rPr>
  </w:style>
  <w:style w:type="character" w:customStyle="1" w:styleId="65">
    <w:name w:val="纯文本 Char1"/>
    <w:link w:val="11"/>
    <w:qFormat/>
    <w:uiPriority w:val="0"/>
    <w:rPr>
      <w:rFonts w:ascii="宋体" w:hAnsi="Courier New" w:eastAsia="宋体"/>
      <w:kern w:val="2"/>
      <w:sz w:val="21"/>
      <w:lang w:val="en-US" w:eastAsia="zh-CN" w:bidi="ar-SA"/>
    </w:rPr>
  </w:style>
  <w:style w:type="paragraph" w:customStyle="1" w:styleId="66">
    <w:name w:val="Char Char Char1 Char Char Char Char Char Char Char"/>
    <w:basedOn w:val="1"/>
    <w:semiHidden/>
    <w:qFormat/>
    <w:uiPriority w:val="0"/>
    <w:rPr>
      <w:szCs w:val="24"/>
    </w:rPr>
  </w:style>
  <w:style w:type="character" w:customStyle="1" w:styleId="67">
    <w:name w:val="zhang正文 Char Char Char"/>
    <w:link w:val="35"/>
    <w:qFormat/>
    <w:uiPriority w:val="0"/>
    <w:rPr>
      <w:rFonts w:eastAsia="宋体"/>
      <w:kern w:val="2"/>
      <w:sz w:val="28"/>
      <w:lang w:val="en-US" w:eastAsia="zh-CN" w:bidi="he-IL"/>
    </w:rPr>
  </w:style>
  <w:style w:type="paragraph" w:customStyle="1" w:styleId="68">
    <w:name w:val="表格式"/>
    <w:basedOn w:val="20"/>
    <w:semiHidden/>
    <w:qFormat/>
    <w:uiPriority w:val="0"/>
    <w:pPr>
      <w:spacing w:beforeLines="50" w:afterLines="50" w:line="240" w:lineRule="exact"/>
      <w:ind w:left="0" w:firstLine="0" w:firstLineChars="0"/>
      <w:jc w:val="center"/>
    </w:pPr>
    <w:rPr>
      <w:rFonts w:ascii="宋体"/>
    </w:rPr>
  </w:style>
  <w:style w:type="paragraph" w:customStyle="1" w:styleId="69">
    <w:name w:val="2"/>
    <w:basedOn w:val="1"/>
    <w:uiPriority w:val="0"/>
    <w:pPr>
      <w:tabs>
        <w:tab w:val="left" w:pos="360"/>
      </w:tabs>
    </w:pPr>
    <w:rPr>
      <w:szCs w:val="24"/>
    </w:rPr>
  </w:style>
  <w:style w:type="paragraph" w:customStyle="1" w:styleId="70">
    <w:name w:val="正文1"/>
    <w:basedOn w:val="1"/>
    <w:link w:val="71"/>
    <w:uiPriority w:val="0"/>
    <w:pPr>
      <w:autoSpaceDE w:val="0"/>
      <w:autoSpaceDN w:val="0"/>
      <w:adjustRightInd w:val="0"/>
      <w:spacing w:line="360" w:lineRule="auto"/>
      <w:ind w:firstLine="200" w:firstLineChars="200"/>
    </w:pPr>
    <w:rPr>
      <w:sz w:val="24"/>
      <w:szCs w:val="24"/>
    </w:rPr>
  </w:style>
  <w:style w:type="character" w:customStyle="1" w:styleId="71">
    <w:name w:val="正文1 Char"/>
    <w:link w:val="70"/>
    <w:uiPriority w:val="0"/>
    <w:rPr>
      <w:rFonts w:eastAsia="宋体"/>
      <w:kern w:val="2"/>
      <w:sz w:val="24"/>
      <w:szCs w:val="24"/>
      <w:lang w:val="en-US" w:eastAsia="zh-CN" w:bidi="ar-SA"/>
    </w:rPr>
  </w:style>
  <w:style w:type="paragraph" w:customStyle="1" w:styleId="7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3">
    <w:name w:val="N2"/>
    <w:basedOn w:val="1"/>
    <w:uiPriority w:val="0"/>
    <w:pPr>
      <w:spacing w:line="360" w:lineRule="auto"/>
      <w:outlineLvl w:val="1"/>
    </w:pPr>
    <w:rPr>
      <w:rFonts w:eastAsia="黑体"/>
      <w:b/>
      <w:sz w:val="28"/>
      <w:szCs w:val="28"/>
    </w:rPr>
  </w:style>
  <w:style w:type="paragraph" w:customStyle="1" w:styleId="74">
    <w:name w:val="N1"/>
    <w:basedOn w:val="2"/>
    <w:uiPriority w:val="0"/>
    <w:pPr>
      <w:tabs>
        <w:tab w:val="left" w:pos="420"/>
      </w:tabs>
      <w:spacing w:line="360" w:lineRule="auto"/>
      <w:jc w:val="center"/>
    </w:pPr>
    <w:rPr>
      <w:rFonts w:eastAsia="黑体"/>
      <w:bCs/>
      <w:sz w:val="32"/>
      <w:szCs w:val="32"/>
    </w:rPr>
  </w:style>
  <w:style w:type="character" w:customStyle="1" w:styleId="75">
    <w:name w:val="页脚 Char"/>
    <w:link w:val="16"/>
    <w:uiPriority w:val="99"/>
    <w:rPr>
      <w:kern w:val="2"/>
      <w:sz w:val="18"/>
    </w:rPr>
  </w:style>
  <w:style w:type="character" w:customStyle="1" w:styleId="76">
    <w:name w:val="页眉 Char"/>
    <w:link w:val="17"/>
    <w:uiPriority w:val="99"/>
    <w:rPr>
      <w:kern w:val="2"/>
      <w:sz w:val="18"/>
    </w:rPr>
  </w:style>
  <w:style w:type="paragraph" w:customStyle="1" w:styleId="77">
    <w:name w:val="TOC Heading"/>
    <w:basedOn w:val="2"/>
    <w:next w:val="1"/>
    <w:semiHidden/>
    <w:unhideWhenUsed/>
    <w:qFormat/>
    <w:uiPriority w:val="39"/>
    <w:pPr>
      <w:widowControl/>
      <w:spacing w:before="480" w:after="0" w:line="276" w:lineRule="auto"/>
      <w:jc w:val="left"/>
      <w:outlineLvl w:val="9"/>
    </w:pPr>
    <w:rPr>
      <w:rFonts w:ascii="Cambria" w:hAnsi="Cambria" w:eastAsia="宋体"/>
      <w:bCs/>
      <w:color w:val="365F91"/>
      <w:kern w:val="0"/>
      <w:sz w:val="28"/>
      <w:szCs w:val="28"/>
    </w:rPr>
  </w:style>
  <w:style w:type="character" w:customStyle="1" w:styleId="78">
    <w:name w:val="a表格 Char Char"/>
    <w:uiPriority w:val="0"/>
    <w:rPr>
      <w:rFonts w:ascii="Times New Roman" w:hAnsi="Times New Roman" w:eastAsia="宋体"/>
      <w:kern w:val="2"/>
      <w:sz w:val="21"/>
      <w:szCs w:val="24"/>
    </w:rPr>
  </w:style>
  <w:style w:type="character" w:customStyle="1" w:styleId="79">
    <w:name w:val="批注框文本 Char"/>
    <w:link w:val="15"/>
    <w:uiPriority w:val="0"/>
    <w:rPr>
      <w:kern w:val="2"/>
      <w:sz w:val="18"/>
      <w:szCs w:val="18"/>
    </w:rPr>
  </w:style>
  <w:style w:type="paragraph" w:customStyle="1" w:styleId="80">
    <w:name w:val="图表头"/>
    <w:basedOn w:val="1"/>
    <w:uiPriority w:val="0"/>
    <w:pPr>
      <w:adjustRightInd w:val="0"/>
      <w:spacing w:line="360" w:lineRule="auto"/>
      <w:jc w:val="center"/>
      <w:textAlignment w:val="baseline"/>
    </w:pPr>
    <w:rPr>
      <w:rFonts w:ascii="黑体" w:eastAsia="黑体"/>
      <w:spacing w:val="5"/>
      <w:kern w:val="0"/>
    </w:rPr>
  </w:style>
  <w:style w:type="character" w:customStyle="1" w:styleId="81">
    <w:name w:val="表格内容 Char Char"/>
    <w:link w:val="36"/>
    <w:qFormat/>
    <w:uiPriority w:val="0"/>
    <w:rPr>
      <w:sz w:val="24"/>
      <w:lang w:bidi="he-IL"/>
    </w:rPr>
  </w:style>
  <w:style w:type="character" w:customStyle="1" w:styleId="82">
    <w:name w:val="apple-converted-space"/>
    <w:basedOn w:val="26"/>
    <w:uiPriority w:val="0"/>
  </w:style>
  <w:style w:type="paragraph" w:customStyle="1" w:styleId="83">
    <w:name w:val="4"/>
    <w:basedOn w:val="1"/>
    <w:next w:val="11"/>
    <w:uiPriority w:val="0"/>
    <w:rPr>
      <w:rFonts w:ascii="宋体" w:hAnsi="Courier New" w:cs="Courier New"/>
      <w:szCs w:val="21"/>
    </w:rPr>
  </w:style>
  <w:style w:type="character" w:customStyle="1" w:styleId="84">
    <w:name w:val="正文缩进 Char"/>
    <w:link w:val="6"/>
    <w:uiPriority w:val="0"/>
    <w:rPr>
      <w:kern w:val="2"/>
      <w:sz w:val="28"/>
    </w:rPr>
  </w:style>
  <w:style w:type="character" w:customStyle="1" w:styleId="85">
    <w:name w:val="zhang正文 Char1"/>
    <w:qFormat/>
    <w:uiPriority w:val="0"/>
    <w:rPr>
      <w:rFonts w:eastAsia="楷体_GB2312"/>
      <w:sz w:val="28"/>
      <w:lang w:val="en-US" w:eastAsia="zh-CN" w:bidi="ar-SA"/>
    </w:rPr>
  </w:style>
  <w:style w:type="paragraph" w:customStyle="1" w:styleId="86">
    <w:name w:val="正文01"/>
    <w:basedOn w:val="1"/>
    <w:qFormat/>
    <w:uiPriority w:val="0"/>
    <w:pPr>
      <w:adjustRightInd w:val="0"/>
      <w:spacing w:line="360" w:lineRule="auto"/>
      <w:ind w:firstLine="480" w:firstLineChars="200"/>
      <w:textAlignment w:val="baseline"/>
    </w:pPr>
    <w:rPr>
      <w:color w:val="000000"/>
      <w:sz w:val="24"/>
      <w:szCs w:val="24"/>
    </w:rPr>
  </w:style>
  <w:style w:type="character" w:customStyle="1" w:styleId="87">
    <w:name w:val="fontstyle01"/>
    <w:basedOn w:val="26"/>
    <w:qFormat/>
    <w:uiPriority w:val="0"/>
    <w:rPr>
      <w:rFonts w:hint="eastAsia" w:ascii="宋体" w:hAnsi="宋体" w:eastAsia="宋体"/>
      <w:color w:val="000000"/>
      <w:sz w:val="28"/>
      <w:szCs w:val="28"/>
    </w:rPr>
  </w:style>
  <w:style w:type="character" w:customStyle="1" w:styleId="88">
    <w:name w:val="fontstyle21"/>
    <w:basedOn w:val="26"/>
    <w:qFormat/>
    <w:uiPriority w:val="0"/>
    <w:rPr>
      <w:rFonts w:hint="default" w:ascii="Times New Roman" w:hAnsi="Times New Roman" w:cs="Times New Roman"/>
      <w:color w:val="000000"/>
      <w:sz w:val="28"/>
      <w:szCs w:val="28"/>
    </w:rPr>
  </w:style>
  <w:style w:type="character" w:customStyle="1" w:styleId="89">
    <w:name w:val="fontstyle11"/>
    <w:basedOn w:val="26"/>
    <w:qFormat/>
    <w:uiPriority w:val="0"/>
    <w:rPr>
      <w:rFonts w:hint="default" w:ascii="Times New Roman" w:hAnsi="Times New Roman" w:cs="Times New Roman"/>
      <w:color w:val="000000"/>
      <w:sz w:val="18"/>
      <w:szCs w:val="18"/>
    </w:rPr>
  </w:style>
  <w:style w:type="paragraph" w:customStyle="1" w:styleId="90">
    <w:name w:val="Char"/>
    <w:basedOn w:val="1"/>
    <w:qFormat/>
    <w:uiPriority w:val="0"/>
    <w:pPr>
      <w:widowControl/>
      <w:spacing w:line="360" w:lineRule="auto"/>
      <w:ind w:firstLine="200" w:firstLineChars="200"/>
      <w:outlineLvl w:val="3"/>
    </w:pPr>
    <w:rPr>
      <w:rFonts w:ascii="Verdana" w:hAnsi="Verdana"/>
      <w:sz w:val="24"/>
      <w:szCs w:val="30"/>
      <w:lang w:eastAsia="en-US"/>
    </w:rPr>
  </w:style>
  <w:style w:type="paragraph" w:customStyle="1" w:styleId="91">
    <w:name w:val="Char1"/>
    <w:basedOn w:val="1"/>
    <w:qFormat/>
    <w:uiPriority w:val="0"/>
    <w:pPr>
      <w:widowControl/>
      <w:spacing w:line="360" w:lineRule="auto"/>
      <w:ind w:firstLine="200" w:firstLineChars="200"/>
      <w:outlineLvl w:val="3"/>
    </w:pPr>
    <w:rPr>
      <w:rFonts w:ascii="Verdana" w:hAnsi="Verdana"/>
      <w:sz w:val="24"/>
      <w:szCs w:val="30"/>
      <w:lang w:eastAsia="en-US"/>
    </w:rPr>
  </w:style>
  <w:style w:type="paragraph" w:customStyle="1" w:styleId="92">
    <w:name w:val="样式6"/>
    <w:basedOn w:val="1"/>
    <w:qFormat/>
    <w:uiPriority w:val="0"/>
    <w:pPr>
      <w:spacing w:line="288" w:lineRule="auto"/>
      <w:jc w:val="center"/>
    </w:pPr>
    <w:rPr>
      <w:szCs w:val="24"/>
    </w:rPr>
  </w:style>
  <w:style w:type="paragraph" w:styleId="93">
    <w:name w:val="List Paragraph"/>
    <w:basedOn w:val="1"/>
    <w:qFormat/>
    <w:uiPriority w:val="34"/>
    <w:pPr>
      <w:ind w:firstLine="420" w:firstLineChars="200"/>
    </w:pPr>
  </w:style>
  <w:style w:type="paragraph" w:customStyle="1" w:styleId="94">
    <w:name w:val="Char2"/>
    <w:basedOn w:val="1"/>
    <w:qFormat/>
    <w:uiPriority w:val="0"/>
    <w:pPr>
      <w:widowControl/>
      <w:spacing w:line="360" w:lineRule="auto"/>
      <w:ind w:firstLine="200" w:firstLineChars="200"/>
      <w:outlineLvl w:val="3"/>
    </w:pPr>
    <w:rPr>
      <w:rFonts w:ascii="Verdana" w:hAnsi="Verdana"/>
      <w:sz w:val="24"/>
      <w:szCs w:val="30"/>
      <w:lang w:eastAsia="en-US"/>
    </w:rPr>
  </w:style>
  <w:style w:type="paragraph" w:customStyle="1" w:styleId="95">
    <w:name w:val="Char Char Char Char Char Char Char Char Char Char2"/>
    <w:basedOn w:val="1"/>
    <w:uiPriority w:val="0"/>
  </w:style>
  <w:style w:type="character" w:customStyle="1" w:styleId="96">
    <w:name w:val="fontstyle31"/>
    <w:basedOn w:val="26"/>
    <w:uiPriority w:val="0"/>
    <w:rPr>
      <w:rFonts w:hint="default" w:ascii="Times New Roman" w:hAnsi="Times New Roman" w:cs="Times New Roman"/>
      <w:color w:val="000000"/>
      <w:sz w:val="18"/>
      <w:szCs w:val="18"/>
    </w:rPr>
  </w:style>
  <w:style w:type="paragraph" w:customStyle="1" w:styleId="97">
    <w:name w:val="Char3"/>
    <w:basedOn w:val="1"/>
    <w:qFormat/>
    <w:uiPriority w:val="0"/>
    <w:pPr>
      <w:widowControl/>
      <w:spacing w:line="360" w:lineRule="auto"/>
      <w:ind w:firstLine="200" w:firstLineChars="200"/>
      <w:outlineLvl w:val="3"/>
    </w:pPr>
    <w:rPr>
      <w:rFonts w:ascii="Verdana" w:hAnsi="Verdana"/>
      <w:sz w:val="24"/>
      <w:szCs w:val="30"/>
      <w:lang w:eastAsia="en-US"/>
    </w:rPr>
  </w:style>
  <w:style w:type="paragraph" w:customStyle="1" w:styleId="98">
    <w:name w:val="Char4"/>
    <w:basedOn w:val="1"/>
    <w:qFormat/>
    <w:uiPriority w:val="0"/>
    <w:pPr>
      <w:widowControl/>
      <w:spacing w:line="360" w:lineRule="auto"/>
      <w:ind w:firstLine="200" w:firstLineChars="200"/>
      <w:outlineLvl w:val="3"/>
    </w:pPr>
    <w:rPr>
      <w:rFonts w:ascii="Verdana" w:hAnsi="Verdana"/>
      <w:sz w:val="24"/>
      <w:szCs w:val="30"/>
      <w:lang w:eastAsia="en-US"/>
    </w:rPr>
  </w:style>
  <w:style w:type="paragraph" w:customStyle="1" w:styleId="99">
    <w:name w:val="表格名称"/>
    <w:basedOn w:val="1"/>
    <w:qFormat/>
    <w:uiPriority w:val="0"/>
    <w:pPr>
      <w:spacing w:line="360" w:lineRule="auto"/>
      <w:jc w:val="center"/>
    </w:pPr>
    <w:rPr>
      <w:b/>
      <w:sz w:val="24"/>
      <w:szCs w:val="24"/>
    </w:rPr>
  </w:style>
  <w:style w:type="paragraph" w:customStyle="1" w:styleId="100">
    <w:name w:val="Char5"/>
    <w:basedOn w:val="1"/>
    <w:qFormat/>
    <w:uiPriority w:val="0"/>
    <w:pPr>
      <w:widowControl/>
      <w:spacing w:line="360" w:lineRule="auto"/>
      <w:ind w:firstLine="200" w:firstLineChars="200"/>
      <w:outlineLvl w:val="3"/>
    </w:pPr>
    <w:rPr>
      <w:rFonts w:ascii="Verdana" w:hAnsi="Verdana"/>
      <w:sz w:val="24"/>
      <w:szCs w:val="30"/>
      <w:lang w:eastAsia="en-US"/>
    </w:rPr>
  </w:style>
  <w:style w:type="paragraph" w:customStyle="1" w:styleId="101">
    <w:name w:val="Char6"/>
    <w:basedOn w:val="1"/>
    <w:qFormat/>
    <w:uiPriority w:val="0"/>
    <w:pPr>
      <w:widowControl/>
      <w:spacing w:line="360" w:lineRule="auto"/>
      <w:ind w:firstLine="200" w:firstLineChars="200"/>
      <w:outlineLvl w:val="3"/>
    </w:pPr>
    <w:rPr>
      <w:rFonts w:ascii="Verdana" w:hAnsi="Verdana"/>
      <w:sz w:val="24"/>
      <w:szCs w:val="3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header" Target="header2.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wmf"/><Relationship Id="rId30" Type="http://schemas.openxmlformats.org/officeDocument/2006/relationships/image" Target="media/image21.wmf"/><Relationship Id="rId3" Type="http://schemas.openxmlformats.org/officeDocument/2006/relationships/footer" Target="footer1.xml"/><Relationship Id="rId29" Type="http://schemas.openxmlformats.org/officeDocument/2006/relationships/image" Target="media/image20.wmf"/><Relationship Id="rId28" Type="http://schemas.openxmlformats.org/officeDocument/2006/relationships/image" Target="media/image19.wmf"/><Relationship Id="rId27" Type="http://schemas.openxmlformats.org/officeDocument/2006/relationships/image" Target="media/image18.wmf"/><Relationship Id="rId26" Type="http://schemas.openxmlformats.org/officeDocument/2006/relationships/image" Target="media/image17.wmf"/><Relationship Id="rId25" Type="http://schemas.openxmlformats.org/officeDocument/2006/relationships/image" Target="media/image16.wmf"/><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oleObject" Target="embeddings/oleObject1.bin"/><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GIF"/><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148"/>
    <customShpInfo spid="_x0000_s1475"/>
    <customShpInfo spid="_x0000_s1474"/>
    <customShpInfo spid="_x0000_s1661"/>
    <customShpInfo spid="_x0000_s1660"/>
    <customShpInfo spid="_x0000_s1470"/>
    <customShpInfo spid="_x0000_s1548"/>
    <customShpInfo spid="_x0000_s1473"/>
    <customShpInfo spid="_x0000_s1468"/>
    <customShpInfo spid="_x0000_s1607"/>
    <customShpInfo spid="_x0000_s1472"/>
    <customShpInfo spid="_x0000_s1574"/>
    <customShpInfo spid="_x0000_s1596"/>
    <customShpInfo spid="_x0000_s1598"/>
    <customShpInfo spid="_x0000_s1568"/>
    <customShpInfo spid="_x0000_s1532"/>
    <customShpInfo spid="_x0000_s1564"/>
    <customShpInfo spid="_x0000_s1537"/>
    <customShpInfo spid="_x0000_s1561"/>
    <customShpInfo spid="_x0000_s1567"/>
    <customShpInfo spid="_x0000_s1565"/>
    <customShpInfo spid="_x0000_s1560"/>
    <customShpInfo spid="_x0000_s1569"/>
    <customShpInfo spid="_x0000_s1562"/>
    <customShpInfo spid="_x0000_s1633"/>
    <customShpInfo spid="_x0000_s1551"/>
    <customShpInfo spid="_x0000_s1550"/>
    <customShpInfo spid="_x0000_s1557"/>
    <customShpInfo spid="_x0000_s1556"/>
    <customShpInfo spid="_x0000_s1555"/>
    <customShpInfo spid="_x0000_s1632"/>
    <customShpInfo spid="_x0000_s1631"/>
    <customShpInfo spid="_x0000_s1597"/>
    <customShpInfo spid="_x0000_s1566"/>
    <customShpInfo spid="_x0000_s1530"/>
    <customShpInfo spid="_x0000_s1533"/>
    <customShpInfo spid="_x0000_s1563"/>
    <customShpInfo spid="_x0000_s1587"/>
    <customShpInfo spid="_x0000_s1535"/>
    <customShpInfo spid="_x0000_s1534"/>
    <customShpInfo spid="_x0000_s1648"/>
    <customShpInfo spid="_x0000_s1643"/>
    <customShpInfo spid="_x0000_s1649"/>
    <customShpInfo spid="_x0000_s1691"/>
    <customShpInfo spid="_x0000_s1682"/>
    <customShpInfo spid="_x0000_s1683"/>
    <customShpInfo spid="_x0000_s1671"/>
    <customShpInfo spid="_x0000_s1672"/>
    <customShpInfo spid="_x0000_s1545"/>
    <customShpInfo spid="_x0000_s1546"/>
    <customShpInfo spid="_x0000_s1543"/>
    <customShpInfo spid="_x0000_s1544"/>
    <customShpInfo spid="_x0000_s1547"/>
    <customShpInfo spid="_x0000_s1686"/>
    <customShpInfo spid="_x0000_s168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A62D8B-5E95-4103-B685-3674517299C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7730</Words>
  <Characters>44067</Characters>
  <Lines>367</Lines>
  <Paragraphs>103</Paragraphs>
  <TotalTime>5345</TotalTime>
  <ScaleCrop>false</ScaleCrop>
  <LinksUpToDate>false</LinksUpToDate>
  <CharactersWithSpaces>51694</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2017-06-23T00:43:00Z</dcterms:created>
  <dc:creator>LiaoLL</dc:creator>
  <cp:lastModifiedBy>林偉強</cp:lastModifiedBy>
  <cp:lastPrinted>2017-03-02T01:09:00Z</cp:lastPrinted>
  <dcterms:modified xsi:type="dcterms:W3CDTF">2022-05-17T01:49:06Z</dcterms:modified>
  <dc:title>福建省建设项目环境影响</dc:title>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3C68FCCA52084803998512445F005414</vt:lpwstr>
  </property>
</Properties>
</file>