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u w:val="none"/>
          <w:shd w:val="clear" w:color="auto" w:fill="auto"/>
          <w:lang w:val="en-US" w:eastAsia="zh-CN" w:bidi="zh-TW"/>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u w:val="none"/>
          <w:shd w:val="clear" w:color="auto" w:fill="auto"/>
          <w:lang w:val="en-US" w:eastAsia="zh-CN" w:bidi="zh-TW"/>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ascii="å¾®è½¯é›…é»‘" w:hAnsi="å¾®è½¯é›…é»‘" w:eastAsia="å¾®è½¯é›…é»‘" w:cs="å¾®è½¯é›…é»‘"/>
          <w:b/>
          <w:bCs/>
          <w:i w:val="0"/>
          <w:iCs w:val="0"/>
          <w:caps w:val="0"/>
          <w:color w:val="auto"/>
          <w:spacing w:val="0"/>
          <w:sz w:val="48"/>
          <w:szCs w:val="48"/>
        </w:rPr>
      </w:pPr>
      <w:r>
        <w:rPr>
          <w:rFonts w:hint="eastAsia" w:ascii="方正小标宋简体" w:hAnsi="方正小标宋简体" w:eastAsia="方正小标宋简体" w:cs="方正小标宋简体"/>
          <w:b w:val="0"/>
          <w:bCs w:val="0"/>
          <w:color w:val="auto"/>
          <w:kern w:val="2"/>
          <w:sz w:val="44"/>
          <w:szCs w:val="44"/>
          <w:u w:val="none"/>
          <w:shd w:val="clear" w:color="auto" w:fill="auto"/>
          <w:lang w:val="en-US" w:eastAsia="zh-CN" w:bidi="zh-TW"/>
        </w:rPr>
        <w:t>关于闽侯县</w:t>
      </w:r>
      <w:r>
        <w:rPr>
          <w:rFonts w:hint="default" w:ascii="方正小标宋简体" w:hAnsi="方正小标宋简体" w:eastAsia="方正小标宋简体" w:cs="方正小标宋简体"/>
          <w:b w:val="0"/>
          <w:bCs w:val="0"/>
          <w:color w:val="auto"/>
          <w:kern w:val="2"/>
          <w:sz w:val="44"/>
          <w:szCs w:val="44"/>
          <w:u w:val="none"/>
          <w:shd w:val="clear" w:color="auto" w:fill="auto"/>
          <w:lang w:val="en-US" w:eastAsia="zh-CN" w:bidi="zh-TW"/>
        </w:rPr>
        <w:t>县域商业建设</w:t>
      </w:r>
      <w:r>
        <w:rPr>
          <w:rFonts w:hint="eastAsia" w:ascii="方正小标宋简体" w:hAnsi="方正小标宋简体" w:eastAsia="方正小标宋简体" w:cs="方正小标宋简体"/>
          <w:b w:val="0"/>
          <w:bCs w:val="0"/>
          <w:color w:val="auto"/>
          <w:kern w:val="2"/>
          <w:sz w:val="44"/>
          <w:szCs w:val="44"/>
          <w:u w:val="none"/>
          <w:shd w:val="clear" w:color="auto" w:fill="auto"/>
          <w:lang w:val="en-US" w:eastAsia="zh-CN" w:bidi="zh-TW"/>
        </w:rPr>
        <w:t>行动的意见征集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620" w:firstLineChars="200"/>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为进一步推动我县县域商业建设行动工作，请您向我们提出宝贵意见和建议。</w:t>
      </w:r>
    </w:p>
    <w:p>
      <w:pPr>
        <w:keepNext w:val="0"/>
        <w:keepLines w:val="0"/>
        <w:pageBreakBefore w:val="0"/>
        <w:widowControl w:val="0"/>
        <w:kinsoku/>
        <w:wordWrap/>
        <w:overflowPunct/>
        <w:topLinePunct w:val="0"/>
        <w:autoSpaceDE/>
        <w:autoSpaceDN/>
        <w:bidi w:val="0"/>
        <w:adjustRightInd/>
        <w:snapToGrid/>
        <w:spacing w:line="640" w:lineRule="exact"/>
        <w:ind w:firstLine="62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宋体" w:eastAsia="仿宋_GB2312" w:cs="仿宋_GB2312"/>
          <w:color w:val="auto"/>
          <w:kern w:val="0"/>
          <w:sz w:val="31"/>
          <w:szCs w:val="31"/>
          <w:lang w:val="en-US" w:eastAsia="zh-CN" w:bidi="ar"/>
        </w:rPr>
        <w:t>征集时间：9月15日-</w:t>
      </w:r>
      <w:r>
        <w:rPr>
          <w:rFonts w:hint="eastAsia" w:ascii="仿宋_GB2312" w:hAnsi="仿宋_GB2312" w:eastAsia="仿宋_GB2312" w:cs="仿宋_GB2312"/>
          <w:color w:val="auto"/>
          <w:sz w:val="32"/>
          <w:szCs w:val="32"/>
          <w:lang w:val="en-US" w:eastAsia="zh-CN"/>
        </w:rPr>
        <w:t xml:space="preserve"> 10月15日</w:t>
      </w:r>
    </w:p>
    <w:p>
      <w:pPr>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4"/>
        <w:rPr>
          <w:rFonts w:hint="eastAsia" w:ascii="仿宋_GB2312" w:hAnsi="宋体" w:eastAsia="仿宋_GB2312" w:cs="仿宋_GB2312"/>
          <w:b w:val="0"/>
          <w:bCs w:val="0"/>
          <w:color w:val="auto"/>
          <w:kern w:val="0"/>
          <w:sz w:val="31"/>
          <w:szCs w:val="31"/>
          <w:lang w:val="en-US" w:eastAsia="zh-CN" w:bidi="ar"/>
        </w:rPr>
      </w:pPr>
      <w:r>
        <w:rPr>
          <w:rFonts w:hint="eastAsia" w:ascii="仿宋_GB2312" w:hAnsi="宋体" w:eastAsia="仿宋_GB2312" w:cs="仿宋_GB2312"/>
          <w:b w:val="0"/>
          <w:bCs w:val="0"/>
          <w:color w:val="auto"/>
          <w:kern w:val="0"/>
          <w:sz w:val="31"/>
          <w:szCs w:val="31"/>
          <w:lang w:val="en-US" w:eastAsia="zh-CN" w:bidi="ar"/>
        </w:rPr>
        <w:t>附件1：闽侯县县域商业建设工作方案</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after="0" w:line="640" w:lineRule="exact"/>
        <w:textAlignment w:val="auto"/>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4"/>
        <w:rPr>
          <w:rFonts w:hint="eastAsia" w:ascii="仿宋_GB2312" w:hAnsi="仿宋_GB2312" w:eastAsia="仿宋_GB2312" w:cs="仿宋_GB2312"/>
          <w:b w:val="0"/>
          <w:bCs w:val="0"/>
          <w:color w:val="auto"/>
          <w:kern w:val="2"/>
          <w:sz w:val="32"/>
          <w:szCs w:val="32"/>
          <w:lang w:val="en-US" w:eastAsia="zh-CN" w:bidi="ar-SA"/>
        </w:rPr>
      </w:pPr>
    </w:p>
    <w:p>
      <w:pPr>
        <w:pStyle w:val="4"/>
        <w:rPr>
          <w:rFonts w:hint="eastAsia" w:ascii="仿宋_GB2312" w:hAnsi="仿宋_GB2312" w:eastAsia="仿宋_GB2312" w:cs="仿宋_GB2312"/>
          <w:b w:val="0"/>
          <w:bCs w:val="0"/>
          <w:color w:val="auto"/>
          <w:kern w:val="2"/>
          <w:sz w:val="32"/>
          <w:szCs w:val="32"/>
          <w:lang w:val="en-US" w:eastAsia="zh-CN" w:bidi="ar-SA"/>
        </w:rPr>
      </w:pPr>
    </w:p>
    <w:p>
      <w:pPr>
        <w:pStyle w:val="4"/>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闽侯县县域商业建设工作方案</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截至2021年底， 本县常住人口101.5万， 6 个乡、7个镇、274个行政村，2021年农村居民人均可支配收入24180 元，人均消费支出20505元。全县社会消费品零售额 318.3亿元，同比增长7.1%。2021年全县快递物流服务站点54个，快递业务量 18117.48万件，快递进村覆盖率为100%。全县县域龙头商贸流通企业25家，县城商贸综合服务中心1个，乡镇商贸中心6个，县级物流配送中心1个，乡镇快递物流服务站点已实现全覆盖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（一）总体目标</w:t>
      </w:r>
    </w:p>
    <w:p>
      <w:pPr>
        <w:keepNext w:val="0"/>
        <w:keepLines w:val="0"/>
        <w:pageBreakBefore w:val="0"/>
        <w:kinsoku/>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高举习近平新时代中国特色社会主义思想伟大旗帜，深入贯彻党的十九大和十九届</w:t>
      </w:r>
      <w:r>
        <w:rPr>
          <w:rFonts w:hint="eastAsia" w:ascii="仿宋_GB2312" w:hAnsi="仿宋_GB2312" w:eastAsia="仿宋_GB2312" w:cs="仿宋_GB2312"/>
          <w:color w:val="auto"/>
          <w:sz w:val="32"/>
          <w:szCs w:val="32"/>
          <w:lang w:val="en-US" w:eastAsia="zh-CN"/>
        </w:rPr>
        <w:t>历次</w:t>
      </w:r>
      <w:r>
        <w:rPr>
          <w:rFonts w:hint="default" w:ascii="仿宋_GB2312" w:hAnsi="仿宋_GB2312" w:eastAsia="仿宋_GB2312" w:cs="仿宋_GB2312"/>
          <w:color w:val="auto"/>
          <w:sz w:val="32"/>
          <w:szCs w:val="32"/>
          <w:lang w:val="en-US" w:eastAsia="zh-CN"/>
        </w:rPr>
        <w:t>全会精神</w:t>
      </w:r>
      <w:r>
        <w:rPr>
          <w:rFonts w:hint="eastAsia" w:ascii="仿宋_GB2312" w:hAnsi="仿宋_GB2312" w:eastAsia="仿宋_GB2312" w:cs="仿宋_GB2312"/>
          <w:color w:val="auto"/>
          <w:sz w:val="32"/>
          <w:szCs w:val="32"/>
          <w:lang w:val="en-US" w:eastAsia="zh-CN"/>
        </w:rPr>
        <w:t>，按照福建省第十一次党代会和福州市第十一次党代会的总体部署，把握新发展阶段，贯彻新发展理念，构建新发展格局，加快建设现代化国际城市，全面落实强省会战略，以渠道下沉和农产品上行为主线，推动资源要素向农村市场倾斜，完善农产品现代流通体系，畅通工业品下乡和农产品进城双向流通渠道，推动县域商业高质量发展，实现农民增收与消费提质良性循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w w:val="100"/>
          <w:position w:val="0"/>
          <w:sz w:val="32"/>
          <w:szCs w:val="32"/>
        </w:rPr>
        <w:t>“十四五”时期，实施“县域商业建设行动”，</w:t>
      </w:r>
      <w:r>
        <w:rPr>
          <w:rFonts w:hint="eastAsia" w:ascii="仿宋_GB2312" w:hAnsi="仿宋_GB2312" w:eastAsia="仿宋_GB2312" w:cs="仿宋_GB2312"/>
          <w:color w:val="auto"/>
          <w:sz w:val="32"/>
          <w:szCs w:val="32"/>
          <w:lang w:val="en-US" w:eastAsia="zh-CN"/>
        </w:rPr>
        <w:t>逐步建立完善县</w:t>
      </w:r>
      <w:r>
        <w:rPr>
          <w:rFonts w:hint="eastAsia" w:ascii="仿宋_GB2312" w:hAnsi="仿宋_GB2312" w:eastAsia="仿宋_GB2312" w:cs="仿宋_GB2312"/>
          <w:color w:val="auto"/>
          <w:spacing w:val="0"/>
          <w:w w:val="100"/>
          <w:position w:val="0"/>
          <w:sz w:val="32"/>
          <w:szCs w:val="32"/>
          <w:lang w:val="en-US" w:eastAsia="zh-CN"/>
        </w:rPr>
        <w:t>域统筹、以县城为中心、乡镇为重点、村为基础的县域商业体系。到2025年完成基本型</w:t>
      </w:r>
      <w:r>
        <w:rPr>
          <w:rFonts w:hint="eastAsia" w:ascii="仿宋_GB2312" w:hAnsi="仿宋_GB2312" w:eastAsia="仿宋_GB2312" w:cs="仿宋_GB2312"/>
          <w:color w:val="auto"/>
          <w:spacing w:val="0"/>
          <w:w w:val="100"/>
          <w:position w:val="0"/>
          <w:sz w:val="32"/>
          <w:szCs w:val="32"/>
        </w:rPr>
        <w:t>的县域商业建设标准，</w:t>
      </w:r>
      <w:r>
        <w:rPr>
          <w:rFonts w:hint="eastAsia" w:ascii="仿宋_GB2312" w:hAnsi="仿宋_GB2312" w:eastAsia="仿宋_GB2312" w:cs="仿宋_GB2312"/>
          <w:color w:val="auto"/>
          <w:spacing w:val="0"/>
          <w:w w:val="100"/>
          <w:position w:val="0"/>
          <w:sz w:val="32"/>
          <w:szCs w:val="32"/>
          <w:lang w:val="en-US" w:eastAsia="zh-CN"/>
        </w:rPr>
        <w:t>即实现拥有</w:t>
      </w:r>
      <w:r>
        <w:rPr>
          <w:rFonts w:hint="eastAsia" w:ascii="仿宋_GB2312" w:hAnsi="仿宋_GB2312" w:eastAsia="仿宋_GB2312" w:cs="仿宋_GB2312"/>
          <w:color w:val="auto"/>
          <w:spacing w:val="0"/>
          <w:w w:val="100"/>
          <w:position w:val="0"/>
          <w:sz w:val="32"/>
          <w:szCs w:val="32"/>
        </w:rPr>
        <w:t>基本型以上县城综合商贸服务中心</w:t>
      </w:r>
      <w:r>
        <w:rPr>
          <w:rFonts w:hint="eastAsia" w:ascii="仿宋_GB2312" w:hAnsi="仿宋_GB2312" w:eastAsia="仿宋_GB2312" w:cs="仿宋_GB2312"/>
          <w:color w:val="auto"/>
          <w:spacing w:val="0"/>
          <w:w w:val="100"/>
          <w:position w:val="0"/>
          <w:sz w:val="32"/>
          <w:szCs w:val="32"/>
          <w:lang w:val="en-US" w:eastAsia="zh-CN"/>
        </w:rPr>
        <w:t>1个以上</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县级物流配送中心</w:t>
      </w:r>
      <w:r>
        <w:rPr>
          <w:rFonts w:hint="eastAsia" w:ascii="仿宋_GB2312" w:hAnsi="仿宋_GB2312" w:eastAsia="仿宋_GB2312" w:cs="仿宋_GB2312"/>
          <w:color w:val="auto"/>
          <w:spacing w:val="0"/>
          <w:w w:val="100"/>
          <w:position w:val="0"/>
          <w:sz w:val="32"/>
          <w:szCs w:val="32"/>
          <w:lang w:val="en-US" w:eastAsia="zh-CN"/>
        </w:rPr>
        <w:t>1个以上</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
          <w:color w:val="auto"/>
          <w:sz w:val="32"/>
          <w:szCs w:val="32"/>
        </w:rPr>
        <w:t>乡镇有</w:t>
      </w:r>
      <w:r>
        <w:rPr>
          <w:rFonts w:hint="eastAsia" w:ascii="仿宋_GB2312" w:hAnsi="仿宋_GB2312" w:eastAsia="仿宋_GB2312" w:cs="仿宋_GB2312"/>
          <w:color w:val="auto"/>
          <w:spacing w:val="0"/>
          <w:w w:val="100"/>
          <w:position w:val="0"/>
          <w:sz w:val="32"/>
          <w:szCs w:val="32"/>
        </w:rPr>
        <w:t>基本型以上乡镇商贸中心、建制村便民商店全覆盖</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
          <w:color w:val="auto"/>
          <w:sz w:val="32"/>
          <w:szCs w:val="32"/>
        </w:rPr>
        <w:t>村村通快递。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（二）年度分解任务</w:t>
      </w:r>
    </w:p>
    <w:p>
      <w:pPr>
        <w:keepNext w:val="0"/>
        <w:keepLines w:val="0"/>
        <w:pageBreakBefore w:val="0"/>
        <w:kinsoku/>
        <w:overflowPunct/>
        <w:topLinePunct w:val="0"/>
        <w:autoSpaceDE/>
        <w:autoSpaceDN/>
        <w:bidi w:val="0"/>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实现拥有基本型及以上县城综合商贸服务中心、基本型及以上县级物流配送中心；拥有基本型及以上乡镇商贸中心的乡镇数达到54%；拥有基本型及以上村级便民商店的建制村达到65%；建制村快递物流服务站点覆盖率达到100%；县域物流共同配送率达到20%。</w:t>
      </w:r>
    </w:p>
    <w:p>
      <w:pPr>
        <w:keepNext w:val="0"/>
        <w:keepLines w:val="0"/>
        <w:pageBreakBefore w:val="0"/>
        <w:kinsoku/>
        <w:overflowPunct/>
        <w:topLinePunct w:val="0"/>
        <w:autoSpaceDE/>
        <w:autoSpaceDN/>
        <w:bidi w:val="0"/>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2023年：拥有基本型及以上乡镇商贸中心的乡镇数达到</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lang w:val="en-US" w:eastAsia="zh-CN"/>
        </w:rPr>
        <w:t>；拥有基本型及以上村级便民商店的建制村达到77%；建制村快递物流服务站点覆盖率达到100%；县域物流共同配送率达到24%。</w:t>
      </w:r>
    </w:p>
    <w:p>
      <w:pPr>
        <w:keepNext w:val="0"/>
        <w:keepLines w:val="0"/>
        <w:pageBreakBefore w:val="0"/>
        <w:kinsoku/>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2024年：拥有基本型及以上乡镇商贸中心的乡镇数达到92%；拥有基本型及以上村级便民商店的建制村达到88%；建制村快递物流服务站点覆盖率达到100%；县域物流共同配送率达到30%。</w:t>
      </w:r>
    </w:p>
    <w:p>
      <w:pPr>
        <w:keepNext w:val="0"/>
        <w:keepLines w:val="0"/>
        <w:pageBreakBefore w:val="0"/>
        <w:kinsoku/>
        <w:overflowPunct/>
        <w:topLinePunct w:val="0"/>
        <w:autoSpaceDE/>
        <w:autoSpaceDN/>
        <w:bidi w:val="0"/>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2025年：实现基本型及以上的乡镇商贸中心、村级便民商店的建制村达全覆盖；建制村快递物流服务站点全覆盖；县域物流共同配送率达到35%。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三、重点工作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（一）补齐县域商业基础设施短板。</w:t>
      </w:r>
    </w:p>
    <w:p>
      <w:pPr>
        <w:keepNext w:val="0"/>
        <w:keepLines w:val="0"/>
        <w:pageBreakBefore w:val="0"/>
        <w:kinsoku/>
        <w:overflowPunct/>
        <w:topLinePunct w:val="0"/>
        <w:autoSpaceDE/>
        <w:autoSpaceDN/>
        <w:bidi w:val="0"/>
        <w:adjustRightInd w:val="0"/>
        <w:snapToGrid w:val="0"/>
        <w:spacing w:line="500" w:lineRule="exact"/>
        <w:ind w:firstLine="643" w:firstLineChars="200"/>
        <w:textAlignment w:val="auto"/>
        <w:rPr>
          <w:rFonts w:ascii="仿宋_GB2312" w:hAnsi="仿宋_GB2312" w:eastAsia="仿宋_GB2312" w:cs="仿宋"/>
          <w:b/>
          <w:color w:val="auto"/>
          <w:sz w:val="32"/>
          <w:szCs w:val="32"/>
        </w:rPr>
      </w:pPr>
      <w:r>
        <w:rPr>
          <w:rFonts w:hint="eastAsia" w:ascii="仿宋_GB2312" w:hAnsi="仿宋_GB2312" w:eastAsia="仿宋_GB2312" w:cs="仿宋_GB2312"/>
          <w:b/>
          <w:bCs w:val="0"/>
          <w:color w:val="auto"/>
          <w:sz w:val="32"/>
          <w:szCs w:val="32"/>
        </w:rPr>
        <w:t>1.完善县城商业设施。</w:t>
      </w:r>
      <w:r>
        <w:rPr>
          <w:rFonts w:hint="eastAsia" w:ascii="仿宋_GB2312" w:hAnsi="仿宋_GB2312" w:eastAsia="仿宋_GB2312" w:cs="仿宋_GB2312"/>
          <w:color w:val="auto"/>
          <w:sz w:val="32"/>
          <w:szCs w:val="32"/>
          <w:lang w:bidi="ar-SA"/>
        </w:rPr>
        <w:t>强化县城综合商业服务能力，推动县乡村商业联动。</w:t>
      </w:r>
      <w:r>
        <w:rPr>
          <w:rFonts w:hint="eastAsia" w:ascii="仿宋_GB2312" w:hAnsi="仿宋_GB2312" w:eastAsia="仿宋_GB2312" w:cs="仿宋_GB2312"/>
          <w:b w:val="0"/>
          <w:bCs/>
          <w:color w:val="auto"/>
          <w:sz w:val="32"/>
          <w:szCs w:val="32"/>
        </w:rPr>
        <w:t>支持引导大型商贸流通企业新建改造县城综合商贸中心、大型连锁商超等商业设施，丰富购物、餐饮、娱乐、休闲、健身、教育、亲子等业态，提升物流、金融等综合服务能力，提升商旅文融合消费场景。综合考虑县域商贸经济、人口规模、选址布局等因素，支持新建改造县域物流配送中心，提升县级物流配送中心服务功能、辐射能力，打造县域物流配送体系核心枢纽。</w:t>
      </w:r>
      <w:r>
        <w:rPr>
          <w:rFonts w:hint="eastAsia" w:ascii="仿宋_GB2312" w:hAnsi="仿宋_GB2312" w:eastAsia="仿宋_GB2312" w:cs="仿宋"/>
          <w:b/>
          <w:color w:val="auto"/>
          <w:sz w:val="32"/>
          <w:szCs w:val="32"/>
        </w:rPr>
        <w:t>（</w:t>
      </w:r>
      <w:r>
        <w:rPr>
          <w:rFonts w:hint="eastAsia" w:ascii="仿宋_GB2312" w:hAnsi="仿宋_GB2312" w:eastAsia="仿宋_GB2312" w:cs="仿宋"/>
          <w:b/>
          <w:color w:val="auto"/>
          <w:sz w:val="32"/>
          <w:szCs w:val="32"/>
          <w:lang w:eastAsia="zh-CN"/>
        </w:rPr>
        <w:t>责任单位：</w:t>
      </w:r>
      <w:r>
        <w:rPr>
          <w:rFonts w:hint="eastAsia" w:ascii="仿宋_GB2312" w:hAnsi="仿宋_GB2312" w:eastAsia="仿宋_GB2312" w:cs="仿宋"/>
          <w:b/>
          <w:color w:val="auto"/>
          <w:sz w:val="32"/>
          <w:szCs w:val="32"/>
        </w:rPr>
        <w:t>县商务局</w:t>
      </w:r>
      <w:r>
        <w:rPr>
          <w:rFonts w:hint="eastAsia" w:ascii="仿宋_GB2312" w:hAnsi="仿宋_GB2312" w:eastAsia="仿宋_GB2312" w:cs="仿宋"/>
          <w:b/>
          <w:color w:val="auto"/>
          <w:sz w:val="32"/>
          <w:szCs w:val="32"/>
          <w:lang w:eastAsia="zh-CN"/>
        </w:rPr>
        <w:t>、县交通运输局、县邮政管理局、甘蔗街道</w:t>
      </w:r>
      <w:r>
        <w:rPr>
          <w:rFonts w:hint="eastAsia" w:ascii="仿宋_GB2312" w:hAnsi="仿宋_GB2312" w:eastAsia="仿宋_GB2312" w:cs="仿宋"/>
          <w:b/>
          <w:color w:val="auto"/>
          <w:sz w:val="32"/>
          <w:szCs w:val="32"/>
        </w:rPr>
        <w:t>）</w:t>
      </w:r>
    </w:p>
    <w:p>
      <w:pPr>
        <w:pStyle w:val="10"/>
        <w:keepNext w:val="0"/>
        <w:keepLines w:val="0"/>
        <w:pageBreakBefore w:val="0"/>
        <w:kinsoku/>
        <w:overflowPunct/>
        <w:topLinePunct w:val="0"/>
        <w:autoSpaceDE/>
        <w:autoSpaceDN/>
        <w:bidi w:val="0"/>
        <w:adjustRightInd w:val="0"/>
        <w:snapToGrid w:val="0"/>
        <w:spacing w:line="500" w:lineRule="exact"/>
        <w:ind w:left="0" w:leftChars="0" w:firstLine="643" w:firstLineChars="200"/>
        <w:textAlignment w:val="auto"/>
        <w:rPr>
          <w:rFonts w:ascii="仿宋_GB2312" w:hAnsi="仿宋_GB2312" w:eastAsia="仿宋_GB2312" w:cs="仿宋"/>
          <w:b/>
          <w:color w:val="auto"/>
          <w:sz w:val="32"/>
          <w:szCs w:val="32"/>
        </w:rPr>
      </w:pPr>
      <w:r>
        <w:rPr>
          <w:rFonts w:hint="eastAsia" w:ascii="仿宋_GB2312" w:hAnsi="仿宋_GB2312" w:eastAsia="仿宋_GB2312" w:cs="仿宋_GB2312"/>
          <w:b/>
          <w:bCs w:val="0"/>
          <w:color w:val="auto"/>
          <w:kern w:val="2"/>
          <w:sz w:val="32"/>
          <w:szCs w:val="32"/>
          <w:lang w:val="en-US" w:eastAsia="zh-CN" w:bidi="ar-SA"/>
        </w:rPr>
        <w:t>2.建设乡镇商贸中心。</w:t>
      </w:r>
      <w:r>
        <w:rPr>
          <w:rFonts w:hint="eastAsia" w:ascii="仿宋_GB2312" w:hAnsi="仿宋_GB2312" w:eastAsia="仿宋_GB2312" w:cs="仿宋_GB2312"/>
          <w:color w:val="auto"/>
          <w:sz w:val="32"/>
          <w:szCs w:val="32"/>
          <w:lang w:val="en-US" w:eastAsia="zh-CN"/>
        </w:rPr>
        <w:t>推动全县乡镇国土空间规划编制，把乡镇商业纳入乡镇国土空间规划，或有针对性的进行修编调整，统筹安排、适当增加商业用地。</w:t>
      </w:r>
      <w:r>
        <w:rPr>
          <w:rFonts w:hint="eastAsia" w:ascii="仿宋_GB2312" w:hAnsi="仿宋_GB2312" w:eastAsia="仿宋_GB2312" w:cs="仿宋_GB2312"/>
          <w:color w:val="auto"/>
          <w:sz w:val="32"/>
          <w:szCs w:val="32"/>
          <w:lang w:bidi="ar-SA"/>
        </w:rPr>
        <w:t>鼓励企业通过自建、合作等方式，</w:t>
      </w:r>
      <w:r>
        <w:rPr>
          <w:rFonts w:hint="eastAsia" w:ascii="仿宋_GB2312" w:hAnsi="仿宋_GB2312" w:eastAsia="仿宋_GB2312" w:cs="仿宋_GB2312"/>
          <w:color w:val="auto"/>
          <w:sz w:val="32"/>
          <w:szCs w:val="32"/>
          <w:lang w:eastAsia="zh-CN" w:bidi="ar-SA"/>
        </w:rPr>
        <w:t>以农贸市场建设改造为切入点，叠加商超</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eastAsia="zh-CN" w:bidi="ar-SA"/>
        </w:rPr>
        <w:t>餐饮、休闲</w:t>
      </w:r>
      <w:r>
        <w:rPr>
          <w:rFonts w:hint="eastAsia" w:ascii="仿宋_GB2312" w:hAnsi="仿宋_GB2312" w:eastAsia="仿宋_GB2312" w:cs="仿宋_GB2312"/>
          <w:color w:val="auto"/>
          <w:sz w:val="32"/>
          <w:szCs w:val="32"/>
          <w:lang w:bidi="ar-SA"/>
        </w:rPr>
        <w:t>娱乐</w:t>
      </w:r>
      <w:r>
        <w:rPr>
          <w:rFonts w:hint="eastAsia" w:ascii="仿宋_GB2312" w:hAnsi="仿宋_GB2312" w:eastAsia="仿宋_GB2312" w:cs="仿宋_GB2312"/>
          <w:color w:val="auto"/>
          <w:sz w:val="32"/>
          <w:szCs w:val="32"/>
          <w:lang w:eastAsia="zh-CN" w:bidi="ar-SA"/>
        </w:rPr>
        <w:t>等</w:t>
      </w:r>
      <w:r>
        <w:rPr>
          <w:rFonts w:hint="eastAsia" w:ascii="仿宋_GB2312" w:hAnsi="仿宋_GB2312" w:eastAsia="仿宋_GB2312" w:cs="仿宋_GB2312"/>
          <w:color w:val="auto"/>
          <w:sz w:val="32"/>
          <w:szCs w:val="32"/>
          <w:lang w:bidi="ar-SA"/>
        </w:rPr>
        <w:t>业态</w:t>
      </w:r>
      <w:r>
        <w:rPr>
          <w:rFonts w:hint="eastAsia" w:ascii="仿宋_GB2312" w:hAnsi="仿宋_GB2312" w:eastAsia="仿宋_GB2312" w:cs="仿宋_GB2312"/>
          <w:color w:val="auto"/>
          <w:sz w:val="32"/>
          <w:szCs w:val="32"/>
          <w:lang w:eastAsia="zh-CN" w:bidi="ar-SA"/>
        </w:rPr>
        <w:t>，建设改造一批乡镇商贸中心</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val="en-US" w:eastAsia="zh-CN" w:bidi="ar-SA"/>
        </w:rPr>
        <w:t>支持大型商超、连锁便利店下沉渠道，通过</w:t>
      </w:r>
      <w:r>
        <w:rPr>
          <w:rFonts w:hint="eastAsia" w:ascii="仿宋_GB2312" w:hAnsi="仿宋_GB2312" w:eastAsia="仿宋_GB2312" w:cs="仿宋_GB2312"/>
          <w:color w:val="auto"/>
          <w:sz w:val="32"/>
          <w:szCs w:val="32"/>
          <w:lang w:bidi="ar-SA"/>
        </w:rPr>
        <w:t>直营连锁、加盟连锁</w:t>
      </w:r>
      <w:r>
        <w:rPr>
          <w:rFonts w:hint="eastAsia" w:ascii="仿宋_GB2312" w:hAnsi="仿宋_GB2312" w:eastAsia="仿宋_GB2312" w:cs="仿宋_GB2312"/>
          <w:color w:val="auto"/>
          <w:sz w:val="32"/>
          <w:szCs w:val="32"/>
          <w:lang w:val="en-US" w:eastAsia="zh-CN" w:bidi="ar-SA"/>
        </w:rPr>
        <w:t>等方式优化网点布局。到2025年，实现各乡镇基本型及以上商贸中心全覆盖的目标。</w:t>
      </w:r>
      <w:r>
        <w:rPr>
          <w:rFonts w:hint="eastAsia" w:ascii="仿宋_GB2312" w:hAnsi="仿宋_GB2312" w:eastAsia="仿宋_GB2312" w:cs="仿宋"/>
          <w:b/>
          <w:color w:val="auto"/>
          <w:sz w:val="32"/>
          <w:szCs w:val="32"/>
        </w:rPr>
        <w:t>（</w:t>
      </w:r>
      <w:r>
        <w:rPr>
          <w:rFonts w:hint="eastAsia" w:ascii="仿宋_GB2312" w:hAnsi="仿宋_GB2312" w:eastAsia="仿宋_GB2312" w:cs="仿宋"/>
          <w:b/>
          <w:color w:val="auto"/>
          <w:sz w:val="32"/>
          <w:szCs w:val="32"/>
          <w:lang w:eastAsia="zh-CN"/>
        </w:rPr>
        <w:t>责任单位：</w:t>
      </w:r>
      <w:r>
        <w:rPr>
          <w:rFonts w:hint="eastAsia" w:ascii="仿宋_GB2312" w:hAnsi="仿宋_GB2312" w:eastAsia="仿宋_GB2312" w:cs="仿宋"/>
          <w:b/>
          <w:color w:val="auto"/>
          <w:sz w:val="32"/>
          <w:szCs w:val="32"/>
        </w:rPr>
        <w:t>县商务局、</w:t>
      </w:r>
      <w:r>
        <w:rPr>
          <w:rFonts w:hint="eastAsia" w:ascii="仿宋_GB2312" w:hAnsi="仿宋_GB2312" w:eastAsia="仿宋_GB2312" w:cs="仿宋"/>
          <w:b/>
          <w:color w:val="auto"/>
          <w:sz w:val="32"/>
          <w:szCs w:val="32"/>
          <w:lang w:eastAsia="zh-CN"/>
        </w:rPr>
        <w:t>县自然资源与规划局、</w:t>
      </w:r>
      <w:r>
        <w:rPr>
          <w:rFonts w:hint="eastAsia" w:ascii="仿宋_GB2312" w:hAnsi="仿宋_GB2312" w:eastAsia="仿宋_GB2312" w:cs="仿宋_GB2312"/>
          <w:b/>
          <w:color w:val="auto"/>
          <w:sz w:val="32"/>
          <w:szCs w:val="32"/>
        </w:rPr>
        <w:t>各乡镇</w:t>
      </w:r>
      <w:r>
        <w:rPr>
          <w:rFonts w:hint="eastAsia" w:ascii="仿宋_GB2312" w:eastAsia="仿宋_GB2312"/>
          <w:b/>
          <w:color w:val="auto"/>
          <w:sz w:val="32"/>
          <w:szCs w:val="32"/>
        </w:rPr>
        <w:t>人民政府</w:t>
      </w:r>
      <w:r>
        <w:rPr>
          <w:rFonts w:hint="eastAsia" w:ascii="仿宋_GB2312" w:hAnsi="仿宋_GB2312" w:eastAsia="仿宋_GB2312" w:cs="仿宋"/>
          <w:b/>
          <w:color w:val="auto"/>
          <w:sz w:val="32"/>
          <w:szCs w:val="32"/>
        </w:rPr>
        <w:t>）</w:t>
      </w:r>
    </w:p>
    <w:p>
      <w:pPr>
        <w:pStyle w:val="10"/>
        <w:keepNext w:val="0"/>
        <w:keepLines w:val="0"/>
        <w:pageBreakBefore w:val="0"/>
        <w:kinsoku/>
        <w:overflowPunct/>
        <w:topLinePunct w:val="0"/>
        <w:autoSpaceDE/>
        <w:autoSpaceDN/>
        <w:bidi w:val="0"/>
        <w:adjustRightInd w:val="0"/>
        <w:snapToGrid w:val="0"/>
        <w:spacing w:line="500" w:lineRule="exact"/>
        <w:ind w:left="0" w:leftChars="0" w:firstLine="643" w:firstLineChars="200"/>
        <w:textAlignment w:val="auto"/>
        <w:rPr>
          <w:rFonts w:hint="eastAsia" w:ascii="楷体_GB2312" w:hAnsi="楷体_GB2312" w:eastAsia="楷体_GB2312" w:cs="华文楷体"/>
          <w:b/>
          <w:color w:val="auto"/>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3.改造农村商业网点。</w:t>
      </w:r>
      <w:r>
        <w:rPr>
          <w:rFonts w:hint="eastAsia" w:ascii="仿宋_GB2312" w:hAnsi="仿宋_GB2312" w:eastAsia="仿宋_GB2312" w:cs="仿宋_GB2312"/>
          <w:b w:val="0"/>
          <w:bCs/>
          <w:color w:val="auto"/>
          <w:sz w:val="32"/>
          <w:szCs w:val="32"/>
        </w:rPr>
        <w:t>鼓励支持电商、物流、连锁商贸流通企业通过特许加盟、联营联销、供应链赋能等方式，改造提升现有夫妻店、小卖部等传统网点，发展新型乡村连锁便利店，为农民提供日用生活必需品、基本农资等商品购买以及电商、快递收发、生活缴费、农产品上行、涉农信息等服务，满足农民便利消费、就近销售需求。鼓励和支持邮政企业建设综合服务站点，并与乡村便利店实现寄递收发等资源、功能、服务整合共享。</w:t>
      </w:r>
      <w:r>
        <w:rPr>
          <w:rFonts w:hint="eastAsia" w:ascii="仿宋_GB2312" w:hAnsi="仿宋_GB2312" w:eastAsia="仿宋_GB2312" w:cs="仿宋_GB2312"/>
          <w:color w:val="auto"/>
          <w:sz w:val="32"/>
          <w:szCs w:val="32"/>
          <w:lang w:val="en-US" w:eastAsia="zh-CN" w:bidi="ar-SA"/>
        </w:rPr>
        <w:t>到2025年，实现全县建制村级便民商店全覆盖。</w:t>
      </w:r>
      <w:r>
        <w:rPr>
          <w:rFonts w:hint="eastAsia" w:ascii="仿宋_GB2312" w:hAnsi="仿宋_GB2312" w:eastAsia="仿宋_GB2312" w:cs="仿宋"/>
          <w:b/>
          <w:color w:val="auto"/>
          <w:sz w:val="32"/>
          <w:szCs w:val="32"/>
        </w:rPr>
        <w:t>（</w:t>
      </w:r>
      <w:r>
        <w:rPr>
          <w:rFonts w:hint="eastAsia" w:ascii="仿宋_GB2312" w:hAnsi="仿宋_GB2312" w:eastAsia="仿宋_GB2312" w:cs="仿宋"/>
          <w:b/>
          <w:color w:val="auto"/>
          <w:sz w:val="32"/>
          <w:szCs w:val="32"/>
          <w:lang w:eastAsia="zh-CN"/>
        </w:rPr>
        <w:t>责任单位：</w:t>
      </w:r>
      <w:r>
        <w:rPr>
          <w:rFonts w:hint="eastAsia" w:ascii="仿宋_GB2312" w:hAnsi="仿宋_GB2312" w:eastAsia="仿宋_GB2312" w:cs="仿宋"/>
          <w:b/>
          <w:color w:val="auto"/>
          <w:sz w:val="32"/>
          <w:szCs w:val="32"/>
        </w:rPr>
        <w:t>县商务局、</w:t>
      </w:r>
      <w:r>
        <w:rPr>
          <w:rFonts w:hint="eastAsia" w:ascii="仿宋_GB2312" w:hAnsi="仿宋_GB2312" w:eastAsia="仿宋_GB2312" w:cs="仿宋"/>
          <w:b/>
          <w:color w:val="auto"/>
          <w:sz w:val="32"/>
          <w:szCs w:val="32"/>
          <w:lang w:eastAsia="zh-CN"/>
        </w:rPr>
        <w:t>县农业农村局、</w:t>
      </w:r>
      <w:r>
        <w:rPr>
          <w:rFonts w:hint="eastAsia" w:ascii="仿宋_GB2312" w:hAnsi="仿宋_GB2312" w:eastAsia="仿宋_GB2312" w:cs="仿宋"/>
          <w:b/>
          <w:color w:val="auto"/>
          <w:sz w:val="32"/>
          <w:szCs w:val="32"/>
        </w:rPr>
        <w:t>县邮政管理局、县供销社</w:t>
      </w:r>
      <w:r>
        <w:rPr>
          <w:rFonts w:hint="eastAsia" w:ascii="仿宋_GB2312" w:hAnsi="仿宋_GB2312" w:eastAsia="仿宋_GB2312" w:cs="仿宋"/>
          <w:b/>
          <w:color w:val="auto"/>
          <w:sz w:val="32"/>
          <w:szCs w:val="32"/>
          <w:lang w:eastAsia="zh-CN"/>
        </w:rPr>
        <w:t>、各乡镇</w:t>
      </w:r>
      <w:r>
        <w:rPr>
          <w:rFonts w:hint="eastAsia" w:ascii="仿宋_GB2312" w:eastAsia="仿宋_GB2312"/>
          <w:b/>
          <w:color w:val="auto"/>
          <w:sz w:val="32"/>
          <w:szCs w:val="32"/>
        </w:rPr>
        <w:t>人民政府</w:t>
      </w:r>
      <w:r>
        <w:rPr>
          <w:rFonts w:hint="eastAsia" w:ascii="仿宋_GB2312" w:hAnsi="仿宋_GB2312" w:eastAsia="仿宋_GB2312" w:cs="仿宋"/>
          <w:b/>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（二）完善县乡村三级物流配送体系。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val="0"/>
          <w:bCs w:val="0"/>
          <w:color w:val="auto"/>
          <w:sz w:val="32"/>
          <w:szCs w:val="32"/>
          <w:lang w:eastAsia="zh-CN" w:bidi="ar-SA"/>
        </w:rPr>
        <w:t>完善</w:t>
      </w:r>
      <w:r>
        <w:rPr>
          <w:rFonts w:hint="eastAsia" w:ascii="仿宋_GB2312" w:hAnsi="仿宋_GB2312" w:eastAsia="仿宋_GB2312" w:cs="仿宋_GB2312"/>
          <w:color w:val="auto"/>
          <w:sz w:val="32"/>
          <w:szCs w:val="32"/>
          <w:lang w:eastAsia="zh-CN" w:bidi="ar-SA"/>
        </w:rPr>
        <w:t>县乡村三级</w:t>
      </w:r>
      <w:r>
        <w:rPr>
          <w:rFonts w:hint="eastAsia" w:ascii="仿宋_GB2312" w:hAnsi="仿宋_GB2312" w:eastAsia="仿宋_GB2312" w:cs="仿宋_GB2312"/>
          <w:color w:val="auto"/>
          <w:sz w:val="32"/>
          <w:szCs w:val="32"/>
          <w:lang w:bidi="ar-SA"/>
        </w:rPr>
        <w:t>物流</w:t>
      </w:r>
      <w:r>
        <w:rPr>
          <w:rFonts w:hint="eastAsia" w:ascii="仿宋_GB2312" w:hAnsi="仿宋_GB2312" w:eastAsia="仿宋_GB2312" w:cs="仿宋_GB2312"/>
          <w:color w:val="auto"/>
          <w:sz w:val="32"/>
          <w:szCs w:val="32"/>
          <w:lang w:eastAsia="zh-CN" w:bidi="ar-SA"/>
        </w:rPr>
        <w:t>体系，补齐</w:t>
      </w:r>
      <w:r>
        <w:rPr>
          <w:rFonts w:hint="eastAsia" w:ascii="仿宋_GB2312" w:hAnsi="仿宋_GB2312" w:eastAsia="仿宋_GB2312" w:cs="仿宋_GB2312"/>
          <w:color w:val="auto"/>
          <w:sz w:val="32"/>
          <w:szCs w:val="32"/>
          <w:lang w:bidi="ar-SA"/>
        </w:rPr>
        <w:t>基础设施补短板，健全以县级分拨中心、乡镇递送节点、村级公共服务点为支撑的农村配送网络</w:t>
      </w:r>
      <w:r>
        <w:rPr>
          <w:rFonts w:hint="eastAsia" w:ascii="仿宋_GB2312" w:hAnsi="仿宋_GB2312" w:eastAsia="仿宋_GB2312" w:cs="仿宋_GB2312"/>
          <w:color w:val="auto"/>
          <w:kern w:val="2"/>
          <w:sz w:val="32"/>
          <w:szCs w:val="32"/>
          <w:lang w:val="en-US" w:eastAsia="zh-CN" w:bidi="ar-SA"/>
        </w:rPr>
        <w:t>；实施“快递进村”工程，支持供销、邮政、快递、物流、商贸流通等企业开展市场化合作，将各品牌快递寄递件进行统一分拣、运输、配送、揽件</w:t>
      </w:r>
      <w:r>
        <w:rPr>
          <w:rFonts w:hint="eastAsia" w:ascii="仿宋_GB2312" w:hAnsi="仿宋_GB2312" w:eastAsia="仿宋_GB2312" w:cs="仿宋_GB2312"/>
          <w:color w:val="auto"/>
          <w:sz w:val="32"/>
          <w:szCs w:val="32"/>
          <w:lang w:bidi="ar-SA"/>
        </w:rPr>
        <w:t>，建立完善农村物流共同配送服务规范和运营机制</w:t>
      </w:r>
      <w:r>
        <w:rPr>
          <w:rFonts w:hint="eastAsia" w:ascii="仿宋_GB2312" w:hAnsi="仿宋_GB2312" w:eastAsia="仿宋_GB2312" w:cs="仿宋_GB2312"/>
          <w:color w:val="auto"/>
          <w:kern w:val="2"/>
          <w:sz w:val="32"/>
          <w:szCs w:val="32"/>
          <w:lang w:val="en-US" w:eastAsia="zh-CN" w:bidi="ar-SA"/>
        </w:rPr>
        <w:t>。支持邮政利用村委会或党群服务中心，建设村级公共服务网点。对从事乡村物流标准化配送车辆进城通行便利予以支持。</w:t>
      </w:r>
      <w:r>
        <w:rPr>
          <w:rFonts w:hint="eastAsia" w:ascii="仿宋_GB2312" w:hAnsi="仿宋_GB2312" w:eastAsia="仿宋_GB2312" w:cs="仿宋_GB2312"/>
          <w:color w:val="auto"/>
          <w:sz w:val="32"/>
          <w:szCs w:val="32"/>
          <w:lang w:val="en-US" w:eastAsia="zh-CN" w:bidi="ar-SA"/>
        </w:rPr>
        <w:t>到2025年，实现</w:t>
      </w:r>
      <w:r>
        <w:rPr>
          <w:rFonts w:hint="eastAsia" w:ascii="仿宋_GB2312" w:hAnsi="仿宋_GB2312" w:eastAsia="仿宋_GB2312" w:cs="仿宋_GB2312"/>
          <w:color w:val="auto"/>
          <w:sz w:val="32"/>
          <w:szCs w:val="32"/>
          <w:lang w:val="en-US" w:eastAsia="zh-CN"/>
        </w:rPr>
        <w:t>建制村快递物流服务站点全覆盖，县域物流共同配送率达到35%。</w:t>
      </w:r>
      <w:r>
        <w:rPr>
          <w:rFonts w:hint="default"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责任单位：</w:t>
      </w:r>
      <w:r>
        <w:rPr>
          <w:rFonts w:hint="default" w:ascii="仿宋_GB2312" w:hAnsi="仿宋_GB2312" w:eastAsia="仿宋_GB2312" w:cs="仿宋_GB2312"/>
          <w:b/>
          <w:bCs/>
          <w:color w:val="auto"/>
          <w:kern w:val="2"/>
          <w:sz w:val="32"/>
          <w:szCs w:val="32"/>
          <w:lang w:val="en-US" w:eastAsia="zh-CN" w:bidi="ar-SA"/>
        </w:rPr>
        <w:t>县商务局、县交通运输局、县供销社、</w:t>
      </w:r>
      <w:r>
        <w:rPr>
          <w:rFonts w:hint="eastAsia" w:ascii="仿宋_GB2312" w:hAnsi="仿宋_GB2312" w:eastAsia="仿宋_GB2312" w:cs="仿宋_GB2312"/>
          <w:b/>
          <w:bCs/>
          <w:color w:val="auto"/>
          <w:kern w:val="2"/>
          <w:sz w:val="32"/>
          <w:szCs w:val="32"/>
          <w:lang w:val="en-US" w:eastAsia="zh-CN" w:bidi="ar-SA"/>
        </w:rPr>
        <w:t>县邮政管理局</w:t>
      </w:r>
      <w:r>
        <w:rPr>
          <w:rFonts w:hint="eastAsia" w:ascii="仿宋_GB2312" w:hAnsi="仿宋_GB2312" w:eastAsia="仿宋_GB2312" w:cs="仿宋"/>
          <w:b/>
          <w:color w:val="auto"/>
          <w:sz w:val="32"/>
          <w:szCs w:val="32"/>
          <w:lang w:eastAsia="zh-CN"/>
        </w:rPr>
        <w:t>、各乡镇</w:t>
      </w:r>
      <w:r>
        <w:rPr>
          <w:rFonts w:hint="eastAsia" w:ascii="仿宋_GB2312" w:eastAsia="仿宋_GB2312"/>
          <w:b/>
          <w:color w:val="auto"/>
          <w:sz w:val="32"/>
          <w:szCs w:val="32"/>
        </w:rPr>
        <w:t>人民政府</w:t>
      </w:r>
      <w:r>
        <w:rPr>
          <w:rFonts w:hint="default" w:ascii="仿宋_GB2312" w:hAnsi="仿宋_GB2312" w:eastAsia="仿宋_GB2312" w:cs="仿宋_GB2312"/>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（三）改善优化县域消费渠道。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1.引导大型流通企业下沉供应链。</w:t>
      </w:r>
      <w:r>
        <w:rPr>
          <w:rFonts w:hint="eastAsia" w:ascii="仿宋_GB2312" w:hAnsi="仿宋_GB2312" w:eastAsia="仿宋_GB2312" w:cs="仿宋_GB2312"/>
          <w:color w:val="auto"/>
          <w:kern w:val="2"/>
          <w:sz w:val="32"/>
          <w:szCs w:val="32"/>
          <w:lang w:val="en-US" w:eastAsia="zh-CN" w:bidi="ar-SA"/>
        </w:rPr>
        <w:t>布局一批县域前置仓、物流仓储等设施，提供直供直销、集中采购、统一配送、库存管理等服务，让农民直购好产品、新产品。鼓励本地商贸流通企业组建联合采购平台，加大农村地区商品投放力度。发展购物、餐饮、亲子、娱乐、农资等多种业态，承接市民下乡和农民进城消费。</w:t>
      </w:r>
      <w:r>
        <w:rPr>
          <w:rFonts w:hint="default"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责任单位：</w:t>
      </w:r>
      <w:r>
        <w:rPr>
          <w:rFonts w:hint="default" w:ascii="仿宋_GB2312" w:hAnsi="仿宋_GB2312" w:eastAsia="仿宋_GB2312" w:cs="仿宋_GB2312"/>
          <w:b/>
          <w:bCs/>
          <w:color w:val="auto"/>
          <w:kern w:val="2"/>
          <w:sz w:val="32"/>
          <w:szCs w:val="32"/>
          <w:lang w:val="en-US" w:eastAsia="zh-CN" w:bidi="ar-SA"/>
        </w:rPr>
        <w:t>县商务局、县农业农村局、县供销社）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2.</w:t>
      </w:r>
      <w:r>
        <w:rPr>
          <w:rFonts w:hint="default" w:ascii="仿宋_GB2312" w:hAnsi="仿宋_GB2312" w:eastAsia="仿宋_GB2312" w:cs="仿宋_GB2312"/>
          <w:b/>
          <w:bCs w:val="0"/>
          <w:color w:val="auto"/>
          <w:kern w:val="2"/>
          <w:sz w:val="32"/>
          <w:szCs w:val="32"/>
          <w:lang w:val="en-US" w:eastAsia="zh-CN" w:bidi="ar-SA"/>
        </w:rPr>
        <w:t>优化催生农村消费新热点。</w:t>
      </w:r>
      <w:r>
        <w:rPr>
          <w:rFonts w:hint="default" w:ascii="仿宋_GB2312" w:hAnsi="仿宋_GB2312" w:eastAsia="仿宋_GB2312" w:cs="仿宋_GB2312"/>
          <w:color w:val="auto"/>
          <w:kern w:val="2"/>
          <w:sz w:val="32"/>
          <w:szCs w:val="32"/>
          <w:lang w:val="en-US" w:eastAsia="zh-CN" w:bidi="ar-SA"/>
        </w:rPr>
        <w:t>深入研究农村人口变化特点、产业发展、消费升级新趋势，注重老人消费、文化旅游消费、服务消费等文明型、共享型消费，进一步创新市场供给，放大消费示范效应。围绕农村主导产业开发，推动送货到户到地等服务型消费；围绕农村养老托幼需求，推动餐饮、陪护、家政、生活品代购等爱心型消费；围绕乡村旅游、休闲观光等产业开发，推动商业跟进下乡设点的开发型消费；围绕脱贫攻坚与乡村振兴有机衔接，培育网销、代销农产品的双向型消费，进一步打造涵盖全域的消费促进网络，畅通经济良性循环，更好满足人民日益增长的美好生活需要。</w:t>
      </w:r>
      <w:r>
        <w:rPr>
          <w:rFonts w:hint="default"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责任单位：</w:t>
      </w:r>
      <w:r>
        <w:rPr>
          <w:rFonts w:hint="default" w:ascii="仿宋_GB2312" w:hAnsi="仿宋_GB2312" w:eastAsia="仿宋_GB2312" w:cs="仿宋_GB2312"/>
          <w:b/>
          <w:bCs/>
          <w:color w:val="auto"/>
          <w:kern w:val="2"/>
          <w:sz w:val="32"/>
          <w:szCs w:val="32"/>
          <w:lang w:val="en-US" w:eastAsia="zh-CN" w:bidi="ar-SA"/>
        </w:rPr>
        <w:t>县商务局、县文旅局、县农业农村局</w:t>
      </w:r>
      <w:r>
        <w:rPr>
          <w:rFonts w:hint="eastAsia" w:ascii="仿宋_GB2312" w:hAnsi="仿宋_GB2312" w:eastAsia="仿宋_GB2312" w:cs="仿宋_GB2312"/>
          <w:b/>
          <w:bCs/>
          <w:color w:val="auto"/>
          <w:kern w:val="2"/>
          <w:sz w:val="32"/>
          <w:szCs w:val="32"/>
          <w:lang w:val="en-US" w:eastAsia="zh-CN" w:bidi="ar-SA"/>
        </w:rPr>
        <w:t>、县民政局、县卫健局</w:t>
      </w:r>
      <w:r>
        <w:rPr>
          <w:rFonts w:hint="default" w:ascii="仿宋_GB2312" w:hAnsi="仿宋_GB2312" w:eastAsia="仿宋_GB2312" w:cs="仿宋_GB2312"/>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（四）增强农村产品上行动能。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bidi="ar-SA"/>
        </w:rPr>
        <w:t>1.</w:t>
      </w:r>
      <w:r>
        <w:rPr>
          <w:rFonts w:hint="eastAsia" w:ascii="仿宋_GB2312" w:hAnsi="仿宋_GB2312" w:eastAsia="仿宋_GB2312" w:cs="仿宋_GB2312"/>
          <w:b/>
          <w:bCs/>
          <w:color w:val="auto"/>
          <w:sz w:val="32"/>
          <w:szCs w:val="32"/>
          <w:lang w:bidi="ar-SA"/>
        </w:rPr>
        <w:t>提高农产品商品化处理能力。</w:t>
      </w:r>
      <w:r>
        <w:rPr>
          <w:rFonts w:hint="eastAsia" w:ascii="仿宋_GB2312" w:hAnsi="仿宋_GB2312" w:eastAsia="仿宋_GB2312" w:cs="仿宋_GB2312"/>
          <w:color w:val="auto"/>
          <w:kern w:val="2"/>
          <w:sz w:val="32"/>
          <w:szCs w:val="32"/>
          <w:lang w:val="en-US" w:eastAsia="zh-CN" w:bidi="ar-SA"/>
        </w:rPr>
        <w:t>引导商贸、电商、快递、物流企业围绕农村产品上行，建设分拣、预冷、初加工、配送等商品化处理设施，加强标准和品牌应用，提高农村产品商品转化率。整合现有县乡村电子商务服务网点，统筹产品开发、涉及、营销、品牌等服务，拓宽农村产品上行渠道，提高农村电子商务应用水平。</w:t>
      </w:r>
      <w:r>
        <w:rPr>
          <w:rFonts w:hint="eastAsia" w:ascii="仿宋_GB2312" w:hAnsi="仿宋_GB2312" w:eastAsia="仿宋_GB2312" w:cs="仿宋_GB2312"/>
          <w:b/>
          <w:bCs/>
          <w:color w:val="auto"/>
          <w:kern w:val="2"/>
          <w:sz w:val="32"/>
          <w:szCs w:val="32"/>
          <w:lang w:val="en-US" w:eastAsia="zh-CN" w:bidi="ar-SA"/>
        </w:rPr>
        <w:t>（责任单位：县商务局、县农业农村局</w:t>
      </w:r>
      <w:r>
        <w:rPr>
          <w:rFonts w:hint="eastAsia" w:ascii="仿宋_GB2312" w:hAnsi="仿宋_GB2312" w:eastAsia="仿宋_GB2312" w:cs="仿宋_GB2312"/>
          <w:b/>
          <w:color w:val="auto"/>
          <w:sz w:val="32"/>
          <w:szCs w:val="32"/>
        </w:rPr>
        <w:t>、县交通</w:t>
      </w:r>
      <w:r>
        <w:rPr>
          <w:rFonts w:hint="eastAsia" w:ascii="仿宋_GB2312" w:hAnsi="仿宋_GB2312" w:eastAsia="仿宋_GB2312" w:cs="仿宋_GB2312"/>
          <w:b/>
          <w:color w:val="auto"/>
          <w:sz w:val="32"/>
          <w:szCs w:val="32"/>
          <w:lang w:eastAsia="zh-CN"/>
        </w:rPr>
        <w:t>运输</w:t>
      </w:r>
      <w:r>
        <w:rPr>
          <w:rFonts w:hint="eastAsia" w:ascii="仿宋_GB2312" w:hAnsi="仿宋_GB2312" w:eastAsia="仿宋_GB2312" w:cs="仿宋_GB2312"/>
          <w:b/>
          <w:color w:val="auto"/>
          <w:sz w:val="32"/>
          <w:szCs w:val="32"/>
        </w:rPr>
        <w:t>局、</w:t>
      </w:r>
      <w:r>
        <w:rPr>
          <w:rFonts w:hint="eastAsia" w:ascii="仿宋_GB2312" w:hAnsi="仿宋_GB2312" w:eastAsia="仿宋_GB2312" w:cs="仿宋_GB2312"/>
          <w:b/>
          <w:color w:val="auto"/>
          <w:sz w:val="32"/>
          <w:szCs w:val="32"/>
          <w:lang w:eastAsia="zh-CN"/>
        </w:rPr>
        <w:t>县邮政管理局</w:t>
      </w:r>
      <w:r>
        <w:rPr>
          <w:rFonts w:hint="eastAsia" w:ascii="仿宋_GB2312" w:hAnsi="仿宋_GB2312" w:eastAsia="仿宋_GB2312" w:cs="仿宋_GB2312"/>
          <w:b/>
          <w:bCs/>
          <w:color w:val="auto"/>
          <w:kern w:val="2"/>
          <w:sz w:val="32"/>
          <w:szCs w:val="32"/>
          <w:lang w:val="en-US"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bidi="ar-SA"/>
        </w:rPr>
        <w:t>2.</w:t>
      </w:r>
      <w:r>
        <w:rPr>
          <w:rFonts w:hint="eastAsia" w:ascii="仿宋_GB2312" w:hAnsi="仿宋_GB2312" w:eastAsia="仿宋_GB2312" w:cs="仿宋_GB2312"/>
          <w:b/>
          <w:bCs/>
          <w:color w:val="auto"/>
          <w:sz w:val="32"/>
          <w:szCs w:val="32"/>
          <w:lang w:bidi="ar-SA"/>
        </w:rPr>
        <w:t>加强农业品牌培育。</w:t>
      </w:r>
      <w:r>
        <w:rPr>
          <w:rFonts w:hint="eastAsia" w:ascii="仿宋_GB2312" w:hAnsi="仿宋_GB2312" w:eastAsia="仿宋_GB2312" w:cs="仿宋_GB2312"/>
          <w:color w:val="auto"/>
          <w:sz w:val="32"/>
          <w:szCs w:val="32"/>
          <w:lang w:bidi="ar-SA"/>
        </w:rPr>
        <w:t>大力发展绿色食品，稳步发展有机农产品。继续做好福州市知名农业品牌评选认定工作，争创福建省著名农业品牌。挖掘品牌内涵，讲好品牌故事，创新品牌营销。</w:t>
      </w:r>
      <w:r>
        <w:rPr>
          <w:rFonts w:hint="eastAsia" w:ascii="仿宋_GB2312" w:hAnsi="仿宋_GB2312" w:eastAsia="仿宋_GB2312" w:cs="仿宋_GB2312"/>
          <w:b/>
          <w:bCs/>
          <w:color w:val="auto"/>
          <w:kern w:val="2"/>
          <w:sz w:val="32"/>
          <w:szCs w:val="32"/>
          <w:lang w:val="en-US" w:eastAsia="zh-CN" w:bidi="ar-SA"/>
        </w:rPr>
        <w:t>（责任单位：县农业农村局、各乡镇人民政府）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（五）提高生活服务供给质量。</w:t>
      </w:r>
    </w:p>
    <w:p>
      <w:pPr>
        <w:keepNext w:val="0"/>
        <w:keepLines w:val="0"/>
        <w:pageBreakBefore w:val="0"/>
        <w:kinsoku/>
        <w:overflowPunct/>
        <w:topLinePunct w:val="0"/>
        <w:autoSpaceDE/>
        <w:autoSpaceDN/>
        <w:bidi w:val="0"/>
        <w:adjustRightInd w:val="0"/>
        <w:snapToGrid w:val="0"/>
        <w:spacing w:line="500" w:lineRule="exact"/>
        <w:ind w:firstLine="643" w:firstLineChars="200"/>
        <w:textAlignment w:val="auto"/>
        <w:rPr>
          <w:rFonts w:ascii="仿宋_GB2312" w:hAnsi="仿宋_GB2312" w:eastAsia="仿宋_GB2312" w:cs="仿宋"/>
          <w:b/>
          <w:color w:val="auto"/>
          <w:sz w:val="32"/>
          <w:szCs w:val="32"/>
        </w:rPr>
      </w:pP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rPr>
        <w:t>.优化农村市场消费品供给。</w:t>
      </w:r>
      <w:r>
        <w:rPr>
          <w:rFonts w:hint="eastAsia" w:ascii="仿宋_GB2312" w:hAnsi="仿宋_GB2312" w:eastAsia="仿宋_GB2312" w:cs="仿宋_GB2312"/>
          <w:color w:val="auto"/>
          <w:sz w:val="32"/>
          <w:szCs w:val="32"/>
        </w:rPr>
        <w:t>鼓励农村商业企业、零售网点与品牌生产厂商合作，加大耐用消费品投放，加强售后维修网点建设。</w:t>
      </w:r>
      <w:r>
        <w:rPr>
          <w:rFonts w:hint="eastAsia" w:ascii="仿宋_GB2312" w:hAnsi="仿宋_GB2312" w:eastAsia="仿宋_GB2312" w:cs="仿宋"/>
          <w:color w:val="auto"/>
          <w:sz w:val="32"/>
          <w:szCs w:val="32"/>
        </w:rPr>
        <w:t>加强大数据分析，</w:t>
      </w:r>
      <w:r>
        <w:rPr>
          <w:rFonts w:hint="eastAsia" w:ascii="仿宋_GB2312" w:hAnsi="仿宋_GB2312" w:eastAsia="仿宋_GB2312" w:cs="仿宋_GB2312"/>
          <w:color w:val="auto"/>
          <w:sz w:val="32"/>
          <w:szCs w:val="32"/>
        </w:rPr>
        <w:t>引导和支持传统商贸流通企业和电商平台增加适合农村市场的优质商品和服务。</w:t>
      </w:r>
      <w:r>
        <w:rPr>
          <w:rFonts w:hint="eastAsia" w:ascii="仿宋_GB2312" w:hAnsi="仿宋_GB2312" w:eastAsia="仿宋_GB2312" w:cs="仿宋"/>
          <w:b/>
          <w:color w:val="auto"/>
          <w:sz w:val="32"/>
          <w:szCs w:val="32"/>
        </w:rPr>
        <w:t>（</w:t>
      </w:r>
      <w:r>
        <w:rPr>
          <w:rFonts w:hint="eastAsia" w:ascii="仿宋_GB2312" w:hAnsi="仿宋_GB2312" w:eastAsia="仿宋_GB2312" w:cs="仿宋"/>
          <w:b/>
          <w:color w:val="auto"/>
          <w:sz w:val="32"/>
          <w:szCs w:val="32"/>
          <w:lang w:eastAsia="zh-CN"/>
        </w:rPr>
        <w:t>责任单位：</w:t>
      </w:r>
      <w:r>
        <w:rPr>
          <w:rFonts w:hint="eastAsia" w:ascii="仿宋_GB2312" w:hAnsi="仿宋_GB2312" w:eastAsia="仿宋_GB2312" w:cs="仿宋"/>
          <w:b/>
          <w:color w:val="auto"/>
          <w:sz w:val="32"/>
          <w:szCs w:val="32"/>
        </w:rPr>
        <w:t>县商务局、县交通</w:t>
      </w:r>
      <w:r>
        <w:rPr>
          <w:rFonts w:hint="eastAsia" w:ascii="仿宋_GB2312" w:hAnsi="仿宋_GB2312" w:eastAsia="仿宋_GB2312" w:cs="仿宋"/>
          <w:b/>
          <w:color w:val="auto"/>
          <w:sz w:val="32"/>
          <w:szCs w:val="32"/>
          <w:lang w:eastAsia="zh-CN"/>
        </w:rPr>
        <w:t>运输</w:t>
      </w:r>
      <w:r>
        <w:rPr>
          <w:rFonts w:hint="eastAsia" w:ascii="仿宋_GB2312" w:hAnsi="仿宋_GB2312" w:eastAsia="仿宋_GB2312" w:cs="仿宋"/>
          <w:b/>
          <w:color w:val="auto"/>
          <w:sz w:val="32"/>
          <w:szCs w:val="32"/>
        </w:rPr>
        <w:t>局、</w:t>
      </w:r>
      <w:r>
        <w:rPr>
          <w:rFonts w:hint="eastAsia" w:ascii="仿宋_GB2312" w:hAnsi="仿宋_GB2312" w:eastAsia="仿宋_GB2312" w:cs="仿宋_GB2312"/>
          <w:b/>
          <w:color w:val="auto"/>
          <w:sz w:val="32"/>
          <w:szCs w:val="32"/>
        </w:rPr>
        <w:t>各乡镇</w:t>
      </w:r>
      <w:r>
        <w:rPr>
          <w:rFonts w:hint="eastAsia" w:ascii="仿宋_GB2312" w:eastAsia="仿宋_GB2312"/>
          <w:b/>
          <w:color w:val="auto"/>
          <w:sz w:val="32"/>
          <w:szCs w:val="32"/>
        </w:rPr>
        <w:t>人民政府</w:t>
      </w:r>
      <w:r>
        <w:rPr>
          <w:rFonts w:hint="eastAsia" w:ascii="仿宋_GB2312" w:hAnsi="仿宋_GB2312" w:eastAsia="仿宋_GB2312" w:cs="仿宋"/>
          <w:b/>
          <w:color w:val="auto"/>
          <w:sz w:val="32"/>
          <w:szCs w:val="32"/>
        </w:rPr>
        <w:t>）</w:t>
      </w:r>
    </w:p>
    <w:p>
      <w:pPr>
        <w:keepNext w:val="0"/>
        <w:keepLines w:val="0"/>
        <w:pageBreakBefore w:val="0"/>
        <w:kinsoku/>
        <w:overflowPunct/>
        <w:topLinePunct w:val="0"/>
        <w:autoSpaceDE/>
        <w:autoSpaceDN/>
        <w:bidi w:val="0"/>
        <w:adjustRightInd w:val="0"/>
        <w:snapToGrid w:val="0"/>
        <w:spacing w:line="500" w:lineRule="exact"/>
        <w:ind w:firstLine="643"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.优化农村生活服务供给。</w:t>
      </w:r>
      <w:r>
        <w:rPr>
          <w:rFonts w:hint="eastAsia" w:ascii="仿宋_GB2312" w:hAnsi="仿宋_GB2312" w:eastAsia="仿宋_GB2312" w:cs="仿宋"/>
          <w:color w:val="auto"/>
          <w:sz w:val="32"/>
          <w:szCs w:val="32"/>
        </w:rPr>
        <w:t>引导社会资本加大投入，加快建立完善县乡村协调发展的生活服务网络。依托乡镇商贸中心、农村集贸市场等场所，提供餐饮、亲子、洗浴、教育、健身等服务。利用村民活动中心、夫妻店等场所，提供理发、维修、废旧物资回收、收发快递等便民服务。支持邮政在乡镇商贸中心开设快递收投服务点。</w:t>
      </w:r>
      <w:r>
        <w:rPr>
          <w:rFonts w:hint="eastAsia" w:ascii="仿宋_GB2312" w:hAnsi="仿宋_GB2312" w:eastAsia="仿宋_GB2312"/>
          <w:color w:val="auto"/>
          <w:sz w:val="32"/>
          <w:szCs w:val="32"/>
        </w:rPr>
        <w:t>鼓励居民生活服务业企业布局县域商业，延伸服务网络，扩大有效供给，提升服务品质，缩小城乡居民服务消费差距。</w:t>
      </w:r>
      <w:r>
        <w:rPr>
          <w:rFonts w:hint="eastAsia" w:ascii="仿宋_GB2312" w:hAnsi="仿宋_GB2312" w:eastAsia="仿宋_GB2312" w:cs="仿宋"/>
          <w:b/>
          <w:color w:val="auto"/>
          <w:sz w:val="32"/>
          <w:szCs w:val="32"/>
        </w:rPr>
        <w:t>（</w:t>
      </w:r>
      <w:r>
        <w:rPr>
          <w:rFonts w:hint="eastAsia" w:ascii="仿宋_GB2312" w:hAnsi="仿宋_GB2312" w:eastAsia="仿宋_GB2312" w:cs="仿宋"/>
          <w:b/>
          <w:color w:val="auto"/>
          <w:sz w:val="32"/>
          <w:szCs w:val="32"/>
          <w:lang w:eastAsia="zh-CN"/>
        </w:rPr>
        <w:t>责任单位：</w:t>
      </w:r>
      <w:r>
        <w:rPr>
          <w:rFonts w:hint="eastAsia" w:ascii="仿宋_GB2312" w:hAnsi="仿宋_GB2312" w:eastAsia="仿宋_GB2312" w:cs="仿宋"/>
          <w:b/>
          <w:color w:val="auto"/>
          <w:sz w:val="32"/>
          <w:szCs w:val="32"/>
        </w:rPr>
        <w:t>县商务局，县邮政管理局</w:t>
      </w:r>
      <w:r>
        <w:rPr>
          <w:rFonts w:hint="eastAsia" w:ascii="仿宋_GB2312" w:hAnsi="仿宋_GB2312" w:eastAsia="仿宋_GB2312"/>
          <w:b/>
          <w:bCs/>
          <w:color w:val="auto"/>
          <w:sz w:val="32"/>
          <w:szCs w:val="32"/>
          <w:lang w:eastAsia="zh-CN"/>
        </w:rPr>
        <w:t>、</w:t>
      </w:r>
      <w:r>
        <w:rPr>
          <w:rFonts w:hint="eastAsia" w:ascii="仿宋_GB2312" w:hAnsi="仿宋_GB2312" w:eastAsia="仿宋_GB2312" w:cs="仿宋_GB2312"/>
          <w:b/>
          <w:color w:val="auto"/>
          <w:sz w:val="32"/>
          <w:szCs w:val="32"/>
        </w:rPr>
        <w:t>各乡镇</w:t>
      </w:r>
      <w:r>
        <w:rPr>
          <w:rFonts w:hint="eastAsia" w:ascii="仿宋_GB2312" w:eastAsia="仿宋_GB2312"/>
          <w:b/>
          <w:color w:val="auto"/>
          <w:sz w:val="32"/>
          <w:szCs w:val="32"/>
        </w:rPr>
        <w:t>人民政府</w:t>
      </w:r>
      <w:r>
        <w:rPr>
          <w:rFonts w:hint="eastAsia" w:ascii="仿宋_GB2312" w:hAnsi="仿宋_GB2312" w:eastAsia="仿宋_GB2312" w:cs="仿宋"/>
          <w:b/>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四、项目计划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olor w:val="auto"/>
          <w:sz w:val="32"/>
          <w:szCs w:val="32"/>
          <w:highlight w:val="yellow"/>
          <w:lang w:val="en-US" w:eastAsia="zh-CN"/>
        </w:rPr>
      </w:pPr>
      <w:r>
        <w:rPr>
          <w:rFonts w:hint="eastAsia" w:ascii="楷体_GB2312" w:hAnsi="楷体_GB2312" w:eastAsia="楷体_GB2312" w:cs="楷体_GB2312"/>
          <w:color w:val="auto"/>
          <w:sz w:val="32"/>
          <w:szCs w:val="32"/>
          <w:lang w:val="en-US" w:eastAsia="zh-CN"/>
        </w:rPr>
        <w:t>（一）项目遴选过程。</w:t>
      </w:r>
      <w:r>
        <w:rPr>
          <w:rFonts w:hint="eastAsia" w:ascii="仿宋_GB2312" w:hAnsi="仿宋_GB2312" w:eastAsia="仿宋_GB2312"/>
          <w:color w:val="auto"/>
          <w:sz w:val="32"/>
          <w:szCs w:val="32"/>
          <w:lang w:val="en-US" w:eastAsia="zh-CN"/>
        </w:rPr>
        <w:t>按照中央财政资金引导支持的主要方向，县直相关部门开展项目遴选，主要聚焦县域商业体系中的市场缺位和薄弱环节，发挥县城和乡镇的枢纽、节点作用，加快补齐基础设施和公共服务短板、辐射带动县域商业整体提升的项目。县商务局负责牵头汇总项目，并报请县政府确定项目清单。</w:t>
      </w:r>
      <w:r>
        <w:rPr>
          <w:rFonts w:hint="eastAsia" w:ascii="仿宋_GB2312" w:hAnsi="仿宋_GB2312" w:eastAsia="仿宋_GB2312"/>
          <w:color w:val="auto"/>
          <w:sz w:val="32"/>
          <w:szCs w:val="32"/>
          <w:highlight w:val="none"/>
          <w:lang w:val="en-US" w:eastAsia="zh-CN"/>
        </w:rPr>
        <w:t>经项目遴选，共收集闽侯县县域商业建设项目8个，其中2022年项目5个（详见附件2）。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sz w:val="32"/>
          <w:szCs w:val="32"/>
          <w:lang w:val="en-US" w:eastAsia="zh-CN"/>
        </w:rPr>
        <w:t>（二）拟支持项目情况。</w:t>
      </w:r>
      <w:r>
        <w:rPr>
          <w:rFonts w:hint="eastAsia" w:ascii="仿宋_GB2312" w:hAnsi="仿宋_GB2312" w:eastAsia="仿宋_GB2312"/>
          <w:color w:val="auto"/>
          <w:sz w:val="32"/>
          <w:szCs w:val="32"/>
          <w:lang w:val="en-US" w:eastAsia="zh-CN"/>
        </w:rPr>
        <w:t>2022年闽侯县拟列入</w:t>
      </w:r>
      <w:r>
        <w:rPr>
          <w:rFonts w:hint="eastAsia" w:ascii="仿宋_GB2312" w:hAnsi="宋体" w:eastAsia="仿宋_GB2312" w:cs="仿宋_GB2312"/>
          <w:color w:val="000000"/>
          <w:kern w:val="0"/>
          <w:sz w:val="31"/>
          <w:szCs w:val="31"/>
          <w:lang w:val="en-US" w:eastAsia="zh-CN" w:bidi="ar"/>
        </w:rPr>
        <w:t>福建省县域商业建设行动储备项目库项目5个</w:t>
      </w:r>
      <w:r>
        <w:rPr>
          <w:rFonts w:hint="eastAsia" w:ascii="仿宋_GB2312" w:hAnsi="仿宋_GB2312" w:eastAsia="仿宋_GB2312"/>
          <w:color w:val="auto"/>
          <w:sz w:val="32"/>
          <w:szCs w:val="32"/>
          <w:lang w:val="en-US" w:eastAsia="zh-CN"/>
        </w:rPr>
        <w:t>（详见附件2）。项目主要实现冷链物流服务网络向农村延伸、县乡村三级物流配送优化等功能，填补了我县县乡村三级物流“薄弱”环节，补齐了商业建设基础设施短板。落实各项目责任单位、验收安排、实施目标等，可持续性推进县域商业建设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五、保障机制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（一）协调推进制度。</w:t>
      </w:r>
      <w:r>
        <w:rPr>
          <w:rFonts w:hint="eastAsia" w:ascii="仿宋_GB2312" w:hAnsi="仿宋_GB2312" w:eastAsia="仿宋_GB2312" w:cs="仿宋_GB2312"/>
          <w:color w:val="auto"/>
          <w:sz w:val="32"/>
          <w:szCs w:val="32"/>
          <w:lang w:val="en-US" w:eastAsia="zh-CN"/>
        </w:rPr>
        <w:t>建立县商务局牵头，财政、农业农村（乡村振兴）、供销、交通运输、邮政管理等多部门参与的县域商业建设工作协调推进机制，明确任务分工，定期研究重大事项,形成政策合力，统筹推进县域商业建设行动。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（二）项目管理制度。</w:t>
      </w:r>
      <w:r>
        <w:rPr>
          <w:rFonts w:hint="eastAsia" w:ascii="仿宋_GB2312" w:hAnsi="仿宋_GB2312" w:eastAsia="仿宋_GB2312" w:cs="仿宋_GB2312"/>
          <w:color w:val="auto"/>
          <w:sz w:val="32"/>
          <w:szCs w:val="32"/>
          <w:lang w:val="en-US" w:eastAsia="zh-CN"/>
        </w:rPr>
        <w:t>按照建立“企业目录+项目清单”机制、加强项目管理的要求，向社会公开县域商业建设行动扶持措施，征集符合条件的建设项目，公平公开遴选项目，分年度建立储备项目库，成熟一批，建设一批，避免“钱等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（三）资金管理制度。</w:t>
      </w:r>
      <w:r>
        <w:rPr>
          <w:rFonts w:hint="eastAsia" w:ascii="仿宋_GB2312" w:hAnsi="仿宋_GB2312" w:eastAsia="仿宋_GB2312" w:cs="仿宋_GB2312"/>
          <w:color w:val="auto"/>
          <w:sz w:val="32"/>
          <w:szCs w:val="32"/>
          <w:lang w:val="en-US" w:eastAsia="zh-CN"/>
        </w:rPr>
        <w:t>县财政局牵头负责制定资金管理办法，明确资金使用规范。资金拨付按照“先建后补”的原则，由项目的县级主管部门验收后拨付。应明确项目验收主题、要件、验收流程等，加强资产监督管理，明确资产权属和管护主体责任，形成长效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（四）日常监督机制。</w:t>
      </w:r>
      <w:r>
        <w:rPr>
          <w:rFonts w:hint="eastAsia" w:ascii="仿宋_GB2312" w:hAnsi="仿宋_GB2312" w:eastAsia="仿宋_GB2312" w:cs="仿宋_GB2312"/>
          <w:color w:val="auto"/>
          <w:sz w:val="32"/>
          <w:szCs w:val="32"/>
          <w:lang w:val="en-US" w:eastAsia="zh-CN"/>
        </w:rPr>
        <w:t>引入审计、监理咨询等第三方机构，规范决策过程，加强资金和项目审核。县级主管部门应定期开展现场监督检查，提出整改要求。对上级检查、自查等发现问题制定整改方案，认真落实整改要求。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（五）信息公开机制。</w:t>
      </w:r>
      <w:r>
        <w:rPr>
          <w:rFonts w:hint="eastAsia" w:ascii="仿宋_GB2312" w:hAnsi="仿宋_GB2312" w:eastAsia="仿宋_GB2312" w:cs="仿宋_GB2312"/>
          <w:color w:val="auto"/>
          <w:sz w:val="32"/>
          <w:szCs w:val="32"/>
          <w:lang w:val="en-US" w:eastAsia="zh-CN"/>
        </w:rPr>
        <w:t>进一步加强政务公开和信息报送政策措施，项目进度、资金使用等相关信息在县政府网站及时公开。凡是接收中央财政奖补的企业，须按要求填报项目相关信息数据，各主管部门依法保护信息安全。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附表：1.县域商业建设行动摸底情况、总体目标及年度分解任务表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0" w:firstLineChars="400"/>
        <w:jc w:val="both"/>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2.县域商业建设项目清单</w:t>
      </w:r>
      <w:bookmarkStart w:id="0" w:name="_GoBack"/>
      <w:bookmarkEnd w:id="0"/>
    </w:p>
    <w:p>
      <w:pPr>
        <w:pStyle w:val="2"/>
        <w:keepNext w:val="0"/>
        <w:keepLines w:val="0"/>
        <w:pageBreakBefore w:val="0"/>
        <w:kinsoku/>
        <w:overflowPunct/>
        <w:topLinePunct w:val="0"/>
        <w:autoSpaceDE/>
        <w:autoSpaceDN/>
        <w:bidi w:val="0"/>
        <w:spacing w:after="0" w:line="520" w:lineRule="exact"/>
        <w:textAlignment w:val="auto"/>
        <w:rPr>
          <w:rFonts w:hint="eastAsia"/>
          <w:color w:val="auto"/>
          <w:lang w:val="en-US" w:eastAsia="zh-CN"/>
        </w:rPr>
      </w:pPr>
    </w:p>
    <w:p>
      <w:pPr>
        <w:rPr>
          <w:rFonts w:hint="eastAsia"/>
          <w:color w:val="auto"/>
          <w:lang w:val="en-US" w:eastAsia="zh-CN"/>
        </w:rPr>
      </w:pPr>
    </w:p>
    <w:p>
      <w:pPr>
        <w:keepNext w:val="0"/>
        <w:keepLines w:val="0"/>
        <w:pageBreakBefore w:val="0"/>
        <w:kinsoku/>
        <w:overflowPunct/>
        <w:topLinePunct w:val="0"/>
        <w:autoSpaceDE/>
        <w:autoSpaceDN/>
        <w:bidi w:val="0"/>
        <w:spacing w:line="520" w:lineRule="exact"/>
        <w:textAlignment w:val="auto"/>
        <w:rPr>
          <w:rFonts w:hint="eastAsia"/>
          <w:color w:val="auto"/>
          <w:lang w:val="en-US" w:eastAsia="zh-CN"/>
        </w:rPr>
      </w:pPr>
    </w:p>
    <w:p>
      <w:pPr>
        <w:pStyle w:val="2"/>
        <w:keepNext w:val="0"/>
        <w:keepLines w:val="0"/>
        <w:pageBreakBefore w:val="0"/>
        <w:kinsoku/>
        <w:overflowPunct/>
        <w:topLinePunct w:val="0"/>
        <w:autoSpaceDE/>
        <w:autoSpaceDN/>
        <w:bidi w:val="0"/>
        <w:spacing w:after="0" w:line="520" w:lineRule="exact"/>
        <w:textAlignment w:val="auto"/>
        <w:rPr>
          <w:rFonts w:hint="eastAsia"/>
          <w:color w:val="auto"/>
          <w:lang w:val="en-US" w:eastAsia="zh-CN"/>
        </w:rPr>
      </w:pPr>
    </w:p>
    <w:p>
      <w:pPr>
        <w:keepNext w:val="0"/>
        <w:keepLines w:val="0"/>
        <w:pageBreakBefore w:val="0"/>
        <w:kinsoku/>
        <w:overflowPunct/>
        <w:topLinePunct w:val="0"/>
        <w:autoSpaceDE/>
        <w:autoSpaceDN/>
        <w:bidi w:val="0"/>
        <w:spacing w:line="520" w:lineRule="exact"/>
        <w:textAlignment w:val="auto"/>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lang w:val="en-US" w:eastAsia="zh-CN"/>
        </w:rPr>
      </w:pPr>
    </w:p>
    <w:p>
      <w:pPr>
        <w:rPr>
          <w:rFonts w:hint="eastAsia"/>
          <w:color w:val="auto"/>
          <w:lang w:val="en-US" w:eastAsia="zh-CN"/>
        </w:rPr>
      </w:pPr>
    </w:p>
    <w:p>
      <w:pPr>
        <w:pStyle w:val="2"/>
        <w:rPr>
          <w:rFonts w:hint="eastAsia"/>
          <w:lang w:val="en-US" w:eastAsia="zh-CN"/>
        </w:rPr>
      </w:pPr>
    </w:p>
    <w:p>
      <w:pPr>
        <w:rPr>
          <w:rFonts w:hint="eastAsia"/>
          <w:color w:val="auto"/>
          <w:lang w:val="en-US" w:eastAsia="zh-CN"/>
        </w:rPr>
      </w:pPr>
    </w:p>
    <w:p>
      <w:pPr>
        <w:keepNext w:val="0"/>
        <w:keepLines w:val="0"/>
        <w:pageBreakBefore w:val="0"/>
        <w:kinsoku/>
        <w:overflowPunct/>
        <w:topLinePunct w:val="0"/>
        <w:autoSpaceDE/>
        <w:autoSpaceDN/>
        <w:bidi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县域商业建设工作协调</w:t>
      </w:r>
      <w:r>
        <w:rPr>
          <w:rFonts w:hint="eastAsia" w:ascii="方正小标宋简体" w:hAnsi="方正小标宋简体" w:eastAsia="方正小标宋简体" w:cs="方正小标宋简体"/>
          <w:color w:val="auto"/>
          <w:sz w:val="44"/>
          <w:szCs w:val="44"/>
          <w:lang w:eastAsia="zh-CN"/>
        </w:rPr>
        <w:t>推进</w:t>
      </w:r>
      <w:r>
        <w:rPr>
          <w:rFonts w:hint="eastAsia" w:ascii="方正小标宋简体" w:hAnsi="方正小标宋简体" w:eastAsia="方正小标宋简体" w:cs="方正小标宋简体"/>
          <w:color w:val="auto"/>
          <w:sz w:val="44"/>
          <w:szCs w:val="44"/>
        </w:rPr>
        <w:t>工作制度</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为加强对县域商业建设工作的统筹协调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形成工作合力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推动县域商业高质量发展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促进农村消费提质扩容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经县政府同意,县商务局会同有关单位建立县域商业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建设工作协调机制(以下简称机制)。现制定协调机制工作制度如下:</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一、主要职责</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贯彻落实党中央、国务院及省市的决策部署,统筹推进县域商业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建设各项工作。</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传达落实党中央、国务院及省委省政府、市委市政府、县委县政府领导同志重要指示批示。</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研究分析县域商业发展形势,提出政策建议和年度重点工作安排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推动政策措施落实。</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协调解决工作中遇到的问题,研究制定相关政策。</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完成县政府交办的其他事项。</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二、成员单位</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协调机制成员包括县商务局</w:t>
      </w:r>
      <w:r>
        <w:rPr>
          <w:rFonts w:hint="eastAsia" w:ascii="仿宋_GB2312" w:hAnsi="仿宋_GB2312" w:eastAsia="仿宋_GB2312" w:cs="仿宋_GB2312"/>
          <w:color w:val="auto"/>
          <w:sz w:val="32"/>
          <w:szCs w:val="32"/>
          <w:lang w:eastAsia="zh-CN"/>
        </w:rPr>
        <w:t>、县财政局、县交通运输局、县农业农村局（县乡村振兴局）、县自然资源与规划局、</w:t>
      </w:r>
      <w:r>
        <w:rPr>
          <w:rFonts w:hint="eastAsia" w:ascii="仿宋_GB2312" w:hAnsi="仿宋_GB2312" w:eastAsia="仿宋_GB2312" w:cs="仿宋_GB2312"/>
          <w:color w:val="auto"/>
          <w:sz w:val="32"/>
          <w:szCs w:val="32"/>
          <w:lang w:val="en-US" w:eastAsia="zh-CN"/>
        </w:rPr>
        <w:t>县邮政管理局、</w:t>
      </w:r>
      <w:r>
        <w:rPr>
          <w:rFonts w:hint="eastAsia" w:ascii="仿宋_GB2312" w:hAnsi="仿宋_GB2312" w:eastAsia="仿宋_GB2312" w:cs="仿宋_GB2312"/>
          <w:color w:val="auto"/>
          <w:sz w:val="32"/>
          <w:szCs w:val="32"/>
          <w:lang w:eastAsia="zh-CN"/>
        </w:rPr>
        <w:t>县供销社、县文旅局、县民政局、县卫健局</w:t>
      </w:r>
      <w:r>
        <w:rPr>
          <w:rFonts w:hint="eastAsia" w:ascii="仿宋_GB2312" w:hAnsi="仿宋_GB2312" w:eastAsia="仿宋_GB2312" w:cs="仿宋_GB2312"/>
          <w:color w:val="auto"/>
          <w:sz w:val="32"/>
          <w:szCs w:val="32"/>
          <w:lang w:val="en-US" w:eastAsia="zh-CN"/>
        </w:rPr>
        <w:t>等单位，县商务局为牵头单位。</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协调机制由县政府副县长担任召集人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县商务局负责同志担任副召集人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其他成员单位有关负责同志为协调机制成员。协调机制成员因工作变动</w:t>
      </w:r>
      <w:r>
        <w:rPr>
          <w:rFonts w:hint="eastAsia" w:ascii="仿宋_GB2312" w:hAnsi="仿宋_GB2312" w:eastAsia="仿宋_GB2312" w:cs="仿宋_GB2312"/>
          <w:color w:val="auto"/>
          <w:sz w:val="32"/>
          <w:szCs w:val="32"/>
          <w:lang w:eastAsia="zh-CN"/>
        </w:rPr>
        <w:t>，由继任者接替</w:t>
      </w:r>
      <w:r>
        <w:rPr>
          <w:rFonts w:hint="eastAsia" w:ascii="仿宋_GB2312" w:hAnsi="仿宋_GB2312" w:eastAsia="仿宋_GB2312" w:cs="仿宋_GB2312"/>
          <w:color w:val="auto"/>
          <w:sz w:val="32"/>
          <w:szCs w:val="32"/>
        </w:rPr>
        <w:t>。协调机制可根据工作需要调整成员单位。</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协调机制办公室设在县商务局</w:t>
      </w:r>
      <w:r>
        <w:rPr>
          <w:rFonts w:hint="eastAsia" w:ascii="仿宋_GB2312" w:hAnsi="仿宋_GB2312" w:eastAsia="仿宋_GB2312" w:cs="仿宋_GB2312"/>
          <w:color w:val="auto"/>
          <w:sz w:val="32"/>
          <w:szCs w:val="32"/>
          <w:lang w:eastAsia="zh-CN"/>
        </w:rPr>
        <w:t>商贸科，</w:t>
      </w:r>
      <w:r>
        <w:rPr>
          <w:rFonts w:hint="eastAsia" w:ascii="仿宋_GB2312" w:hAnsi="仿宋_GB2312" w:eastAsia="仿宋_GB2312" w:cs="仿宋_GB2312"/>
          <w:color w:val="auto"/>
          <w:sz w:val="32"/>
          <w:szCs w:val="32"/>
        </w:rPr>
        <w:t>承担协调机制日常工作。</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三、工作规则</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调机制根据工作需要定期或不定期召开会议,由召集人或召集人委托副召集人主持。成员单位根据工作需要可以提出召开会议的建议。专题研究特定事项时,可视情况召集部分成员单位参加会议,也可邀请其他相关部门、地方和专家参加。协调机制以会议纪要形式明确会议议定事项并印发有关方面。协调机制办公室梳理各单位、各乡镇县域商业建设工作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重大事项按程序报批。</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pPr>
        <w:keepNext w:val="0"/>
        <w:keepLines w:val="0"/>
        <w:pageBreakBefore w:val="0"/>
        <w:widowControl/>
        <w:kinsoku/>
        <w:overflowPunct/>
        <w:topLinePunct w:val="0"/>
        <w:autoSpaceDE/>
        <w:autoSpaceDN/>
        <w:bidi w:val="0"/>
        <w:adjustRightInd w:val="0"/>
        <w:snapToGrid w:val="0"/>
        <w:spacing w:line="52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县商务局要牵头做好协调机制各项工作。各成员单位要按照职责分工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认真落实协调机制确定的工作任务和议定事项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提出具体工作方案和建议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指导本系统开展工作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加强沟通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密切配合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相互支持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形成合力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充分发挥协调机制作用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共同推进县域商业建设。协调机制办公室要及时向各成员单位通报情况。</w:t>
      </w:r>
    </w:p>
    <w:p>
      <w:pPr>
        <w:keepNext w:val="0"/>
        <w:keepLines w:val="0"/>
        <w:pageBreakBefore w:val="0"/>
        <w:kinsoku/>
        <w:overflowPunct/>
        <w:topLinePunct w:val="0"/>
        <w:autoSpaceDE/>
        <w:autoSpaceDN/>
        <w:bidi w:val="0"/>
        <w:spacing w:line="520" w:lineRule="exact"/>
        <w:textAlignment w:val="auto"/>
        <w:rPr>
          <w:rFonts w:hint="eastAsia" w:ascii="仿宋_GB2312" w:hAnsi="仿宋_GB2312" w:eastAsia="仿宋_GB2312" w:cs="仿宋_GB2312"/>
          <w:color w:val="auto"/>
          <w:sz w:val="32"/>
          <w:szCs w:val="32"/>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tbl>
      <w:tblPr>
        <w:tblStyle w:val="13"/>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7"/>
        <w:gridCol w:w="3105"/>
        <w:gridCol w:w="1084"/>
        <w:gridCol w:w="1027"/>
        <w:gridCol w:w="992"/>
        <w:gridCol w:w="1016"/>
        <w:gridCol w:w="1031"/>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exact"/>
          <w:jc w:val="center"/>
        </w:trPr>
        <w:tc>
          <w:tcPr>
            <w:tcW w:w="3692"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r>
              <w:rPr>
                <w:rFonts w:hint="eastAsia" w:ascii="黑体" w:hAnsi="宋体" w:eastAsia="黑体" w:cs="黑体"/>
                <w:i w:val="0"/>
                <w:iCs w:val="0"/>
                <w:color w:val="000000"/>
                <w:kern w:val="0"/>
                <w:sz w:val="20"/>
                <w:szCs w:val="20"/>
                <w:u w:val="none"/>
                <w:lang w:val="en-US" w:eastAsia="zh-CN" w:bidi="ar"/>
              </w:rPr>
              <w:t>附表1</w:t>
            </w:r>
          </w:p>
        </w:tc>
        <w:tc>
          <w:tcPr>
            <w:tcW w:w="108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1027"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99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101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1031"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127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0115" w:type="dxa"/>
            <w:gridSpan w:val="8"/>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县域商业建设行动摸底情况、总体目标及年度分解任务表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36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设区市：</w:t>
            </w:r>
            <w:r>
              <w:rPr>
                <w:rFonts w:hint="eastAsia" w:ascii="宋体" w:hAnsi="宋体" w:cs="宋体"/>
                <w:i w:val="0"/>
                <w:iCs w:val="0"/>
                <w:color w:val="000000"/>
                <w:kern w:val="0"/>
                <w:sz w:val="15"/>
                <w:szCs w:val="15"/>
                <w:u w:val="none"/>
                <w:lang w:val="en-US" w:eastAsia="zh-CN" w:bidi="ar"/>
              </w:rPr>
              <w:t>福州市</w:t>
            </w:r>
          </w:p>
        </w:tc>
        <w:tc>
          <w:tcPr>
            <w:tcW w:w="515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乡镇总数（不包括街道）：</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36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县（市、区）：</w:t>
            </w:r>
            <w:r>
              <w:rPr>
                <w:rFonts w:hint="eastAsia" w:ascii="宋体" w:hAnsi="宋体" w:cs="宋体"/>
                <w:i w:val="0"/>
                <w:iCs w:val="0"/>
                <w:color w:val="000000"/>
                <w:kern w:val="0"/>
                <w:sz w:val="15"/>
                <w:szCs w:val="15"/>
                <w:u w:val="none"/>
                <w:lang w:val="en-US" w:eastAsia="zh-CN" w:bidi="ar"/>
              </w:rPr>
              <w:t>闽侯县</w:t>
            </w:r>
          </w:p>
        </w:tc>
        <w:tc>
          <w:tcPr>
            <w:tcW w:w="515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建制村总数：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Style w:val="17"/>
                <w:sz w:val="15"/>
                <w:szCs w:val="15"/>
                <w:lang w:val="en-US" w:eastAsia="zh-CN" w:bidi="ar"/>
              </w:rPr>
              <w:t>指标</w:t>
            </w:r>
            <w:r>
              <w:rPr>
                <w:rStyle w:val="17"/>
                <w:sz w:val="15"/>
                <w:szCs w:val="15"/>
                <w:lang w:val="en-US" w:eastAsia="zh-CN" w:bidi="ar"/>
              </w:rPr>
              <w:br w:type="textWrapping"/>
            </w:r>
            <w:r>
              <w:rPr>
                <w:rStyle w:val="18"/>
                <w:sz w:val="15"/>
                <w:szCs w:val="15"/>
                <w:lang w:val="en-US" w:eastAsia="zh-CN" w:bidi="ar"/>
              </w:rPr>
              <w:t>（灰色行自动计算，请勿改动）</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2021年</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底数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2022年</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2023年</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2024年</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2025年</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约束性目标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县城综合商贸服务中心数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未达基本型县城综合商贸服务中心数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县城综合商贸服务中心数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县城综合商贸服务中心数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县城综合商贸服务中心数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乡镇商贸中心数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≥乡镇总数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未达基本型乡镇商贸中心数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乡镇商贸中心数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乡镇商贸中心数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乡镇商贸中心数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乡镇商贸中心覆盖乡镇数</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＝乡镇总数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未达基本型商贸中心覆盖乡镇数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商贸中心覆盖乡镇数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商贸中心覆盖乡镇数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商贸中心覆盖乡镇数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乡镇商贸中心覆盖率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38%</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69%</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92%</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未达基本型乡镇商贸中心覆盖率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乡镇商贸中心覆盖率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乡镇商贸中心覆盖率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乡镇商贸中心覆盖率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村级便民商店数</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433</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466</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≥建制村总数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未达基本型村级便民商店数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村级便民商店数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526</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村级便民商店数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村级便民商店数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村级便民商店覆盖建制村数</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166</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199</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231</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263</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＝建制村总数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未达基本型便民商店覆盖建制村数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便民商店覆盖建制村数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便民商店覆盖建制村数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便民商店覆盖建制村数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村级便民商店覆盖率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61%</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73%</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84%</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96%</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未达基本型村级便民商店覆盖率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村级便民商店覆盖率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村级便民商店覆盖率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村级便民商店覆盖率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县级物流配送中心数</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cs="宋体"/>
                <w:b/>
                <w:bCs/>
                <w:i w:val="0"/>
                <w:iCs w:val="0"/>
                <w:color w:val="000000"/>
                <w:kern w:val="0"/>
                <w:sz w:val="15"/>
                <w:szCs w:val="15"/>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未达基本型县级物流配送中心数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基本型　县级物流配送中心数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增强型　县级物流配送中心数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提升型　县级物流配送中心数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31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乡镇快递物流服务站点数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≥乡镇总数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31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乡镇快递物流服务站点覆盖乡镇数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＝乡镇总数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乡镇快递物流服务站点覆盖率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31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“快递进村”覆盖建制村数(注1)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＝建制村总数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w:t>
            </w:r>
          </w:p>
        </w:tc>
        <w:tc>
          <w:tcPr>
            <w:tcW w:w="3105" w:type="dxa"/>
            <w:tcBorders>
              <w:top w:val="single" w:color="000000" w:sz="4" w:space="0"/>
              <w:left w:val="single" w:color="000000" w:sz="4" w:space="0"/>
              <w:bottom w:val="single" w:color="000000" w:sz="4" w:space="0"/>
              <w:right w:val="single" w:color="000000" w:sz="4" w:space="0"/>
            </w:tcBorders>
            <w:shd w:val="clear" w:color="auto" w:fill="F2F2F2"/>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“快递进村”覆盖率</w:t>
            </w:r>
          </w:p>
        </w:tc>
        <w:tc>
          <w:tcPr>
            <w:tcW w:w="108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310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县域物流共同配送率（注2）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310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b/>
                <w:bCs/>
                <w:i w:val="0"/>
                <w:iCs w:val="0"/>
                <w:color w:val="000000"/>
                <w:sz w:val="15"/>
                <w:szCs w:val="15"/>
                <w:u w:val="none"/>
              </w:rPr>
            </w:pPr>
            <w:r>
              <w:rPr>
                <w:rStyle w:val="17"/>
                <w:sz w:val="15"/>
                <w:szCs w:val="15"/>
                <w:lang w:val="en-US" w:eastAsia="zh-CN" w:bidi="ar"/>
              </w:rPr>
              <w:t>达到的县域商业建设标准</w:t>
            </w:r>
            <w:r>
              <w:rPr>
                <w:rStyle w:val="18"/>
                <w:sz w:val="15"/>
                <w:szCs w:val="15"/>
                <w:lang w:val="en-US" w:eastAsia="zh-CN" w:bidi="ar"/>
              </w:rPr>
              <w:t>※</w:t>
            </w:r>
            <w:r>
              <w:rPr>
                <w:rStyle w:val="18"/>
                <w:sz w:val="15"/>
                <w:szCs w:val="15"/>
                <w:lang w:val="en-US" w:eastAsia="zh-CN" w:bidi="ar"/>
              </w:rPr>
              <w:br w:type="textWrapping"/>
            </w:r>
            <w:r>
              <w:rPr>
                <w:rStyle w:val="18"/>
                <w:sz w:val="15"/>
                <w:szCs w:val="15"/>
                <w:lang w:val="en-US" w:eastAsia="zh-CN" w:bidi="ar"/>
              </w:rPr>
              <w:t>（未达基本型、基本型、增强型、提升型）</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未达基本型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未达基本型</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未达基本型</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未达基本型</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基本型</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基本型以上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支持建设改造乡镇商贸中心数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支持建设改造增强农产品上行动能项目数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auto"/>
                <w:sz w:val="15"/>
                <w:szCs w:val="15"/>
                <w:u w:val="none"/>
              </w:rPr>
            </w:pPr>
            <w:r>
              <w:rPr>
                <w:rStyle w:val="19"/>
                <w:color w:val="auto"/>
                <w:sz w:val="15"/>
                <w:szCs w:val="15"/>
                <w:lang w:val="en-US" w:eastAsia="zh-CN" w:bidi="ar"/>
              </w:rPr>
              <w:t>县域社会消费品零售额（亿元）</w:t>
            </w:r>
            <w:r>
              <w:rPr>
                <w:rStyle w:val="20"/>
                <w:rFonts w:ascii="宋体" w:hAnsi="宋体" w:eastAsia="宋体" w:cs="宋体"/>
                <w:color w:val="auto"/>
                <w:sz w:val="15"/>
                <w:szCs w:val="15"/>
                <w:lang w:val="en-US" w:eastAsia="zh-CN" w:bidi="ar"/>
              </w:rPr>
              <w:t>（当年度）</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318.3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335.0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352.6 </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371.1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390.6 </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auto"/>
                <w:sz w:val="15"/>
                <w:szCs w:val="15"/>
                <w:u w:val="none"/>
              </w:rPr>
            </w:pPr>
            <w:r>
              <w:rPr>
                <w:rStyle w:val="19"/>
                <w:color w:val="auto"/>
                <w:sz w:val="15"/>
                <w:szCs w:val="15"/>
                <w:lang w:val="en-US" w:eastAsia="zh-CN" w:bidi="ar"/>
              </w:rPr>
              <w:t>县域社会消费品零售额年均增速</w:t>
            </w:r>
            <w:r>
              <w:rPr>
                <w:rStyle w:val="20"/>
                <w:rFonts w:ascii="宋体" w:hAnsi="宋体" w:eastAsia="宋体" w:cs="宋体"/>
                <w:color w:val="auto"/>
                <w:sz w:val="15"/>
                <w:szCs w:val="15"/>
                <w:lang w:val="en-US" w:eastAsia="zh-CN" w:bidi="ar"/>
              </w:rPr>
              <w:t>（2021年起）</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7.10%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5.25%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5.25%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5.25%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auto"/>
                <w:sz w:val="15"/>
                <w:szCs w:val="15"/>
                <w:u w:val="none"/>
              </w:rPr>
            </w:pPr>
            <w:r>
              <w:rPr>
                <w:rStyle w:val="19"/>
                <w:color w:val="auto"/>
                <w:sz w:val="15"/>
                <w:szCs w:val="15"/>
                <w:lang w:val="en-US" w:eastAsia="zh-CN" w:bidi="ar"/>
              </w:rPr>
              <w:t>县域农产品网络零售额（亿元）</w:t>
            </w:r>
            <w:r>
              <w:rPr>
                <w:rStyle w:val="20"/>
                <w:rFonts w:ascii="宋体" w:hAnsi="宋体" w:eastAsia="宋体" w:cs="宋体"/>
                <w:color w:val="auto"/>
                <w:sz w:val="15"/>
                <w:szCs w:val="15"/>
                <w:lang w:val="en-US" w:eastAsia="zh-CN" w:bidi="ar"/>
              </w:rPr>
              <w:t>（当年度）</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4.9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5.2 </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5.5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5.8 </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auto"/>
                <w:sz w:val="15"/>
                <w:szCs w:val="15"/>
                <w:u w:val="none"/>
              </w:rPr>
            </w:pPr>
            <w:r>
              <w:rPr>
                <w:rStyle w:val="19"/>
                <w:color w:val="auto"/>
                <w:sz w:val="15"/>
                <w:szCs w:val="15"/>
                <w:lang w:val="en-US" w:eastAsia="zh-CN" w:bidi="ar"/>
              </w:rPr>
              <w:t>县域农产品网络零售额年均增速</w:t>
            </w:r>
            <w:r>
              <w:rPr>
                <w:rStyle w:val="20"/>
                <w:rFonts w:ascii="宋体" w:hAnsi="宋体" w:eastAsia="宋体" w:cs="宋体"/>
                <w:color w:val="auto"/>
                <w:sz w:val="15"/>
                <w:szCs w:val="15"/>
                <w:lang w:val="en-US" w:eastAsia="zh-CN" w:bidi="ar"/>
              </w:rPr>
              <w:t>（2021年起）</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-38.60%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exact"/>
          <w:jc w:val="center"/>
        </w:trPr>
        <w:tc>
          <w:tcPr>
            <w:tcW w:w="10115" w:type="dxa"/>
            <w:gridSpan w:val="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注1：快递进村覆盖，是指快递服务通达建制村，既包括快递企业直接设立站点的模式，也包括与其他商业组织合作提供快递服务等多种模式。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注2：县域物流共同配送率，指县域内主要快递企业市场化合作开展共同配送、统一分拣配送的快递单量占比。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※县域商业建设标准划分说明：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①基本型要求其他所有约束性目标满足条件；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②增强型要求达到基本型标准且增强型以上县城综合商贸服务中心数≥1、增强型以上乡镇商贸中心覆盖率≥30%、增强型以上村级便民商店覆盖率≥30%、增强型以上县级物流配送中心数≥1；</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③提升型要求达到增强型标准且提升型县城综合商贸服务中心数≥1、提升型乡镇商贸中心覆盖率≥30%、提升型村级便民商店覆盖率≥30%、提升型县级物流配送中心数≥1。</w:t>
            </w:r>
          </w:p>
        </w:tc>
      </w:tr>
    </w:tbl>
    <w:p>
      <w:pPr>
        <w:pStyle w:val="2"/>
        <w:rPr>
          <w:rFonts w:hint="eastAsia"/>
        </w:rPr>
        <w:sectPr>
          <w:footerReference r:id="rId3" w:type="default"/>
          <w:pgSz w:w="11906" w:h="16838"/>
          <w:pgMar w:top="1701" w:right="1587" w:bottom="1701" w:left="1587" w:header="851" w:footer="992" w:gutter="0"/>
          <w:cols w:space="720" w:num="1"/>
          <w:rtlGutter w:val="0"/>
          <w:docGrid w:type="lines" w:linePitch="327" w:charSpace="0"/>
        </w:sectPr>
      </w:pPr>
    </w:p>
    <w:tbl>
      <w:tblPr>
        <w:tblStyle w:val="13"/>
        <w:tblW w:w="146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620"/>
        <w:gridCol w:w="610"/>
        <w:gridCol w:w="1060"/>
        <w:gridCol w:w="560"/>
        <w:gridCol w:w="1310"/>
        <w:gridCol w:w="700"/>
        <w:gridCol w:w="720"/>
        <w:gridCol w:w="3492"/>
        <w:gridCol w:w="1340"/>
        <w:gridCol w:w="2246"/>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0"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5"/>
                <w:szCs w:val="15"/>
                <w:u w:val="none"/>
              </w:rPr>
            </w:pPr>
            <w:r>
              <w:rPr>
                <w:rFonts w:hint="eastAsia" w:ascii="黑体" w:hAnsi="黑体" w:eastAsia="黑体" w:cs="黑体"/>
                <w:b w:val="0"/>
                <w:bCs w:val="0"/>
                <w:i w:val="0"/>
                <w:iCs w:val="0"/>
                <w:color w:val="000000"/>
                <w:kern w:val="0"/>
                <w:sz w:val="20"/>
                <w:szCs w:val="20"/>
                <w:u w:val="none"/>
                <w:lang w:val="en-US" w:eastAsia="zh-CN" w:bidi="ar"/>
              </w:rPr>
              <w:t>附表2</w:t>
            </w:r>
          </w:p>
        </w:tc>
        <w:tc>
          <w:tcPr>
            <w:tcW w:w="61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106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56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c>
          <w:tcPr>
            <w:tcW w:w="131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70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72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34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134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224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5"/>
                <w:szCs w:val="15"/>
                <w:u w:val="none"/>
              </w:rPr>
            </w:pPr>
          </w:p>
        </w:tc>
        <w:tc>
          <w:tcPr>
            <w:tcW w:w="13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648" w:type="dxa"/>
            <w:gridSpan w:val="12"/>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8"/>
                <w:szCs w:val="28"/>
                <w:u w:val="none"/>
                <w:lang w:val="en-US" w:eastAsia="zh-CN" w:bidi="ar"/>
              </w:rPr>
              <w:t>县域商业建设项目清单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年度</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设区市</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县/</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市/区</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项目名称</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建设</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类型</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责任主体</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（企业）</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计划</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投资额</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拟支持</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金额</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(万元)</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建设内容</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建设周期</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实现功能</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责任单位</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(政府部门)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福州市</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冷链物流</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前置仓</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改建</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闽侯县洋里供销社</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34 </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17 </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在洋里乡绅带村洋里供销社冷链物流配送中心主体部分完工基础上改建农产品冷链物流前置仓，采购安装相关冷链设备，建设农产品产地仓储保鲜与物流设施。</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2022.04-2022.05</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推动冷链物流服务网络向农村延伸，整县推进农产品产地仓储保鲜冷链物流设施建设。</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闽侯县商务局</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福州市</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冷链物流</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前置仓</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改建</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闽侯县竹岐供销社</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44 </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22 </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利用竹岐乡竹岐街闲置网点改建农产品冷链物流前置仓，通过对现有闲置网点进行改造并采购安装相关冷链设备，建设农产品产地仓储保鲜与物流设施。</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2022.04-2022.05</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推动冷链物流服务网络向农村延伸，整县推进农产品产地仓储保鲜冷链物流设施建设。</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闽侯县商务局</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福州市</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冷链物流</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前置仓</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改建</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闽侯县荆溪供销社</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34 </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17 </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利用荆溪供销社关中购销处闲置网点部分场所改建为农产品冷链物流前置仓，通过对现有闲置网点进行改造并采购安装相关冷链设备，建设农产品产地仓储保鲜与物流设施。</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2022.04-2022.05</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推动冷链物流服务网络向农村延伸，整县推进农产品产地仓储保鲜冷链物流设施建设。</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闽侯县商务局</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福州市</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w:t>
            </w:r>
          </w:p>
        </w:tc>
        <w:tc>
          <w:tcPr>
            <w:tcW w:w="1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冷链物流集采集配中心</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改建</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闽侯县南通供销社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28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14 </w:t>
            </w:r>
          </w:p>
        </w:tc>
        <w:tc>
          <w:tcPr>
            <w:tcW w:w="3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通过与福建省绿通供应链管理有限公司合作共建的方式建设集采集配中心1个，提供农产品检测、预冷、分选、冷藏、配货、网络建设，调配中心，结算系统等服务。</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2022.04-2022.07</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推动冷链物流服务网络向农村延伸，整县推进农产品产地仓储保鲜冷链物流设施建设。</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闽侯县商务局</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福州市</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物流配送体系</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3"/>
                <w:szCs w:val="13"/>
                <w:u w:val="none"/>
                <w:lang w:val="en-US" w:eastAsia="zh-CN" w:bidi="ar"/>
              </w:rPr>
              <w:t>新建/改建</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中国邮政集团有限公司福建省闽侯县分公司</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660 </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330 </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项目占地面积4842平方米，主要进行场地改造（建设面积2384平方米）、自动分拣设备、装卸设备、监控、电脑、PDA等配套设施。1部冷链车辆金额约为20万元、2部厢式货车1.75吨、每辆金额约15万元；购置10辆金额约为155万元。乡镇共配中心（14个:新建5个、改造9个）场所改造、监控、电脑、PDA、货架等配套设施。</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2022.01-2022.12</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实现全县邮政快递包裹的中转、配送及对接社会物流。优化邮路，节约时间，实现全县50%的农村地区汽车化投递。</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闽侯县商务局</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闽侯县邮政管理局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1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2022年合计</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b/>
                <w:bCs/>
                <w:i w:val="0"/>
                <w:iCs w:val="0"/>
                <w:color w:val="000000"/>
                <w:sz w:val="13"/>
                <w:szCs w:val="13"/>
                <w:u w:val="none"/>
                <w:lang w:val="en-US"/>
              </w:rPr>
            </w:pPr>
            <w:r>
              <w:rPr>
                <w:rFonts w:hint="eastAsia" w:ascii="宋体" w:hAnsi="宋体" w:eastAsia="宋体" w:cs="宋体"/>
                <w:b/>
                <w:bCs/>
                <w:i w:val="0"/>
                <w:iCs w:val="0"/>
                <w:color w:val="000000"/>
                <w:kern w:val="0"/>
                <w:sz w:val="13"/>
                <w:szCs w:val="13"/>
                <w:u w:val="none"/>
                <w:lang w:val="en-US" w:eastAsia="zh-CN" w:bidi="ar"/>
              </w:rPr>
              <w:t>800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宋体" w:hAnsi="宋体" w:eastAsia="宋体" w:cs="宋体"/>
                <w:b/>
                <w:bCs/>
                <w:i w:val="0"/>
                <w:iCs w:val="0"/>
                <w:color w:val="000000"/>
                <w:sz w:val="13"/>
                <w:szCs w:val="13"/>
                <w:u w:val="none"/>
                <w:lang w:val="en-US" w:eastAsia="zh-CN"/>
              </w:rPr>
            </w:pPr>
            <w:r>
              <w:rPr>
                <w:rFonts w:hint="eastAsia" w:ascii="宋体" w:hAnsi="宋体" w:eastAsia="宋体" w:cs="宋体"/>
                <w:b/>
                <w:bCs/>
                <w:i w:val="0"/>
                <w:iCs w:val="0"/>
                <w:color w:val="000000"/>
                <w:sz w:val="13"/>
                <w:szCs w:val="13"/>
                <w:u w:val="none"/>
                <w:lang w:val="en-US" w:eastAsia="zh-CN"/>
              </w:rPr>
              <w:t>400</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i w:val="0"/>
                <w:iCs w:val="0"/>
                <w:color w:val="000000"/>
                <w:sz w:val="13"/>
                <w:szCs w:val="13"/>
                <w:u w:val="none"/>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3"/>
                <w:szCs w:val="13"/>
                <w:u w:val="none"/>
              </w:rPr>
            </w:pP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i w:val="0"/>
                <w:iCs w:val="0"/>
                <w:color w:val="000000"/>
                <w:sz w:val="13"/>
                <w:szCs w:val="13"/>
                <w:u w:val="none"/>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8"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*投资额指项目分年度计划投资额，不含不动产购置、租赁费用，以及人员经费、水电费等经常性开支，实际投资金额由第三方专业机构审核认定。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14648"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注1：建立分年度储备项目库。2022年度和后续年度项目已明确的应在项目清单中列出，并在商务部信息系统中录入，后续年度项目未明确的可后续进行调整、完善。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14648"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注2：县城综合商贸服务中心、村级便民商店不列入中央财政支持方向，通过市场化手段推进建设改造。</w:t>
            </w:r>
          </w:p>
        </w:tc>
      </w:tr>
    </w:tbl>
    <w:p>
      <w:pPr>
        <w:pStyle w:val="2"/>
        <w:rPr>
          <w:rFonts w:hint="default"/>
          <w:lang w:val="en-US" w:eastAsia="zh-CN"/>
        </w:rPr>
      </w:pPr>
    </w:p>
    <w:p>
      <w:pPr>
        <w:pStyle w:val="2"/>
        <w:rPr>
          <w:rFonts w:hint="eastAsia"/>
          <w:color w:val="auto"/>
          <w:lang w:val="en-US" w:eastAsia="zh-CN"/>
        </w:rPr>
      </w:pPr>
    </w:p>
    <w:sectPr>
      <w:pgSz w:w="16838" w:h="11906" w:orient="landscape"/>
      <w:pgMar w:top="1576" w:right="1701" w:bottom="157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71" w:lineRule="auto"/>
      <w:ind w:right="210" w:rightChars="100"/>
      <w:jc w:val="center"/>
      <w:rPr>
        <w:rFonts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c5/+syAEAAKADAAAOAAAAAAAAAAEAIAAAAB8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MTg1ZWQ5YjhlOWUxOWY2YTUwZDgwYzg1NDE5NWIifQ=="/>
  </w:docVars>
  <w:rsids>
    <w:rsidRoot w:val="00E55984"/>
    <w:rsid w:val="000D58BA"/>
    <w:rsid w:val="002C4DBD"/>
    <w:rsid w:val="00321275"/>
    <w:rsid w:val="00825728"/>
    <w:rsid w:val="008F5F74"/>
    <w:rsid w:val="00AA6F18"/>
    <w:rsid w:val="00BA5F24"/>
    <w:rsid w:val="00CF4C2F"/>
    <w:rsid w:val="00DB3AD1"/>
    <w:rsid w:val="00E247A6"/>
    <w:rsid w:val="00E52174"/>
    <w:rsid w:val="00E55984"/>
    <w:rsid w:val="00EB0E4B"/>
    <w:rsid w:val="00F112F4"/>
    <w:rsid w:val="00FA63C3"/>
    <w:rsid w:val="014A2A8B"/>
    <w:rsid w:val="0290454B"/>
    <w:rsid w:val="02F6692F"/>
    <w:rsid w:val="0328143D"/>
    <w:rsid w:val="05BC001D"/>
    <w:rsid w:val="06C6719D"/>
    <w:rsid w:val="07352722"/>
    <w:rsid w:val="08857798"/>
    <w:rsid w:val="0AEB1631"/>
    <w:rsid w:val="0AFD4581"/>
    <w:rsid w:val="0BC1013B"/>
    <w:rsid w:val="0BEA0D25"/>
    <w:rsid w:val="0CFF177F"/>
    <w:rsid w:val="0D2672CC"/>
    <w:rsid w:val="0F1E389D"/>
    <w:rsid w:val="13CB517F"/>
    <w:rsid w:val="14F8467B"/>
    <w:rsid w:val="160D17C2"/>
    <w:rsid w:val="180041A3"/>
    <w:rsid w:val="1B5D2E45"/>
    <w:rsid w:val="1B601C8B"/>
    <w:rsid w:val="1BDA4C79"/>
    <w:rsid w:val="1C5D5C5E"/>
    <w:rsid w:val="210446D8"/>
    <w:rsid w:val="22E76282"/>
    <w:rsid w:val="249A4004"/>
    <w:rsid w:val="2500362B"/>
    <w:rsid w:val="25311A36"/>
    <w:rsid w:val="2BB94E2E"/>
    <w:rsid w:val="2DF16206"/>
    <w:rsid w:val="2E795838"/>
    <w:rsid w:val="2FE9188B"/>
    <w:rsid w:val="397903A7"/>
    <w:rsid w:val="3B7B1FE2"/>
    <w:rsid w:val="3CB83334"/>
    <w:rsid w:val="3D206ECB"/>
    <w:rsid w:val="3F55760A"/>
    <w:rsid w:val="414A5F02"/>
    <w:rsid w:val="469876B5"/>
    <w:rsid w:val="46DA5DE2"/>
    <w:rsid w:val="472555F6"/>
    <w:rsid w:val="4C9D68FA"/>
    <w:rsid w:val="4E916F1E"/>
    <w:rsid w:val="4EC80E88"/>
    <w:rsid w:val="4ECD3B1E"/>
    <w:rsid w:val="4FBA06F6"/>
    <w:rsid w:val="50265D8C"/>
    <w:rsid w:val="51365017"/>
    <w:rsid w:val="55CF52B1"/>
    <w:rsid w:val="5677363F"/>
    <w:rsid w:val="583530D2"/>
    <w:rsid w:val="599D630C"/>
    <w:rsid w:val="5A3C1768"/>
    <w:rsid w:val="5A45385D"/>
    <w:rsid w:val="5DB1365C"/>
    <w:rsid w:val="5F9D5F6C"/>
    <w:rsid w:val="5FAA4301"/>
    <w:rsid w:val="6257530B"/>
    <w:rsid w:val="62A603C6"/>
    <w:rsid w:val="63E92F01"/>
    <w:rsid w:val="650224CC"/>
    <w:rsid w:val="65280254"/>
    <w:rsid w:val="66E768BE"/>
    <w:rsid w:val="68925E48"/>
    <w:rsid w:val="6CA868D0"/>
    <w:rsid w:val="6D455B5A"/>
    <w:rsid w:val="6F1A592A"/>
    <w:rsid w:val="6FF24D11"/>
    <w:rsid w:val="714427E7"/>
    <w:rsid w:val="715B786B"/>
    <w:rsid w:val="720008BB"/>
    <w:rsid w:val="726019CE"/>
    <w:rsid w:val="74113C86"/>
    <w:rsid w:val="75555DED"/>
    <w:rsid w:val="768D1802"/>
    <w:rsid w:val="76D53514"/>
    <w:rsid w:val="76D96E05"/>
    <w:rsid w:val="77447530"/>
    <w:rsid w:val="7883527A"/>
    <w:rsid w:val="7A68739A"/>
    <w:rsid w:val="7BB5695F"/>
    <w:rsid w:val="7DDD542C"/>
    <w:rsid w:val="7F80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cs="宋体"/>
    </w:rPr>
  </w:style>
  <w:style w:type="paragraph" w:styleId="5">
    <w:name w:val="Body Text Indent"/>
    <w:basedOn w:val="1"/>
    <w:qFormat/>
    <w:uiPriority w:val="0"/>
    <w:pPr>
      <w:spacing w:after="120"/>
      <w:ind w:left="420" w:leftChars="200"/>
    </w:pPr>
  </w:style>
  <w:style w:type="paragraph" w:styleId="6">
    <w:name w:val="Balloon Text"/>
    <w:basedOn w:val="1"/>
    <w:next w:val="7"/>
    <w:semiHidden/>
    <w:qFormat/>
    <w:uiPriority w:val="0"/>
    <w:rPr>
      <w:sz w:val="18"/>
      <w:szCs w:val="18"/>
    </w:rPr>
  </w:style>
  <w:style w:type="paragraph" w:styleId="7">
    <w:name w:val="HTML Preformatted"/>
    <w:basedOn w:val="1"/>
    <w:qFormat/>
    <w:uiPriority w:val="0"/>
    <w:rPr>
      <w:rFonts w:ascii="Courier New" w:hAnsi="Courier New" w:eastAsia="宋体" w:cs="Courier New"/>
      <w:sz w:val="2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99"/>
    <w:pPr>
      <w:spacing w:beforeAutospacing="1" w:afterAutospacing="1"/>
      <w:jc w:val="left"/>
    </w:pPr>
    <w:rPr>
      <w:kern w:val="0"/>
      <w:sz w:val="24"/>
    </w:rPr>
  </w:style>
  <w:style w:type="paragraph" w:styleId="12">
    <w:name w:val="Body Text First Indent 2"/>
    <w:basedOn w:val="5"/>
    <w:qFormat/>
    <w:uiPriority w:val="0"/>
    <w:pPr>
      <w:ind w:left="0" w:firstLine="420" w:firstLineChars="200"/>
    </w:pPr>
    <w:rPr>
      <w:rFonts w:ascii="Calibri" w:hAnsi="Calibri"/>
    </w:r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character" w:customStyle="1" w:styleId="17">
    <w:name w:val="font21"/>
    <w:basedOn w:val="14"/>
    <w:qFormat/>
    <w:uiPriority w:val="0"/>
    <w:rPr>
      <w:rFonts w:hint="eastAsia" w:ascii="宋体" w:hAnsi="宋体" w:eastAsia="宋体" w:cs="宋体"/>
      <w:b/>
      <w:bCs/>
      <w:color w:val="000000"/>
      <w:sz w:val="20"/>
      <w:szCs w:val="20"/>
      <w:u w:val="none"/>
    </w:rPr>
  </w:style>
  <w:style w:type="character" w:customStyle="1" w:styleId="18">
    <w:name w:val="font01"/>
    <w:basedOn w:val="14"/>
    <w:qFormat/>
    <w:uiPriority w:val="0"/>
    <w:rPr>
      <w:rFonts w:hint="eastAsia" w:ascii="宋体" w:hAnsi="宋体" w:eastAsia="宋体" w:cs="宋体"/>
      <w:color w:val="000000"/>
      <w:sz w:val="20"/>
      <w:szCs w:val="20"/>
      <w:u w:val="none"/>
    </w:rPr>
  </w:style>
  <w:style w:type="character" w:customStyle="1" w:styleId="19">
    <w:name w:val="font101"/>
    <w:basedOn w:val="14"/>
    <w:uiPriority w:val="0"/>
    <w:rPr>
      <w:rFonts w:hint="eastAsia" w:ascii="宋体" w:hAnsi="宋体" w:eastAsia="宋体" w:cs="宋体"/>
      <w:color w:val="FF0000"/>
      <w:sz w:val="20"/>
      <w:szCs w:val="20"/>
      <w:u w:val="none"/>
    </w:rPr>
  </w:style>
  <w:style w:type="character" w:customStyle="1" w:styleId="20">
    <w:name w:val="font112"/>
    <w:basedOn w:val="14"/>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7380</Words>
  <Characters>8022</Characters>
  <Lines>19</Lines>
  <Paragraphs>5</Paragraphs>
  <TotalTime>231</TotalTime>
  <ScaleCrop>false</ScaleCrop>
  <LinksUpToDate>false</LinksUpToDate>
  <CharactersWithSpaces>8131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2021-07-25T09:24:00Z</dcterms:created>
  <dc:creator>ck</dc:creator>
  <cp:lastModifiedBy>Administrator</cp:lastModifiedBy>
  <cp:lastPrinted>2023-09-13T03:10:59Z</cp:lastPrinted>
  <dcterms:modified xsi:type="dcterms:W3CDTF">2023-09-14T07:28:50Z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E10DA55339B0413AA3D3EEA9AE94E537_13</vt:lpwstr>
  </property>
</Properties>
</file>