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0"/>
        </w:tabs>
        <w:spacing w:line="560" w:lineRule="exact"/>
        <w:ind w:right="90" w:rightChars="43" w:firstLine="0"/>
        <w:rPr>
          <w:rFonts w:ascii="方正小标宋简体" w:hAnsi="仿宋" w:eastAsia="方正小标宋简体"/>
          <w:sz w:val="44"/>
          <w:szCs w:val="44"/>
        </w:rPr>
      </w:pPr>
      <w:bookmarkStart w:id="0" w:name="_GoBack"/>
      <w:bookmarkEnd w:id="0"/>
    </w:p>
    <w:p>
      <w:pPr>
        <w:tabs>
          <w:tab w:val="left" w:pos="8640"/>
        </w:tabs>
        <w:spacing w:line="560" w:lineRule="exact"/>
        <w:ind w:right="90" w:rightChars="43" w:firstLine="1100" w:firstLineChars="250"/>
        <w:rPr>
          <w:rFonts w:ascii="黑体" w:hAnsi="黑体" w:eastAsia="黑体"/>
          <w:sz w:val="44"/>
          <w:szCs w:val="44"/>
        </w:rPr>
      </w:pPr>
      <w:r>
        <w:rPr>
          <w:rFonts w:hint="eastAsia" w:ascii="黑体" w:hAnsi="黑体" w:eastAsia="黑体"/>
          <w:sz w:val="44"/>
          <w:szCs w:val="44"/>
        </w:rPr>
        <w:t>关于</w:t>
      </w:r>
      <w:r>
        <w:rPr>
          <w:rFonts w:ascii="黑体" w:hAnsi="黑体" w:eastAsia="黑体"/>
          <w:sz w:val="44"/>
          <w:szCs w:val="44"/>
        </w:rPr>
        <w:t>201</w:t>
      </w:r>
      <w:r>
        <w:rPr>
          <w:rFonts w:hint="eastAsia" w:ascii="黑体" w:hAnsi="黑体" w:eastAsia="黑体"/>
          <w:sz w:val="44"/>
          <w:szCs w:val="44"/>
          <w:lang w:val="en-US" w:eastAsia="zh-CN"/>
        </w:rPr>
        <w:t>9</w:t>
      </w:r>
      <w:r>
        <w:rPr>
          <w:rFonts w:hint="eastAsia" w:ascii="黑体" w:hAnsi="黑体" w:eastAsia="黑体"/>
          <w:sz w:val="44"/>
          <w:szCs w:val="44"/>
        </w:rPr>
        <w:t>年县财政预算调整的报告</w:t>
      </w:r>
    </w:p>
    <w:p>
      <w:pPr>
        <w:tabs>
          <w:tab w:val="left" w:pos="8640"/>
        </w:tabs>
        <w:spacing w:line="560" w:lineRule="exact"/>
        <w:ind w:right="90" w:rightChars="43" w:firstLine="1680" w:firstLineChars="600"/>
        <w:rPr>
          <w:rFonts w:ascii="楷体" w:hAnsi="楷体" w:eastAsia="楷体"/>
          <w:sz w:val="28"/>
          <w:szCs w:val="28"/>
        </w:rPr>
      </w:pPr>
      <w:r>
        <w:rPr>
          <w:rFonts w:hint="eastAsia" w:ascii="楷体" w:hAnsi="楷体" w:eastAsia="楷体"/>
          <w:sz w:val="28"/>
          <w:szCs w:val="28"/>
        </w:rPr>
        <w:t>（</w:t>
      </w:r>
      <w:r>
        <w:rPr>
          <w:rFonts w:ascii="楷体" w:hAnsi="楷体" w:eastAsia="楷体"/>
          <w:sz w:val="28"/>
          <w:szCs w:val="28"/>
        </w:rPr>
        <w:t>201</w:t>
      </w:r>
      <w:r>
        <w:rPr>
          <w:rFonts w:hint="eastAsia" w:ascii="楷体" w:hAnsi="楷体" w:eastAsia="楷体"/>
          <w:sz w:val="28"/>
          <w:szCs w:val="28"/>
          <w:lang w:val="en-US" w:eastAsia="zh-CN"/>
        </w:rPr>
        <w:t>9</w:t>
      </w:r>
      <w:r>
        <w:rPr>
          <w:rFonts w:hint="eastAsia" w:ascii="楷体" w:hAnsi="楷体" w:eastAsia="楷体"/>
          <w:sz w:val="28"/>
          <w:szCs w:val="28"/>
        </w:rPr>
        <w:t>年</w:t>
      </w:r>
      <w:r>
        <w:rPr>
          <w:rFonts w:ascii="楷体" w:hAnsi="楷体" w:eastAsia="楷体"/>
          <w:sz w:val="28"/>
          <w:szCs w:val="28"/>
        </w:rPr>
        <w:t>12</w:t>
      </w:r>
      <w:r>
        <w:rPr>
          <w:rFonts w:hint="eastAsia" w:ascii="楷体" w:hAnsi="楷体" w:eastAsia="楷体"/>
          <w:sz w:val="28"/>
          <w:szCs w:val="28"/>
        </w:rPr>
        <w:t>月</w:t>
      </w:r>
      <w:r>
        <w:rPr>
          <w:rFonts w:ascii="楷体" w:hAnsi="楷体" w:eastAsia="楷体"/>
          <w:sz w:val="28"/>
          <w:szCs w:val="28"/>
        </w:rPr>
        <w:t>2</w:t>
      </w:r>
      <w:r>
        <w:rPr>
          <w:rFonts w:hint="eastAsia" w:ascii="楷体" w:hAnsi="楷体" w:eastAsia="楷体"/>
          <w:sz w:val="28"/>
          <w:szCs w:val="28"/>
          <w:lang w:val="en-US" w:eastAsia="zh-CN"/>
        </w:rPr>
        <w:t>0</w:t>
      </w:r>
      <w:r>
        <w:rPr>
          <w:rFonts w:hint="eastAsia" w:ascii="楷体" w:hAnsi="楷体" w:eastAsia="楷体"/>
          <w:sz w:val="28"/>
          <w:szCs w:val="28"/>
        </w:rPr>
        <w:t>日在闽侯县第十八届</w:t>
      </w:r>
    </w:p>
    <w:p>
      <w:pPr>
        <w:tabs>
          <w:tab w:val="left" w:pos="8640"/>
        </w:tabs>
        <w:spacing w:line="560" w:lineRule="exact"/>
        <w:ind w:right="90" w:rightChars="43" w:firstLine="2380" w:firstLineChars="850"/>
        <w:rPr>
          <w:rFonts w:ascii="楷体" w:hAnsi="楷体" w:eastAsia="楷体"/>
          <w:sz w:val="28"/>
          <w:szCs w:val="28"/>
        </w:rPr>
      </w:pPr>
      <w:r>
        <w:rPr>
          <w:rFonts w:hint="eastAsia" w:ascii="楷体" w:hAnsi="楷体" w:eastAsia="楷体"/>
          <w:sz w:val="28"/>
          <w:szCs w:val="28"/>
        </w:rPr>
        <w:t>人大常委会第二十</w:t>
      </w:r>
      <w:r>
        <w:rPr>
          <w:rFonts w:hint="eastAsia" w:ascii="楷体" w:hAnsi="楷体" w:eastAsia="楷体"/>
          <w:sz w:val="28"/>
          <w:szCs w:val="28"/>
          <w:lang w:eastAsia="zh-CN"/>
        </w:rPr>
        <w:t>九</w:t>
      </w:r>
      <w:r>
        <w:rPr>
          <w:rFonts w:hint="eastAsia" w:ascii="楷体" w:hAnsi="楷体" w:eastAsia="楷体"/>
          <w:sz w:val="28"/>
          <w:szCs w:val="28"/>
        </w:rPr>
        <w:t>次会议上）</w:t>
      </w:r>
    </w:p>
    <w:p>
      <w:pPr>
        <w:tabs>
          <w:tab w:val="left" w:pos="8640"/>
        </w:tabs>
        <w:spacing w:line="560" w:lineRule="exact"/>
        <w:ind w:right="90" w:rightChars="43" w:firstLine="2345" w:firstLineChars="730"/>
        <w:rPr>
          <w:rFonts w:ascii="楷体" w:hAnsi="楷体" w:eastAsia="楷体"/>
          <w:b/>
          <w:sz w:val="32"/>
          <w:szCs w:val="32"/>
        </w:rPr>
      </w:pPr>
      <w:r>
        <w:rPr>
          <w:rFonts w:hint="eastAsia" w:ascii="楷体" w:hAnsi="楷体" w:eastAsia="楷体"/>
          <w:b/>
          <w:sz w:val="32"/>
          <w:szCs w:val="32"/>
        </w:rPr>
        <w:t>闽侯县财政局局长</w:t>
      </w:r>
      <w:r>
        <w:rPr>
          <w:rFonts w:ascii="楷体" w:hAnsi="楷体" w:eastAsia="楷体"/>
          <w:b/>
          <w:sz w:val="32"/>
          <w:szCs w:val="32"/>
        </w:rPr>
        <w:t xml:space="preserve"> </w:t>
      </w:r>
      <w:r>
        <w:rPr>
          <w:rFonts w:hint="eastAsia" w:ascii="楷体" w:hAnsi="楷体" w:eastAsia="楷体"/>
          <w:b/>
          <w:sz w:val="32"/>
          <w:szCs w:val="32"/>
        </w:rPr>
        <w:t>吴文钦</w:t>
      </w:r>
    </w:p>
    <w:p>
      <w:pPr>
        <w:tabs>
          <w:tab w:val="left" w:pos="8640"/>
        </w:tabs>
        <w:spacing w:line="560" w:lineRule="exact"/>
        <w:ind w:right="90" w:rightChars="43" w:firstLine="883" w:firstLineChars="200"/>
        <w:rPr>
          <w:rFonts w:ascii="方正小标宋简体" w:hAnsi="仿宋" w:eastAsia="方正小标宋简体"/>
          <w:b/>
          <w:sz w:val="44"/>
          <w:szCs w:val="44"/>
        </w:rPr>
      </w:pPr>
    </w:p>
    <w:p>
      <w:pPr>
        <w:tabs>
          <w:tab w:val="left" w:pos="8640"/>
        </w:tabs>
        <w:spacing w:line="560" w:lineRule="exact"/>
        <w:ind w:right="90" w:rightChars="43" w:firstLine="0"/>
        <w:rPr>
          <w:rFonts w:ascii="仿宋" w:hAnsi="仿宋" w:eastAsia="仿宋"/>
          <w:sz w:val="32"/>
          <w:szCs w:val="32"/>
        </w:rPr>
      </w:pPr>
      <w:r>
        <w:rPr>
          <w:rFonts w:hint="eastAsia" w:ascii="仿宋" w:hAnsi="仿宋" w:eastAsia="仿宋"/>
          <w:sz w:val="32"/>
          <w:szCs w:val="32"/>
        </w:rPr>
        <w:t>主任、各位副主任、委员</w:t>
      </w:r>
      <w:r>
        <w:rPr>
          <w:rFonts w:ascii="仿宋" w:hAnsi="仿宋" w:eastAsia="仿宋"/>
          <w:sz w:val="32"/>
          <w:szCs w:val="32"/>
        </w:rPr>
        <w:t>:</w:t>
      </w:r>
    </w:p>
    <w:p>
      <w:pPr>
        <w:tabs>
          <w:tab w:val="left" w:pos="8640"/>
        </w:tabs>
        <w:spacing w:line="560" w:lineRule="exact"/>
        <w:ind w:right="90" w:rightChars="43" w:firstLine="640" w:firstLineChars="200"/>
        <w:rPr>
          <w:rFonts w:ascii="仿宋" w:hAnsi="仿宋" w:eastAsia="仿宋"/>
          <w:sz w:val="32"/>
          <w:szCs w:val="32"/>
        </w:rPr>
      </w:pPr>
      <w:r>
        <w:rPr>
          <w:rFonts w:hint="eastAsia" w:ascii="仿宋" w:hAnsi="仿宋" w:eastAsia="仿宋"/>
          <w:sz w:val="32"/>
          <w:szCs w:val="32"/>
        </w:rPr>
        <w:t>我受县人民政府的委托，向县第十八届人大常委会第二十</w:t>
      </w:r>
      <w:r>
        <w:rPr>
          <w:rFonts w:hint="eastAsia" w:ascii="仿宋" w:hAnsi="仿宋" w:eastAsia="仿宋"/>
          <w:sz w:val="32"/>
          <w:szCs w:val="32"/>
          <w:lang w:eastAsia="zh-CN"/>
        </w:rPr>
        <w:t>九</w:t>
      </w:r>
      <w:r>
        <w:rPr>
          <w:rFonts w:hint="eastAsia" w:ascii="仿宋" w:hAnsi="仿宋" w:eastAsia="仿宋"/>
          <w:sz w:val="32"/>
          <w:szCs w:val="32"/>
        </w:rPr>
        <w:t>次会议报告</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年县财政预算调整方案，请予以审议。</w:t>
      </w:r>
    </w:p>
    <w:p>
      <w:pPr>
        <w:tabs>
          <w:tab w:val="left" w:pos="8640"/>
        </w:tabs>
        <w:spacing w:line="560" w:lineRule="exact"/>
        <w:ind w:right="90" w:rightChars="43" w:firstLine="803" w:firstLineChars="250"/>
        <w:rPr>
          <w:rFonts w:ascii="仿宋" w:hAnsi="仿宋" w:eastAsia="仿宋"/>
          <w:color w:val="auto"/>
          <w:sz w:val="32"/>
          <w:szCs w:val="32"/>
        </w:rPr>
      </w:pPr>
      <w:r>
        <w:rPr>
          <w:rFonts w:hint="eastAsia" w:ascii="仿宋" w:hAnsi="仿宋" w:eastAsia="仿宋"/>
          <w:b/>
          <w:color w:val="auto"/>
          <w:sz w:val="32"/>
          <w:szCs w:val="32"/>
        </w:rPr>
        <w:t>一、</w:t>
      </w:r>
      <w:r>
        <w:rPr>
          <w:rFonts w:ascii="仿宋" w:hAnsi="仿宋" w:eastAsia="仿宋"/>
          <w:b/>
          <w:color w:val="auto"/>
          <w:sz w:val="32"/>
          <w:szCs w:val="32"/>
        </w:rPr>
        <w:t>201</w:t>
      </w:r>
      <w:r>
        <w:rPr>
          <w:rFonts w:hint="eastAsia" w:ascii="仿宋" w:hAnsi="仿宋" w:eastAsia="仿宋"/>
          <w:b/>
          <w:color w:val="auto"/>
          <w:sz w:val="32"/>
          <w:szCs w:val="32"/>
        </w:rPr>
        <w:t>9年年初</w:t>
      </w:r>
      <w:r>
        <w:rPr>
          <w:rFonts w:hint="eastAsia" w:ascii="仿宋" w:hAnsi="仿宋" w:eastAsia="仿宋"/>
          <w:b/>
          <w:color w:val="auto"/>
          <w:sz w:val="32"/>
          <w:szCs w:val="32"/>
          <w:lang w:eastAsia="zh-CN"/>
        </w:rPr>
        <w:t>县</w:t>
      </w:r>
      <w:r>
        <w:rPr>
          <w:rFonts w:hint="eastAsia" w:ascii="仿宋" w:hAnsi="仿宋" w:eastAsia="仿宋"/>
          <w:b/>
          <w:color w:val="auto"/>
          <w:sz w:val="32"/>
          <w:szCs w:val="32"/>
        </w:rPr>
        <w:t>人大批准全县（含高新区，下同）财政收支预算情况</w:t>
      </w:r>
    </w:p>
    <w:p>
      <w:pPr>
        <w:tabs>
          <w:tab w:val="left" w:pos="8640"/>
        </w:tabs>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（一）全县一般公共预算总收入为</w:t>
      </w:r>
      <w:r>
        <w:rPr>
          <w:rFonts w:ascii="仿宋" w:hAnsi="仿宋" w:eastAsia="仿宋"/>
          <w:color w:val="auto"/>
          <w:sz w:val="32"/>
          <w:szCs w:val="32"/>
        </w:rPr>
        <w:t>1</w:t>
      </w:r>
      <w:r>
        <w:rPr>
          <w:rFonts w:hint="eastAsia" w:ascii="仿宋" w:hAnsi="仿宋" w:eastAsia="仿宋"/>
          <w:color w:val="auto"/>
          <w:sz w:val="32"/>
          <w:szCs w:val="32"/>
        </w:rPr>
        <w:t>30.57亿元（县本级105.72亿元，高新区</w:t>
      </w:r>
      <w:r>
        <w:rPr>
          <w:rFonts w:ascii="仿宋" w:hAnsi="仿宋" w:eastAsia="仿宋"/>
          <w:color w:val="auto"/>
          <w:sz w:val="32"/>
          <w:szCs w:val="32"/>
        </w:rPr>
        <w:t>2</w:t>
      </w:r>
      <w:r>
        <w:rPr>
          <w:rFonts w:hint="eastAsia" w:ascii="仿宋" w:hAnsi="仿宋" w:eastAsia="仿宋"/>
          <w:color w:val="auto"/>
          <w:sz w:val="32"/>
          <w:szCs w:val="32"/>
        </w:rPr>
        <w:t>4.85亿元），同口径增长3%。其中：一般公共预算收入为82.47亿元（县本级</w:t>
      </w:r>
      <w:r>
        <w:rPr>
          <w:rFonts w:ascii="仿宋" w:hAnsi="仿宋" w:eastAsia="仿宋"/>
          <w:color w:val="auto"/>
          <w:sz w:val="32"/>
          <w:szCs w:val="32"/>
        </w:rPr>
        <w:t>6</w:t>
      </w:r>
      <w:r>
        <w:rPr>
          <w:rFonts w:hint="eastAsia" w:ascii="仿宋" w:hAnsi="仿宋" w:eastAsia="仿宋"/>
          <w:color w:val="auto"/>
          <w:sz w:val="32"/>
          <w:szCs w:val="32"/>
        </w:rPr>
        <w:t>5.87亿元，高新区</w:t>
      </w:r>
      <w:r>
        <w:rPr>
          <w:rFonts w:ascii="仿宋" w:hAnsi="仿宋" w:eastAsia="仿宋"/>
          <w:color w:val="auto"/>
          <w:sz w:val="32"/>
          <w:szCs w:val="32"/>
        </w:rPr>
        <w:t>1</w:t>
      </w:r>
      <w:r>
        <w:rPr>
          <w:rFonts w:hint="eastAsia" w:ascii="仿宋" w:hAnsi="仿宋" w:eastAsia="仿宋"/>
          <w:color w:val="auto"/>
          <w:sz w:val="32"/>
          <w:szCs w:val="32"/>
        </w:rPr>
        <w:t>6.6亿元），同口径增长3%。一般公共预算支出为103.55亿元（县本级86.14亿元，高新区17.41亿元）。</w:t>
      </w:r>
    </w:p>
    <w:p>
      <w:pPr>
        <w:tabs>
          <w:tab w:val="left" w:pos="8640"/>
        </w:tabs>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（二）全县政府性基金收入为</w:t>
      </w:r>
      <w:r>
        <w:rPr>
          <w:rFonts w:ascii="仿宋" w:hAnsi="仿宋" w:eastAsia="仿宋"/>
          <w:color w:val="auto"/>
          <w:sz w:val="32"/>
          <w:szCs w:val="32"/>
        </w:rPr>
        <w:t>1</w:t>
      </w:r>
      <w:r>
        <w:rPr>
          <w:rFonts w:hint="eastAsia" w:ascii="仿宋" w:hAnsi="仿宋" w:eastAsia="仿宋"/>
          <w:color w:val="auto"/>
          <w:sz w:val="32"/>
          <w:szCs w:val="32"/>
        </w:rPr>
        <w:t>22亿元（县本级60亿元，高新区62亿元），增长46.43</w:t>
      </w:r>
      <w:r>
        <w:rPr>
          <w:rFonts w:ascii="仿宋" w:hAnsi="仿宋" w:eastAsia="仿宋"/>
          <w:color w:val="auto"/>
          <w:sz w:val="32"/>
          <w:szCs w:val="32"/>
        </w:rPr>
        <w:t>%</w:t>
      </w:r>
      <w:r>
        <w:rPr>
          <w:rFonts w:hint="eastAsia" w:ascii="仿宋" w:hAnsi="仿宋" w:eastAsia="仿宋"/>
          <w:color w:val="auto"/>
          <w:sz w:val="32"/>
          <w:szCs w:val="32"/>
        </w:rPr>
        <w:t>，其中：土地基金收入120.60亿元（县本级</w:t>
      </w:r>
      <w:r>
        <w:rPr>
          <w:rFonts w:ascii="仿宋" w:hAnsi="仿宋" w:eastAsia="仿宋"/>
          <w:color w:val="auto"/>
          <w:sz w:val="32"/>
          <w:szCs w:val="32"/>
        </w:rPr>
        <w:t>5</w:t>
      </w:r>
      <w:r>
        <w:rPr>
          <w:rFonts w:hint="eastAsia" w:ascii="仿宋" w:hAnsi="仿宋" w:eastAsia="仿宋"/>
          <w:color w:val="auto"/>
          <w:sz w:val="32"/>
          <w:szCs w:val="32"/>
        </w:rPr>
        <w:t>8.87亿元，高新区61.73亿元），增长46.65</w:t>
      </w:r>
      <w:r>
        <w:rPr>
          <w:rFonts w:ascii="仿宋" w:hAnsi="仿宋" w:eastAsia="仿宋"/>
          <w:color w:val="auto"/>
          <w:sz w:val="32"/>
          <w:szCs w:val="32"/>
        </w:rPr>
        <w:t>%</w:t>
      </w:r>
      <w:r>
        <w:rPr>
          <w:rFonts w:hint="eastAsia" w:ascii="仿宋" w:hAnsi="仿宋" w:eastAsia="仿宋"/>
          <w:color w:val="auto"/>
          <w:sz w:val="32"/>
          <w:szCs w:val="32"/>
        </w:rPr>
        <w:t>。</w:t>
      </w:r>
    </w:p>
    <w:p>
      <w:pPr>
        <w:tabs>
          <w:tab w:val="left" w:pos="8640"/>
        </w:tabs>
        <w:spacing w:line="600" w:lineRule="exact"/>
        <w:ind w:firstLine="800" w:firstLineChars="250"/>
        <w:rPr>
          <w:rFonts w:ascii="仿宋" w:hAnsi="仿宋" w:eastAsia="仿宋"/>
          <w:color w:val="auto"/>
          <w:sz w:val="32"/>
          <w:szCs w:val="32"/>
        </w:rPr>
      </w:pPr>
      <w:r>
        <w:rPr>
          <w:rFonts w:hint="eastAsia" w:ascii="仿宋" w:hAnsi="仿宋" w:eastAsia="仿宋"/>
          <w:color w:val="auto"/>
          <w:sz w:val="32"/>
          <w:szCs w:val="32"/>
        </w:rPr>
        <w:t>政府性基金支出为</w:t>
      </w:r>
      <w:r>
        <w:rPr>
          <w:rFonts w:ascii="仿宋" w:hAnsi="仿宋" w:eastAsia="仿宋"/>
          <w:color w:val="auto"/>
          <w:sz w:val="32"/>
          <w:szCs w:val="32"/>
        </w:rPr>
        <w:t>1</w:t>
      </w:r>
      <w:r>
        <w:rPr>
          <w:rFonts w:hint="eastAsia" w:ascii="仿宋" w:hAnsi="仿宋" w:eastAsia="仿宋"/>
          <w:color w:val="auto"/>
          <w:sz w:val="32"/>
          <w:szCs w:val="32"/>
        </w:rPr>
        <w:t>22亿元（县本级60亿元，高新区62亿元），增长100.04%，其中：土地基金支出</w:t>
      </w:r>
      <w:r>
        <w:rPr>
          <w:rFonts w:ascii="仿宋" w:hAnsi="仿宋" w:eastAsia="仿宋"/>
          <w:color w:val="auto"/>
          <w:sz w:val="32"/>
          <w:szCs w:val="32"/>
        </w:rPr>
        <w:t>1</w:t>
      </w:r>
      <w:r>
        <w:rPr>
          <w:rFonts w:hint="eastAsia" w:ascii="仿宋" w:hAnsi="仿宋" w:eastAsia="仿宋"/>
          <w:color w:val="auto"/>
          <w:sz w:val="32"/>
          <w:szCs w:val="32"/>
        </w:rPr>
        <w:t>20.60亿元（县本级</w:t>
      </w:r>
      <w:r>
        <w:rPr>
          <w:rFonts w:ascii="仿宋" w:hAnsi="仿宋" w:eastAsia="仿宋"/>
          <w:color w:val="auto"/>
          <w:sz w:val="32"/>
          <w:szCs w:val="32"/>
        </w:rPr>
        <w:t>5</w:t>
      </w:r>
      <w:r>
        <w:rPr>
          <w:rFonts w:hint="eastAsia" w:ascii="仿宋" w:hAnsi="仿宋" w:eastAsia="仿宋"/>
          <w:color w:val="auto"/>
          <w:sz w:val="32"/>
          <w:szCs w:val="32"/>
        </w:rPr>
        <w:t>8.87亿元，高新区61.73亿元），增长</w:t>
      </w:r>
      <w:r>
        <w:rPr>
          <w:rFonts w:ascii="仿宋" w:hAnsi="仿宋" w:eastAsia="仿宋"/>
          <w:color w:val="auto"/>
          <w:sz w:val="32"/>
          <w:szCs w:val="32"/>
        </w:rPr>
        <w:t>1</w:t>
      </w:r>
      <w:r>
        <w:rPr>
          <w:rFonts w:hint="eastAsia" w:ascii="仿宋" w:hAnsi="仿宋" w:eastAsia="仿宋"/>
          <w:color w:val="auto"/>
          <w:sz w:val="32"/>
          <w:szCs w:val="32"/>
        </w:rPr>
        <w:t>04.51</w:t>
      </w:r>
      <w:r>
        <w:rPr>
          <w:rFonts w:ascii="仿宋" w:hAnsi="仿宋" w:eastAsia="仿宋"/>
          <w:color w:val="auto"/>
          <w:sz w:val="32"/>
          <w:szCs w:val="32"/>
        </w:rPr>
        <w:t>%</w:t>
      </w:r>
      <w:r>
        <w:rPr>
          <w:rFonts w:hint="eastAsia" w:ascii="仿宋" w:hAnsi="仿宋" w:eastAsia="仿宋"/>
          <w:color w:val="auto"/>
          <w:sz w:val="32"/>
          <w:szCs w:val="32"/>
        </w:rPr>
        <w:t>。</w:t>
      </w:r>
    </w:p>
    <w:p>
      <w:pPr>
        <w:spacing w:line="580" w:lineRule="exact"/>
        <w:ind w:firstLine="640" w:firstLineChars="200"/>
        <w:rPr>
          <w:rFonts w:hint="eastAsia" w:ascii="仿宋_GB2312" w:hAnsi="仿宋" w:eastAsia="仿宋_GB2312"/>
          <w:sz w:val="32"/>
          <w:szCs w:val="32"/>
        </w:rPr>
      </w:pPr>
      <w:r>
        <w:rPr>
          <w:rFonts w:hint="eastAsia" w:ascii="楷体_GB2312" w:hAnsi="仿宋" w:eastAsia="楷体_GB2312"/>
          <w:b w:val="0"/>
          <w:bCs w:val="0"/>
          <w:sz w:val="32"/>
          <w:szCs w:val="32"/>
        </w:rPr>
        <w:t>（三）</w:t>
      </w:r>
      <w:r>
        <w:rPr>
          <w:rFonts w:hint="eastAsia" w:ascii="仿宋_GB2312" w:hAnsi="仿宋" w:eastAsia="仿宋_GB2312"/>
          <w:sz w:val="32"/>
          <w:szCs w:val="32"/>
        </w:rPr>
        <w:t>县本级国有资本经营收入预算为0.323亿元，支出0.02亿元。</w:t>
      </w:r>
    </w:p>
    <w:p>
      <w:pPr>
        <w:tabs>
          <w:tab w:val="left" w:pos="8640"/>
        </w:tabs>
        <w:spacing w:line="600" w:lineRule="exact"/>
        <w:ind w:left="0" w:leftChars="0" w:firstLine="643" w:firstLineChars="200"/>
        <w:rPr>
          <w:rFonts w:ascii="仿宋" w:hAnsi="仿宋" w:eastAsia="仿宋"/>
          <w:b/>
          <w:color w:val="auto"/>
          <w:sz w:val="32"/>
          <w:szCs w:val="32"/>
        </w:rPr>
      </w:pPr>
      <w:r>
        <w:rPr>
          <w:rFonts w:hint="eastAsia" w:ascii="仿宋" w:hAnsi="仿宋" w:eastAsia="仿宋"/>
          <w:b/>
          <w:color w:val="auto"/>
          <w:sz w:val="32"/>
          <w:szCs w:val="32"/>
        </w:rPr>
        <w:t>二、2019年财政收入预算调整</w:t>
      </w:r>
    </w:p>
    <w:p>
      <w:pPr>
        <w:tabs>
          <w:tab w:val="left" w:pos="8640"/>
        </w:tabs>
        <w:spacing w:line="600" w:lineRule="exact"/>
        <w:ind w:firstLine="800" w:firstLineChars="250"/>
        <w:rPr>
          <w:rFonts w:ascii="仿宋" w:hAnsi="仿宋" w:eastAsia="仿宋"/>
          <w:color w:val="auto"/>
          <w:sz w:val="32"/>
          <w:szCs w:val="32"/>
        </w:rPr>
      </w:pPr>
      <w:r>
        <w:rPr>
          <w:rFonts w:hint="eastAsia" w:ascii="仿宋" w:hAnsi="仿宋" w:eastAsia="仿宋"/>
          <w:color w:val="auto"/>
          <w:sz w:val="32"/>
          <w:szCs w:val="32"/>
        </w:rPr>
        <w:t>今年以来，经济下行压力不断加大</w:t>
      </w:r>
      <w:r>
        <w:rPr>
          <w:rFonts w:hint="eastAsia" w:ascii="仿宋" w:hAnsi="仿宋" w:eastAsia="仿宋"/>
          <w:color w:val="auto"/>
          <w:sz w:val="32"/>
          <w:szCs w:val="32"/>
          <w:lang w:eastAsia="zh-CN"/>
        </w:rPr>
        <w:t>，</w:t>
      </w:r>
      <w:r>
        <w:rPr>
          <w:rFonts w:hint="eastAsia" w:ascii="仿宋" w:hAnsi="仿宋" w:eastAsia="仿宋"/>
          <w:color w:val="auto"/>
          <w:sz w:val="32"/>
          <w:szCs w:val="32"/>
        </w:rPr>
        <w:t>减税降费政策</w:t>
      </w:r>
      <w:r>
        <w:rPr>
          <w:rFonts w:hint="eastAsia" w:ascii="仿宋" w:hAnsi="仿宋" w:eastAsia="仿宋"/>
          <w:color w:val="auto"/>
          <w:sz w:val="32"/>
          <w:szCs w:val="32"/>
          <w:lang w:eastAsia="zh-CN"/>
        </w:rPr>
        <w:t>造成税收减收</w:t>
      </w:r>
      <w:r>
        <w:rPr>
          <w:rFonts w:hint="eastAsia" w:ascii="仿宋" w:hAnsi="仿宋" w:eastAsia="仿宋"/>
          <w:color w:val="auto"/>
          <w:sz w:val="32"/>
          <w:szCs w:val="32"/>
          <w:lang w:val="en-US" w:eastAsia="zh-CN"/>
        </w:rPr>
        <w:t>13亿元，</w:t>
      </w:r>
      <w:r>
        <w:rPr>
          <w:rFonts w:hint="eastAsia" w:ascii="仿宋" w:hAnsi="仿宋" w:eastAsia="仿宋"/>
          <w:color w:val="auto"/>
          <w:sz w:val="32"/>
          <w:szCs w:val="32"/>
        </w:rPr>
        <w:t>汽车</w:t>
      </w:r>
      <w:r>
        <w:rPr>
          <w:rFonts w:hint="eastAsia" w:ascii="仿宋" w:hAnsi="仿宋" w:eastAsia="仿宋"/>
          <w:color w:val="auto"/>
          <w:sz w:val="32"/>
          <w:szCs w:val="32"/>
          <w:lang w:eastAsia="zh-CN"/>
        </w:rPr>
        <w:t>行业税收减收</w:t>
      </w:r>
      <w:r>
        <w:rPr>
          <w:rFonts w:hint="eastAsia" w:ascii="仿宋" w:hAnsi="仿宋" w:eastAsia="仿宋"/>
          <w:color w:val="auto"/>
          <w:sz w:val="32"/>
          <w:szCs w:val="32"/>
          <w:lang w:val="en-US" w:eastAsia="zh-CN"/>
        </w:rPr>
        <w:t>8.22亿元，</w:t>
      </w:r>
      <w:r>
        <w:rPr>
          <w:rFonts w:hint="eastAsia" w:ascii="仿宋" w:hAnsi="仿宋" w:eastAsia="仿宋"/>
          <w:color w:val="auto"/>
          <w:sz w:val="32"/>
          <w:szCs w:val="32"/>
        </w:rPr>
        <w:t>房地产行业税收</w:t>
      </w:r>
      <w:r>
        <w:rPr>
          <w:rFonts w:hint="eastAsia" w:ascii="仿宋" w:hAnsi="仿宋" w:eastAsia="仿宋"/>
          <w:color w:val="auto"/>
          <w:sz w:val="32"/>
          <w:szCs w:val="32"/>
          <w:lang w:eastAsia="zh-CN"/>
        </w:rPr>
        <w:t>减收</w:t>
      </w:r>
      <w:r>
        <w:rPr>
          <w:rFonts w:hint="eastAsia" w:ascii="仿宋" w:hAnsi="仿宋" w:eastAsia="仿宋"/>
          <w:color w:val="auto"/>
          <w:sz w:val="32"/>
          <w:szCs w:val="32"/>
          <w:lang w:val="en-US" w:eastAsia="zh-CN"/>
        </w:rPr>
        <w:t>2.99亿元</w:t>
      </w:r>
      <w:r>
        <w:rPr>
          <w:rFonts w:hint="eastAsia" w:ascii="仿宋" w:hAnsi="仿宋" w:eastAsia="仿宋"/>
          <w:color w:val="auto"/>
          <w:sz w:val="32"/>
          <w:szCs w:val="32"/>
        </w:rPr>
        <w:t>，财政收入受到较大冲击。因此需对年初财政收入预算作如下调整：</w:t>
      </w:r>
    </w:p>
    <w:p>
      <w:pPr>
        <w:tabs>
          <w:tab w:val="left" w:pos="8640"/>
        </w:tabs>
        <w:spacing w:line="600" w:lineRule="exact"/>
        <w:ind w:firstLine="800" w:firstLineChars="250"/>
        <w:rPr>
          <w:rFonts w:ascii="仿宋" w:hAnsi="仿宋" w:eastAsia="仿宋"/>
          <w:color w:val="auto"/>
          <w:sz w:val="32"/>
          <w:szCs w:val="32"/>
        </w:rPr>
      </w:pPr>
      <w:r>
        <w:rPr>
          <w:rFonts w:hint="eastAsia" w:ascii="仿宋" w:hAnsi="仿宋" w:eastAsia="仿宋"/>
          <w:color w:val="auto"/>
          <w:sz w:val="32"/>
          <w:szCs w:val="32"/>
        </w:rPr>
        <w:t>(一) 全县一般公共预算总收入预算调整为11</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亿元（县本级</w:t>
      </w:r>
      <w:r>
        <w:rPr>
          <w:rFonts w:hint="eastAsia" w:ascii="仿宋" w:hAnsi="仿宋" w:eastAsia="仿宋"/>
          <w:color w:val="auto"/>
          <w:sz w:val="32"/>
          <w:szCs w:val="32"/>
          <w:lang w:val="en-US" w:eastAsia="zh-CN"/>
        </w:rPr>
        <w:t>90</w:t>
      </w:r>
      <w:r>
        <w:rPr>
          <w:rFonts w:hint="eastAsia" w:ascii="仿宋" w:hAnsi="仿宋" w:eastAsia="仿宋"/>
          <w:color w:val="auto"/>
          <w:sz w:val="32"/>
          <w:szCs w:val="32"/>
        </w:rPr>
        <w:t>.22亿元，高新区24.9</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亿元），调减1</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.3</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亿元（县本级调减1</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.5亿元，高新区调增0.1</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亿元）</w:t>
      </w:r>
      <w:r>
        <w:rPr>
          <w:rFonts w:hint="eastAsia" w:ascii="仿宋" w:hAnsi="仿宋" w:eastAsia="仿宋"/>
          <w:color w:val="auto"/>
          <w:sz w:val="32"/>
          <w:szCs w:val="32"/>
          <w:lang w:eastAsia="zh-CN"/>
        </w:rPr>
        <w:t>。</w:t>
      </w:r>
      <w:r>
        <w:rPr>
          <w:rFonts w:hint="eastAsia"/>
          <w:color w:val="auto"/>
          <w:sz w:val="32"/>
          <w:szCs w:val="32"/>
        </w:rPr>
        <w:t>其中：</w:t>
      </w:r>
      <w:r>
        <w:rPr>
          <w:rFonts w:hint="eastAsia" w:ascii="仿宋" w:hAnsi="仿宋" w:eastAsia="仿宋"/>
          <w:color w:val="auto"/>
          <w:sz w:val="32"/>
          <w:szCs w:val="32"/>
        </w:rPr>
        <w:t>全县一般公共预算收入预算调整为71.81亿元（县本级55.04亿元，高新区16.77亿元），调减10.67亿元（县本级调减10.83亿元，高新区调增0.16亿元）。</w:t>
      </w:r>
    </w:p>
    <w:p>
      <w:pPr>
        <w:tabs>
          <w:tab w:val="left" w:pos="8640"/>
        </w:tabs>
        <w:spacing w:line="600" w:lineRule="exact"/>
        <w:ind w:firstLine="800" w:firstLineChars="250"/>
        <w:rPr>
          <w:rFonts w:hint="eastAsia" w:ascii="仿宋" w:hAnsi="仿宋" w:eastAsia="仿宋"/>
          <w:color w:val="auto"/>
          <w:sz w:val="32"/>
          <w:szCs w:val="32"/>
        </w:rPr>
      </w:pPr>
      <w:r>
        <w:rPr>
          <w:rFonts w:hint="eastAsia" w:ascii="仿宋" w:hAnsi="仿宋" w:eastAsia="仿宋"/>
          <w:color w:val="auto"/>
          <w:sz w:val="32"/>
          <w:szCs w:val="32"/>
        </w:rPr>
        <w:t>（二）全县政府性基金收入预算调整为9</w:t>
      </w:r>
      <w:r>
        <w:rPr>
          <w:rFonts w:hint="eastAsia" w:ascii="仿宋" w:hAnsi="仿宋" w:eastAsia="仿宋"/>
          <w:color w:val="auto"/>
          <w:sz w:val="32"/>
          <w:szCs w:val="32"/>
          <w:lang w:val="en-US" w:eastAsia="zh-CN"/>
        </w:rPr>
        <w:t>4.86</w:t>
      </w:r>
      <w:r>
        <w:rPr>
          <w:rFonts w:hint="eastAsia" w:ascii="仿宋" w:hAnsi="仿宋" w:eastAsia="仿宋"/>
          <w:color w:val="auto"/>
          <w:sz w:val="32"/>
          <w:szCs w:val="32"/>
        </w:rPr>
        <w:t>亿元（县本级50亿元，高新区4</w:t>
      </w:r>
      <w:r>
        <w:rPr>
          <w:rFonts w:hint="eastAsia" w:ascii="仿宋" w:hAnsi="仿宋" w:eastAsia="仿宋"/>
          <w:color w:val="auto"/>
          <w:sz w:val="32"/>
          <w:szCs w:val="32"/>
          <w:lang w:val="en-US" w:eastAsia="zh-CN"/>
        </w:rPr>
        <w:t>4.86</w:t>
      </w:r>
      <w:r>
        <w:rPr>
          <w:rFonts w:hint="eastAsia" w:ascii="仿宋" w:hAnsi="仿宋" w:eastAsia="仿宋"/>
          <w:color w:val="auto"/>
          <w:sz w:val="32"/>
          <w:szCs w:val="32"/>
        </w:rPr>
        <w:t>亿元），调减2</w:t>
      </w:r>
      <w:r>
        <w:rPr>
          <w:rFonts w:hint="eastAsia" w:ascii="仿宋" w:hAnsi="仿宋" w:eastAsia="仿宋"/>
          <w:color w:val="auto"/>
          <w:sz w:val="32"/>
          <w:szCs w:val="32"/>
          <w:lang w:val="en-US" w:eastAsia="zh-CN"/>
        </w:rPr>
        <w:t>7.13</w:t>
      </w:r>
      <w:r>
        <w:rPr>
          <w:rFonts w:hint="eastAsia" w:ascii="仿宋" w:hAnsi="仿宋" w:eastAsia="仿宋"/>
          <w:color w:val="auto"/>
          <w:sz w:val="32"/>
          <w:szCs w:val="32"/>
        </w:rPr>
        <w:t>亿元（县本级调减10亿元，高新区调</w:t>
      </w:r>
      <w:r>
        <w:rPr>
          <w:rFonts w:hint="eastAsia" w:ascii="仿宋" w:hAnsi="仿宋" w:eastAsia="仿宋"/>
          <w:color w:val="auto"/>
          <w:sz w:val="32"/>
          <w:szCs w:val="32"/>
          <w:lang w:eastAsia="zh-CN"/>
        </w:rPr>
        <w:t>减</w:t>
      </w:r>
      <w:r>
        <w:rPr>
          <w:rFonts w:hint="eastAsia" w:ascii="仿宋" w:hAnsi="仿宋" w:eastAsia="仿宋"/>
          <w:color w:val="auto"/>
          <w:sz w:val="32"/>
          <w:szCs w:val="32"/>
        </w:rPr>
        <w:t>1</w:t>
      </w:r>
      <w:r>
        <w:rPr>
          <w:rFonts w:hint="eastAsia" w:ascii="仿宋" w:hAnsi="仿宋" w:eastAsia="仿宋"/>
          <w:color w:val="auto"/>
          <w:sz w:val="32"/>
          <w:szCs w:val="32"/>
          <w:lang w:val="en-US" w:eastAsia="zh-CN"/>
        </w:rPr>
        <w:t>7.13</w:t>
      </w:r>
      <w:r>
        <w:rPr>
          <w:rFonts w:hint="eastAsia" w:ascii="仿宋" w:hAnsi="仿宋" w:eastAsia="仿宋"/>
          <w:color w:val="auto"/>
          <w:sz w:val="32"/>
          <w:szCs w:val="32"/>
        </w:rPr>
        <w:t>亿元），其中：土地基金收入预算调整为9</w:t>
      </w:r>
      <w:r>
        <w:rPr>
          <w:rFonts w:hint="eastAsia" w:ascii="仿宋" w:hAnsi="仿宋" w:eastAsia="仿宋"/>
          <w:color w:val="auto"/>
          <w:sz w:val="32"/>
          <w:szCs w:val="32"/>
          <w:lang w:val="en-US" w:eastAsia="zh-CN"/>
        </w:rPr>
        <w:t>3.8</w:t>
      </w:r>
      <w:r>
        <w:rPr>
          <w:rFonts w:hint="eastAsia" w:ascii="仿宋" w:hAnsi="仿宋" w:eastAsia="仿宋"/>
          <w:color w:val="auto"/>
          <w:sz w:val="32"/>
          <w:szCs w:val="32"/>
        </w:rPr>
        <w:t>亿元（县本级49.13亿元，高新区4</w:t>
      </w:r>
      <w:r>
        <w:rPr>
          <w:rFonts w:hint="eastAsia" w:ascii="仿宋" w:hAnsi="仿宋" w:eastAsia="仿宋"/>
          <w:color w:val="auto"/>
          <w:sz w:val="32"/>
          <w:szCs w:val="32"/>
          <w:lang w:val="en-US" w:eastAsia="zh-CN"/>
        </w:rPr>
        <w:t>4.67</w:t>
      </w:r>
      <w:r>
        <w:rPr>
          <w:rFonts w:hint="eastAsia" w:ascii="仿宋" w:hAnsi="仿宋" w:eastAsia="仿宋"/>
          <w:color w:val="auto"/>
          <w:sz w:val="32"/>
          <w:szCs w:val="32"/>
        </w:rPr>
        <w:t>亿元），调减2</w:t>
      </w:r>
      <w:r>
        <w:rPr>
          <w:rFonts w:hint="eastAsia" w:ascii="仿宋" w:hAnsi="仿宋" w:eastAsia="仿宋"/>
          <w:color w:val="auto"/>
          <w:sz w:val="32"/>
          <w:szCs w:val="32"/>
          <w:lang w:val="en-US" w:eastAsia="zh-CN"/>
        </w:rPr>
        <w:t>6.81</w:t>
      </w:r>
      <w:r>
        <w:rPr>
          <w:rFonts w:hint="eastAsia" w:ascii="仿宋" w:hAnsi="仿宋" w:eastAsia="仿宋"/>
          <w:color w:val="auto"/>
          <w:sz w:val="32"/>
          <w:szCs w:val="32"/>
        </w:rPr>
        <w:t>亿元（县本级调减9.74亿元，高新区调减1</w:t>
      </w:r>
      <w:r>
        <w:rPr>
          <w:rFonts w:hint="eastAsia" w:ascii="仿宋" w:hAnsi="仿宋" w:eastAsia="仿宋"/>
          <w:color w:val="auto"/>
          <w:sz w:val="32"/>
          <w:szCs w:val="32"/>
          <w:lang w:val="en-US" w:eastAsia="zh-CN"/>
        </w:rPr>
        <w:t>7.07</w:t>
      </w:r>
      <w:r>
        <w:rPr>
          <w:rFonts w:hint="eastAsia" w:ascii="仿宋" w:hAnsi="仿宋" w:eastAsia="仿宋"/>
          <w:color w:val="auto"/>
          <w:sz w:val="32"/>
          <w:szCs w:val="32"/>
        </w:rPr>
        <w:t>亿元）。</w:t>
      </w:r>
    </w:p>
    <w:p>
      <w:pPr>
        <w:spacing w:line="580" w:lineRule="exact"/>
        <w:ind w:firstLine="640" w:firstLineChars="200"/>
        <w:rPr>
          <w:rFonts w:hint="eastAsia" w:ascii="仿宋_GB2312" w:hAnsi="仿宋" w:eastAsia="仿宋_GB2312"/>
          <w:sz w:val="32"/>
          <w:szCs w:val="32"/>
        </w:rPr>
      </w:pPr>
      <w:r>
        <w:rPr>
          <w:rFonts w:hint="eastAsia" w:ascii="楷体_GB2312" w:hAnsi="仿宋" w:eastAsia="楷体_GB2312"/>
          <w:b w:val="0"/>
          <w:bCs w:val="0"/>
          <w:sz w:val="32"/>
          <w:szCs w:val="32"/>
        </w:rPr>
        <w:t>（三）</w:t>
      </w:r>
      <w:r>
        <w:rPr>
          <w:rFonts w:hint="eastAsia" w:ascii="仿宋_GB2312" w:hAnsi="仿宋" w:eastAsia="仿宋_GB2312"/>
          <w:sz w:val="32"/>
          <w:szCs w:val="32"/>
        </w:rPr>
        <w:t>县本级国有资本经营收入预算</w:t>
      </w:r>
      <w:r>
        <w:rPr>
          <w:rFonts w:hint="eastAsia" w:ascii="仿宋_GB2312" w:hAnsi="仿宋" w:eastAsia="仿宋_GB2312"/>
          <w:sz w:val="32"/>
          <w:szCs w:val="32"/>
          <w:lang w:eastAsia="zh-CN"/>
        </w:rPr>
        <w:t>调整</w:t>
      </w:r>
      <w:r>
        <w:rPr>
          <w:rFonts w:hint="eastAsia" w:ascii="仿宋_GB2312" w:hAnsi="仿宋" w:eastAsia="仿宋_GB2312"/>
          <w:sz w:val="32"/>
          <w:szCs w:val="32"/>
        </w:rPr>
        <w:t>为0.</w:t>
      </w:r>
      <w:r>
        <w:rPr>
          <w:rFonts w:hint="eastAsia" w:ascii="仿宋_GB2312" w:hAnsi="仿宋" w:eastAsia="仿宋_GB2312"/>
          <w:sz w:val="32"/>
          <w:szCs w:val="32"/>
          <w:lang w:val="en-US" w:eastAsia="zh-CN"/>
        </w:rPr>
        <w:t>0</w:t>
      </w:r>
      <w:r>
        <w:rPr>
          <w:rFonts w:hint="eastAsia" w:ascii="仿宋_GB2312" w:hAnsi="仿宋" w:eastAsia="仿宋_GB2312"/>
          <w:sz w:val="32"/>
          <w:szCs w:val="32"/>
        </w:rPr>
        <w:t>23亿元，</w:t>
      </w:r>
      <w:r>
        <w:rPr>
          <w:rFonts w:hint="eastAsia" w:ascii="仿宋_GB2312" w:hAnsi="仿宋" w:eastAsia="仿宋_GB2312"/>
          <w:sz w:val="32"/>
          <w:szCs w:val="32"/>
          <w:lang w:eastAsia="zh-CN"/>
        </w:rPr>
        <w:t>调减</w:t>
      </w:r>
      <w:r>
        <w:rPr>
          <w:rFonts w:hint="eastAsia" w:ascii="仿宋_GB2312" w:hAnsi="仿宋" w:eastAsia="仿宋_GB2312"/>
          <w:sz w:val="32"/>
          <w:szCs w:val="32"/>
          <w:lang w:val="en-US" w:eastAsia="zh-CN"/>
        </w:rPr>
        <w:t>0.3</w:t>
      </w:r>
      <w:r>
        <w:rPr>
          <w:rFonts w:hint="eastAsia" w:ascii="仿宋_GB2312" w:hAnsi="仿宋" w:eastAsia="仿宋_GB2312"/>
          <w:sz w:val="32"/>
          <w:szCs w:val="32"/>
        </w:rPr>
        <w:t>亿元。</w:t>
      </w:r>
    </w:p>
    <w:p>
      <w:pPr>
        <w:tabs>
          <w:tab w:val="left" w:pos="8640"/>
        </w:tabs>
        <w:spacing w:line="600" w:lineRule="exact"/>
        <w:ind w:firstLine="961" w:firstLineChars="299"/>
        <w:rPr>
          <w:rFonts w:ascii="仿宋" w:hAnsi="仿宋" w:eastAsia="仿宋"/>
          <w:b/>
          <w:color w:val="auto"/>
          <w:sz w:val="32"/>
          <w:szCs w:val="32"/>
        </w:rPr>
      </w:pPr>
      <w:r>
        <w:rPr>
          <w:rFonts w:hint="eastAsia" w:ascii="仿宋" w:hAnsi="仿宋" w:eastAsia="仿宋"/>
          <w:b/>
          <w:color w:val="auto"/>
          <w:sz w:val="32"/>
          <w:szCs w:val="32"/>
        </w:rPr>
        <w:t>三、调整后财力</w:t>
      </w:r>
    </w:p>
    <w:p>
      <w:pPr>
        <w:tabs>
          <w:tab w:val="left" w:pos="8640"/>
        </w:tabs>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（一）公共财政财力</w:t>
      </w:r>
    </w:p>
    <w:p>
      <w:pPr>
        <w:tabs>
          <w:tab w:val="left" w:pos="8640"/>
        </w:tabs>
        <w:spacing w:line="600" w:lineRule="exact"/>
        <w:ind w:firstLine="800" w:firstLineChars="250"/>
        <w:rPr>
          <w:rFonts w:ascii="仿宋" w:hAnsi="仿宋" w:eastAsia="仿宋"/>
          <w:color w:val="auto"/>
          <w:sz w:val="32"/>
          <w:szCs w:val="32"/>
        </w:rPr>
      </w:pPr>
      <w:r>
        <w:rPr>
          <w:rFonts w:hint="eastAsia" w:ascii="仿宋" w:hAnsi="仿宋" w:eastAsia="仿宋"/>
          <w:color w:val="auto"/>
          <w:sz w:val="32"/>
          <w:szCs w:val="32"/>
        </w:rPr>
        <w:t>按现行省对县财政体制测算，全县</w:t>
      </w:r>
      <w:r>
        <w:rPr>
          <w:rFonts w:ascii="仿宋" w:hAnsi="仿宋" w:eastAsia="仿宋"/>
          <w:color w:val="auto"/>
          <w:sz w:val="32"/>
          <w:szCs w:val="32"/>
        </w:rPr>
        <w:t>201</w:t>
      </w:r>
      <w:r>
        <w:rPr>
          <w:rFonts w:hint="eastAsia" w:ascii="仿宋" w:hAnsi="仿宋" w:eastAsia="仿宋"/>
          <w:color w:val="auto"/>
          <w:sz w:val="32"/>
          <w:szCs w:val="32"/>
        </w:rPr>
        <w:t>9年一般公共预算收入</w:t>
      </w:r>
      <w:r>
        <w:rPr>
          <w:rFonts w:ascii="仿宋" w:hAnsi="仿宋" w:eastAsia="仿宋"/>
          <w:color w:val="auto"/>
          <w:sz w:val="32"/>
          <w:szCs w:val="32"/>
        </w:rPr>
        <w:t>7</w:t>
      </w:r>
      <w:r>
        <w:rPr>
          <w:rFonts w:hint="eastAsia" w:ascii="仿宋" w:hAnsi="仿宋" w:eastAsia="仿宋"/>
          <w:color w:val="auto"/>
          <w:sz w:val="32"/>
          <w:szCs w:val="32"/>
        </w:rPr>
        <w:t>1.81亿元、上级补助收入7.71亿元、上解上级支出</w:t>
      </w:r>
      <w:r>
        <w:rPr>
          <w:rFonts w:hint="eastAsia" w:ascii="仿宋" w:hAnsi="仿宋" w:eastAsia="仿宋"/>
          <w:color w:val="auto"/>
          <w:sz w:val="32"/>
          <w:szCs w:val="32"/>
          <w:lang w:val="en-US" w:eastAsia="zh-CN"/>
        </w:rPr>
        <w:t>1.69</w:t>
      </w:r>
      <w:r>
        <w:rPr>
          <w:rFonts w:hint="eastAsia" w:ascii="仿宋" w:hAnsi="仿宋" w:eastAsia="仿宋"/>
          <w:color w:val="auto"/>
          <w:sz w:val="32"/>
          <w:szCs w:val="32"/>
        </w:rPr>
        <w:t>亿元，</w:t>
      </w:r>
      <w:r>
        <w:rPr>
          <w:rFonts w:hint="eastAsia" w:ascii="仿宋" w:hAnsi="仿宋" w:eastAsia="仿宋"/>
          <w:color w:val="auto"/>
          <w:sz w:val="32"/>
          <w:szCs w:val="32"/>
          <w:lang w:eastAsia="zh-CN"/>
        </w:rPr>
        <w:t>调入基金</w:t>
      </w:r>
      <w:r>
        <w:rPr>
          <w:rFonts w:hint="eastAsia" w:ascii="仿宋" w:hAnsi="仿宋" w:eastAsia="仿宋"/>
          <w:color w:val="auto"/>
          <w:sz w:val="32"/>
          <w:szCs w:val="32"/>
          <w:lang w:val="en-US" w:eastAsia="zh-CN"/>
        </w:rPr>
        <w:t>10亿元，</w:t>
      </w:r>
      <w:r>
        <w:rPr>
          <w:rFonts w:hint="eastAsia" w:ascii="仿宋" w:hAnsi="仿宋" w:eastAsia="仿宋"/>
          <w:color w:val="auto"/>
          <w:sz w:val="32"/>
          <w:szCs w:val="32"/>
        </w:rPr>
        <w:t>动用预算稳定调节基金6.</w:t>
      </w:r>
      <w:r>
        <w:rPr>
          <w:rFonts w:hint="eastAsia" w:ascii="仿宋" w:hAnsi="仿宋" w:eastAsia="仿宋"/>
          <w:color w:val="auto"/>
          <w:sz w:val="32"/>
          <w:szCs w:val="32"/>
          <w:lang w:val="en-US" w:eastAsia="zh-CN"/>
        </w:rPr>
        <w:t>08</w:t>
      </w:r>
      <w:r>
        <w:rPr>
          <w:rFonts w:hint="eastAsia" w:ascii="仿宋" w:hAnsi="仿宋" w:eastAsia="仿宋"/>
          <w:color w:val="auto"/>
          <w:sz w:val="32"/>
          <w:szCs w:val="32"/>
        </w:rPr>
        <w:t>亿元</w:t>
      </w:r>
      <w:r>
        <w:rPr>
          <w:rFonts w:hint="eastAsia" w:ascii="仿宋" w:hAnsi="仿宋" w:eastAsia="仿宋"/>
          <w:color w:val="auto"/>
          <w:sz w:val="32"/>
          <w:szCs w:val="32"/>
          <w:lang w:eastAsia="zh-CN"/>
        </w:rPr>
        <w:t>，</w:t>
      </w:r>
      <w:r>
        <w:rPr>
          <w:rFonts w:hint="eastAsia" w:ascii="仿宋" w:hAnsi="仿宋" w:eastAsia="仿宋"/>
          <w:color w:val="auto"/>
          <w:sz w:val="32"/>
          <w:szCs w:val="32"/>
        </w:rPr>
        <w:t>调减地方政府债券（一般债券）转贷收入10.87亿元，当年实现公共财政财力</w:t>
      </w:r>
      <w:r>
        <w:rPr>
          <w:rFonts w:hint="eastAsia" w:ascii="仿宋" w:hAnsi="仿宋" w:eastAsia="仿宋"/>
          <w:color w:val="auto"/>
          <w:sz w:val="32"/>
          <w:szCs w:val="32"/>
          <w:lang w:val="en-US" w:eastAsia="zh-CN"/>
        </w:rPr>
        <w:t>9</w:t>
      </w:r>
      <w:r>
        <w:rPr>
          <w:rFonts w:ascii="仿宋" w:hAnsi="仿宋" w:eastAsia="仿宋"/>
          <w:color w:val="auto"/>
          <w:sz w:val="32"/>
          <w:szCs w:val="32"/>
        </w:rPr>
        <w:t>8</w:t>
      </w:r>
      <w:r>
        <w:rPr>
          <w:rFonts w:hint="eastAsia" w:ascii="仿宋" w:hAnsi="仿宋" w:eastAsia="仿宋"/>
          <w:color w:val="auto"/>
          <w:sz w:val="32"/>
          <w:szCs w:val="32"/>
        </w:rPr>
        <w:t>.</w:t>
      </w:r>
      <w:r>
        <w:rPr>
          <w:rFonts w:hint="eastAsia" w:ascii="仿宋" w:hAnsi="仿宋" w:eastAsia="仿宋"/>
          <w:color w:val="auto"/>
          <w:sz w:val="32"/>
          <w:szCs w:val="32"/>
          <w:lang w:val="en-US" w:eastAsia="zh-CN"/>
        </w:rPr>
        <w:t>04</w:t>
      </w:r>
      <w:r>
        <w:rPr>
          <w:rFonts w:hint="eastAsia" w:ascii="仿宋" w:hAnsi="仿宋" w:eastAsia="仿宋"/>
          <w:color w:val="auto"/>
          <w:sz w:val="32"/>
          <w:szCs w:val="32"/>
        </w:rPr>
        <w:t>亿元</w:t>
      </w:r>
      <w:r>
        <w:rPr>
          <w:rFonts w:hint="eastAsia" w:ascii="仿宋" w:hAnsi="仿宋" w:eastAsia="仿宋"/>
          <w:color w:val="auto"/>
          <w:sz w:val="32"/>
          <w:szCs w:val="32"/>
          <w:lang w:val="en-US" w:eastAsia="zh-CN"/>
        </w:rPr>
        <w:t>。</w:t>
      </w:r>
      <w:r>
        <w:rPr>
          <w:rFonts w:ascii="仿宋" w:hAnsi="仿宋" w:eastAsia="仿宋"/>
          <w:color w:val="auto"/>
          <w:sz w:val="32"/>
          <w:szCs w:val="32"/>
        </w:rPr>
        <w:t xml:space="preserve"> 201</w:t>
      </w:r>
      <w:r>
        <w:rPr>
          <w:rFonts w:hint="eastAsia" w:ascii="仿宋" w:hAnsi="仿宋" w:eastAsia="仿宋"/>
          <w:color w:val="auto"/>
          <w:sz w:val="32"/>
          <w:szCs w:val="32"/>
        </w:rPr>
        <w:t>9年我县公共财政预算</w:t>
      </w:r>
      <w:r>
        <w:rPr>
          <w:rFonts w:hint="eastAsia" w:ascii="仿宋" w:hAnsi="仿宋" w:eastAsia="仿宋"/>
          <w:color w:val="auto"/>
          <w:sz w:val="32"/>
          <w:szCs w:val="32"/>
          <w:lang w:eastAsia="zh-CN"/>
        </w:rPr>
        <w:t>全</w:t>
      </w:r>
      <w:r>
        <w:rPr>
          <w:rFonts w:hint="eastAsia" w:ascii="仿宋" w:hAnsi="仿宋" w:eastAsia="仿宋"/>
          <w:color w:val="auto"/>
          <w:sz w:val="32"/>
          <w:szCs w:val="32"/>
        </w:rPr>
        <w:t>县可动用财力预计</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04</w:t>
      </w:r>
      <w:r>
        <w:rPr>
          <w:rFonts w:hint="eastAsia" w:ascii="仿宋" w:hAnsi="仿宋" w:eastAsia="仿宋"/>
          <w:color w:val="auto"/>
          <w:sz w:val="32"/>
          <w:szCs w:val="32"/>
        </w:rPr>
        <w:t>亿元（县本级</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0.</w:t>
      </w:r>
      <w:r>
        <w:rPr>
          <w:rFonts w:hint="eastAsia" w:ascii="仿宋" w:hAnsi="仿宋" w:eastAsia="仿宋"/>
          <w:color w:val="auto"/>
          <w:sz w:val="32"/>
          <w:szCs w:val="32"/>
          <w:lang w:val="en-US" w:eastAsia="zh-CN"/>
        </w:rPr>
        <w:t>47</w:t>
      </w:r>
      <w:r>
        <w:rPr>
          <w:rFonts w:hint="eastAsia" w:ascii="仿宋" w:hAnsi="仿宋" w:eastAsia="仿宋"/>
          <w:color w:val="auto"/>
          <w:sz w:val="32"/>
          <w:szCs w:val="32"/>
        </w:rPr>
        <w:t>亿元，高新区</w:t>
      </w:r>
      <w:r>
        <w:rPr>
          <w:rFonts w:ascii="仿宋" w:hAnsi="仿宋" w:eastAsia="仿宋"/>
          <w:color w:val="auto"/>
          <w:sz w:val="32"/>
          <w:szCs w:val="32"/>
        </w:rPr>
        <w:t>1</w:t>
      </w:r>
      <w:r>
        <w:rPr>
          <w:rFonts w:hint="eastAsia" w:ascii="仿宋" w:hAnsi="仿宋" w:eastAsia="仿宋"/>
          <w:color w:val="auto"/>
          <w:sz w:val="32"/>
          <w:szCs w:val="32"/>
          <w:lang w:val="en-US" w:eastAsia="zh-CN"/>
        </w:rPr>
        <w:t>7.57</w:t>
      </w:r>
      <w:r>
        <w:rPr>
          <w:rFonts w:hint="eastAsia" w:ascii="仿宋" w:hAnsi="仿宋" w:eastAsia="仿宋"/>
          <w:color w:val="auto"/>
          <w:sz w:val="32"/>
          <w:szCs w:val="32"/>
        </w:rPr>
        <w:t>亿元），比年初预算财力103.55亿元调减</w:t>
      </w:r>
      <w:r>
        <w:rPr>
          <w:rFonts w:ascii="仿宋" w:hAnsi="仿宋" w:eastAsia="仿宋"/>
          <w:color w:val="auto"/>
          <w:sz w:val="32"/>
          <w:szCs w:val="32"/>
        </w:rPr>
        <w:t>5</w:t>
      </w:r>
      <w:r>
        <w:rPr>
          <w:rFonts w:hint="eastAsia" w:ascii="仿宋" w:hAnsi="仿宋" w:eastAsia="仿宋"/>
          <w:color w:val="auto"/>
          <w:sz w:val="32"/>
          <w:szCs w:val="32"/>
          <w:lang w:val="en-US" w:eastAsia="zh-CN"/>
        </w:rPr>
        <w:t>.51</w:t>
      </w:r>
      <w:r>
        <w:rPr>
          <w:rFonts w:hint="eastAsia" w:ascii="仿宋" w:hAnsi="仿宋" w:eastAsia="仿宋"/>
          <w:color w:val="auto"/>
          <w:sz w:val="32"/>
          <w:szCs w:val="32"/>
        </w:rPr>
        <w:t>亿元（县本级-5.</w:t>
      </w:r>
      <w:r>
        <w:rPr>
          <w:rFonts w:hint="eastAsia" w:ascii="仿宋" w:hAnsi="仿宋" w:eastAsia="仿宋"/>
          <w:color w:val="auto"/>
          <w:sz w:val="32"/>
          <w:szCs w:val="32"/>
          <w:lang w:val="en-US" w:eastAsia="zh-CN"/>
        </w:rPr>
        <w:t>67</w:t>
      </w:r>
      <w:r>
        <w:rPr>
          <w:rFonts w:hint="eastAsia" w:ascii="仿宋" w:hAnsi="仿宋" w:eastAsia="仿宋"/>
          <w:color w:val="auto"/>
          <w:sz w:val="32"/>
          <w:szCs w:val="32"/>
        </w:rPr>
        <w:t>亿元，高新区0.</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亿元）。</w:t>
      </w:r>
    </w:p>
    <w:p>
      <w:pPr>
        <w:tabs>
          <w:tab w:val="left" w:pos="8640"/>
        </w:tabs>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（二）政府性基金财力</w:t>
      </w:r>
    </w:p>
    <w:p>
      <w:pPr>
        <w:tabs>
          <w:tab w:val="left" w:pos="8640"/>
        </w:tabs>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全县</w:t>
      </w:r>
      <w:r>
        <w:rPr>
          <w:rFonts w:ascii="仿宋" w:hAnsi="仿宋" w:eastAsia="仿宋"/>
          <w:color w:val="auto"/>
          <w:sz w:val="32"/>
          <w:szCs w:val="32"/>
        </w:rPr>
        <w:t>201</w:t>
      </w:r>
      <w:r>
        <w:rPr>
          <w:rFonts w:hint="eastAsia" w:ascii="仿宋" w:hAnsi="仿宋" w:eastAsia="仿宋"/>
          <w:color w:val="auto"/>
          <w:sz w:val="32"/>
          <w:szCs w:val="32"/>
        </w:rPr>
        <w:t>9年政府性基金预算收入预计为9</w:t>
      </w:r>
      <w:r>
        <w:rPr>
          <w:rFonts w:hint="eastAsia" w:ascii="仿宋" w:hAnsi="仿宋" w:eastAsia="仿宋"/>
          <w:color w:val="auto"/>
          <w:sz w:val="32"/>
          <w:szCs w:val="32"/>
          <w:lang w:val="en-US" w:eastAsia="zh-CN"/>
        </w:rPr>
        <w:t>4.86</w:t>
      </w:r>
      <w:r>
        <w:rPr>
          <w:rFonts w:hint="eastAsia" w:ascii="仿宋" w:hAnsi="仿宋" w:eastAsia="仿宋"/>
          <w:color w:val="auto"/>
          <w:sz w:val="32"/>
          <w:szCs w:val="32"/>
        </w:rPr>
        <w:t>亿元，动用上年结余</w:t>
      </w:r>
      <w:r>
        <w:rPr>
          <w:rFonts w:hint="eastAsia" w:ascii="仿宋" w:hAnsi="仿宋" w:eastAsia="仿宋"/>
          <w:color w:val="auto"/>
          <w:sz w:val="32"/>
          <w:szCs w:val="32"/>
          <w:lang w:val="en-US" w:eastAsia="zh-CN"/>
        </w:rPr>
        <w:t>9.49</w:t>
      </w:r>
      <w:r>
        <w:rPr>
          <w:rFonts w:hint="eastAsia" w:ascii="仿宋" w:hAnsi="仿宋" w:eastAsia="仿宋"/>
          <w:color w:val="auto"/>
          <w:sz w:val="32"/>
          <w:szCs w:val="32"/>
        </w:rPr>
        <w:t>亿元，闽侯县第十八届人大常委会第24次会议新增地方政府专项债券收入5亿元，</w:t>
      </w:r>
      <w:r>
        <w:rPr>
          <w:rFonts w:hint="eastAsia" w:ascii="仿宋" w:hAnsi="仿宋" w:eastAsia="仿宋"/>
          <w:color w:val="auto"/>
          <w:sz w:val="32"/>
          <w:szCs w:val="32"/>
          <w:lang w:eastAsia="zh-CN"/>
        </w:rPr>
        <w:t>调出基金</w:t>
      </w:r>
      <w:r>
        <w:rPr>
          <w:rFonts w:hint="eastAsia" w:ascii="仿宋" w:hAnsi="仿宋" w:eastAsia="仿宋"/>
          <w:color w:val="auto"/>
          <w:sz w:val="32"/>
          <w:szCs w:val="32"/>
          <w:lang w:val="en-US" w:eastAsia="zh-CN"/>
        </w:rPr>
        <w:t>10亿元，</w:t>
      </w:r>
      <w:r>
        <w:rPr>
          <w:rFonts w:hint="eastAsia" w:ascii="仿宋" w:hAnsi="仿宋" w:eastAsia="仿宋"/>
          <w:color w:val="auto"/>
          <w:sz w:val="32"/>
          <w:szCs w:val="32"/>
        </w:rPr>
        <w:t>调整2018年专项债券用途0.6亿元，当年实现政府性基金财力</w:t>
      </w:r>
      <w:r>
        <w:rPr>
          <w:rFonts w:hint="eastAsia" w:ascii="仿宋" w:hAnsi="仿宋" w:eastAsia="仿宋"/>
          <w:color w:val="auto"/>
          <w:sz w:val="32"/>
          <w:szCs w:val="32"/>
          <w:lang w:val="en-US" w:eastAsia="zh-CN"/>
        </w:rPr>
        <w:t>98.6</w:t>
      </w:r>
      <w:r>
        <w:rPr>
          <w:rFonts w:hint="eastAsia" w:ascii="仿宋" w:hAnsi="仿宋" w:eastAsia="仿宋"/>
          <w:color w:val="auto"/>
          <w:sz w:val="32"/>
          <w:szCs w:val="32"/>
        </w:rPr>
        <w:t>亿元</w:t>
      </w:r>
      <w:r>
        <w:rPr>
          <w:rFonts w:hint="eastAsia" w:ascii="仿宋" w:hAnsi="仿宋" w:eastAsia="仿宋"/>
          <w:color w:val="auto"/>
          <w:sz w:val="32"/>
          <w:szCs w:val="32"/>
          <w:lang w:val="en-US" w:eastAsia="zh-CN"/>
        </w:rPr>
        <w:t>。</w:t>
      </w:r>
      <w:r>
        <w:rPr>
          <w:rFonts w:ascii="仿宋" w:hAnsi="仿宋" w:eastAsia="仿宋"/>
          <w:color w:val="auto"/>
          <w:sz w:val="32"/>
          <w:szCs w:val="32"/>
        </w:rPr>
        <w:t>201</w:t>
      </w:r>
      <w:r>
        <w:rPr>
          <w:rFonts w:hint="eastAsia" w:ascii="仿宋" w:hAnsi="仿宋" w:eastAsia="仿宋"/>
          <w:color w:val="auto"/>
          <w:sz w:val="32"/>
          <w:szCs w:val="32"/>
        </w:rPr>
        <w:t>9年政府性基金全县可动用财力</w:t>
      </w:r>
      <w:r>
        <w:rPr>
          <w:rFonts w:hint="eastAsia" w:ascii="仿宋" w:hAnsi="仿宋" w:eastAsia="仿宋"/>
          <w:color w:val="auto"/>
          <w:sz w:val="32"/>
          <w:szCs w:val="32"/>
          <w:lang w:val="en-US" w:eastAsia="zh-CN"/>
        </w:rPr>
        <w:t>98.6</w:t>
      </w:r>
      <w:r>
        <w:rPr>
          <w:rFonts w:hint="eastAsia" w:ascii="仿宋" w:hAnsi="仿宋" w:eastAsia="仿宋"/>
          <w:color w:val="auto"/>
          <w:sz w:val="32"/>
          <w:szCs w:val="32"/>
        </w:rPr>
        <w:t>亿元（县本级</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7.74亿元，高新区50.86亿元），比年初预算财力</w:t>
      </w:r>
      <w:r>
        <w:rPr>
          <w:rFonts w:ascii="仿宋" w:hAnsi="仿宋" w:eastAsia="仿宋"/>
          <w:color w:val="auto"/>
          <w:sz w:val="32"/>
          <w:szCs w:val="32"/>
        </w:rPr>
        <w:t>1</w:t>
      </w:r>
      <w:r>
        <w:rPr>
          <w:rFonts w:hint="eastAsia" w:ascii="仿宋" w:hAnsi="仿宋" w:eastAsia="仿宋"/>
          <w:color w:val="auto"/>
          <w:sz w:val="32"/>
          <w:szCs w:val="32"/>
        </w:rPr>
        <w:t>22亿元（县本级60亿元，高新区62亿元）调减</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3.4亿元（县本级-</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2.26亿元，高新区-11.14亿元）。</w:t>
      </w:r>
    </w:p>
    <w:p>
      <w:pPr>
        <w:tabs>
          <w:tab w:val="left" w:pos="8640"/>
        </w:tabs>
        <w:spacing w:line="600" w:lineRule="exact"/>
        <w:ind w:left="0" w:leftChars="0" w:firstLine="643" w:firstLineChars="200"/>
        <w:rPr>
          <w:rFonts w:ascii="仿宋" w:hAnsi="仿宋" w:eastAsia="仿宋"/>
          <w:b/>
          <w:color w:val="auto"/>
          <w:sz w:val="32"/>
          <w:szCs w:val="32"/>
        </w:rPr>
      </w:pPr>
      <w:r>
        <w:rPr>
          <w:rFonts w:hint="eastAsia" w:ascii="仿宋" w:hAnsi="仿宋" w:eastAsia="仿宋"/>
          <w:b/>
          <w:color w:val="auto"/>
          <w:sz w:val="32"/>
          <w:szCs w:val="32"/>
        </w:rPr>
        <w:t>四、</w:t>
      </w:r>
      <w:r>
        <w:rPr>
          <w:rFonts w:ascii="仿宋" w:hAnsi="仿宋" w:eastAsia="仿宋"/>
          <w:b/>
          <w:color w:val="auto"/>
          <w:sz w:val="32"/>
          <w:szCs w:val="32"/>
        </w:rPr>
        <w:t>201</w:t>
      </w:r>
      <w:r>
        <w:rPr>
          <w:rFonts w:hint="eastAsia" w:ascii="仿宋" w:hAnsi="仿宋" w:eastAsia="仿宋"/>
          <w:b/>
          <w:color w:val="auto"/>
          <w:sz w:val="32"/>
          <w:szCs w:val="32"/>
        </w:rPr>
        <w:t>9年财政支出预算调整</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根据收入完成情况、政策性增支、支出结构变化以及部门支出情况等因素，拟对年初支出项目预算做出相应调整。</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（一）公共财政项目支出预算调整</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、调减年初预算安排的项目支出</w:t>
      </w:r>
      <w:r>
        <w:rPr>
          <w:rFonts w:ascii="仿宋" w:hAnsi="仿宋" w:eastAsia="仿宋"/>
          <w:color w:val="auto"/>
          <w:sz w:val="32"/>
          <w:szCs w:val="32"/>
        </w:rPr>
        <w:t xml:space="preserve"> </w:t>
      </w:r>
      <w:r>
        <w:rPr>
          <w:rFonts w:hint="eastAsia" w:ascii="仿宋" w:hAnsi="仿宋" w:eastAsia="仿宋"/>
          <w:color w:val="auto"/>
          <w:sz w:val="32"/>
          <w:szCs w:val="32"/>
          <w:lang w:val="en-US" w:eastAsia="zh-CN"/>
        </w:rPr>
        <w:t>27.43</w:t>
      </w:r>
      <w:r>
        <w:rPr>
          <w:rFonts w:hint="eastAsia" w:ascii="仿宋" w:hAnsi="仿宋" w:eastAsia="仿宋"/>
          <w:color w:val="auto"/>
          <w:sz w:val="32"/>
          <w:szCs w:val="32"/>
        </w:rPr>
        <w:t>亿元（县本级</w:t>
      </w:r>
      <w:r>
        <w:rPr>
          <w:rFonts w:hint="eastAsia" w:ascii="仿宋" w:hAnsi="仿宋" w:eastAsia="仿宋"/>
          <w:color w:val="auto"/>
          <w:sz w:val="32"/>
          <w:szCs w:val="32"/>
          <w:lang w:val="en-US" w:eastAsia="zh-CN"/>
        </w:rPr>
        <w:t>23.32</w:t>
      </w:r>
      <w:r>
        <w:rPr>
          <w:rFonts w:hint="eastAsia" w:ascii="仿宋" w:hAnsi="仿宋" w:eastAsia="仿宋"/>
          <w:color w:val="auto"/>
          <w:sz w:val="32"/>
          <w:szCs w:val="32"/>
        </w:rPr>
        <w:t>亿元，高新区4.</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亿元）。</w:t>
      </w:r>
    </w:p>
    <w:p>
      <w:pPr>
        <w:numPr>
          <w:ilvl w:val="0"/>
          <w:numId w:val="0"/>
        </w:numPr>
        <w:spacing w:line="600" w:lineRule="exact"/>
        <w:ind w:leftChars="0" w:firstLine="640" w:firstLineChars="200"/>
        <w:jc w:val="left"/>
        <w:rPr>
          <w:rFonts w:hint="eastAsia"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、调增全县当年预算支出21.</w:t>
      </w:r>
      <w:r>
        <w:rPr>
          <w:rFonts w:hint="eastAsia" w:ascii="仿宋" w:hAnsi="仿宋" w:eastAsia="仿宋"/>
          <w:color w:val="auto"/>
          <w:sz w:val="32"/>
          <w:szCs w:val="32"/>
          <w:lang w:val="en-US" w:eastAsia="zh-CN"/>
        </w:rPr>
        <w:t>41</w:t>
      </w:r>
      <w:r>
        <w:rPr>
          <w:rFonts w:hint="eastAsia" w:ascii="仿宋" w:hAnsi="仿宋" w:eastAsia="仿宋"/>
          <w:color w:val="auto"/>
          <w:sz w:val="32"/>
          <w:szCs w:val="32"/>
        </w:rPr>
        <w:t>亿元（县本级</w:t>
      </w:r>
      <w:r>
        <w:rPr>
          <w:rFonts w:ascii="仿宋" w:hAnsi="仿宋" w:eastAsia="仿宋"/>
          <w:color w:val="auto"/>
          <w:sz w:val="32"/>
          <w:szCs w:val="32"/>
        </w:rPr>
        <w:t xml:space="preserve"> </w:t>
      </w:r>
      <w:r>
        <w:rPr>
          <w:rFonts w:hint="eastAsia" w:ascii="仿宋" w:hAnsi="仿宋" w:eastAsia="仿宋"/>
          <w:color w:val="auto"/>
          <w:sz w:val="32"/>
          <w:szCs w:val="32"/>
        </w:rPr>
        <w:t>17.14亿元，高新区4.</w:t>
      </w:r>
      <w:r>
        <w:rPr>
          <w:rFonts w:hint="eastAsia" w:ascii="仿宋" w:hAnsi="仿宋" w:eastAsia="仿宋"/>
          <w:color w:val="auto"/>
          <w:sz w:val="32"/>
          <w:szCs w:val="32"/>
          <w:lang w:val="en-US" w:eastAsia="zh-CN"/>
        </w:rPr>
        <w:t>27</w:t>
      </w:r>
      <w:r>
        <w:rPr>
          <w:rFonts w:hint="eastAsia" w:ascii="仿宋" w:hAnsi="仿宋" w:eastAsia="仿宋"/>
          <w:color w:val="auto"/>
          <w:sz w:val="32"/>
          <w:szCs w:val="32"/>
        </w:rPr>
        <w:t>亿元）。</w:t>
      </w:r>
    </w:p>
    <w:p>
      <w:pPr>
        <w:spacing w:line="600" w:lineRule="exact"/>
        <w:ind w:left="0" w:leftChars="0" w:firstLine="640" w:firstLineChars="200"/>
        <w:rPr>
          <w:rFonts w:ascii="仿宋" w:hAnsi="仿宋" w:eastAsia="仿宋"/>
          <w:color w:val="auto"/>
          <w:sz w:val="32"/>
          <w:szCs w:val="32"/>
        </w:rPr>
      </w:pPr>
      <w:r>
        <w:rPr>
          <w:rFonts w:hint="eastAsia" w:ascii="仿宋" w:hAnsi="仿宋" w:eastAsia="仿宋"/>
          <w:color w:val="auto"/>
          <w:sz w:val="32"/>
          <w:szCs w:val="32"/>
        </w:rPr>
        <w:t>根据上述项目预算调整方案，调整后安排全县一般公共预算支出</w:t>
      </w:r>
      <w:r>
        <w:rPr>
          <w:rFonts w:hint="eastAsia" w:ascii="仿宋" w:hAnsi="仿宋" w:eastAsia="仿宋"/>
          <w:color w:val="auto"/>
          <w:sz w:val="32"/>
          <w:szCs w:val="32"/>
          <w:lang w:val="en-US" w:eastAsia="zh-CN"/>
        </w:rPr>
        <w:t>97.54</w:t>
      </w:r>
      <w:r>
        <w:rPr>
          <w:rFonts w:hint="eastAsia" w:ascii="仿宋" w:hAnsi="仿宋" w:eastAsia="仿宋"/>
          <w:color w:val="auto"/>
          <w:sz w:val="32"/>
          <w:szCs w:val="32"/>
        </w:rPr>
        <w:t>亿元（县本级</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9.</w:t>
      </w:r>
      <w:r>
        <w:rPr>
          <w:rFonts w:hint="eastAsia" w:ascii="仿宋" w:hAnsi="仿宋" w:eastAsia="仿宋"/>
          <w:color w:val="auto"/>
          <w:sz w:val="32"/>
          <w:szCs w:val="32"/>
          <w:lang w:val="en-US" w:eastAsia="zh-CN"/>
        </w:rPr>
        <w:t>97</w:t>
      </w:r>
      <w:r>
        <w:rPr>
          <w:rFonts w:hint="eastAsia" w:ascii="仿宋" w:hAnsi="仿宋" w:eastAsia="仿宋"/>
          <w:color w:val="auto"/>
          <w:sz w:val="32"/>
          <w:szCs w:val="32"/>
        </w:rPr>
        <w:t>亿元，高新区</w:t>
      </w:r>
      <w:r>
        <w:rPr>
          <w:rFonts w:ascii="仿宋" w:hAnsi="仿宋" w:eastAsia="仿宋"/>
          <w:color w:val="auto"/>
          <w:sz w:val="32"/>
          <w:szCs w:val="32"/>
        </w:rPr>
        <w:t>1</w:t>
      </w:r>
      <w:r>
        <w:rPr>
          <w:rFonts w:hint="eastAsia" w:ascii="仿宋" w:hAnsi="仿宋" w:eastAsia="仿宋"/>
          <w:color w:val="auto"/>
          <w:sz w:val="32"/>
          <w:szCs w:val="32"/>
          <w:lang w:val="en-US" w:eastAsia="zh-CN"/>
        </w:rPr>
        <w:t>7.57</w:t>
      </w:r>
      <w:r>
        <w:rPr>
          <w:rFonts w:hint="eastAsia" w:ascii="仿宋" w:hAnsi="仿宋" w:eastAsia="仿宋"/>
          <w:color w:val="auto"/>
          <w:sz w:val="32"/>
          <w:szCs w:val="32"/>
        </w:rPr>
        <w:t>亿元），调减</w:t>
      </w:r>
      <w:r>
        <w:rPr>
          <w:rFonts w:hint="eastAsia" w:ascii="仿宋" w:hAnsi="仿宋" w:eastAsia="仿宋"/>
          <w:color w:val="auto"/>
          <w:sz w:val="32"/>
          <w:szCs w:val="32"/>
          <w:lang w:val="en-US" w:eastAsia="zh-CN"/>
        </w:rPr>
        <w:t>6.01</w:t>
      </w:r>
      <w:r>
        <w:rPr>
          <w:rFonts w:hint="eastAsia" w:ascii="仿宋" w:hAnsi="仿宋" w:eastAsia="仿宋"/>
          <w:color w:val="auto"/>
          <w:sz w:val="32"/>
          <w:szCs w:val="32"/>
        </w:rPr>
        <w:t>亿元（县本级-6.</w:t>
      </w:r>
      <w:r>
        <w:rPr>
          <w:rFonts w:hint="eastAsia" w:ascii="仿宋" w:hAnsi="仿宋" w:eastAsia="仿宋"/>
          <w:color w:val="auto"/>
          <w:sz w:val="32"/>
          <w:szCs w:val="32"/>
          <w:lang w:val="en-US" w:eastAsia="zh-CN"/>
        </w:rPr>
        <w:t>17</w:t>
      </w:r>
      <w:r>
        <w:rPr>
          <w:rFonts w:hint="eastAsia" w:ascii="仿宋" w:hAnsi="仿宋" w:eastAsia="仿宋"/>
          <w:color w:val="auto"/>
          <w:sz w:val="32"/>
          <w:szCs w:val="32"/>
        </w:rPr>
        <w:t>亿元，高新区0.</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亿元），年度结余0.5亿元（转入预算稳定调节基金），实现收支平衡，略有结余。</w:t>
      </w:r>
      <w:r>
        <w:rPr>
          <w:rFonts w:ascii="仿宋" w:hAnsi="仿宋" w:eastAsia="仿宋"/>
          <w:color w:val="auto"/>
          <w:sz w:val="32"/>
          <w:szCs w:val="32"/>
        </w:rPr>
        <w:t xml:space="preserve"> </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（二）政府性基金支出预算调整</w:t>
      </w:r>
    </w:p>
    <w:p>
      <w:pPr>
        <w:spacing w:line="600" w:lineRule="exact"/>
        <w:ind w:firstLine="800" w:firstLineChars="25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、调减全县年初基金安排的项目支出</w:t>
      </w:r>
      <w:r>
        <w:rPr>
          <w:rFonts w:ascii="仿宋" w:hAnsi="仿宋" w:eastAsia="仿宋"/>
          <w:color w:val="auto"/>
          <w:sz w:val="32"/>
          <w:szCs w:val="32"/>
        </w:rPr>
        <w:t>5</w:t>
      </w:r>
      <w:r>
        <w:rPr>
          <w:rFonts w:hint="eastAsia" w:ascii="仿宋" w:hAnsi="仿宋" w:eastAsia="仿宋"/>
          <w:color w:val="auto"/>
          <w:sz w:val="32"/>
          <w:szCs w:val="32"/>
        </w:rPr>
        <w:t>4.17亿元（县本级22.85亿元</w:t>
      </w:r>
      <w:r>
        <w:rPr>
          <w:rFonts w:ascii="仿宋" w:hAnsi="仿宋" w:eastAsia="仿宋"/>
          <w:color w:val="auto"/>
          <w:sz w:val="32"/>
          <w:szCs w:val="32"/>
        </w:rPr>
        <w:t>,</w:t>
      </w:r>
      <w:r>
        <w:rPr>
          <w:rFonts w:hint="eastAsia" w:ascii="仿宋" w:hAnsi="仿宋" w:eastAsia="仿宋"/>
          <w:color w:val="auto"/>
          <w:sz w:val="32"/>
          <w:szCs w:val="32"/>
        </w:rPr>
        <w:t>高新区31.32亿元）。</w:t>
      </w:r>
    </w:p>
    <w:p>
      <w:pPr>
        <w:spacing w:line="600" w:lineRule="exact"/>
        <w:ind w:firstLine="800" w:firstLineChars="25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、调增当年基金项目支出</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0.77亿元（闽侯县</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0.59亿元，高新区20.18亿元）。</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根据上述调整方案，调整后当年全县基金支出为</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8.6亿元（县本级</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7.74亿元，高新区50.86亿元），调减</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3.4亿元（县本级-</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2.26亿元，高新区-11.14亿元）。</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县级预算调整后，我们将认真组织执行，并在年终决算后，将实际结果向县</w:t>
      </w:r>
      <w:r>
        <w:rPr>
          <w:rFonts w:hint="eastAsia" w:ascii="仿宋" w:hAnsi="仿宋" w:eastAsia="仿宋"/>
          <w:color w:val="auto"/>
          <w:sz w:val="32"/>
          <w:szCs w:val="32"/>
          <w:lang w:eastAsia="zh-CN"/>
        </w:rPr>
        <w:t>人大常委会</w:t>
      </w:r>
      <w:r>
        <w:rPr>
          <w:rFonts w:hint="eastAsia" w:ascii="仿宋" w:hAnsi="仿宋" w:eastAsia="仿宋"/>
          <w:color w:val="auto"/>
          <w:sz w:val="32"/>
          <w:szCs w:val="32"/>
        </w:rPr>
        <w:t>进行报告。</w:t>
      </w:r>
    </w:p>
    <w:p>
      <w:pPr>
        <w:spacing w:line="560" w:lineRule="exact"/>
        <w:ind w:firstLine="956" w:firstLineChars="299"/>
        <w:rPr>
          <w:rFonts w:ascii="仿宋" w:hAnsi="仿宋" w:eastAsia="仿宋"/>
          <w:color w:val="auto"/>
          <w:sz w:val="32"/>
          <w:szCs w:val="32"/>
        </w:rPr>
      </w:pPr>
      <w:r>
        <w:rPr>
          <w:rFonts w:hint="eastAsia" w:ascii="仿宋" w:hAnsi="仿宋" w:eastAsia="仿宋"/>
          <w:color w:val="auto"/>
          <w:sz w:val="32"/>
          <w:szCs w:val="32"/>
        </w:rPr>
        <w:t>附：</w:t>
      </w:r>
      <w:r>
        <w:rPr>
          <w:rFonts w:ascii="仿宋" w:hAnsi="仿宋" w:eastAsia="仿宋"/>
          <w:color w:val="auto"/>
          <w:sz w:val="32"/>
          <w:szCs w:val="32"/>
        </w:rPr>
        <w:t>1</w:t>
      </w:r>
      <w:r>
        <w:rPr>
          <w:rFonts w:hint="eastAsia" w:ascii="仿宋" w:hAnsi="仿宋" w:eastAsia="仿宋"/>
          <w:color w:val="auto"/>
          <w:sz w:val="32"/>
          <w:szCs w:val="32"/>
        </w:rPr>
        <w:t>、</w:t>
      </w:r>
      <w:r>
        <w:rPr>
          <w:rFonts w:ascii="仿宋" w:hAnsi="仿宋" w:eastAsia="仿宋"/>
          <w:color w:val="auto"/>
          <w:sz w:val="32"/>
          <w:szCs w:val="32"/>
        </w:rPr>
        <w:t>2019</w:t>
      </w:r>
      <w:r>
        <w:rPr>
          <w:rFonts w:hint="eastAsia" w:ascii="仿宋" w:hAnsi="仿宋" w:eastAsia="仿宋"/>
          <w:color w:val="auto"/>
          <w:sz w:val="32"/>
          <w:szCs w:val="32"/>
        </w:rPr>
        <w:t>年分部门分税种财政收入预算调整情况表</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ascii="仿宋" w:hAnsi="仿宋" w:eastAsia="仿宋"/>
          <w:color w:val="auto"/>
          <w:sz w:val="32"/>
          <w:szCs w:val="32"/>
        </w:rPr>
        <w:t>2</w:t>
      </w:r>
      <w:r>
        <w:rPr>
          <w:rFonts w:hint="eastAsia" w:ascii="仿宋" w:hAnsi="仿宋" w:eastAsia="仿宋"/>
          <w:color w:val="auto"/>
          <w:sz w:val="32"/>
          <w:szCs w:val="32"/>
        </w:rPr>
        <w:t>、</w:t>
      </w:r>
      <w:r>
        <w:rPr>
          <w:rFonts w:ascii="仿宋" w:hAnsi="仿宋" w:eastAsia="仿宋"/>
          <w:color w:val="auto"/>
          <w:sz w:val="32"/>
          <w:szCs w:val="32"/>
        </w:rPr>
        <w:t>2019</w:t>
      </w:r>
      <w:r>
        <w:rPr>
          <w:rFonts w:hint="eastAsia" w:ascii="仿宋" w:hAnsi="仿宋" w:eastAsia="仿宋"/>
          <w:color w:val="auto"/>
          <w:sz w:val="32"/>
          <w:szCs w:val="32"/>
        </w:rPr>
        <w:t>年公共财政财力情况计算表</w:t>
      </w:r>
    </w:p>
    <w:p>
      <w:pPr>
        <w:spacing w:line="560" w:lineRule="exact"/>
        <w:ind w:firstLine="1600" w:firstLineChars="500"/>
        <w:rPr>
          <w:rFonts w:ascii="仿宋" w:hAnsi="仿宋" w:eastAsia="仿宋"/>
          <w:color w:val="auto"/>
          <w:sz w:val="32"/>
          <w:szCs w:val="32"/>
        </w:rPr>
      </w:pPr>
      <w:r>
        <w:rPr>
          <w:rFonts w:hint="eastAsia" w:ascii="仿宋" w:hAnsi="仿宋" w:eastAsia="仿宋"/>
          <w:color w:val="auto"/>
          <w:sz w:val="32"/>
          <w:szCs w:val="32"/>
        </w:rPr>
        <w:t>3、2019年公共财政预算支出安排情况表</w:t>
      </w:r>
    </w:p>
    <w:p>
      <w:pPr>
        <w:spacing w:line="560" w:lineRule="exact"/>
        <w:ind w:firstLine="1600" w:firstLineChars="500"/>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、2019年政府性基金预算支出调整情况表</w:t>
      </w:r>
    </w:p>
    <w:sectPr>
      <w:footerReference r:id="rId5" w:type="first"/>
      <w:footerReference r:id="rId3" w:type="default"/>
      <w:footerReference r:id="rId4" w:type="even"/>
      <w:pgSz w:w="11905" w:h="16837"/>
      <w:pgMar w:top="1134" w:right="1418" w:bottom="1134" w:left="1588" w:header="567" w:footer="1134" w:gutter="0"/>
      <w:pgNumType w:fmt="numberInDash" w:start="1"/>
      <w:cols w:space="368" w:num="1"/>
      <w:titlePg/>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5 -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4 -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YyYzgyNDMyZDI3NTJhZTZiOThhZjMyODdiZDYyOGIifQ=="/>
  </w:docVars>
  <w:rsids>
    <w:rsidRoot w:val="007F1E94"/>
    <w:rsid w:val="00003D32"/>
    <w:rsid w:val="00005B69"/>
    <w:rsid w:val="00010413"/>
    <w:rsid w:val="00011307"/>
    <w:rsid w:val="0001204F"/>
    <w:rsid w:val="00015EF6"/>
    <w:rsid w:val="0002001C"/>
    <w:rsid w:val="00020FE9"/>
    <w:rsid w:val="00021196"/>
    <w:rsid w:val="00021724"/>
    <w:rsid w:val="00022880"/>
    <w:rsid w:val="0002350A"/>
    <w:rsid w:val="0002459C"/>
    <w:rsid w:val="00025715"/>
    <w:rsid w:val="00025788"/>
    <w:rsid w:val="0003015B"/>
    <w:rsid w:val="000310ED"/>
    <w:rsid w:val="00040C18"/>
    <w:rsid w:val="000410DA"/>
    <w:rsid w:val="00044C5E"/>
    <w:rsid w:val="000450A6"/>
    <w:rsid w:val="0004572F"/>
    <w:rsid w:val="000506C8"/>
    <w:rsid w:val="0005307A"/>
    <w:rsid w:val="00053742"/>
    <w:rsid w:val="00054985"/>
    <w:rsid w:val="00055FC3"/>
    <w:rsid w:val="000565F3"/>
    <w:rsid w:val="00061EE2"/>
    <w:rsid w:val="000620FF"/>
    <w:rsid w:val="0006366A"/>
    <w:rsid w:val="00064685"/>
    <w:rsid w:val="00065899"/>
    <w:rsid w:val="000660A9"/>
    <w:rsid w:val="000706DC"/>
    <w:rsid w:val="0007353C"/>
    <w:rsid w:val="0007420F"/>
    <w:rsid w:val="00074E99"/>
    <w:rsid w:val="00076A35"/>
    <w:rsid w:val="00080C94"/>
    <w:rsid w:val="000815DC"/>
    <w:rsid w:val="00084DBC"/>
    <w:rsid w:val="00085810"/>
    <w:rsid w:val="00092992"/>
    <w:rsid w:val="000A14C8"/>
    <w:rsid w:val="000A2E9F"/>
    <w:rsid w:val="000A311B"/>
    <w:rsid w:val="000A38D7"/>
    <w:rsid w:val="000A3989"/>
    <w:rsid w:val="000A4368"/>
    <w:rsid w:val="000A4D5E"/>
    <w:rsid w:val="000A5110"/>
    <w:rsid w:val="000A531A"/>
    <w:rsid w:val="000B38C2"/>
    <w:rsid w:val="000B4269"/>
    <w:rsid w:val="000C443A"/>
    <w:rsid w:val="000C6E1B"/>
    <w:rsid w:val="000C7033"/>
    <w:rsid w:val="000C7818"/>
    <w:rsid w:val="000C7F98"/>
    <w:rsid w:val="000D0460"/>
    <w:rsid w:val="000D5A30"/>
    <w:rsid w:val="000D5CE6"/>
    <w:rsid w:val="000D64B4"/>
    <w:rsid w:val="000D71AD"/>
    <w:rsid w:val="000E119F"/>
    <w:rsid w:val="000E55C1"/>
    <w:rsid w:val="000E5655"/>
    <w:rsid w:val="000E6F16"/>
    <w:rsid w:val="000E714F"/>
    <w:rsid w:val="000E7FE7"/>
    <w:rsid w:val="000F03B2"/>
    <w:rsid w:val="000F13F0"/>
    <w:rsid w:val="000F1820"/>
    <w:rsid w:val="000F1C5B"/>
    <w:rsid w:val="000F2B4C"/>
    <w:rsid w:val="000F6484"/>
    <w:rsid w:val="000F6B46"/>
    <w:rsid w:val="00100F40"/>
    <w:rsid w:val="0010243D"/>
    <w:rsid w:val="00105854"/>
    <w:rsid w:val="0010703B"/>
    <w:rsid w:val="001118C5"/>
    <w:rsid w:val="00114DA3"/>
    <w:rsid w:val="0011790B"/>
    <w:rsid w:val="001231FA"/>
    <w:rsid w:val="001233EF"/>
    <w:rsid w:val="00125F21"/>
    <w:rsid w:val="00125FAE"/>
    <w:rsid w:val="00132F56"/>
    <w:rsid w:val="001349DA"/>
    <w:rsid w:val="001366F3"/>
    <w:rsid w:val="00136AAE"/>
    <w:rsid w:val="001375CC"/>
    <w:rsid w:val="00137DF9"/>
    <w:rsid w:val="001407FF"/>
    <w:rsid w:val="00140C41"/>
    <w:rsid w:val="0014159D"/>
    <w:rsid w:val="001450CC"/>
    <w:rsid w:val="001459AF"/>
    <w:rsid w:val="00146720"/>
    <w:rsid w:val="001508F6"/>
    <w:rsid w:val="00151054"/>
    <w:rsid w:val="001517B1"/>
    <w:rsid w:val="00154208"/>
    <w:rsid w:val="001548C4"/>
    <w:rsid w:val="0015504F"/>
    <w:rsid w:val="0015696E"/>
    <w:rsid w:val="0015717F"/>
    <w:rsid w:val="00166E83"/>
    <w:rsid w:val="00171465"/>
    <w:rsid w:val="001742F7"/>
    <w:rsid w:val="00174602"/>
    <w:rsid w:val="001759A3"/>
    <w:rsid w:val="00175FDA"/>
    <w:rsid w:val="00180679"/>
    <w:rsid w:val="00181E4F"/>
    <w:rsid w:val="00183037"/>
    <w:rsid w:val="0019531E"/>
    <w:rsid w:val="001A2154"/>
    <w:rsid w:val="001A2632"/>
    <w:rsid w:val="001A2B6B"/>
    <w:rsid w:val="001A2FD6"/>
    <w:rsid w:val="001A3991"/>
    <w:rsid w:val="001A3D51"/>
    <w:rsid w:val="001A4C07"/>
    <w:rsid w:val="001A4CE2"/>
    <w:rsid w:val="001A4D56"/>
    <w:rsid w:val="001A68F5"/>
    <w:rsid w:val="001B78CB"/>
    <w:rsid w:val="001C40F5"/>
    <w:rsid w:val="001C5558"/>
    <w:rsid w:val="001C5CE7"/>
    <w:rsid w:val="001C63B1"/>
    <w:rsid w:val="001C69DC"/>
    <w:rsid w:val="001C6B3F"/>
    <w:rsid w:val="001D012A"/>
    <w:rsid w:val="001D2442"/>
    <w:rsid w:val="001D3159"/>
    <w:rsid w:val="001D3E6F"/>
    <w:rsid w:val="001E05C4"/>
    <w:rsid w:val="001E0882"/>
    <w:rsid w:val="001E2B1F"/>
    <w:rsid w:val="001E3583"/>
    <w:rsid w:val="001E4FD9"/>
    <w:rsid w:val="001E5836"/>
    <w:rsid w:val="001F1ED1"/>
    <w:rsid w:val="001F2B18"/>
    <w:rsid w:val="001F468E"/>
    <w:rsid w:val="001F4E61"/>
    <w:rsid w:val="001F56BE"/>
    <w:rsid w:val="001F713F"/>
    <w:rsid w:val="0020202F"/>
    <w:rsid w:val="002062A6"/>
    <w:rsid w:val="002073BC"/>
    <w:rsid w:val="00207A3C"/>
    <w:rsid w:val="0021568C"/>
    <w:rsid w:val="00217E74"/>
    <w:rsid w:val="00221302"/>
    <w:rsid w:val="00225D34"/>
    <w:rsid w:val="00225FA8"/>
    <w:rsid w:val="0023031E"/>
    <w:rsid w:val="002310F6"/>
    <w:rsid w:val="0023125C"/>
    <w:rsid w:val="0023402E"/>
    <w:rsid w:val="00234DE4"/>
    <w:rsid w:val="00242647"/>
    <w:rsid w:val="002438C9"/>
    <w:rsid w:val="00244AD1"/>
    <w:rsid w:val="0024607D"/>
    <w:rsid w:val="0024773C"/>
    <w:rsid w:val="00251825"/>
    <w:rsid w:val="00252FC8"/>
    <w:rsid w:val="002546FE"/>
    <w:rsid w:val="00255867"/>
    <w:rsid w:val="00263F9A"/>
    <w:rsid w:val="002652A0"/>
    <w:rsid w:val="0026582C"/>
    <w:rsid w:val="00265E35"/>
    <w:rsid w:val="00271A55"/>
    <w:rsid w:val="002728DC"/>
    <w:rsid w:val="0027395A"/>
    <w:rsid w:val="00276288"/>
    <w:rsid w:val="002802D4"/>
    <w:rsid w:val="00280D7A"/>
    <w:rsid w:val="00280E33"/>
    <w:rsid w:val="00280FF4"/>
    <w:rsid w:val="00281763"/>
    <w:rsid w:val="00281EB5"/>
    <w:rsid w:val="00283BF5"/>
    <w:rsid w:val="002842BD"/>
    <w:rsid w:val="002863D9"/>
    <w:rsid w:val="002863EF"/>
    <w:rsid w:val="00286DC5"/>
    <w:rsid w:val="00286F37"/>
    <w:rsid w:val="00287AC7"/>
    <w:rsid w:val="00287B70"/>
    <w:rsid w:val="00292587"/>
    <w:rsid w:val="00293529"/>
    <w:rsid w:val="0029536C"/>
    <w:rsid w:val="002955C5"/>
    <w:rsid w:val="0029665C"/>
    <w:rsid w:val="002A2CD8"/>
    <w:rsid w:val="002A3366"/>
    <w:rsid w:val="002A5ED9"/>
    <w:rsid w:val="002A632D"/>
    <w:rsid w:val="002A6441"/>
    <w:rsid w:val="002A7343"/>
    <w:rsid w:val="002A7529"/>
    <w:rsid w:val="002B0565"/>
    <w:rsid w:val="002B082D"/>
    <w:rsid w:val="002B0DC9"/>
    <w:rsid w:val="002B13D9"/>
    <w:rsid w:val="002B18AB"/>
    <w:rsid w:val="002B203B"/>
    <w:rsid w:val="002B680A"/>
    <w:rsid w:val="002B7906"/>
    <w:rsid w:val="002C05C6"/>
    <w:rsid w:val="002C2163"/>
    <w:rsid w:val="002C21AA"/>
    <w:rsid w:val="002C53B7"/>
    <w:rsid w:val="002C5F94"/>
    <w:rsid w:val="002C7998"/>
    <w:rsid w:val="002D08DB"/>
    <w:rsid w:val="002D0FDC"/>
    <w:rsid w:val="002D27EF"/>
    <w:rsid w:val="002D3C9E"/>
    <w:rsid w:val="002D629C"/>
    <w:rsid w:val="002D6E54"/>
    <w:rsid w:val="002E1FB7"/>
    <w:rsid w:val="002E1FD5"/>
    <w:rsid w:val="002E2640"/>
    <w:rsid w:val="002E5CFE"/>
    <w:rsid w:val="002E69ED"/>
    <w:rsid w:val="002E6A9F"/>
    <w:rsid w:val="002E6C5D"/>
    <w:rsid w:val="002E7612"/>
    <w:rsid w:val="002F0F60"/>
    <w:rsid w:val="002F15A0"/>
    <w:rsid w:val="002F403D"/>
    <w:rsid w:val="002F4372"/>
    <w:rsid w:val="002F788D"/>
    <w:rsid w:val="00301080"/>
    <w:rsid w:val="003014DA"/>
    <w:rsid w:val="003016F5"/>
    <w:rsid w:val="00303060"/>
    <w:rsid w:val="0030329F"/>
    <w:rsid w:val="00305EA4"/>
    <w:rsid w:val="00306570"/>
    <w:rsid w:val="003114CF"/>
    <w:rsid w:val="003130B1"/>
    <w:rsid w:val="003148AF"/>
    <w:rsid w:val="00314C71"/>
    <w:rsid w:val="003171FC"/>
    <w:rsid w:val="00320170"/>
    <w:rsid w:val="00321ED3"/>
    <w:rsid w:val="00324249"/>
    <w:rsid w:val="003244D7"/>
    <w:rsid w:val="00324B79"/>
    <w:rsid w:val="00326C75"/>
    <w:rsid w:val="00326D3A"/>
    <w:rsid w:val="00330550"/>
    <w:rsid w:val="0033119A"/>
    <w:rsid w:val="003320E2"/>
    <w:rsid w:val="00332F3D"/>
    <w:rsid w:val="003349B7"/>
    <w:rsid w:val="00336739"/>
    <w:rsid w:val="00336E2F"/>
    <w:rsid w:val="00337964"/>
    <w:rsid w:val="003403FD"/>
    <w:rsid w:val="00340EDA"/>
    <w:rsid w:val="0034139F"/>
    <w:rsid w:val="003413BB"/>
    <w:rsid w:val="003425CD"/>
    <w:rsid w:val="00343005"/>
    <w:rsid w:val="003449AA"/>
    <w:rsid w:val="003476F1"/>
    <w:rsid w:val="00353C79"/>
    <w:rsid w:val="00355611"/>
    <w:rsid w:val="00355DDB"/>
    <w:rsid w:val="003564DB"/>
    <w:rsid w:val="00357C14"/>
    <w:rsid w:val="0036035D"/>
    <w:rsid w:val="00364315"/>
    <w:rsid w:val="00365CD5"/>
    <w:rsid w:val="003661DD"/>
    <w:rsid w:val="003666F5"/>
    <w:rsid w:val="00371DAA"/>
    <w:rsid w:val="003747ED"/>
    <w:rsid w:val="0037544D"/>
    <w:rsid w:val="003774CE"/>
    <w:rsid w:val="00381851"/>
    <w:rsid w:val="00381E8B"/>
    <w:rsid w:val="00383FA1"/>
    <w:rsid w:val="00390653"/>
    <w:rsid w:val="003925FF"/>
    <w:rsid w:val="00394A48"/>
    <w:rsid w:val="00395F7C"/>
    <w:rsid w:val="00397A9D"/>
    <w:rsid w:val="003A0F4D"/>
    <w:rsid w:val="003A4366"/>
    <w:rsid w:val="003A5030"/>
    <w:rsid w:val="003A7150"/>
    <w:rsid w:val="003A75FD"/>
    <w:rsid w:val="003A7AD9"/>
    <w:rsid w:val="003B416A"/>
    <w:rsid w:val="003C3E61"/>
    <w:rsid w:val="003C5221"/>
    <w:rsid w:val="003C7AB7"/>
    <w:rsid w:val="003D028B"/>
    <w:rsid w:val="003D03B7"/>
    <w:rsid w:val="003D0423"/>
    <w:rsid w:val="003D24A0"/>
    <w:rsid w:val="003D2B9A"/>
    <w:rsid w:val="003D56F2"/>
    <w:rsid w:val="003D7140"/>
    <w:rsid w:val="003D7A9D"/>
    <w:rsid w:val="003E0094"/>
    <w:rsid w:val="003E0B14"/>
    <w:rsid w:val="003E120A"/>
    <w:rsid w:val="003E4414"/>
    <w:rsid w:val="003E6084"/>
    <w:rsid w:val="003E6A21"/>
    <w:rsid w:val="003F25C8"/>
    <w:rsid w:val="003F4E20"/>
    <w:rsid w:val="003F5751"/>
    <w:rsid w:val="003F59A2"/>
    <w:rsid w:val="003F750F"/>
    <w:rsid w:val="00400298"/>
    <w:rsid w:val="0040129E"/>
    <w:rsid w:val="0040454B"/>
    <w:rsid w:val="00405D4A"/>
    <w:rsid w:val="00410D2D"/>
    <w:rsid w:val="004136F8"/>
    <w:rsid w:val="0041610B"/>
    <w:rsid w:val="004178EF"/>
    <w:rsid w:val="00421982"/>
    <w:rsid w:val="00425B62"/>
    <w:rsid w:val="004270FD"/>
    <w:rsid w:val="00431DF9"/>
    <w:rsid w:val="00433DD1"/>
    <w:rsid w:val="0043467A"/>
    <w:rsid w:val="00434C83"/>
    <w:rsid w:val="00436FE3"/>
    <w:rsid w:val="00441C42"/>
    <w:rsid w:val="0044409A"/>
    <w:rsid w:val="00445C63"/>
    <w:rsid w:val="00445D2E"/>
    <w:rsid w:val="00446F8E"/>
    <w:rsid w:val="00451421"/>
    <w:rsid w:val="0045142C"/>
    <w:rsid w:val="00452CD0"/>
    <w:rsid w:val="00452DC7"/>
    <w:rsid w:val="004531B8"/>
    <w:rsid w:val="0045349F"/>
    <w:rsid w:val="004554E8"/>
    <w:rsid w:val="00460510"/>
    <w:rsid w:val="00460579"/>
    <w:rsid w:val="00462D10"/>
    <w:rsid w:val="00462EF8"/>
    <w:rsid w:val="00463D4A"/>
    <w:rsid w:val="00463DF3"/>
    <w:rsid w:val="0046602F"/>
    <w:rsid w:val="00466DF4"/>
    <w:rsid w:val="0047625A"/>
    <w:rsid w:val="00476BD6"/>
    <w:rsid w:val="00477800"/>
    <w:rsid w:val="00481435"/>
    <w:rsid w:val="0048190A"/>
    <w:rsid w:val="0048240E"/>
    <w:rsid w:val="00484D9D"/>
    <w:rsid w:val="00485518"/>
    <w:rsid w:val="00485B85"/>
    <w:rsid w:val="004865EF"/>
    <w:rsid w:val="0048723B"/>
    <w:rsid w:val="00492A6C"/>
    <w:rsid w:val="00493E87"/>
    <w:rsid w:val="004946B6"/>
    <w:rsid w:val="00494B55"/>
    <w:rsid w:val="00495778"/>
    <w:rsid w:val="00497E4D"/>
    <w:rsid w:val="004A0718"/>
    <w:rsid w:val="004A08F3"/>
    <w:rsid w:val="004A186B"/>
    <w:rsid w:val="004A1ED3"/>
    <w:rsid w:val="004A5BD5"/>
    <w:rsid w:val="004B0D2A"/>
    <w:rsid w:val="004B2632"/>
    <w:rsid w:val="004B329A"/>
    <w:rsid w:val="004B471E"/>
    <w:rsid w:val="004B55F7"/>
    <w:rsid w:val="004B7582"/>
    <w:rsid w:val="004C188B"/>
    <w:rsid w:val="004C52BF"/>
    <w:rsid w:val="004C5E8F"/>
    <w:rsid w:val="004D2228"/>
    <w:rsid w:val="004D298D"/>
    <w:rsid w:val="004D559D"/>
    <w:rsid w:val="004D60BA"/>
    <w:rsid w:val="004E02DB"/>
    <w:rsid w:val="004E0BFD"/>
    <w:rsid w:val="004E2B27"/>
    <w:rsid w:val="004E3343"/>
    <w:rsid w:val="004E6DD4"/>
    <w:rsid w:val="004E7B4C"/>
    <w:rsid w:val="004F081D"/>
    <w:rsid w:val="004F69E6"/>
    <w:rsid w:val="004F7EFD"/>
    <w:rsid w:val="00502F31"/>
    <w:rsid w:val="00504A26"/>
    <w:rsid w:val="00505D1F"/>
    <w:rsid w:val="0050685B"/>
    <w:rsid w:val="005106A5"/>
    <w:rsid w:val="005129FC"/>
    <w:rsid w:val="0051484A"/>
    <w:rsid w:val="00516277"/>
    <w:rsid w:val="00517B8B"/>
    <w:rsid w:val="00522A44"/>
    <w:rsid w:val="00527778"/>
    <w:rsid w:val="00527B64"/>
    <w:rsid w:val="005303BA"/>
    <w:rsid w:val="00530C50"/>
    <w:rsid w:val="00534641"/>
    <w:rsid w:val="00534F2D"/>
    <w:rsid w:val="00536C10"/>
    <w:rsid w:val="005448BF"/>
    <w:rsid w:val="005450BD"/>
    <w:rsid w:val="0055396A"/>
    <w:rsid w:val="005571B2"/>
    <w:rsid w:val="00561409"/>
    <w:rsid w:val="00563CD1"/>
    <w:rsid w:val="00567C3E"/>
    <w:rsid w:val="00570FA6"/>
    <w:rsid w:val="00571FD1"/>
    <w:rsid w:val="00572644"/>
    <w:rsid w:val="005737BB"/>
    <w:rsid w:val="00577E8A"/>
    <w:rsid w:val="005822E9"/>
    <w:rsid w:val="00582A2A"/>
    <w:rsid w:val="00584F4C"/>
    <w:rsid w:val="00586253"/>
    <w:rsid w:val="00586708"/>
    <w:rsid w:val="00590DAD"/>
    <w:rsid w:val="00592ADE"/>
    <w:rsid w:val="00596390"/>
    <w:rsid w:val="00596A61"/>
    <w:rsid w:val="005A07D7"/>
    <w:rsid w:val="005A1535"/>
    <w:rsid w:val="005A27A8"/>
    <w:rsid w:val="005A446B"/>
    <w:rsid w:val="005B1E72"/>
    <w:rsid w:val="005B2B77"/>
    <w:rsid w:val="005B3988"/>
    <w:rsid w:val="005C0BC3"/>
    <w:rsid w:val="005C12D1"/>
    <w:rsid w:val="005C15C3"/>
    <w:rsid w:val="005C26DB"/>
    <w:rsid w:val="005C7216"/>
    <w:rsid w:val="005C7B9B"/>
    <w:rsid w:val="005C7ED2"/>
    <w:rsid w:val="005D200B"/>
    <w:rsid w:val="005D3926"/>
    <w:rsid w:val="005D4E11"/>
    <w:rsid w:val="005D53EC"/>
    <w:rsid w:val="005D5893"/>
    <w:rsid w:val="005D5942"/>
    <w:rsid w:val="005D5DC6"/>
    <w:rsid w:val="005D5F19"/>
    <w:rsid w:val="005E0E91"/>
    <w:rsid w:val="005E4FB1"/>
    <w:rsid w:val="005E6BF3"/>
    <w:rsid w:val="005F05A8"/>
    <w:rsid w:val="005F4E3F"/>
    <w:rsid w:val="00601868"/>
    <w:rsid w:val="00601DB2"/>
    <w:rsid w:val="00606383"/>
    <w:rsid w:val="006064CB"/>
    <w:rsid w:val="006139AF"/>
    <w:rsid w:val="006145AE"/>
    <w:rsid w:val="006145D2"/>
    <w:rsid w:val="0061543B"/>
    <w:rsid w:val="00616439"/>
    <w:rsid w:val="00622618"/>
    <w:rsid w:val="00624F46"/>
    <w:rsid w:val="006266CF"/>
    <w:rsid w:val="00630DB9"/>
    <w:rsid w:val="006317A6"/>
    <w:rsid w:val="00631C27"/>
    <w:rsid w:val="0063375C"/>
    <w:rsid w:val="00633EEE"/>
    <w:rsid w:val="006344B7"/>
    <w:rsid w:val="00636D4B"/>
    <w:rsid w:val="00642E2C"/>
    <w:rsid w:val="0064304F"/>
    <w:rsid w:val="006432AF"/>
    <w:rsid w:val="00643A10"/>
    <w:rsid w:val="00650BF8"/>
    <w:rsid w:val="00652C7C"/>
    <w:rsid w:val="00653ABE"/>
    <w:rsid w:val="0065590D"/>
    <w:rsid w:val="00656AD2"/>
    <w:rsid w:val="006605AF"/>
    <w:rsid w:val="00660F72"/>
    <w:rsid w:val="00664F25"/>
    <w:rsid w:val="0066747D"/>
    <w:rsid w:val="00671BB0"/>
    <w:rsid w:val="00672FB9"/>
    <w:rsid w:val="00676EAA"/>
    <w:rsid w:val="00677C43"/>
    <w:rsid w:val="00680139"/>
    <w:rsid w:val="00682B47"/>
    <w:rsid w:val="006830CA"/>
    <w:rsid w:val="00684BEC"/>
    <w:rsid w:val="006859E3"/>
    <w:rsid w:val="00690A54"/>
    <w:rsid w:val="00693669"/>
    <w:rsid w:val="006A4C57"/>
    <w:rsid w:val="006A5686"/>
    <w:rsid w:val="006A65FA"/>
    <w:rsid w:val="006A6A0C"/>
    <w:rsid w:val="006A71F7"/>
    <w:rsid w:val="006C0AF6"/>
    <w:rsid w:val="006C1C29"/>
    <w:rsid w:val="006C38C2"/>
    <w:rsid w:val="006C3D18"/>
    <w:rsid w:val="006C616D"/>
    <w:rsid w:val="006D2787"/>
    <w:rsid w:val="006D4FDC"/>
    <w:rsid w:val="006D5358"/>
    <w:rsid w:val="006D5954"/>
    <w:rsid w:val="006D715D"/>
    <w:rsid w:val="006D7582"/>
    <w:rsid w:val="006E38D3"/>
    <w:rsid w:val="006E6004"/>
    <w:rsid w:val="006E69AC"/>
    <w:rsid w:val="006E7AA6"/>
    <w:rsid w:val="006E7FB6"/>
    <w:rsid w:val="006F04E2"/>
    <w:rsid w:val="006F4AE2"/>
    <w:rsid w:val="006F4F22"/>
    <w:rsid w:val="006F5C7E"/>
    <w:rsid w:val="006F69F9"/>
    <w:rsid w:val="006F7504"/>
    <w:rsid w:val="006F7F8C"/>
    <w:rsid w:val="00704289"/>
    <w:rsid w:val="00705947"/>
    <w:rsid w:val="00707B8A"/>
    <w:rsid w:val="00714D6B"/>
    <w:rsid w:val="00714E00"/>
    <w:rsid w:val="00717474"/>
    <w:rsid w:val="00717D02"/>
    <w:rsid w:val="00721330"/>
    <w:rsid w:val="00721DAC"/>
    <w:rsid w:val="00722997"/>
    <w:rsid w:val="00724781"/>
    <w:rsid w:val="00726589"/>
    <w:rsid w:val="0073101B"/>
    <w:rsid w:val="00731333"/>
    <w:rsid w:val="0073148B"/>
    <w:rsid w:val="00731E6C"/>
    <w:rsid w:val="00732240"/>
    <w:rsid w:val="00735639"/>
    <w:rsid w:val="00735A0A"/>
    <w:rsid w:val="007372F3"/>
    <w:rsid w:val="0074044B"/>
    <w:rsid w:val="00740485"/>
    <w:rsid w:val="00740AD0"/>
    <w:rsid w:val="00740C44"/>
    <w:rsid w:val="007419F9"/>
    <w:rsid w:val="00743CE5"/>
    <w:rsid w:val="00745C0A"/>
    <w:rsid w:val="00746942"/>
    <w:rsid w:val="00747FD0"/>
    <w:rsid w:val="00750C7F"/>
    <w:rsid w:val="00753BC5"/>
    <w:rsid w:val="00761751"/>
    <w:rsid w:val="0076337D"/>
    <w:rsid w:val="007642F2"/>
    <w:rsid w:val="00764560"/>
    <w:rsid w:val="0076630B"/>
    <w:rsid w:val="0077035D"/>
    <w:rsid w:val="00775143"/>
    <w:rsid w:val="007751FA"/>
    <w:rsid w:val="0078043E"/>
    <w:rsid w:val="0078072E"/>
    <w:rsid w:val="00780C7E"/>
    <w:rsid w:val="00786905"/>
    <w:rsid w:val="007870AE"/>
    <w:rsid w:val="00791E5D"/>
    <w:rsid w:val="0079379D"/>
    <w:rsid w:val="00793C6F"/>
    <w:rsid w:val="00795322"/>
    <w:rsid w:val="007A0439"/>
    <w:rsid w:val="007A0B3D"/>
    <w:rsid w:val="007A1C4C"/>
    <w:rsid w:val="007A2CF3"/>
    <w:rsid w:val="007A38AF"/>
    <w:rsid w:val="007B3905"/>
    <w:rsid w:val="007B4C63"/>
    <w:rsid w:val="007B678F"/>
    <w:rsid w:val="007B69D5"/>
    <w:rsid w:val="007C00B8"/>
    <w:rsid w:val="007C117D"/>
    <w:rsid w:val="007C155B"/>
    <w:rsid w:val="007C3538"/>
    <w:rsid w:val="007C67D4"/>
    <w:rsid w:val="007C6BC5"/>
    <w:rsid w:val="007D19F7"/>
    <w:rsid w:val="007D36A2"/>
    <w:rsid w:val="007D4441"/>
    <w:rsid w:val="007D7B3B"/>
    <w:rsid w:val="007E0387"/>
    <w:rsid w:val="007E6BB7"/>
    <w:rsid w:val="007E7F2B"/>
    <w:rsid w:val="007F1C97"/>
    <w:rsid w:val="007F1E94"/>
    <w:rsid w:val="007F5B6D"/>
    <w:rsid w:val="00800ED2"/>
    <w:rsid w:val="00800EE0"/>
    <w:rsid w:val="0080402C"/>
    <w:rsid w:val="008060FB"/>
    <w:rsid w:val="008069F4"/>
    <w:rsid w:val="00812A01"/>
    <w:rsid w:val="00816698"/>
    <w:rsid w:val="00816E5A"/>
    <w:rsid w:val="008208C1"/>
    <w:rsid w:val="008215B5"/>
    <w:rsid w:val="00822EC4"/>
    <w:rsid w:val="00824D1A"/>
    <w:rsid w:val="00826508"/>
    <w:rsid w:val="00827A01"/>
    <w:rsid w:val="008305A5"/>
    <w:rsid w:val="00830A3B"/>
    <w:rsid w:val="00831155"/>
    <w:rsid w:val="008347A7"/>
    <w:rsid w:val="008357AC"/>
    <w:rsid w:val="00835C5C"/>
    <w:rsid w:val="008364CD"/>
    <w:rsid w:val="00840318"/>
    <w:rsid w:val="0084069E"/>
    <w:rsid w:val="00840997"/>
    <w:rsid w:val="008426B0"/>
    <w:rsid w:val="00843129"/>
    <w:rsid w:val="008451E4"/>
    <w:rsid w:val="00847CE0"/>
    <w:rsid w:val="00851D13"/>
    <w:rsid w:val="00851FD2"/>
    <w:rsid w:val="00852190"/>
    <w:rsid w:val="008541FC"/>
    <w:rsid w:val="00854AF3"/>
    <w:rsid w:val="00856AD4"/>
    <w:rsid w:val="00860070"/>
    <w:rsid w:val="008602A1"/>
    <w:rsid w:val="008647DF"/>
    <w:rsid w:val="008658AF"/>
    <w:rsid w:val="00865E30"/>
    <w:rsid w:val="008672A5"/>
    <w:rsid w:val="00867538"/>
    <w:rsid w:val="0087198B"/>
    <w:rsid w:val="008741DF"/>
    <w:rsid w:val="008765CD"/>
    <w:rsid w:val="0087753D"/>
    <w:rsid w:val="0088186A"/>
    <w:rsid w:val="0088221B"/>
    <w:rsid w:val="00887516"/>
    <w:rsid w:val="00891101"/>
    <w:rsid w:val="00893202"/>
    <w:rsid w:val="00895995"/>
    <w:rsid w:val="00896E57"/>
    <w:rsid w:val="008974F8"/>
    <w:rsid w:val="008A19FC"/>
    <w:rsid w:val="008A5798"/>
    <w:rsid w:val="008A5DB0"/>
    <w:rsid w:val="008A5F39"/>
    <w:rsid w:val="008A65F5"/>
    <w:rsid w:val="008B377E"/>
    <w:rsid w:val="008B3D53"/>
    <w:rsid w:val="008B4581"/>
    <w:rsid w:val="008B4F00"/>
    <w:rsid w:val="008B6308"/>
    <w:rsid w:val="008B7A07"/>
    <w:rsid w:val="008C6211"/>
    <w:rsid w:val="008C7A13"/>
    <w:rsid w:val="008D75FC"/>
    <w:rsid w:val="008E36C6"/>
    <w:rsid w:val="008E37A9"/>
    <w:rsid w:val="008E663C"/>
    <w:rsid w:val="008E7FB4"/>
    <w:rsid w:val="008F2195"/>
    <w:rsid w:val="008F5E3C"/>
    <w:rsid w:val="009004CA"/>
    <w:rsid w:val="00900E4D"/>
    <w:rsid w:val="00900FA2"/>
    <w:rsid w:val="00903190"/>
    <w:rsid w:val="00904206"/>
    <w:rsid w:val="00904E7D"/>
    <w:rsid w:val="0090567E"/>
    <w:rsid w:val="009131AB"/>
    <w:rsid w:val="00913DAA"/>
    <w:rsid w:val="00914041"/>
    <w:rsid w:val="00914795"/>
    <w:rsid w:val="009154AE"/>
    <w:rsid w:val="00915DD6"/>
    <w:rsid w:val="00916664"/>
    <w:rsid w:val="0091784C"/>
    <w:rsid w:val="00917B27"/>
    <w:rsid w:val="00917C27"/>
    <w:rsid w:val="0092254A"/>
    <w:rsid w:val="00926EBE"/>
    <w:rsid w:val="0092763D"/>
    <w:rsid w:val="0093129B"/>
    <w:rsid w:val="009326C1"/>
    <w:rsid w:val="009326D2"/>
    <w:rsid w:val="00932898"/>
    <w:rsid w:val="009333AD"/>
    <w:rsid w:val="00934A26"/>
    <w:rsid w:val="00935B7E"/>
    <w:rsid w:val="00936765"/>
    <w:rsid w:val="00936B84"/>
    <w:rsid w:val="00936D32"/>
    <w:rsid w:val="00936EBD"/>
    <w:rsid w:val="00937A68"/>
    <w:rsid w:val="00940838"/>
    <w:rsid w:val="0094091C"/>
    <w:rsid w:val="00943228"/>
    <w:rsid w:val="00943C37"/>
    <w:rsid w:val="00943F8E"/>
    <w:rsid w:val="00946692"/>
    <w:rsid w:val="00952471"/>
    <w:rsid w:val="0095254F"/>
    <w:rsid w:val="00952DA0"/>
    <w:rsid w:val="009537D8"/>
    <w:rsid w:val="00955665"/>
    <w:rsid w:val="00955A05"/>
    <w:rsid w:val="00957F77"/>
    <w:rsid w:val="00960854"/>
    <w:rsid w:val="009636CD"/>
    <w:rsid w:val="00963F54"/>
    <w:rsid w:val="00965737"/>
    <w:rsid w:val="00966098"/>
    <w:rsid w:val="009705B3"/>
    <w:rsid w:val="00970946"/>
    <w:rsid w:val="0097438A"/>
    <w:rsid w:val="0097617B"/>
    <w:rsid w:val="00976CFC"/>
    <w:rsid w:val="009826A1"/>
    <w:rsid w:val="00982BAF"/>
    <w:rsid w:val="00982CB2"/>
    <w:rsid w:val="0098554D"/>
    <w:rsid w:val="00990696"/>
    <w:rsid w:val="0099370E"/>
    <w:rsid w:val="00993E22"/>
    <w:rsid w:val="009944D8"/>
    <w:rsid w:val="00995235"/>
    <w:rsid w:val="00997236"/>
    <w:rsid w:val="00997877"/>
    <w:rsid w:val="009A4A29"/>
    <w:rsid w:val="009A6FB0"/>
    <w:rsid w:val="009A7BD6"/>
    <w:rsid w:val="009A7DC4"/>
    <w:rsid w:val="009B0A2D"/>
    <w:rsid w:val="009B5A62"/>
    <w:rsid w:val="009B633C"/>
    <w:rsid w:val="009B6B74"/>
    <w:rsid w:val="009C0BCD"/>
    <w:rsid w:val="009C1FBF"/>
    <w:rsid w:val="009C2FD0"/>
    <w:rsid w:val="009D0C64"/>
    <w:rsid w:val="009D16CD"/>
    <w:rsid w:val="009D1BA2"/>
    <w:rsid w:val="009D3666"/>
    <w:rsid w:val="009D7289"/>
    <w:rsid w:val="009E2121"/>
    <w:rsid w:val="009E36D3"/>
    <w:rsid w:val="009E4233"/>
    <w:rsid w:val="009E4DEE"/>
    <w:rsid w:val="009E534B"/>
    <w:rsid w:val="009E7449"/>
    <w:rsid w:val="009F02C6"/>
    <w:rsid w:val="009F2171"/>
    <w:rsid w:val="009F2CDD"/>
    <w:rsid w:val="009F3DDC"/>
    <w:rsid w:val="009F67AB"/>
    <w:rsid w:val="00A02BCB"/>
    <w:rsid w:val="00A057F5"/>
    <w:rsid w:val="00A061FE"/>
    <w:rsid w:val="00A0716B"/>
    <w:rsid w:val="00A10014"/>
    <w:rsid w:val="00A13DD7"/>
    <w:rsid w:val="00A22830"/>
    <w:rsid w:val="00A25649"/>
    <w:rsid w:val="00A25CED"/>
    <w:rsid w:val="00A26D6E"/>
    <w:rsid w:val="00A335E8"/>
    <w:rsid w:val="00A41F83"/>
    <w:rsid w:val="00A422FE"/>
    <w:rsid w:val="00A44E3E"/>
    <w:rsid w:val="00A50852"/>
    <w:rsid w:val="00A51264"/>
    <w:rsid w:val="00A51C42"/>
    <w:rsid w:val="00A530CD"/>
    <w:rsid w:val="00A54125"/>
    <w:rsid w:val="00A55005"/>
    <w:rsid w:val="00A57848"/>
    <w:rsid w:val="00A57E61"/>
    <w:rsid w:val="00A61D8C"/>
    <w:rsid w:val="00A62A02"/>
    <w:rsid w:val="00A64135"/>
    <w:rsid w:val="00A641E7"/>
    <w:rsid w:val="00A6747F"/>
    <w:rsid w:val="00A703B8"/>
    <w:rsid w:val="00A7063E"/>
    <w:rsid w:val="00A710FC"/>
    <w:rsid w:val="00A73D17"/>
    <w:rsid w:val="00A75450"/>
    <w:rsid w:val="00A761C7"/>
    <w:rsid w:val="00A7771C"/>
    <w:rsid w:val="00A818C5"/>
    <w:rsid w:val="00A81F53"/>
    <w:rsid w:val="00A8349D"/>
    <w:rsid w:val="00A8767C"/>
    <w:rsid w:val="00A877A1"/>
    <w:rsid w:val="00A901C3"/>
    <w:rsid w:val="00A92601"/>
    <w:rsid w:val="00A93C3D"/>
    <w:rsid w:val="00A94837"/>
    <w:rsid w:val="00A94D75"/>
    <w:rsid w:val="00AA1618"/>
    <w:rsid w:val="00AA2230"/>
    <w:rsid w:val="00AA2CC8"/>
    <w:rsid w:val="00AA49C0"/>
    <w:rsid w:val="00AA4CEC"/>
    <w:rsid w:val="00AA5EF0"/>
    <w:rsid w:val="00AA714D"/>
    <w:rsid w:val="00AB14E6"/>
    <w:rsid w:val="00AB26FF"/>
    <w:rsid w:val="00AB2DB6"/>
    <w:rsid w:val="00AB408F"/>
    <w:rsid w:val="00AB6D5D"/>
    <w:rsid w:val="00AB6D97"/>
    <w:rsid w:val="00AB7D49"/>
    <w:rsid w:val="00AC0B0E"/>
    <w:rsid w:val="00AC6E69"/>
    <w:rsid w:val="00AC7546"/>
    <w:rsid w:val="00AD094C"/>
    <w:rsid w:val="00AD434F"/>
    <w:rsid w:val="00AD64B3"/>
    <w:rsid w:val="00AD7A3A"/>
    <w:rsid w:val="00AD7ADE"/>
    <w:rsid w:val="00AE41DF"/>
    <w:rsid w:val="00AF157F"/>
    <w:rsid w:val="00AF3AB1"/>
    <w:rsid w:val="00AF56AB"/>
    <w:rsid w:val="00AF60CE"/>
    <w:rsid w:val="00AF7BE4"/>
    <w:rsid w:val="00B00573"/>
    <w:rsid w:val="00B006C6"/>
    <w:rsid w:val="00B0095D"/>
    <w:rsid w:val="00B009F0"/>
    <w:rsid w:val="00B0477E"/>
    <w:rsid w:val="00B12AF8"/>
    <w:rsid w:val="00B1537E"/>
    <w:rsid w:val="00B16743"/>
    <w:rsid w:val="00B20332"/>
    <w:rsid w:val="00B20495"/>
    <w:rsid w:val="00B21758"/>
    <w:rsid w:val="00B217DD"/>
    <w:rsid w:val="00B22A6D"/>
    <w:rsid w:val="00B23497"/>
    <w:rsid w:val="00B238C2"/>
    <w:rsid w:val="00B24F76"/>
    <w:rsid w:val="00B27D95"/>
    <w:rsid w:val="00B31FD3"/>
    <w:rsid w:val="00B323DA"/>
    <w:rsid w:val="00B34A89"/>
    <w:rsid w:val="00B35F04"/>
    <w:rsid w:val="00B36077"/>
    <w:rsid w:val="00B36845"/>
    <w:rsid w:val="00B42D9A"/>
    <w:rsid w:val="00B43633"/>
    <w:rsid w:val="00B44763"/>
    <w:rsid w:val="00B52105"/>
    <w:rsid w:val="00B52C2D"/>
    <w:rsid w:val="00B54297"/>
    <w:rsid w:val="00B54A98"/>
    <w:rsid w:val="00B54BAE"/>
    <w:rsid w:val="00B56A67"/>
    <w:rsid w:val="00B61AFB"/>
    <w:rsid w:val="00B63013"/>
    <w:rsid w:val="00B63AC6"/>
    <w:rsid w:val="00B64B1B"/>
    <w:rsid w:val="00B6719D"/>
    <w:rsid w:val="00B67457"/>
    <w:rsid w:val="00B6764A"/>
    <w:rsid w:val="00B67A17"/>
    <w:rsid w:val="00B7126E"/>
    <w:rsid w:val="00B7247D"/>
    <w:rsid w:val="00B76F1D"/>
    <w:rsid w:val="00B8244B"/>
    <w:rsid w:val="00B8383C"/>
    <w:rsid w:val="00B86F27"/>
    <w:rsid w:val="00B8773D"/>
    <w:rsid w:val="00B87FE3"/>
    <w:rsid w:val="00B932DF"/>
    <w:rsid w:val="00B952F2"/>
    <w:rsid w:val="00BA0DC9"/>
    <w:rsid w:val="00BA2E37"/>
    <w:rsid w:val="00BA670A"/>
    <w:rsid w:val="00BB38AB"/>
    <w:rsid w:val="00BB3E23"/>
    <w:rsid w:val="00BB47E1"/>
    <w:rsid w:val="00BB5E65"/>
    <w:rsid w:val="00BB5EFE"/>
    <w:rsid w:val="00BB602A"/>
    <w:rsid w:val="00BC00C2"/>
    <w:rsid w:val="00BC16B7"/>
    <w:rsid w:val="00BC221D"/>
    <w:rsid w:val="00BC35BD"/>
    <w:rsid w:val="00BC4F07"/>
    <w:rsid w:val="00BC75CE"/>
    <w:rsid w:val="00BD0625"/>
    <w:rsid w:val="00BD2039"/>
    <w:rsid w:val="00BD22E7"/>
    <w:rsid w:val="00BD3020"/>
    <w:rsid w:val="00BD41EC"/>
    <w:rsid w:val="00BD4F0C"/>
    <w:rsid w:val="00BD52C4"/>
    <w:rsid w:val="00BD6116"/>
    <w:rsid w:val="00BD6A16"/>
    <w:rsid w:val="00BE68F5"/>
    <w:rsid w:val="00BF0D8B"/>
    <w:rsid w:val="00BF22D6"/>
    <w:rsid w:val="00BF2674"/>
    <w:rsid w:val="00BF32A0"/>
    <w:rsid w:val="00BF4F72"/>
    <w:rsid w:val="00BF5E83"/>
    <w:rsid w:val="00BF5F42"/>
    <w:rsid w:val="00BF7DEF"/>
    <w:rsid w:val="00C0017B"/>
    <w:rsid w:val="00C01AE6"/>
    <w:rsid w:val="00C01FC5"/>
    <w:rsid w:val="00C02612"/>
    <w:rsid w:val="00C0353C"/>
    <w:rsid w:val="00C0377D"/>
    <w:rsid w:val="00C03A85"/>
    <w:rsid w:val="00C05463"/>
    <w:rsid w:val="00C063B9"/>
    <w:rsid w:val="00C06F29"/>
    <w:rsid w:val="00C07811"/>
    <w:rsid w:val="00C15362"/>
    <w:rsid w:val="00C156D2"/>
    <w:rsid w:val="00C16980"/>
    <w:rsid w:val="00C20A54"/>
    <w:rsid w:val="00C233DE"/>
    <w:rsid w:val="00C23765"/>
    <w:rsid w:val="00C24E5A"/>
    <w:rsid w:val="00C25E38"/>
    <w:rsid w:val="00C271E6"/>
    <w:rsid w:val="00C27EE6"/>
    <w:rsid w:val="00C33B7F"/>
    <w:rsid w:val="00C33B9E"/>
    <w:rsid w:val="00C3575F"/>
    <w:rsid w:val="00C36830"/>
    <w:rsid w:val="00C408BF"/>
    <w:rsid w:val="00C415B8"/>
    <w:rsid w:val="00C45192"/>
    <w:rsid w:val="00C45324"/>
    <w:rsid w:val="00C468D0"/>
    <w:rsid w:val="00C50C6A"/>
    <w:rsid w:val="00C54A19"/>
    <w:rsid w:val="00C54CBE"/>
    <w:rsid w:val="00C557DE"/>
    <w:rsid w:val="00C55C09"/>
    <w:rsid w:val="00C56098"/>
    <w:rsid w:val="00C65C1E"/>
    <w:rsid w:val="00C6769B"/>
    <w:rsid w:val="00C72038"/>
    <w:rsid w:val="00C73961"/>
    <w:rsid w:val="00C73989"/>
    <w:rsid w:val="00C836C7"/>
    <w:rsid w:val="00C84785"/>
    <w:rsid w:val="00C85E9A"/>
    <w:rsid w:val="00C861B4"/>
    <w:rsid w:val="00C86893"/>
    <w:rsid w:val="00C8711E"/>
    <w:rsid w:val="00C87BCC"/>
    <w:rsid w:val="00C91580"/>
    <w:rsid w:val="00C9253B"/>
    <w:rsid w:val="00C92F32"/>
    <w:rsid w:val="00C930B4"/>
    <w:rsid w:val="00C936D5"/>
    <w:rsid w:val="00C9459B"/>
    <w:rsid w:val="00C945CA"/>
    <w:rsid w:val="00C95DDC"/>
    <w:rsid w:val="00C97460"/>
    <w:rsid w:val="00CA0D91"/>
    <w:rsid w:val="00CA1C37"/>
    <w:rsid w:val="00CA1E2F"/>
    <w:rsid w:val="00CA1E9D"/>
    <w:rsid w:val="00CA21E3"/>
    <w:rsid w:val="00CA770E"/>
    <w:rsid w:val="00CB03AD"/>
    <w:rsid w:val="00CB1691"/>
    <w:rsid w:val="00CB1EF0"/>
    <w:rsid w:val="00CB2E0C"/>
    <w:rsid w:val="00CB34E1"/>
    <w:rsid w:val="00CB49A2"/>
    <w:rsid w:val="00CB6FFD"/>
    <w:rsid w:val="00CB7F22"/>
    <w:rsid w:val="00CC0519"/>
    <w:rsid w:val="00CC28C1"/>
    <w:rsid w:val="00CC3829"/>
    <w:rsid w:val="00CC4289"/>
    <w:rsid w:val="00CC6EDC"/>
    <w:rsid w:val="00CC7BD2"/>
    <w:rsid w:val="00CD09B6"/>
    <w:rsid w:val="00CD0E6D"/>
    <w:rsid w:val="00CD12F8"/>
    <w:rsid w:val="00CD283C"/>
    <w:rsid w:val="00CD2FB3"/>
    <w:rsid w:val="00CD60F9"/>
    <w:rsid w:val="00CD6EF0"/>
    <w:rsid w:val="00CE0493"/>
    <w:rsid w:val="00CF000B"/>
    <w:rsid w:val="00CF0614"/>
    <w:rsid w:val="00CF250C"/>
    <w:rsid w:val="00CF37DE"/>
    <w:rsid w:val="00CF3F32"/>
    <w:rsid w:val="00CF3F44"/>
    <w:rsid w:val="00D01BF5"/>
    <w:rsid w:val="00D02EB9"/>
    <w:rsid w:val="00D048CB"/>
    <w:rsid w:val="00D05000"/>
    <w:rsid w:val="00D05B56"/>
    <w:rsid w:val="00D06774"/>
    <w:rsid w:val="00D1200D"/>
    <w:rsid w:val="00D12115"/>
    <w:rsid w:val="00D1299D"/>
    <w:rsid w:val="00D2254E"/>
    <w:rsid w:val="00D22BD1"/>
    <w:rsid w:val="00D24BC4"/>
    <w:rsid w:val="00D27679"/>
    <w:rsid w:val="00D31774"/>
    <w:rsid w:val="00D318A8"/>
    <w:rsid w:val="00D31BA4"/>
    <w:rsid w:val="00D32A81"/>
    <w:rsid w:val="00D340DF"/>
    <w:rsid w:val="00D350E9"/>
    <w:rsid w:val="00D37170"/>
    <w:rsid w:val="00D37F5B"/>
    <w:rsid w:val="00D40021"/>
    <w:rsid w:val="00D42585"/>
    <w:rsid w:val="00D44015"/>
    <w:rsid w:val="00D471C5"/>
    <w:rsid w:val="00D50730"/>
    <w:rsid w:val="00D50B61"/>
    <w:rsid w:val="00D50F4A"/>
    <w:rsid w:val="00D54240"/>
    <w:rsid w:val="00D62E8A"/>
    <w:rsid w:val="00D7023A"/>
    <w:rsid w:val="00D740AF"/>
    <w:rsid w:val="00D844C8"/>
    <w:rsid w:val="00D84C6C"/>
    <w:rsid w:val="00D872AA"/>
    <w:rsid w:val="00D912B6"/>
    <w:rsid w:val="00D9724A"/>
    <w:rsid w:val="00DA0919"/>
    <w:rsid w:val="00DA0CCD"/>
    <w:rsid w:val="00DA2C1B"/>
    <w:rsid w:val="00DA2D72"/>
    <w:rsid w:val="00DA4D70"/>
    <w:rsid w:val="00DA5C6B"/>
    <w:rsid w:val="00DA6506"/>
    <w:rsid w:val="00DB002C"/>
    <w:rsid w:val="00DB33EF"/>
    <w:rsid w:val="00DB3F5F"/>
    <w:rsid w:val="00DB67AA"/>
    <w:rsid w:val="00DB6CF4"/>
    <w:rsid w:val="00DC0635"/>
    <w:rsid w:val="00DC2483"/>
    <w:rsid w:val="00DC6C56"/>
    <w:rsid w:val="00DC7DEF"/>
    <w:rsid w:val="00DD103A"/>
    <w:rsid w:val="00DD243B"/>
    <w:rsid w:val="00DD2912"/>
    <w:rsid w:val="00DD2C6F"/>
    <w:rsid w:val="00DD57C7"/>
    <w:rsid w:val="00DE04F5"/>
    <w:rsid w:val="00DE2168"/>
    <w:rsid w:val="00DE3E4E"/>
    <w:rsid w:val="00DE491E"/>
    <w:rsid w:val="00DE56CD"/>
    <w:rsid w:val="00DE5762"/>
    <w:rsid w:val="00DE6837"/>
    <w:rsid w:val="00DE6A81"/>
    <w:rsid w:val="00DE715E"/>
    <w:rsid w:val="00DE7C8D"/>
    <w:rsid w:val="00DE7D94"/>
    <w:rsid w:val="00DF141B"/>
    <w:rsid w:val="00DF2712"/>
    <w:rsid w:val="00DF6492"/>
    <w:rsid w:val="00DF7737"/>
    <w:rsid w:val="00E00CF0"/>
    <w:rsid w:val="00E04953"/>
    <w:rsid w:val="00E056FD"/>
    <w:rsid w:val="00E1017F"/>
    <w:rsid w:val="00E117A2"/>
    <w:rsid w:val="00E1240E"/>
    <w:rsid w:val="00E130CB"/>
    <w:rsid w:val="00E1555F"/>
    <w:rsid w:val="00E15701"/>
    <w:rsid w:val="00E15819"/>
    <w:rsid w:val="00E160D5"/>
    <w:rsid w:val="00E165F0"/>
    <w:rsid w:val="00E1709B"/>
    <w:rsid w:val="00E22093"/>
    <w:rsid w:val="00E263A8"/>
    <w:rsid w:val="00E306D6"/>
    <w:rsid w:val="00E33931"/>
    <w:rsid w:val="00E42E1F"/>
    <w:rsid w:val="00E45457"/>
    <w:rsid w:val="00E46C19"/>
    <w:rsid w:val="00E53787"/>
    <w:rsid w:val="00E53EB7"/>
    <w:rsid w:val="00E576DA"/>
    <w:rsid w:val="00E61AED"/>
    <w:rsid w:val="00E62FAC"/>
    <w:rsid w:val="00E64013"/>
    <w:rsid w:val="00E65765"/>
    <w:rsid w:val="00E65E3E"/>
    <w:rsid w:val="00E66498"/>
    <w:rsid w:val="00E672FB"/>
    <w:rsid w:val="00E673ED"/>
    <w:rsid w:val="00E71E4E"/>
    <w:rsid w:val="00E71E9E"/>
    <w:rsid w:val="00E75262"/>
    <w:rsid w:val="00E76BA8"/>
    <w:rsid w:val="00E76E12"/>
    <w:rsid w:val="00E80463"/>
    <w:rsid w:val="00E8222E"/>
    <w:rsid w:val="00E83380"/>
    <w:rsid w:val="00E8750E"/>
    <w:rsid w:val="00E914CC"/>
    <w:rsid w:val="00E953CF"/>
    <w:rsid w:val="00EA6424"/>
    <w:rsid w:val="00EA7B12"/>
    <w:rsid w:val="00EB07CE"/>
    <w:rsid w:val="00EB0BAC"/>
    <w:rsid w:val="00EB187A"/>
    <w:rsid w:val="00EB1A9B"/>
    <w:rsid w:val="00EB1D92"/>
    <w:rsid w:val="00EB2FF8"/>
    <w:rsid w:val="00EB3C5D"/>
    <w:rsid w:val="00EB646A"/>
    <w:rsid w:val="00EB6CE5"/>
    <w:rsid w:val="00EC03DB"/>
    <w:rsid w:val="00EC1487"/>
    <w:rsid w:val="00EC289F"/>
    <w:rsid w:val="00EC4853"/>
    <w:rsid w:val="00EC5435"/>
    <w:rsid w:val="00EC64EA"/>
    <w:rsid w:val="00EC7571"/>
    <w:rsid w:val="00EC7737"/>
    <w:rsid w:val="00ED31FE"/>
    <w:rsid w:val="00ED4B3D"/>
    <w:rsid w:val="00ED4E53"/>
    <w:rsid w:val="00ED6625"/>
    <w:rsid w:val="00EE16E2"/>
    <w:rsid w:val="00EE197C"/>
    <w:rsid w:val="00EE3ACB"/>
    <w:rsid w:val="00EF109C"/>
    <w:rsid w:val="00EF3CC0"/>
    <w:rsid w:val="00EF3DE0"/>
    <w:rsid w:val="00EF6D38"/>
    <w:rsid w:val="00F002A8"/>
    <w:rsid w:val="00F00E4B"/>
    <w:rsid w:val="00F0349E"/>
    <w:rsid w:val="00F0596B"/>
    <w:rsid w:val="00F066A8"/>
    <w:rsid w:val="00F06C64"/>
    <w:rsid w:val="00F079AD"/>
    <w:rsid w:val="00F07F97"/>
    <w:rsid w:val="00F109C5"/>
    <w:rsid w:val="00F111CE"/>
    <w:rsid w:val="00F1223E"/>
    <w:rsid w:val="00F13304"/>
    <w:rsid w:val="00F13507"/>
    <w:rsid w:val="00F13E2D"/>
    <w:rsid w:val="00F15977"/>
    <w:rsid w:val="00F21030"/>
    <w:rsid w:val="00F2159F"/>
    <w:rsid w:val="00F23DC0"/>
    <w:rsid w:val="00F25BC7"/>
    <w:rsid w:val="00F26156"/>
    <w:rsid w:val="00F30AB5"/>
    <w:rsid w:val="00F34AAD"/>
    <w:rsid w:val="00F4281D"/>
    <w:rsid w:val="00F4336B"/>
    <w:rsid w:val="00F43991"/>
    <w:rsid w:val="00F45046"/>
    <w:rsid w:val="00F46AE8"/>
    <w:rsid w:val="00F47F13"/>
    <w:rsid w:val="00F512F2"/>
    <w:rsid w:val="00F53351"/>
    <w:rsid w:val="00F5410D"/>
    <w:rsid w:val="00F55B8E"/>
    <w:rsid w:val="00F56A7E"/>
    <w:rsid w:val="00F63D35"/>
    <w:rsid w:val="00F63F95"/>
    <w:rsid w:val="00F67E93"/>
    <w:rsid w:val="00F7619D"/>
    <w:rsid w:val="00F76206"/>
    <w:rsid w:val="00F76997"/>
    <w:rsid w:val="00F82389"/>
    <w:rsid w:val="00F831E0"/>
    <w:rsid w:val="00F84C11"/>
    <w:rsid w:val="00F9121B"/>
    <w:rsid w:val="00F926B8"/>
    <w:rsid w:val="00F92AFB"/>
    <w:rsid w:val="00F96754"/>
    <w:rsid w:val="00FA1118"/>
    <w:rsid w:val="00FA1A06"/>
    <w:rsid w:val="00FA25C5"/>
    <w:rsid w:val="00FA476A"/>
    <w:rsid w:val="00FA4A93"/>
    <w:rsid w:val="00FA5482"/>
    <w:rsid w:val="00FA7184"/>
    <w:rsid w:val="00FB021B"/>
    <w:rsid w:val="00FB0C4F"/>
    <w:rsid w:val="00FB139A"/>
    <w:rsid w:val="00FB13DB"/>
    <w:rsid w:val="00FB1A1D"/>
    <w:rsid w:val="00FB2778"/>
    <w:rsid w:val="00FB4A2B"/>
    <w:rsid w:val="00FB7712"/>
    <w:rsid w:val="00FC088D"/>
    <w:rsid w:val="00FC369F"/>
    <w:rsid w:val="00FC5BD9"/>
    <w:rsid w:val="00FC7CEE"/>
    <w:rsid w:val="00FD02DD"/>
    <w:rsid w:val="00FD189A"/>
    <w:rsid w:val="00FD33D4"/>
    <w:rsid w:val="00FD7268"/>
    <w:rsid w:val="00FD73EF"/>
    <w:rsid w:val="00FE1648"/>
    <w:rsid w:val="00FE25BC"/>
    <w:rsid w:val="00FE2AFB"/>
    <w:rsid w:val="00FE3BF7"/>
    <w:rsid w:val="00FE4ACC"/>
    <w:rsid w:val="00FE5B17"/>
    <w:rsid w:val="00FF0296"/>
    <w:rsid w:val="00FF2AA3"/>
    <w:rsid w:val="00FF3724"/>
    <w:rsid w:val="00FF3AC2"/>
    <w:rsid w:val="00FF76EF"/>
    <w:rsid w:val="017D4281"/>
    <w:rsid w:val="03E508C3"/>
    <w:rsid w:val="047632C0"/>
    <w:rsid w:val="06782CB2"/>
    <w:rsid w:val="07257757"/>
    <w:rsid w:val="076C0C55"/>
    <w:rsid w:val="08E35D68"/>
    <w:rsid w:val="0A325A62"/>
    <w:rsid w:val="0CEF264C"/>
    <w:rsid w:val="0DF86DAE"/>
    <w:rsid w:val="0F906F06"/>
    <w:rsid w:val="100C4A16"/>
    <w:rsid w:val="12FC720D"/>
    <w:rsid w:val="135D0EE6"/>
    <w:rsid w:val="14591DCB"/>
    <w:rsid w:val="14792610"/>
    <w:rsid w:val="14CC28DF"/>
    <w:rsid w:val="14CE1A70"/>
    <w:rsid w:val="15775F47"/>
    <w:rsid w:val="17E61685"/>
    <w:rsid w:val="180E2B86"/>
    <w:rsid w:val="1CA55ACB"/>
    <w:rsid w:val="22502B6A"/>
    <w:rsid w:val="22BA3402"/>
    <w:rsid w:val="23D345D6"/>
    <w:rsid w:val="245145C9"/>
    <w:rsid w:val="26C50880"/>
    <w:rsid w:val="27E46204"/>
    <w:rsid w:val="2A595DEB"/>
    <w:rsid w:val="2BC61AD7"/>
    <w:rsid w:val="2CCD3855"/>
    <w:rsid w:val="2E06377C"/>
    <w:rsid w:val="2E821547"/>
    <w:rsid w:val="2FD504B8"/>
    <w:rsid w:val="2FF82F6E"/>
    <w:rsid w:val="30B74818"/>
    <w:rsid w:val="31C53BCD"/>
    <w:rsid w:val="31F72253"/>
    <w:rsid w:val="332241E4"/>
    <w:rsid w:val="33606515"/>
    <w:rsid w:val="35DE5C42"/>
    <w:rsid w:val="35F958B3"/>
    <w:rsid w:val="365B6FB1"/>
    <w:rsid w:val="38386F9A"/>
    <w:rsid w:val="38C84307"/>
    <w:rsid w:val="3BF25543"/>
    <w:rsid w:val="3D070CD1"/>
    <w:rsid w:val="3E934663"/>
    <w:rsid w:val="3ECD1433"/>
    <w:rsid w:val="40171818"/>
    <w:rsid w:val="43AA1F44"/>
    <w:rsid w:val="441C2A62"/>
    <w:rsid w:val="447140BE"/>
    <w:rsid w:val="45394259"/>
    <w:rsid w:val="46B2629D"/>
    <w:rsid w:val="47F33BD4"/>
    <w:rsid w:val="49017898"/>
    <w:rsid w:val="4AD00786"/>
    <w:rsid w:val="4B99374C"/>
    <w:rsid w:val="4C025735"/>
    <w:rsid w:val="4CA14D5B"/>
    <w:rsid w:val="4D1552C5"/>
    <w:rsid w:val="4F0E2468"/>
    <w:rsid w:val="4F3A1A37"/>
    <w:rsid w:val="50AC6367"/>
    <w:rsid w:val="525A79B1"/>
    <w:rsid w:val="527F38D0"/>
    <w:rsid w:val="532960A9"/>
    <w:rsid w:val="53884A7A"/>
    <w:rsid w:val="55B715A5"/>
    <w:rsid w:val="58A96250"/>
    <w:rsid w:val="58ED1F4A"/>
    <w:rsid w:val="5D320A35"/>
    <w:rsid w:val="5EAB221B"/>
    <w:rsid w:val="5FE8382A"/>
    <w:rsid w:val="627F685F"/>
    <w:rsid w:val="628A27D2"/>
    <w:rsid w:val="62E9150A"/>
    <w:rsid w:val="646C2364"/>
    <w:rsid w:val="64CD7A12"/>
    <w:rsid w:val="687A0B9D"/>
    <w:rsid w:val="68CA259A"/>
    <w:rsid w:val="69E42512"/>
    <w:rsid w:val="6A652585"/>
    <w:rsid w:val="6AE224ED"/>
    <w:rsid w:val="6B072438"/>
    <w:rsid w:val="6D577108"/>
    <w:rsid w:val="6DB24C30"/>
    <w:rsid w:val="6EE96BBA"/>
    <w:rsid w:val="6F266605"/>
    <w:rsid w:val="6F9D08E8"/>
    <w:rsid w:val="704B6ADF"/>
    <w:rsid w:val="70D8007C"/>
    <w:rsid w:val="733157CF"/>
    <w:rsid w:val="73873137"/>
    <w:rsid w:val="7456514B"/>
    <w:rsid w:val="75847040"/>
    <w:rsid w:val="77EA7DA7"/>
    <w:rsid w:val="780A0E7F"/>
    <w:rsid w:val="78743CFB"/>
    <w:rsid w:val="792045E2"/>
    <w:rsid w:val="7BB56C05"/>
    <w:rsid w:val="7D18549E"/>
    <w:rsid w:val="7D1E6C50"/>
    <w:rsid w:val="7D7B63EE"/>
    <w:rsid w:val="7E9C4590"/>
    <w:rsid w:val="7F3C1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rPr>
      <w:sz w:val="20"/>
    </w:rPr>
  </w:style>
  <w:style w:type="paragraph" w:styleId="3">
    <w:name w:val="Balloon Text"/>
    <w:basedOn w:val="1"/>
    <w:link w:val="12"/>
    <w:semiHidden/>
    <w:qFormat/>
    <w:uiPriority w:val="99"/>
    <w:rPr>
      <w:sz w:val="2"/>
    </w:rPr>
  </w:style>
  <w:style w:type="paragraph" w:styleId="4">
    <w:name w:val="footer"/>
    <w:basedOn w:val="1"/>
    <w:link w:val="13"/>
    <w:qFormat/>
    <w:uiPriority w:val="99"/>
    <w:pPr>
      <w:tabs>
        <w:tab w:val="center" w:pos="4153"/>
        <w:tab w:val="right" w:pos="8306"/>
      </w:tabs>
      <w:snapToGrid w:val="0"/>
      <w:spacing w:line="240" w:lineRule="atLeast"/>
      <w:jc w:val="left"/>
    </w:pPr>
    <w:rPr>
      <w:sz w:val="18"/>
    </w:rPr>
  </w:style>
  <w:style w:type="paragraph" w:styleId="5">
    <w:name w:val="header"/>
    <w:basedOn w:val="1"/>
    <w:link w:val="14"/>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6">
    <w:name w:val="Normal (Web)"/>
    <w:basedOn w:val="1"/>
    <w:qFormat/>
    <w:uiPriority w:val="99"/>
    <w:pPr>
      <w:spacing w:before="100" w:beforeAutospacing="1" w:after="100" w:afterAutospacing="1" w:line="240" w:lineRule="auto"/>
      <w:ind w:firstLine="0"/>
      <w:jc w:val="left"/>
      <w:textAlignment w:val="auto"/>
    </w:pPr>
    <w:rPr>
      <w:rFonts w:ascii="宋体" w:hAnsi="宋体" w:cs="宋体"/>
      <w:color w:val="auto"/>
      <w:sz w:val="24"/>
      <w:szCs w:val="24"/>
    </w:rPr>
  </w:style>
  <w:style w:type="character" w:styleId="8">
    <w:name w:val="Strong"/>
    <w:qFormat/>
    <w:uiPriority w:val="99"/>
    <w:rPr>
      <w:rFonts w:cs="Times New Roman"/>
      <w:b/>
    </w:rPr>
  </w:style>
  <w:style w:type="character" w:styleId="9">
    <w:name w:val="page number"/>
    <w:qFormat/>
    <w:uiPriority w:val="99"/>
    <w:rPr>
      <w:rFonts w:cs="Times New Roman"/>
    </w:rPr>
  </w:style>
  <w:style w:type="character" w:customStyle="1" w:styleId="11">
    <w:name w:val="日期 Char"/>
    <w:link w:val="2"/>
    <w:semiHidden/>
    <w:qFormat/>
    <w:locked/>
    <w:uiPriority w:val="99"/>
    <w:rPr>
      <w:color w:val="000000"/>
      <w:kern w:val="0"/>
      <w:sz w:val="20"/>
      <w:u w:color="000000"/>
    </w:rPr>
  </w:style>
  <w:style w:type="character" w:customStyle="1" w:styleId="12">
    <w:name w:val="批注框文本 Char"/>
    <w:link w:val="3"/>
    <w:semiHidden/>
    <w:qFormat/>
    <w:locked/>
    <w:uiPriority w:val="99"/>
    <w:rPr>
      <w:color w:val="000000"/>
      <w:kern w:val="0"/>
      <w:sz w:val="2"/>
      <w:u w:color="000000"/>
    </w:rPr>
  </w:style>
  <w:style w:type="character" w:customStyle="1" w:styleId="13">
    <w:name w:val="页脚 Char"/>
    <w:link w:val="4"/>
    <w:qFormat/>
    <w:locked/>
    <w:uiPriority w:val="99"/>
    <w:rPr>
      <w:color w:val="000000"/>
      <w:sz w:val="18"/>
      <w:u w:color="000000"/>
    </w:rPr>
  </w:style>
  <w:style w:type="character" w:customStyle="1" w:styleId="14">
    <w:name w:val="页眉 Char"/>
    <w:link w:val="5"/>
    <w:qFormat/>
    <w:locked/>
    <w:uiPriority w:val="99"/>
    <w:rPr>
      <w:color w:val="000000"/>
      <w:sz w:val="18"/>
      <w:u w:color="000000"/>
    </w:rPr>
  </w:style>
  <w:style w:type="character" w:customStyle="1" w:styleId="15">
    <w:name w:val="链接"/>
    <w:qFormat/>
    <w:uiPriority w:val="99"/>
    <w:rPr>
      <w:rFonts w:ascii="Times New Roman" w:eastAsia="宋体"/>
      <w:color w:val="0000FF"/>
      <w:sz w:val="21"/>
      <w:u w:val="single" w:color="0000FF"/>
      <w:vertAlign w:val="baseline"/>
      <w:lang w:val="en-US" w:eastAsia="zh-CN"/>
    </w:rPr>
  </w:style>
  <w:style w:type="paragraph" w:styleId="16">
    <w:name w:val="List Paragraph"/>
    <w:basedOn w:val="1"/>
    <w:qFormat/>
    <w:uiPriority w:val="99"/>
    <w:pPr>
      <w:ind w:firstLine="420" w:firstLineChars="200"/>
    </w:pPr>
  </w:style>
  <w:style w:type="paragraph" w:customStyle="1" w:styleId="17">
    <w:name w:val="Char"/>
    <w:basedOn w:val="1"/>
    <w:qFormat/>
    <w:uiPriority w:val="99"/>
    <w:pPr>
      <w:widowControl w:val="0"/>
      <w:spacing w:line="240" w:lineRule="auto"/>
      <w:ind w:firstLine="0"/>
      <w:textAlignment w:val="auto"/>
    </w:pPr>
    <w:rPr>
      <w:color w:val="auto"/>
      <w:kern w:val="2"/>
      <w:szCs w:val="24"/>
    </w:rPr>
  </w:style>
  <w:style w:type="paragraph" w:styleId="18">
    <w:name w:val="No Spacing"/>
    <w:link w:val="19"/>
    <w:qFormat/>
    <w:uiPriority w:val="99"/>
    <w:rPr>
      <w:rFonts w:ascii="Calibri" w:hAnsi="Calibri" w:eastAsia="宋体" w:cs="Times New Roman"/>
      <w:sz w:val="22"/>
      <w:lang w:val="en-US" w:eastAsia="zh-CN" w:bidi="ar-SA"/>
    </w:rPr>
  </w:style>
  <w:style w:type="character" w:customStyle="1" w:styleId="19">
    <w:name w:val="无间隔 Char"/>
    <w:link w:val="18"/>
    <w:qFormat/>
    <w:locked/>
    <w:uiPriority w:val="99"/>
    <w:rPr>
      <w:rFonts w:ascii="Calibri" w:hAnsi="Calibri"/>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61C5E-A76E-41E0-849C-12913C93D733}">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1686</Words>
  <Characters>2120</Characters>
  <Lines>17</Lines>
  <Paragraphs>4</Paragraphs>
  <TotalTime>63</TotalTime>
  <ScaleCrop>false</ScaleCrop>
  <LinksUpToDate>false</LinksUpToDate>
  <CharactersWithSpaces>2138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2015-11-12T08:49:00Z</dcterms:created>
  <dc:creator>Lenovo User</dc:creator>
  <cp:lastModifiedBy>崋</cp:lastModifiedBy>
  <cp:lastPrinted>2019-12-18T08:31:00Z</cp:lastPrinted>
  <dcterms:modified xsi:type="dcterms:W3CDTF">2023-05-11T14:30:21Z</dcterms:modified>
  <dc:title>1、各业务科应继续督促预算单位对历年经常性和专项的结转和结余资金进行明细核算和逐项分类清查</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F078EE0C614B40AB879A2A4E03CC3AAB_12</vt:lpwstr>
  </property>
</Properties>
</file>