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spacing w:line="560" w:lineRule="exact"/>
        <w:ind w:right="90" w:rightChars="43" w:firstLine="0"/>
        <w:rPr>
          <w:rFonts w:ascii="方正小标宋简体" w:hAnsi="仿宋" w:eastAsia="方正小标宋简体"/>
          <w:sz w:val="44"/>
          <w:szCs w:val="44"/>
        </w:rPr>
      </w:pPr>
      <w:bookmarkStart w:id="0" w:name="_GoBack"/>
      <w:bookmarkEnd w:id="0"/>
    </w:p>
    <w:p>
      <w:pPr>
        <w:tabs>
          <w:tab w:val="left" w:pos="8640"/>
        </w:tabs>
        <w:spacing w:line="560" w:lineRule="exact"/>
        <w:ind w:right="90" w:rightChars="43" w:firstLine="1100" w:firstLineChars="250"/>
        <w:rPr>
          <w:rFonts w:ascii="黑体" w:hAnsi="黑体" w:eastAsia="黑体"/>
          <w:sz w:val="44"/>
          <w:szCs w:val="44"/>
        </w:rPr>
      </w:pPr>
      <w:r>
        <w:rPr>
          <w:rFonts w:hint="eastAsia" w:ascii="黑体" w:hAnsi="黑体" w:eastAsia="黑体"/>
          <w:sz w:val="44"/>
          <w:szCs w:val="44"/>
        </w:rPr>
        <w:t>关于</w:t>
      </w:r>
      <w:r>
        <w:rPr>
          <w:rFonts w:hint="eastAsia" w:ascii="黑体" w:hAnsi="黑体" w:eastAsia="黑体"/>
          <w:sz w:val="44"/>
          <w:szCs w:val="44"/>
          <w:lang w:eastAsia="zh-CN"/>
        </w:rPr>
        <w:t>202</w:t>
      </w:r>
      <w:r>
        <w:rPr>
          <w:rFonts w:hint="eastAsia" w:ascii="黑体" w:hAnsi="黑体" w:eastAsia="黑体"/>
          <w:sz w:val="44"/>
          <w:szCs w:val="44"/>
          <w:lang w:val="en-US" w:eastAsia="zh-CN"/>
        </w:rPr>
        <w:t>1</w:t>
      </w:r>
      <w:r>
        <w:rPr>
          <w:rFonts w:hint="eastAsia" w:ascii="黑体" w:hAnsi="黑体" w:eastAsia="黑体"/>
          <w:sz w:val="44"/>
          <w:szCs w:val="44"/>
        </w:rPr>
        <w:t>年县财政预算调整的报告</w:t>
      </w:r>
    </w:p>
    <w:p>
      <w:pPr>
        <w:tabs>
          <w:tab w:val="left" w:pos="8640"/>
        </w:tabs>
        <w:spacing w:line="560" w:lineRule="exact"/>
        <w:ind w:right="90" w:rightChars="43" w:firstLine="2240" w:firstLineChars="800"/>
        <w:rPr>
          <w:rFonts w:hint="eastAsia"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202</w:t>
      </w:r>
      <w:r>
        <w:rPr>
          <w:rFonts w:hint="eastAsia" w:ascii="楷体" w:hAnsi="楷体" w:eastAsia="楷体"/>
          <w:sz w:val="28"/>
          <w:szCs w:val="28"/>
          <w:lang w:val="en-US" w:eastAsia="zh-CN"/>
        </w:rPr>
        <w:t>1</w:t>
      </w:r>
      <w:r>
        <w:rPr>
          <w:rFonts w:hint="eastAsia" w:ascii="楷体" w:hAnsi="楷体" w:eastAsia="楷体"/>
          <w:sz w:val="28"/>
          <w:szCs w:val="28"/>
        </w:rPr>
        <w:t>年</w:t>
      </w:r>
      <w:r>
        <w:rPr>
          <w:rFonts w:hint="eastAsia" w:ascii="楷体" w:hAnsi="楷体" w:eastAsia="楷体"/>
          <w:sz w:val="28"/>
          <w:szCs w:val="28"/>
          <w:lang w:val="en-US" w:eastAsia="zh-CN"/>
        </w:rPr>
        <w:t xml:space="preserve"> 12</w:t>
      </w:r>
      <w:r>
        <w:rPr>
          <w:rFonts w:hint="eastAsia" w:ascii="楷体" w:hAnsi="楷体" w:eastAsia="楷体"/>
          <w:sz w:val="28"/>
          <w:szCs w:val="28"/>
        </w:rPr>
        <w:t>月</w:t>
      </w:r>
      <w:r>
        <w:rPr>
          <w:rFonts w:hint="eastAsia" w:ascii="楷体" w:hAnsi="楷体" w:eastAsia="楷体"/>
          <w:sz w:val="28"/>
          <w:szCs w:val="28"/>
          <w:lang w:val="en-US" w:eastAsia="zh-CN"/>
        </w:rPr>
        <w:t xml:space="preserve"> 15</w:t>
      </w:r>
      <w:r>
        <w:rPr>
          <w:rFonts w:hint="eastAsia" w:ascii="楷体" w:hAnsi="楷体" w:eastAsia="楷体"/>
          <w:sz w:val="28"/>
          <w:szCs w:val="28"/>
        </w:rPr>
        <w:t>日在闽侯县</w:t>
      </w:r>
    </w:p>
    <w:p>
      <w:pPr>
        <w:tabs>
          <w:tab w:val="left" w:pos="8640"/>
        </w:tabs>
        <w:spacing w:line="560" w:lineRule="exact"/>
        <w:ind w:right="90" w:rightChars="43" w:firstLine="1960" w:firstLineChars="700"/>
        <w:rPr>
          <w:rFonts w:ascii="楷体" w:hAnsi="楷体" w:eastAsia="楷体"/>
          <w:sz w:val="28"/>
          <w:szCs w:val="28"/>
        </w:rPr>
      </w:pPr>
      <w:r>
        <w:rPr>
          <w:rFonts w:hint="eastAsia" w:ascii="楷体" w:hAnsi="楷体" w:eastAsia="楷体"/>
          <w:sz w:val="28"/>
          <w:szCs w:val="28"/>
        </w:rPr>
        <w:t>第十</w:t>
      </w:r>
      <w:r>
        <w:rPr>
          <w:rFonts w:hint="eastAsia" w:ascii="楷体" w:hAnsi="楷体" w:eastAsia="楷体"/>
          <w:sz w:val="28"/>
          <w:szCs w:val="28"/>
          <w:lang w:eastAsia="zh-CN"/>
        </w:rPr>
        <w:t>八</w:t>
      </w:r>
      <w:r>
        <w:rPr>
          <w:rFonts w:hint="eastAsia" w:ascii="楷体" w:hAnsi="楷体" w:eastAsia="楷体"/>
          <w:sz w:val="28"/>
          <w:szCs w:val="28"/>
        </w:rPr>
        <w:t>届人大常委会第</w:t>
      </w:r>
      <w:r>
        <w:rPr>
          <w:rFonts w:hint="eastAsia" w:ascii="楷体" w:hAnsi="楷体" w:eastAsia="楷体"/>
          <w:sz w:val="28"/>
          <w:szCs w:val="28"/>
          <w:lang w:val="en-US" w:eastAsia="zh-CN"/>
        </w:rPr>
        <w:t>46</w:t>
      </w:r>
      <w:r>
        <w:rPr>
          <w:rFonts w:hint="eastAsia" w:ascii="楷体" w:hAnsi="楷体" w:eastAsia="楷体"/>
          <w:sz w:val="28"/>
          <w:szCs w:val="28"/>
        </w:rPr>
        <w:t>次会议上）</w:t>
      </w:r>
    </w:p>
    <w:p>
      <w:pPr>
        <w:tabs>
          <w:tab w:val="left" w:pos="8640"/>
        </w:tabs>
        <w:spacing w:line="560" w:lineRule="exact"/>
        <w:ind w:right="90" w:rightChars="43" w:firstLine="2345" w:firstLineChars="730"/>
        <w:rPr>
          <w:rFonts w:ascii="楷体" w:hAnsi="楷体" w:eastAsia="楷体"/>
          <w:b/>
          <w:sz w:val="32"/>
          <w:szCs w:val="32"/>
        </w:rPr>
      </w:pPr>
      <w:r>
        <w:rPr>
          <w:rFonts w:hint="eastAsia" w:ascii="楷体" w:hAnsi="楷体" w:eastAsia="楷体"/>
          <w:b/>
          <w:sz w:val="32"/>
          <w:szCs w:val="32"/>
        </w:rPr>
        <w:t>闽侯县财政局局长</w:t>
      </w:r>
      <w:r>
        <w:rPr>
          <w:rFonts w:ascii="楷体" w:hAnsi="楷体" w:eastAsia="楷体"/>
          <w:b/>
          <w:sz w:val="32"/>
          <w:szCs w:val="32"/>
        </w:rPr>
        <w:t xml:space="preserve"> </w:t>
      </w:r>
      <w:r>
        <w:rPr>
          <w:rFonts w:hint="eastAsia" w:ascii="楷体" w:hAnsi="楷体" w:eastAsia="楷体"/>
          <w:b/>
          <w:sz w:val="32"/>
          <w:szCs w:val="32"/>
        </w:rPr>
        <w:t>吴文钦</w:t>
      </w:r>
    </w:p>
    <w:p>
      <w:pPr>
        <w:tabs>
          <w:tab w:val="left" w:pos="8640"/>
        </w:tabs>
        <w:spacing w:line="560" w:lineRule="exact"/>
        <w:ind w:right="90" w:rightChars="43" w:firstLine="883" w:firstLineChars="200"/>
        <w:rPr>
          <w:rFonts w:ascii="方正小标宋简体" w:hAnsi="仿宋" w:eastAsia="方正小标宋简体"/>
          <w:b/>
          <w:sz w:val="44"/>
          <w:szCs w:val="44"/>
        </w:rPr>
      </w:pPr>
    </w:p>
    <w:p>
      <w:pPr>
        <w:tabs>
          <w:tab w:val="left" w:pos="8640"/>
        </w:tabs>
        <w:spacing w:line="560" w:lineRule="exact"/>
        <w:ind w:right="90" w:rightChars="43"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主任、各位副主任、委员:</w:t>
      </w:r>
    </w:p>
    <w:p>
      <w:pPr>
        <w:tabs>
          <w:tab w:val="left" w:pos="8640"/>
        </w:tabs>
        <w:spacing w:line="560" w:lineRule="exact"/>
        <w:ind w:right="90" w:rightChars="4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受县人民政府的委托，向县第十八届人大常委会第</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次会议报告</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年县财政预算调整方案，请予以审议。</w:t>
      </w:r>
    </w:p>
    <w:p>
      <w:pPr>
        <w:tabs>
          <w:tab w:val="left" w:pos="8640"/>
        </w:tabs>
        <w:spacing w:line="560" w:lineRule="exact"/>
        <w:ind w:right="90" w:rightChars="43" w:firstLine="800" w:firstLineChars="25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w:t>
      </w:r>
      <w:r>
        <w:rPr>
          <w:rFonts w:hint="eastAsia" w:ascii="黑体" w:hAnsi="黑体" w:eastAsia="黑体" w:cs="黑体"/>
          <w:b w:val="0"/>
          <w:bCs/>
          <w:color w:val="auto"/>
          <w:sz w:val="32"/>
          <w:szCs w:val="32"/>
          <w:lang w:eastAsia="zh-CN"/>
        </w:rPr>
        <w:t>202</w:t>
      </w:r>
      <w:r>
        <w:rPr>
          <w:rFonts w:hint="eastAsia" w:ascii="黑体" w:hAnsi="黑体" w:eastAsia="黑体" w:cs="黑体"/>
          <w:b w:val="0"/>
          <w:bCs/>
          <w:color w:val="auto"/>
          <w:sz w:val="32"/>
          <w:szCs w:val="32"/>
          <w:lang w:val="en-US" w:eastAsia="zh-CN"/>
        </w:rPr>
        <w:t>1</w:t>
      </w:r>
      <w:r>
        <w:rPr>
          <w:rFonts w:hint="eastAsia" w:ascii="黑体" w:hAnsi="黑体" w:eastAsia="黑体" w:cs="黑体"/>
          <w:b w:val="0"/>
          <w:bCs/>
          <w:color w:val="auto"/>
          <w:sz w:val="32"/>
          <w:szCs w:val="32"/>
        </w:rPr>
        <w:t>年年初</w:t>
      </w:r>
      <w:r>
        <w:rPr>
          <w:rFonts w:hint="eastAsia" w:ascii="黑体" w:hAnsi="黑体" w:eastAsia="黑体" w:cs="黑体"/>
          <w:b w:val="0"/>
          <w:bCs/>
          <w:color w:val="auto"/>
          <w:sz w:val="32"/>
          <w:szCs w:val="32"/>
          <w:lang w:eastAsia="zh-CN"/>
        </w:rPr>
        <w:t>县</w:t>
      </w:r>
      <w:r>
        <w:rPr>
          <w:rFonts w:hint="eastAsia" w:ascii="黑体" w:hAnsi="黑体" w:eastAsia="黑体" w:cs="黑体"/>
          <w:b w:val="0"/>
          <w:bCs/>
          <w:color w:val="auto"/>
          <w:sz w:val="32"/>
          <w:szCs w:val="32"/>
        </w:rPr>
        <w:t>人大批准全县（含高新区，下同）财政收支预算情况</w:t>
      </w:r>
    </w:p>
    <w:p>
      <w:pPr>
        <w:tabs>
          <w:tab w:val="left" w:pos="8640"/>
        </w:tabs>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（一）全县一般公共预算总收入为</w:t>
      </w:r>
      <w:r>
        <w:rPr>
          <w:rFonts w:hint="eastAsia" w:ascii="仿宋_GB2312" w:hAnsi="仿宋_GB2312" w:eastAsia="仿宋_GB2312" w:cs="仿宋_GB2312"/>
          <w:color w:val="auto"/>
          <w:sz w:val="32"/>
          <w:szCs w:val="32"/>
          <w:lang w:val="en-US" w:eastAsia="zh-CN"/>
        </w:rPr>
        <w:t>132.36</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103.83</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28.53</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%。其中：一般公共预算收入为</w:t>
      </w:r>
      <w:r>
        <w:rPr>
          <w:rFonts w:hint="eastAsia" w:ascii="仿宋_GB2312" w:hAnsi="仿宋_GB2312" w:eastAsia="仿宋_GB2312" w:cs="仿宋_GB2312"/>
          <w:color w:val="auto"/>
          <w:sz w:val="32"/>
          <w:szCs w:val="32"/>
          <w:lang w:val="en-US" w:eastAsia="zh-CN"/>
        </w:rPr>
        <w:t>82.05</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63.42</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18.63</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%。一般公共预算支出为</w:t>
      </w:r>
      <w:r>
        <w:rPr>
          <w:rFonts w:hint="eastAsia" w:ascii="仿宋_GB2312" w:hAnsi="仿宋_GB2312" w:eastAsia="仿宋_GB2312" w:cs="仿宋_GB2312"/>
          <w:color w:val="auto"/>
          <w:sz w:val="32"/>
          <w:szCs w:val="32"/>
          <w:lang w:val="en-US" w:eastAsia="zh-CN"/>
        </w:rPr>
        <w:t>90.17</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69.37</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亿元）。</w:t>
      </w:r>
    </w:p>
    <w:p>
      <w:pPr>
        <w:tabs>
          <w:tab w:val="left" w:pos="8640"/>
        </w:tabs>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（二）全县政府性基金收入为</w:t>
      </w:r>
      <w:r>
        <w:rPr>
          <w:rFonts w:hint="eastAsia" w:ascii="仿宋_GB2312" w:hAnsi="仿宋_GB2312" w:eastAsia="仿宋_GB2312" w:cs="仿宋_GB2312"/>
          <w:color w:val="auto"/>
          <w:sz w:val="32"/>
          <w:szCs w:val="32"/>
          <w:lang w:val="en-US" w:eastAsia="zh-CN"/>
        </w:rPr>
        <w:t>191.78</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150</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41.78</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36.3</w:t>
      </w:r>
      <w:r>
        <w:rPr>
          <w:rFonts w:hint="eastAsia" w:ascii="仿宋_GB2312" w:hAnsi="仿宋_GB2312" w:eastAsia="仿宋_GB2312" w:cs="仿宋_GB2312"/>
          <w:color w:val="auto"/>
          <w:sz w:val="32"/>
          <w:szCs w:val="32"/>
        </w:rPr>
        <w:t>%，其中：土地基金收入</w:t>
      </w:r>
      <w:r>
        <w:rPr>
          <w:rFonts w:hint="eastAsia" w:ascii="仿宋_GB2312" w:hAnsi="仿宋_GB2312" w:eastAsia="仿宋_GB2312" w:cs="仿宋_GB2312"/>
          <w:color w:val="auto"/>
          <w:sz w:val="32"/>
          <w:szCs w:val="32"/>
          <w:lang w:val="en-US" w:eastAsia="zh-CN"/>
        </w:rPr>
        <w:t>190.53</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149</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41.53</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35.47</w:t>
      </w:r>
      <w:r>
        <w:rPr>
          <w:rFonts w:hint="eastAsia" w:ascii="仿宋_GB2312" w:hAnsi="仿宋_GB2312" w:eastAsia="仿宋_GB2312" w:cs="仿宋_GB2312"/>
          <w:color w:val="auto"/>
          <w:sz w:val="32"/>
          <w:szCs w:val="32"/>
        </w:rPr>
        <w:t>%。</w:t>
      </w:r>
    </w:p>
    <w:p>
      <w:pPr>
        <w:tabs>
          <w:tab w:val="left" w:pos="8640"/>
        </w:tabs>
        <w:spacing w:line="600" w:lineRule="exact"/>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政府性基金支出为</w:t>
      </w:r>
      <w:r>
        <w:rPr>
          <w:rFonts w:hint="eastAsia" w:ascii="仿宋_GB2312" w:hAnsi="仿宋_GB2312" w:eastAsia="仿宋_GB2312" w:cs="仿宋_GB2312"/>
          <w:color w:val="auto"/>
          <w:sz w:val="32"/>
          <w:szCs w:val="32"/>
          <w:lang w:val="en-US" w:eastAsia="zh-CN"/>
        </w:rPr>
        <w:t>195.08</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150</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45.08</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45.21</w:t>
      </w:r>
      <w:r>
        <w:rPr>
          <w:rFonts w:hint="eastAsia" w:ascii="仿宋_GB2312" w:hAnsi="仿宋_GB2312" w:eastAsia="仿宋_GB2312" w:cs="仿宋_GB2312"/>
          <w:color w:val="auto"/>
          <w:sz w:val="32"/>
          <w:szCs w:val="32"/>
        </w:rPr>
        <w:t>%，其中：土地基金支出</w:t>
      </w:r>
      <w:r>
        <w:rPr>
          <w:rFonts w:hint="eastAsia" w:ascii="仿宋_GB2312" w:hAnsi="仿宋_GB2312" w:eastAsia="仿宋_GB2312" w:cs="仿宋_GB2312"/>
          <w:color w:val="auto"/>
          <w:sz w:val="32"/>
          <w:szCs w:val="32"/>
          <w:lang w:val="en-US" w:eastAsia="zh-CN"/>
        </w:rPr>
        <w:t>193.8</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149</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44.8</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37.11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sz w:val="32"/>
          <w:szCs w:val="32"/>
        </w:rPr>
        <w:t>县本级国有资本经营收入预算为151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万元，支出151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w:t>
      </w:r>
    </w:p>
    <w:p>
      <w:pPr>
        <w:tabs>
          <w:tab w:val="left" w:pos="8640"/>
        </w:tabs>
        <w:spacing w:line="600" w:lineRule="exact"/>
        <w:ind w:left="0" w:leftChars="0" w:firstLine="640" w:firstLineChars="200"/>
        <w:rPr>
          <w:rFonts w:ascii="仿宋" w:hAnsi="仿宋" w:eastAsia="仿宋"/>
          <w:color w:val="auto"/>
          <w:sz w:val="32"/>
          <w:szCs w:val="32"/>
        </w:rPr>
      </w:pPr>
      <w:r>
        <w:rPr>
          <w:rFonts w:hint="eastAsia" w:ascii="黑体" w:hAnsi="黑体" w:eastAsia="黑体" w:cs="黑体"/>
          <w:b w:val="0"/>
          <w:bCs/>
          <w:color w:val="auto"/>
          <w:sz w:val="32"/>
          <w:szCs w:val="32"/>
        </w:rPr>
        <w:t>二、</w:t>
      </w:r>
      <w:r>
        <w:rPr>
          <w:rFonts w:hint="eastAsia" w:ascii="黑体" w:hAnsi="黑体" w:eastAsia="黑体" w:cs="黑体"/>
          <w:b w:val="0"/>
          <w:bCs/>
          <w:color w:val="auto"/>
          <w:sz w:val="32"/>
          <w:szCs w:val="32"/>
          <w:lang w:eastAsia="zh-CN"/>
        </w:rPr>
        <w:t>202</w:t>
      </w:r>
      <w:r>
        <w:rPr>
          <w:rFonts w:hint="eastAsia" w:ascii="黑体" w:hAnsi="黑体" w:eastAsia="黑体" w:cs="黑体"/>
          <w:b w:val="0"/>
          <w:bCs/>
          <w:color w:val="auto"/>
          <w:sz w:val="32"/>
          <w:szCs w:val="32"/>
          <w:lang w:val="en-US" w:eastAsia="zh-CN"/>
        </w:rPr>
        <w:t>1</w:t>
      </w:r>
      <w:r>
        <w:rPr>
          <w:rFonts w:hint="eastAsia" w:ascii="黑体" w:hAnsi="黑体" w:eastAsia="黑体" w:cs="黑体"/>
          <w:b w:val="0"/>
          <w:bCs/>
          <w:color w:val="auto"/>
          <w:sz w:val="32"/>
          <w:szCs w:val="32"/>
        </w:rPr>
        <w:t>年财政收入预算调整</w:t>
      </w:r>
    </w:p>
    <w:p>
      <w:pPr>
        <w:tabs>
          <w:tab w:val="left" w:pos="8640"/>
        </w:tabs>
        <w:spacing w:line="600" w:lineRule="exact"/>
        <w:ind w:firstLine="800" w:firstLineChars="25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(一)全县一般公共预算总收入预算调整为</w:t>
      </w:r>
      <w:r>
        <w:rPr>
          <w:rFonts w:hint="eastAsia" w:ascii="仿宋_GB2312" w:hAnsi="仿宋_GB2312" w:eastAsia="仿宋_GB2312" w:cs="仿宋_GB2312"/>
          <w:color w:val="auto"/>
          <w:sz w:val="32"/>
          <w:szCs w:val="32"/>
          <w:lang w:val="en-US" w:eastAsia="zh-CN"/>
        </w:rPr>
        <w:t>143.88</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 xml:space="preserve"> 114.66</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29.22</w:t>
      </w:r>
      <w:r>
        <w:rPr>
          <w:rFonts w:hint="eastAsia" w:ascii="仿宋_GB2312" w:hAnsi="仿宋_GB2312" w:eastAsia="仿宋_GB2312" w:cs="仿宋_GB2312"/>
          <w:color w:val="auto"/>
          <w:sz w:val="32"/>
          <w:szCs w:val="32"/>
        </w:rPr>
        <w:t>亿元），调</w:t>
      </w:r>
      <w:r>
        <w:rPr>
          <w:rFonts w:hint="eastAsia" w:ascii="仿宋_GB2312" w:hAnsi="仿宋_GB2312" w:eastAsia="仿宋_GB2312" w:cs="仿宋_GB2312"/>
          <w:color w:val="auto"/>
          <w:sz w:val="32"/>
          <w:szCs w:val="32"/>
          <w:lang w:eastAsia="zh-CN"/>
        </w:rPr>
        <w:t>增</w:t>
      </w:r>
      <w:r>
        <w:rPr>
          <w:rFonts w:hint="eastAsia" w:ascii="仿宋_GB2312" w:hAnsi="仿宋_GB2312" w:eastAsia="仿宋_GB2312" w:cs="仿宋_GB2312"/>
          <w:color w:val="auto"/>
          <w:sz w:val="32"/>
          <w:szCs w:val="32"/>
          <w:lang w:val="en-US" w:eastAsia="zh-CN"/>
        </w:rPr>
        <w:t>11.52</w:t>
      </w:r>
      <w:r>
        <w:rPr>
          <w:rFonts w:hint="eastAsia" w:ascii="仿宋_GB2312" w:hAnsi="仿宋_GB2312" w:eastAsia="仿宋_GB2312" w:cs="仿宋_GB2312"/>
          <w:color w:val="auto"/>
          <w:sz w:val="32"/>
          <w:szCs w:val="32"/>
        </w:rPr>
        <w:t>亿元（县本级调</w:t>
      </w:r>
      <w:r>
        <w:rPr>
          <w:rFonts w:hint="eastAsia" w:ascii="仿宋_GB2312" w:hAnsi="仿宋_GB2312" w:eastAsia="仿宋_GB2312" w:cs="仿宋_GB2312"/>
          <w:color w:val="auto"/>
          <w:sz w:val="32"/>
          <w:szCs w:val="32"/>
          <w:lang w:eastAsia="zh-CN"/>
        </w:rPr>
        <w:t>增</w:t>
      </w:r>
      <w:r>
        <w:rPr>
          <w:rFonts w:hint="eastAsia" w:ascii="仿宋_GB2312" w:hAnsi="仿宋_GB2312" w:eastAsia="仿宋_GB2312" w:cs="仿宋_GB2312"/>
          <w:color w:val="auto"/>
          <w:sz w:val="32"/>
          <w:szCs w:val="32"/>
          <w:lang w:val="en-US" w:eastAsia="zh-CN"/>
        </w:rPr>
        <w:t>10.83</w:t>
      </w:r>
      <w:r>
        <w:rPr>
          <w:rFonts w:hint="eastAsia" w:ascii="仿宋_GB2312" w:hAnsi="仿宋_GB2312" w:eastAsia="仿宋_GB2312" w:cs="仿宋_GB2312"/>
          <w:color w:val="auto"/>
          <w:sz w:val="32"/>
          <w:szCs w:val="32"/>
        </w:rPr>
        <w:t>亿元，高新区调</w:t>
      </w:r>
      <w:r>
        <w:rPr>
          <w:rFonts w:hint="eastAsia" w:ascii="仿宋_GB2312" w:hAnsi="仿宋_GB2312" w:eastAsia="仿宋_GB2312" w:cs="仿宋_GB2312"/>
          <w:color w:val="auto"/>
          <w:sz w:val="32"/>
          <w:szCs w:val="32"/>
          <w:lang w:eastAsia="zh-CN"/>
        </w:rPr>
        <w:t>增</w:t>
      </w:r>
      <w:r>
        <w:rPr>
          <w:rFonts w:hint="eastAsia" w:ascii="仿宋_GB2312" w:hAnsi="仿宋_GB2312" w:eastAsia="仿宋_GB2312" w:cs="仿宋_GB2312"/>
          <w:color w:val="auto"/>
          <w:sz w:val="32"/>
          <w:szCs w:val="32"/>
          <w:lang w:val="en-US" w:eastAsia="zh-CN"/>
        </w:rPr>
        <w:t>0.69</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,与年初预算相比增幅8.71%（县本级10.44%，高新区2.43%），</w:t>
      </w:r>
      <w:r>
        <w:rPr>
          <w:rFonts w:hint="eastAsia" w:ascii="仿宋_GB2312" w:hAnsi="仿宋_GB2312" w:eastAsia="仿宋_GB2312" w:cs="仿宋_GB2312"/>
          <w:b w:val="0"/>
          <w:bCs w:val="0"/>
          <w:color w:val="auto"/>
          <w:sz w:val="32"/>
          <w:szCs w:val="32"/>
          <w:lang w:val="en-US" w:eastAsia="zh-CN"/>
        </w:rPr>
        <w:t>与去年同期相比增幅14.15%（县本级15.96%，高新区7.58%）。</w:t>
      </w:r>
      <w:r>
        <w:rPr>
          <w:rFonts w:hint="eastAsia" w:ascii="仿宋_GB2312" w:hAnsi="仿宋_GB2312" w:eastAsia="仿宋_GB2312" w:cs="仿宋_GB2312"/>
          <w:b w:val="0"/>
          <w:bCs w:val="0"/>
          <w:color w:val="auto"/>
          <w:sz w:val="32"/>
          <w:szCs w:val="32"/>
        </w:rPr>
        <w:t>其中：全县一般公共预算收入预算调整为</w:t>
      </w:r>
      <w:r>
        <w:rPr>
          <w:rFonts w:hint="eastAsia" w:ascii="仿宋_GB2312" w:hAnsi="仿宋_GB2312" w:eastAsia="仿宋_GB2312" w:cs="仿宋_GB2312"/>
          <w:b w:val="0"/>
          <w:bCs w:val="0"/>
          <w:color w:val="auto"/>
          <w:sz w:val="32"/>
          <w:szCs w:val="32"/>
          <w:lang w:val="en-US" w:eastAsia="zh-CN"/>
        </w:rPr>
        <w:t>90.78</w:t>
      </w:r>
      <w:r>
        <w:rPr>
          <w:rFonts w:hint="eastAsia" w:ascii="仿宋_GB2312" w:hAnsi="仿宋_GB2312" w:eastAsia="仿宋_GB2312" w:cs="仿宋_GB2312"/>
          <w:b w:val="0"/>
          <w:bCs w:val="0"/>
          <w:color w:val="auto"/>
          <w:sz w:val="32"/>
          <w:szCs w:val="32"/>
        </w:rPr>
        <w:t>亿元（县本级</w:t>
      </w:r>
      <w:r>
        <w:rPr>
          <w:rFonts w:hint="eastAsia" w:ascii="仿宋_GB2312" w:hAnsi="仿宋_GB2312" w:eastAsia="仿宋_GB2312" w:cs="仿宋_GB2312"/>
          <w:b w:val="0"/>
          <w:bCs w:val="0"/>
          <w:color w:val="auto"/>
          <w:sz w:val="32"/>
          <w:szCs w:val="32"/>
          <w:lang w:val="en-US" w:eastAsia="zh-CN"/>
        </w:rPr>
        <w:t>71.27</w:t>
      </w:r>
      <w:r>
        <w:rPr>
          <w:rFonts w:hint="eastAsia" w:ascii="仿宋_GB2312" w:hAnsi="仿宋_GB2312" w:eastAsia="仿宋_GB2312" w:cs="仿宋_GB2312"/>
          <w:b w:val="0"/>
          <w:bCs w:val="0"/>
          <w:color w:val="auto"/>
          <w:sz w:val="32"/>
          <w:szCs w:val="32"/>
        </w:rPr>
        <w:t>亿元，高新区</w:t>
      </w:r>
      <w:r>
        <w:rPr>
          <w:rFonts w:hint="eastAsia" w:ascii="仿宋_GB2312" w:hAnsi="仿宋_GB2312" w:eastAsia="仿宋_GB2312" w:cs="仿宋_GB2312"/>
          <w:b w:val="0"/>
          <w:bCs w:val="0"/>
          <w:color w:val="auto"/>
          <w:sz w:val="32"/>
          <w:szCs w:val="32"/>
          <w:lang w:val="en-US" w:eastAsia="zh-CN"/>
        </w:rPr>
        <w:t>19.51</w:t>
      </w:r>
      <w:r>
        <w:rPr>
          <w:rFonts w:hint="eastAsia" w:ascii="仿宋_GB2312" w:hAnsi="仿宋_GB2312" w:eastAsia="仿宋_GB2312" w:cs="仿宋_GB2312"/>
          <w:b w:val="0"/>
          <w:bCs w:val="0"/>
          <w:color w:val="auto"/>
          <w:sz w:val="32"/>
          <w:szCs w:val="32"/>
        </w:rPr>
        <w:t>亿元），调</w:t>
      </w:r>
      <w:r>
        <w:rPr>
          <w:rFonts w:hint="eastAsia" w:ascii="仿宋_GB2312" w:hAnsi="仿宋_GB2312" w:eastAsia="仿宋_GB2312" w:cs="仿宋_GB2312"/>
          <w:b w:val="0"/>
          <w:bCs w:val="0"/>
          <w:color w:val="auto"/>
          <w:sz w:val="32"/>
          <w:szCs w:val="32"/>
          <w:lang w:eastAsia="zh-CN"/>
        </w:rPr>
        <w:t>增</w:t>
      </w:r>
      <w:r>
        <w:rPr>
          <w:rFonts w:hint="eastAsia" w:ascii="仿宋_GB2312" w:hAnsi="仿宋_GB2312" w:eastAsia="仿宋_GB2312" w:cs="仿宋_GB2312"/>
          <w:b w:val="0"/>
          <w:bCs w:val="0"/>
          <w:color w:val="auto"/>
          <w:sz w:val="32"/>
          <w:szCs w:val="32"/>
          <w:lang w:val="en-US" w:eastAsia="zh-CN"/>
        </w:rPr>
        <w:t>8.73</w:t>
      </w:r>
      <w:r>
        <w:rPr>
          <w:rFonts w:hint="eastAsia" w:ascii="仿宋_GB2312" w:hAnsi="仿宋_GB2312" w:eastAsia="仿宋_GB2312" w:cs="仿宋_GB2312"/>
          <w:b w:val="0"/>
          <w:bCs w:val="0"/>
          <w:color w:val="auto"/>
          <w:sz w:val="32"/>
          <w:szCs w:val="32"/>
        </w:rPr>
        <w:t>亿元（县本级调</w:t>
      </w:r>
      <w:r>
        <w:rPr>
          <w:rFonts w:hint="eastAsia" w:ascii="仿宋_GB2312" w:hAnsi="仿宋_GB2312" w:eastAsia="仿宋_GB2312" w:cs="仿宋_GB2312"/>
          <w:b w:val="0"/>
          <w:bCs w:val="0"/>
          <w:color w:val="auto"/>
          <w:sz w:val="32"/>
          <w:szCs w:val="32"/>
          <w:lang w:eastAsia="zh-CN"/>
        </w:rPr>
        <w:t>增</w:t>
      </w:r>
      <w:r>
        <w:rPr>
          <w:rFonts w:hint="eastAsia" w:ascii="仿宋_GB2312" w:hAnsi="仿宋_GB2312" w:eastAsia="仿宋_GB2312" w:cs="仿宋_GB2312"/>
          <w:b w:val="0"/>
          <w:bCs w:val="0"/>
          <w:color w:val="auto"/>
          <w:sz w:val="32"/>
          <w:szCs w:val="32"/>
          <w:lang w:val="en-US" w:eastAsia="zh-CN"/>
        </w:rPr>
        <w:t>7.85</w:t>
      </w:r>
      <w:r>
        <w:rPr>
          <w:rFonts w:hint="eastAsia" w:ascii="仿宋_GB2312" w:hAnsi="仿宋_GB2312" w:eastAsia="仿宋_GB2312" w:cs="仿宋_GB2312"/>
          <w:b w:val="0"/>
          <w:bCs w:val="0"/>
          <w:color w:val="auto"/>
          <w:sz w:val="32"/>
          <w:szCs w:val="32"/>
        </w:rPr>
        <w:t>亿元，高新区调</w:t>
      </w:r>
      <w:r>
        <w:rPr>
          <w:rFonts w:hint="eastAsia" w:ascii="仿宋_GB2312" w:hAnsi="仿宋_GB2312" w:eastAsia="仿宋_GB2312" w:cs="仿宋_GB2312"/>
          <w:b w:val="0"/>
          <w:bCs w:val="0"/>
          <w:color w:val="auto"/>
          <w:sz w:val="32"/>
          <w:szCs w:val="32"/>
          <w:lang w:eastAsia="zh-CN"/>
        </w:rPr>
        <w:t>增</w:t>
      </w:r>
      <w:r>
        <w:rPr>
          <w:rFonts w:hint="eastAsia" w:ascii="仿宋_GB2312" w:hAnsi="仿宋_GB2312" w:eastAsia="仿宋_GB2312" w:cs="仿宋_GB2312"/>
          <w:b w:val="0"/>
          <w:bCs w:val="0"/>
          <w:color w:val="auto"/>
          <w:sz w:val="32"/>
          <w:szCs w:val="32"/>
          <w:lang w:val="en-US" w:eastAsia="zh-CN"/>
        </w:rPr>
        <w:t>0.88</w:t>
      </w:r>
      <w:r>
        <w:rPr>
          <w:rFonts w:hint="eastAsia" w:ascii="仿宋_GB2312" w:hAnsi="仿宋_GB2312" w:eastAsia="仿宋_GB2312" w:cs="仿宋_GB2312"/>
          <w:b w:val="0"/>
          <w:bCs w:val="0"/>
          <w:color w:val="auto"/>
          <w:sz w:val="32"/>
          <w:szCs w:val="32"/>
        </w:rPr>
        <w:t>亿元）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与年初预算相比增幅10.65%（县本级12.38%，高新区4.76%）,与去年同期相比增幅16.18%（县本级18%，高新区9.98%）</w:t>
      </w:r>
      <w:r>
        <w:rPr>
          <w:rFonts w:hint="eastAsia" w:ascii="仿宋_GB2312" w:hAnsi="仿宋_GB2312" w:eastAsia="仿宋_GB2312" w:cs="仿宋_GB2312"/>
          <w:b w:val="0"/>
          <w:bCs w:val="0"/>
          <w:color w:val="auto"/>
          <w:sz w:val="32"/>
          <w:szCs w:val="32"/>
        </w:rPr>
        <w:t>。</w:t>
      </w:r>
    </w:p>
    <w:p>
      <w:pPr>
        <w:tabs>
          <w:tab w:val="left" w:pos="8640"/>
        </w:tabs>
        <w:spacing w:line="600" w:lineRule="exact"/>
        <w:ind w:firstLine="800" w:firstLineChars="25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（二）全县政府性基金收入预算调整为</w:t>
      </w:r>
      <w:r>
        <w:rPr>
          <w:rFonts w:hint="eastAsia" w:ascii="仿宋_GB2312" w:hAnsi="仿宋_GB2312" w:eastAsia="仿宋_GB2312" w:cs="仿宋_GB2312"/>
          <w:b w:val="0"/>
          <w:bCs w:val="0"/>
          <w:color w:val="auto"/>
          <w:sz w:val="32"/>
          <w:szCs w:val="32"/>
          <w:lang w:val="en-US" w:eastAsia="zh-CN"/>
        </w:rPr>
        <w:t>88.94</w:t>
      </w:r>
      <w:r>
        <w:rPr>
          <w:rFonts w:hint="eastAsia" w:ascii="仿宋_GB2312" w:hAnsi="仿宋_GB2312" w:eastAsia="仿宋_GB2312" w:cs="仿宋_GB2312"/>
          <w:b w:val="0"/>
          <w:bCs w:val="0"/>
          <w:color w:val="auto"/>
          <w:sz w:val="32"/>
          <w:szCs w:val="32"/>
        </w:rPr>
        <w:t>亿元（县本级</w:t>
      </w:r>
      <w:r>
        <w:rPr>
          <w:rFonts w:hint="eastAsia" w:ascii="仿宋_GB2312" w:hAnsi="仿宋_GB2312" w:eastAsia="仿宋_GB2312" w:cs="仿宋_GB2312"/>
          <w:b w:val="0"/>
          <w:bCs w:val="0"/>
          <w:color w:val="auto"/>
          <w:sz w:val="32"/>
          <w:szCs w:val="32"/>
          <w:lang w:val="en-US" w:eastAsia="zh-CN"/>
        </w:rPr>
        <w:t>60亿</w:t>
      </w:r>
      <w:r>
        <w:rPr>
          <w:rFonts w:hint="eastAsia" w:ascii="仿宋_GB2312" w:hAnsi="仿宋_GB2312" w:eastAsia="仿宋_GB2312" w:cs="仿宋_GB2312"/>
          <w:b w:val="0"/>
          <w:bCs w:val="0"/>
          <w:color w:val="auto"/>
          <w:sz w:val="32"/>
          <w:szCs w:val="32"/>
        </w:rPr>
        <w:t>元，高新区</w:t>
      </w:r>
      <w:r>
        <w:rPr>
          <w:rFonts w:hint="eastAsia" w:ascii="仿宋_GB2312" w:hAnsi="仿宋_GB2312" w:eastAsia="仿宋_GB2312" w:cs="仿宋_GB2312"/>
          <w:b w:val="0"/>
          <w:bCs w:val="0"/>
          <w:color w:val="auto"/>
          <w:sz w:val="32"/>
          <w:szCs w:val="32"/>
          <w:lang w:val="en-US" w:eastAsia="zh-CN"/>
        </w:rPr>
        <w:t>28.94</w:t>
      </w:r>
      <w:r>
        <w:rPr>
          <w:rFonts w:hint="eastAsia" w:ascii="仿宋_GB2312" w:hAnsi="仿宋_GB2312" w:eastAsia="仿宋_GB2312" w:cs="仿宋_GB2312"/>
          <w:b w:val="0"/>
          <w:bCs w:val="0"/>
          <w:color w:val="auto"/>
          <w:sz w:val="32"/>
          <w:szCs w:val="32"/>
        </w:rPr>
        <w:t>亿元），调</w:t>
      </w:r>
      <w:r>
        <w:rPr>
          <w:rFonts w:hint="eastAsia" w:ascii="仿宋_GB2312" w:hAnsi="仿宋_GB2312" w:eastAsia="仿宋_GB2312" w:cs="仿宋_GB2312"/>
          <w:b w:val="0"/>
          <w:bCs w:val="0"/>
          <w:color w:val="auto"/>
          <w:sz w:val="32"/>
          <w:szCs w:val="32"/>
          <w:lang w:eastAsia="zh-CN"/>
        </w:rPr>
        <w:t>减</w:t>
      </w:r>
      <w:r>
        <w:rPr>
          <w:rFonts w:hint="eastAsia" w:ascii="仿宋_GB2312" w:hAnsi="仿宋_GB2312" w:eastAsia="仿宋_GB2312" w:cs="仿宋_GB2312"/>
          <w:b w:val="0"/>
          <w:bCs w:val="0"/>
          <w:color w:val="auto"/>
          <w:sz w:val="32"/>
          <w:szCs w:val="32"/>
          <w:lang w:val="en-US" w:eastAsia="zh-CN"/>
        </w:rPr>
        <w:t>102.84</w:t>
      </w:r>
      <w:r>
        <w:rPr>
          <w:rFonts w:hint="eastAsia" w:ascii="仿宋_GB2312" w:hAnsi="仿宋_GB2312" w:eastAsia="仿宋_GB2312" w:cs="仿宋_GB2312"/>
          <w:b w:val="0"/>
          <w:bCs w:val="0"/>
          <w:color w:val="auto"/>
          <w:sz w:val="32"/>
          <w:szCs w:val="32"/>
        </w:rPr>
        <w:t>亿元（县本级调</w:t>
      </w:r>
      <w:r>
        <w:rPr>
          <w:rFonts w:hint="eastAsia" w:ascii="仿宋_GB2312" w:hAnsi="仿宋_GB2312" w:eastAsia="仿宋_GB2312" w:cs="仿宋_GB2312"/>
          <w:b w:val="0"/>
          <w:bCs w:val="0"/>
          <w:color w:val="auto"/>
          <w:sz w:val="32"/>
          <w:szCs w:val="32"/>
          <w:lang w:eastAsia="zh-CN"/>
        </w:rPr>
        <w:t>减</w:t>
      </w:r>
      <w:r>
        <w:rPr>
          <w:rFonts w:hint="eastAsia" w:ascii="仿宋_GB2312" w:hAnsi="仿宋_GB2312" w:eastAsia="仿宋_GB2312" w:cs="仿宋_GB2312"/>
          <w:b w:val="0"/>
          <w:bCs w:val="0"/>
          <w:color w:val="auto"/>
          <w:sz w:val="32"/>
          <w:szCs w:val="32"/>
          <w:lang w:val="en-US" w:eastAsia="zh-CN"/>
        </w:rPr>
        <w:t>90</w:t>
      </w:r>
      <w:r>
        <w:rPr>
          <w:rFonts w:hint="eastAsia" w:ascii="仿宋_GB2312" w:hAnsi="仿宋_GB2312" w:eastAsia="仿宋_GB2312" w:cs="仿宋_GB2312"/>
          <w:b w:val="0"/>
          <w:bCs w:val="0"/>
          <w:color w:val="auto"/>
          <w:sz w:val="32"/>
          <w:szCs w:val="32"/>
        </w:rPr>
        <w:t>亿元，高新区调</w:t>
      </w:r>
      <w:r>
        <w:rPr>
          <w:rFonts w:hint="eastAsia" w:ascii="仿宋_GB2312" w:hAnsi="仿宋_GB2312" w:eastAsia="仿宋_GB2312" w:cs="仿宋_GB2312"/>
          <w:b w:val="0"/>
          <w:bCs w:val="0"/>
          <w:color w:val="auto"/>
          <w:sz w:val="32"/>
          <w:szCs w:val="32"/>
          <w:lang w:eastAsia="zh-CN"/>
        </w:rPr>
        <w:t>减</w:t>
      </w:r>
      <w:r>
        <w:rPr>
          <w:rFonts w:hint="eastAsia" w:ascii="仿宋_GB2312" w:hAnsi="仿宋_GB2312" w:eastAsia="仿宋_GB2312" w:cs="仿宋_GB2312"/>
          <w:b w:val="0"/>
          <w:bCs w:val="0"/>
          <w:color w:val="auto"/>
          <w:sz w:val="32"/>
          <w:szCs w:val="32"/>
          <w:lang w:val="en-US" w:eastAsia="zh-CN"/>
        </w:rPr>
        <w:t>12.84</w:t>
      </w:r>
      <w:r>
        <w:rPr>
          <w:rFonts w:hint="eastAsia" w:ascii="仿宋_GB2312" w:hAnsi="仿宋_GB2312" w:eastAsia="仿宋_GB2312" w:cs="仿宋_GB2312"/>
          <w:b w:val="0"/>
          <w:bCs w:val="0"/>
          <w:color w:val="auto"/>
          <w:sz w:val="32"/>
          <w:szCs w:val="32"/>
        </w:rPr>
        <w:t>亿元）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与年初预算相比</w:t>
      </w:r>
      <w:r>
        <w:rPr>
          <w:rFonts w:hint="eastAsia" w:ascii="仿宋_GB2312" w:hAnsi="仿宋_GB2312" w:eastAsia="仿宋_GB2312" w:cs="仿宋_GB2312"/>
          <w:b w:val="0"/>
          <w:bCs w:val="0"/>
          <w:color w:val="auto"/>
          <w:sz w:val="32"/>
          <w:szCs w:val="32"/>
          <w:lang w:eastAsia="zh-CN"/>
        </w:rPr>
        <w:t>降幅</w:t>
      </w:r>
      <w:r>
        <w:rPr>
          <w:rFonts w:hint="eastAsia" w:ascii="仿宋_GB2312" w:hAnsi="仿宋_GB2312" w:eastAsia="仿宋_GB2312" w:cs="仿宋_GB2312"/>
          <w:b w:val="0"/>
          <w:bCs w:val="0"/>
          <w:color w:val="auto"/>
          <w:sz w:val="32"/>
          <w:szCs w:val="32"/>
          <w:lang w:val="en-US" w:eastAsia="zh-CN"/>
        </w:rPr>
        <w:t>53.62%（县本级-60%，高新区-30.73%）</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与去年同期相比降幅37.36%（县本级-42.58%，高新区-22.79%）。</w:t>
      </w:r>
      <w:r>
        <w:rPr>
          <w:rFonts w:hint="eastAsia" w:ascii="仿宋_GB2312" w:hAnsi="仿宋_GB2312" w:eastAsia="仿宋_GB2312" w:cs="仿宋_GB2312"/>
          <w:b w:val="0"/>
          <w:bCs w:val="0"/>
          <w:color w:val="auto"/>
          <w:sz w:val="32"/>
          <w:szCs w:val="32"/>
        </w:rPr>
        <w:t>其中：土地基金收入预算调整为</w:t>
      </w:r>
      <w:r>
        <w:rPr>
          <w:rFonts w:hint="eastAsia" w:ascii="仿宋_GB2312" w:hAnsi="仿宋_GB2312" w:eastAsia="仿宋_GB2312" w:cs="仿宋_GB2312"/>
          <w:b w:val="0"/>
          <w:bCs w:val="0"/>
          <w:color w:val="auto"/>
          <w:sz w:val="32"/>
          <w:szCs w:val="32"/>
          <w:lang w:val="en-US" w:eastAsia="zh-CN"/>
        </w:rPr>
        <w:t>87.98</w:t>
      </w:r>
      <w:r>
        <w:rPr>
          <w:rFonts w:hint="eastAsia" w:ascii="仿宋_GB2312" w:hAnsi="仿宋_GB2312" w:eastAsia="仿宋_GB2312" w:cs="仿宋_GB2312"/>
          <w:b w:val="0"/>
          <w:bCs w:val="0"/>
          <w:color w:val="auto"/>
          <w:sz w:val="32"/>
          <w:szCs w:val="32"/>
        </w:rPr>
        <w:t>亿元（县本级</w:t>
      </w:r>
      <w:r>
        <w:rPr>
          <w:rFonts w:hint="eastAsia" w:ascii="仿宋_GB2312" w:hAnsi="仿宋_GB2312" w:eastAsia="仿宋_GB2312" w:cs="仿宋_GB2312"/>
          <w:b w:val="0"/>
          <w:bCs w:val="0"/>
          <w:color w:val="auto"/>
          <w:sz w:val="32"/>
          <w:szCs w:val="32"/>
          <w:lang w:val="en-US" w:eastAsia="zh-CN"/>
        </w:rPr>
        <w:t>59.13</w:t>
      </w:r>
      <w:r>
        <w:rPr>
          <w:rFonts w:hint="eastAsia" w:ascii="仿宋_GB2312" w:hAnsi="仿宋_GB2312" w:eastAsia="仿宋_GB2312" w:cs="仿宋_GB2312"/>
          <w:b w:val="0"/>
          <w:bCs w:val="0"/>
          <w:color w:val="auto"/>
          <w:sz w:val="32"/>
          <w:szCs w:val="32"/>
        </w:rPr>
        <w:t>亿元，高新区</w:t>
      </w:r>
      <w:r>
        <w:rPr>
          <w:rFonts w:hint="eastAsia" w:ascii="仿宋_GB2312" w:hAnsi="仿宋_GB2312" w:eastAsia="仿宋_GB2312" w:cs="仿宋_GB2312"/>
          <w:b w:val="0"/>
          <w:bCs w:val="0"/>
          <w:color w:val="auto"/>
          <w:sz w:val="32"/>
          <w:szCs w:val="32"/>
          <w:lang w:val="en-US" w:eastAsia="zh-CN"/>
        </w:rPr>
        <w:t>28.85</w:t>
      </w:r>
      <w:r>
        <w:rPr>
          <w:rFonts w:hint="eastAsia" w:ascii="仿宋_GB2312" w:hAnsi="仿宋_GB2312" w:eastAsia="仿宋_GB2312" w:cs="仿宋_GB2312"/>
          <w:b w:val="0"/>
          <w:bCs w:val="0"/>
          <w:color w:val="auto"/>
          <w:sz w:val="32"/>
          <w:szCs w:val="32"/>
        </w:rPr>
        <w:t>亿元），调</w:t>
      </w:r>
      <w:r>
        <w:rPr>
          <w:rFonts w:hint="eastAsia" w:ascii="仿宋_GB2312" w:hAnsi="仿宋_GB2312" w:eastAsia="仿宋_GB2312" w:cs="仿宋_GB2312"/>
          <w:b w:val="0"/>
          <w:bCs w:val="0"/>
          <w:color w:val="auto"/>
          <w:sz w:val="32"/>
          <w:szCs w:val="32"/>
          <w:lang w:eastAsia="zh-CN"/>
        </w:rPr>
        <w:t>减</w:t>
      </w:r>
      <w:r>
        <w:rPr>
          <w:rFonts w:hint="eastAsia" w:ascii="仿宋_GB2312" w:hAnsi="仿宋_GB2312" w:eastAsia="仿宋_GB2312" w:cs="仿宋_GB2312"/>
          <w:b w:val="0"/>
          <w:bCs w:val="0"/>
          <w:color w:val="auto"/>
          <w:sz w:val="32"/>
          <w:szCs w:val="32"/>
          <w:lang w:val="en-US" w:eastAsia="zh-CN"/>
        </w:rPr>
        <w:t>102.55</w:t>
      </w:r>
      <w:r>
        <w:rPr>
          <w:rFonts w:hint="eastAsia" w:ascii="仿宋_GB2312" w:hAnsi="仿宋_GB2312" w:eastAsia="仿宋_GB2312" w:cs="仿宋_GB2312"/>
          <w:b w:val="0"/>
          <w:bCs w:val="0"/>
          <w:color w:val="auto"/>
          <w:sz w:val="32"/>
          <w:szCs w:val="32"/>
        </w:rPr>
        <w:t>亿元（县本级调</w:t>
      </w:r>
      <w:r>
        <w:rPr>
          <w:rFonts w:hint="eastAsia" w:ascii="仿宋_GB2312" w:hAnsi="仿宋_GB2312" w:eastAsia="仿宋_GB2312" w:cs="仿宋_GB2312"/>
          <w:b w:val="0"/>
          <w:bCs w:val="0"/>
          <w:color w:val="auto"/>
          <w:sz w:val="32"/>
          <w:szCs w:val="32"/>
          <w:lang w:eastAsia="zh-CN"/>
        </w:rPr>
        <w:t>减</w:t>
      </w:r>
      <w:r>
        <w:rPr>
          <w:rFonts w:hint="eastAsia" w:ascii="仿宋_GB2312" w:hAnsi="仿宋_GB2312" w:eastAsia="仿宋_GB2312" w:cs="仿宋_GB2312"/>
          <w:b w:val="0"/>
          <w:bCs w:val="0"/>
          <w:color w:val="auto"/>
          <w:sz w:val="32"/>
          <w:szCs w:val="32"/>
          <w:lang w:val="en-US" w:eastAsia="zh-CN"/>
        </w:rPr>
        <w:t>89.87</w:t>
      </w:r>
      <w:r>
        <w:rPr>
          <w:rFonts w:hint="eastAsia" w:ascii="仿宋_GB2312" w:hAnsi="仿宋_GB2312" w:eastAsia="仿宋_GB2312" w:cs="仿宋_GB2312"/>
          <w:b w:val="0"/>
          <w:bCs w:val="0"/>
          <w:color w:val="auto"/>
          <w:sz w:val="32"/>
          <w:szCs w:val="32"/>
        </w:rPr>
        <w:t>亿元，高新区调</w:t>
      </w:r>
      <w:r>
        <w:rPr>
          <w:rFonts w:hint="eastAsia" w:ascii="仿宋_GB2312" w:hAnsi="仿宋_GB2312" w:eastAsia="仿宋_GB2312" w:cs="仿宋_GB2312"/>
          <w:b w:val="0"/>
          <w:bCs w:val="0"/>
          <w:color w:val="auto"/>
          <w:sz w:val="32"/>
          <w:szCs w:val="32"/>
          <w:lang w:val="en-US" w:eastAsia="zh-CN"/>
        </w:rPr>
        <w:t>减12.68</w:t>
      </w:r>
      <w:r>
        <w:rPr>
          <w:rFonts w:hint="eastAsia" w:ascii="仿宋_GB2312" w:hAnsi="仿宋_GB2312" w:eastAsia="仿宋_GB2312" w:cs="仿宋_GB2312"/>
          <w:b w:val="0"/>
          <w:bCs w:val="0"/>
          <w:color w:val="auto"/>
          <w:sz w:val="32"/>
          <w:szCs w:val="32"/>
        </w:rPr>
        <w:t>亿元）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与年初预算相比</w:t>
      </w:r>
      <w:r>
        <w:rPr>
          <w:rFonts w:hint="eastAsia" w:ascii="仿宋_GB2312" w:hAnsi="仿宋_GB2312" w:eastAsia="仿宋_GB2312" w:cs="仿宋_GB2312"/>
          <w:b w:val="0"/>
          <w:bCs w:val="0"/>
          <w:color w:val="auto"/>
          <w:sz w:val="32"/>
          <w:szCs w:val="32"/>
          <w:lang w:eastAsia="zh-CN"/>
        </w:rPr>
        <w:t>降幅</w:t>
      </w:r>
      <w:r>
        <w:rPr>
          <w:rFonts w:hint="eastAsia" w:ascii="仿宋_GB2312" w:hAnsi="仿宋_GB2312" w:eastAsia="仿宋_GB2312" w:cs="仿宋_GB2312"/>
          <w:b w:val="0"/>
          <w:bCs w:val="0"/>
          <w:color w:val="auto"/>
          <w:sz w:val="32"/>
          <w:szCs w:val="32"/>
          <w:lang w:val="en-US" w:eastAsia="zh-CN"/>
        </w:rPr>
        <w:t>53.82%（县本级-60.32%，高新区-30.54%），与去年同期相比降幅37.44%（县本级-42.81%，高新区-22.53%）。</w:t>
      </w:r>
    </w:p>
    <w:p>
      <w:pPr>
        <w:tabs>
          <w:tab w:val="left" w:pos="8640"/>
        </w:tabs>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sz w:val="32"/>
          <w:szCs w:val="32"/>
        </w:rPr>
        <w:t>县本级国有资本经营收入预算</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147万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调减</w:t>
      </w:r>
      <w:r>
        <w:rPr>
          <w:rFonts w:hint="eastAsia" w:ascii="仿宋_GB2312" w:hAnsi="仿宋_GB2312" w:eastAsia="仿宋_GB2312" w:cs="仿宋_GB2312"/>
          <w:sz w:val="32"/>
          <w:szCs w:val="32"/>
          <w:lang w:val="en-US" w:eastAsia="zh-CN"/>
        </w:rPr>
        <w:t>4.2万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与年初预算相比</w:t>
      </w:r>
      <w:r>
        <w:rPr>
          <w:rFonts w:hint="eastAsia" w:ascii="仿宋_GB2312" w:hAnsi="仿宋_GB2312" w:eastAsia="仿宋_GB2312" w:cs="仿宋_GB2312"/>
          <w:color w:val="auto"/>
          <w:sz w:val="32"/>
          <w:szCs w:val="32"/>
          <w:lang w:eastAsia="zh-CN"/>
        </w:rPr>
        <w:t>降幅</w:t>
      </w:r>
      <w:r>
        <w:rPr>
          <w:rFonts w:hint="eastAsia" w:ascii="仿宋_GB2312" w:hAnsi="仿宋_GB2312" w:eastAsia="仿宋_GB2312" w:cs="仿宋_GB2312"/>
          <w:color w:val="auto"/>
          <w:sz w:val="32"/>
          <w:szCs w:val="32"/>
          <w:lang w:val="en-US" w:eastAsia="zh-CN"/>
        </w:rPr>
        <w:t>2.78%,</w:t>
      </w:r>
      <w:r>
        <w:rPr>
          <w:rFonts w:hint="eastAsia" w:ascii="仿宋_GB2312" w:hAnsi="仿宋_GB2312" w:eastAsia="仿宋_GB2312" w:cs="仿宋_GB2312"/>
          <w:b w:val="0"/>
          <w:bCs w:val="0"/>
          <w:color w:val="auto"/>
          <w:sz w:val="32"/>
          <w:szCs w:val="32"/>
          <w:lang w:val="en-US" w:eastAsia="zh-CN"/>
        </w:rPr>
        <w:t>与去年同期相比降幅2%。</w:t>
      </w:r>
    </w:p>
    <w:p>
      <w:pPr>
        <w:tabs>
          <w:tab w:val="left" w:pos="8640"/>
        </w:tabs>
        <w:spacing w:line="600" w:lineRule="exact"/>
        <w:ind w:firstLine="956" w:firstLineChars="299"/>
        <w:rPr>
          <w:rFonts w:ascii="仿宋" w:hAnsi="仿宋" w:eastAsia="仿宋"/>
          <w:b/>
          <w:color w:val="auto"/>
          <w:sz w:val="32"/>
          <w:szCs w:val="32"/>
        </w:rPr>
      </w:pPr>
      <w:r>
        <w:rPr>
          <w:rFonts w:hint="eastAsia" w:ascii="黑体" w:hAnsi="黑体" w:eastAsia="黑体" w:cs="黑体"/>
          <w:b w:val="0"/>
          <w:bCs/>
          <w:color w:val="auto"/>
          <w:sz w:val="32"/>
          <w:szCs w:val="32"/>
        </w:rPr>
        <w:t>三、调整后财力</w:t>
      </w:r>
    </w:p>
    <w:p>
      <w:pPr>
        <w:tabs>
          <w:tab w:val="left" w:pos="8640"/>
        </w:tabs>
        <w:spacing w:line="60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（一）公共财政财力</w:t>
      </w:r>
    </w:p>
    <w:p>
      <w:pPr>
        <w:tabs>
          <w:tab w:val="left" w:pos="8640"/>
        </w:tabs>
        <w:spacing w:line="60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按现行省对县财政体制测算，全县</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年一般公共预算收入</w:t>
      </w:r>
      <w:r>
        <w:rPr>
          <w:rFonts w:hint="eastAsia" w:ascii="仿宋_GB2312" w:hAnsi="仿宋_GB2312" w:eastAsia="仿宋_GB2312" w:cs="仿宋_GB2312"/>
          <w:color w:val="auto"/>
          <w:sz w:val="32"/>
          <w:szCs w:val="32"/>
          <w:lang w:val="en-US" w:eastAsia="zh-CN"/>
        </w:rPr>
        <w:t>90.78</w:t>
      </w:r>
      <w:r>
        <w:rPr>
          <w:rFonts w:hint="eastAsia" w:ascii="仿宋_GB2312" w:hAnsi="仿宋_GB2312" w:eastAsia="仿宋_GB2312" w:cs="仿宋_GB2312"/>
          <w:color w:val="auto"/>
          <w:sz w:val="32"/>
          <w:szCs w:val="32"/>
        </w:rPr>
        <w:t>亿元、上级补助收入</w:t>
      </w:r>
      <w:r>
        <w:rPr>
          <w:rFonts w:hint="eastAsia" w:ascii="仿宋_GB2312" w:hAnsi="仿宋_GB2312" w:eastAsia="仿宋_GB2312" w:cs="仿宋_GB2312"/>
          <w:color w:val="auto"/>
          <w:sz w:val="32"/>
          <w:szCs w:val="32"/>
          <w:lang w:val="en-US" w:eastAsia="zh-CN"/>
        </w:rPr>
        <w:t>9.53</w:t>
      </w:r>
      <w:r>
        <w:rPr>
          <w:rFonts w:hint="eastAsia" w:ascii="仿宋_GB2312" w:hAnsi="仿宋_GB2312" w:eastAsia="仿宋_GB2312" w:cs="仿宋_GB2312"/>
          <w:color w:val="auto"/>
          <w:sz w:val="32"/>
          <w:szCs w:val="32"/>
        </w:rPr>
        <w:t>亿元、动用预算稳定调节基金</w:t>
      </w:r>
      <w:r>
        <w:rPr>
          <w:rFonts w:hint="eastAsia" w:ascii="仿宋_GB2312" w:hAnsi="仿宋_GB2312" w:eastAsia="仿宋_GB2312" w:cs="仿宋_GB2312"/>
          <w:color w:val="auto"/>
          <w:sz w:val="32"/>
          <w:szCs w:val="32"/>
          <w:lang w:val="en-US" w:eastAsia="zh-CN"/>
        </w:rPr>
        <w:t>3.42</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rPr>
        <w:t>地方政府</w:t>
      </w:r>
      <w:r>
        <w:rPr>
          <w:rFonts w:hint="eastAsia" w:ascii="仿宋_GB2312" w:hAnsi="仿宋_GB2312" w:eastAsia="仿宋_GB2312" w:cs="仿宋_GB2312"/>
          <w:color w:val="auto"/>
          <w:sz w:val="32"/>
          <w:szCs w:val="32"/>
          <w:lang w:eastAsia="zh-CN"/>
        </w:rPr>
        <w:t>一般</w:t>
      </w:r>
      <w:r>
        <w:rPr>
          <w:rFonts w:hint="eastAsia" w:ascii="仿宋_GB2312" w:hAnsi="仿宋_GB2312" w:eastAsia="仿宋_GB2312" w:cs="仿宋_GB2312"/>
          <w:color w:val="auto"/>
          <w:sz w:val="32"/>
          <w:szCs w:val="32"/>
        </w:rPr>
        <w:t>债券</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转贷收入</w:t>
      </w:r>
      <w:r>
        <w:rPr>
          <w:rFonts w:hint="eastAsia" w:ascii="仿宋_GB2312" w:hAnsi="仿宋_GB2312" w:eastAsia="仿宋_GB2312" w:cs="仿宋_GB2312"/>
          <w:color w:val="auto"/>
          <w:sz w:val="32"/>
          <w:szCs w:val="32"/>
          <w:lang w:eastAsia="zh-CN"/>
        </w:rPr>
        <w:t>及再融资债券</w:t>
      </w:r>
      <w:r>
        <w:rPr>
          <w:rFonts w:hint="eastAsia" w:ascii="仿宋_GB2312" w:hAnsi="仿宋_GB2312" w:eastAsia="仿宋_GB2312" w:cs="仿宋_GB2312"/>
          <w:color w:val="auto"/>
          <w:sz w:val="32"/>
          <w:szCs w:val="32"/>
          <w:lang w:val="en-US" w:eastAsia="zh-CN"/>
        </w:rPr>
        <w:t>6.17</w:t>
      </w:r>
      <w:r>
        <w:rPr>
          <w:rFonts w:hint="eastAsia" w:ascii="仿宋_GB2312" w:hAnsi="仿宋_GB2312" w:eastAsia="仿宋_GB2312" w:cs="仿宋_GB2312"/>
          <w:color w:val="auto"/>
          <w:sz w:val="32"/>
          <w:szCs w:val="32"/>
        </w:rPr>
        <w:t>亿元，上解上级支出</w:t>
      </w:r>
      <w:r>
        <w:rPr>
          <w:rFonts w:hint="eastAsia" w:ascii="仿宋_GB2312" w:hAnsi="仿宋_GB2312" w:eastAsia="仿宋_GB2312" w:cs="仿宋_GB2312"/>
          <w:color w:val="auto"/>
          <w:sz w:val="32"/>
          <w:szCs w:val="32"/>
          <w:lang w:val="en-US" w:eastAsia="zh-CN"/>
        </w:rPr>
        <w:t>3.34</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债务还本支出</w:t>
      </w:r>
      <w:r>
        <w:rPr>
          <w:rFonts w:hint="eastAsia" w:ascii="仿宋_GB2312" w:hAnsi="仿宋_GB2312" w:eastAsia="仿宋_GB2312" w:cs="仿宋_GB2312"/>
          <w:color w:val="auto"/>
          <w:sz w:val="32"/>
          <w:szCs w:val="32"/>
          <w:lang w:val="en-US" w:eastAsia="zh-CN"/>
        </w:rPr>
        <w:t>2.11亿元，援助宁夏支出0.18亿元，</w:t>
      </w:r>
      <w:r>
        <w:rPr>
          <w:rFonts w:hint="eastAsia" w:ascii="仿宋_GB2312" w:hAnsi="仿宋_GB2312" w:eastAsia="仿宋_GB2312" w:cs="仿宋_GB2312"/>
          <w:color w:val="auto"/>
          <w:sz w:val="32"/>
          <w:szCs w:val="32"/>
        </w:rPr>
        <w:t>当年实现公共财政财力</w:t>
      </w:r>
      <w:r>
        <w:rPr>
          <w:rFonts w:hint="eastAsia" w:ascii="仿宋_GB2312" w:hAnsi="仿宋_GB2312" w:eastAsia="仿宋_GB2312" w:cs="仿宋_GB2312"/>
          <w:color w:val="auto"/>
          <w:sz w:val="32"/>
          <w:szCs w:val="32"/>
          <w:lang w:val="en-US" w:eastAsia="zh-CN"/>
        </w:rPr>
        <w:t>104.92</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年我县公共财政预算</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县可动用财力预计</w:t>
      </w:r>
      <w:r>
        <w:rPr>
          <w:rFonts w:hint="eastAsia" w:ascii="仿宋_GB2312" w:hAnsi="仿宋_GB2312" w:eastAsia="仿宋_GB2312" w:cs="仿宋_GB2312"/>
          <w:color w:val="auto"/>
          <w:sz w:val="32"/>
          <w:szCs w:val="32"/>
          <w:lang w:val="en-US" w:eastAsia="zh-CN"/>
        </w:rPr>
        <w:t>104.27</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82.54</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21.73</w:t>
      </w:r>
      <w:r>
        <w:rPr>
          <w:rFonts w:hint="eastAsia" w:ascii="仿宋_GB2312" w:hAnsi="仿宋_GB2312" w:eastAsia="仿宋_GB2312" w:cs="仿宋_GB2312"/>
          <w:color w:val="auto"/>
          <w:sz w:val="32"/>
          <w:szCs w:val="32"/>
        </w:rPr>
        <w:t>亿元），比年初预算财力</w:t>
      </w:r>
      <w:r>
        <w:rPr>
          <w:rFonts w:hint="eastAsia" w:ascii="仿宋_GB2312" w:hAnsi="仿宋_GB2312" w:eastAsia="仿宋_GB2312" w:cs="仿宋_GB2312"/>
          <w:color w:val="auto"/>
          <w:sz w:val="32"/>
          <w:szCs w:val="32"/>
          <w:lang w:val="en-US" w:eastAsia="zh-CN"/>
        </w:rPr>
        <w:t>90.17</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（县本级</w:t>
      </w:r>
      <w:r>
        <w:rPr>
          <w:rFonts w:hint="eastAsia" w:ascii="仿宋_GB2312" w:hAnsi="仿宋_GB2312" w:eastAsia="仿宋_GB2312" w:cs="仿宋_GB2312"/>
          <w:color w:val="auto"/>
          <w:sz w:val="32"/>
          <w:szCs w:val="32"/>
          <w:lang w:val="en-US" w:eastAsia="zh-CN"/>
        </w:rPr>
        <w:t>69.37亿元，高新区20.8亿元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w:t>
      </w:r>
      <w:r>
        <w:rPr>
          <w:rFonts w:hint="eastAsia" w:ascii="仿宋_GB2312" w:hAnsi="仿宋_GB2312" w:eastAsia="仿宋_GB2312" w:cs="仿宋_GB2312"/>
          <w:color w:val="auto"/>
          <w:sz w:val="32"/>
          <w:szCs w:val="32"/>
          <w:lang w:eastAsia="zh-CN"/>
        </w:rPr>
        <w:t>增</w:t>
      </w:r>
      <w:r>
        <w:rPr>
          <w:rFonts w:hint="eastAsia" w:ascii="仿宋_GB2312" w:hAnsi="仿宋_GB2312" w:eastAsia="仿宋_GB2312" w:cs="仿宋_GB2312"/>
          <w:color w:val="auto"/>
          <w:sz w:val="32"/>
          <w:szCs w:val="32"/>
          <w:lang w:val="en-US" w:eastAsia="zh-CN"/>
        </w:rPr>
        <w:t>14.1</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13.17</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0.93</w:t>
      </w:r>
      <w:r>
        <w:rPr>
          <w:rFonts w:hint="eastAsia" w:ascii="仿宋_GB2312" w:hAnsi="仿宋_GB2312" w:eastAsia="仿宋_GB2312" w:cs="仿宋_GB2312"/>
          <w:color w:val="auto"/>
          <w:sz w:val="32"/>
          <w:szCs w:val="32"/>
        </w:rPr>
        <w:t>亿元）。</w:t>
      </w:r>
    </w:p>
    <w:p>
      <w:pPr>
        <w:tabs>
          <w:tab w:val="left" w:pos="8640"/>
        </w:tabs>
        <w:spacing w:line="60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（二）政府性基金财力</w:t>
      </w:r>
    </w:p>
    <w:p>
      <w:pPr>
        <w:tabs>
          <w:tab w:val="left" w:pos="8640"/>
        </w:tabs>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全县</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年政府性基金预算收入预计为</w:t>
      </w:r>
      <w:r>
        <w:rPr>
          <w:rFonts w:hint="eastAsia" w:ascii="仿宋_GB2312" w:hAnsi="仿宋_GB2312" w:eastAsia="仿宋_GB2312" w:cs="仿宋_GB2312"/>
          <w:color w:val="auto"/>
          <w:sz w:val="32"/>
          <w:szCs w:val="32"/>
          <w:lang w:val="en-US" w:eastAsia="zh-CN"/>
        </w:rPr>
        <w:t>88.94</w:t>
      </w:r>
      <w:r>
        <w:rPr>
          <w:rFonts w:hint="eastAsia" w:ascii="仿宋_GB2312" w:hAnsi="仿宋_GB2312" w:eastAsia="仿宋_GB2312" w:cs="仿宋_GB2312"/>
          <w:color w:val="auto"/>
          <w:sz w:val="32"/>
          <w:szCs w:val="32"/>
        </w:rPr>
        <w:t>亿元，动用上年结余</w:t>
      </w:r>
      <w:r>
        <w:rPr>
          <w:rFonts w:hint="eastAsia" w:ascii="仿宋_GB2312" w:hAnsi="仿宋_GB2312" w:eastAsia="仿宋_GB2312" w:cs="仿宋_GB2312"/>
          <w:color w:val="auto"/>
          <w:sz w:val="32"/>
          <w:szCs w:val="32"/>
          <w:lang w:val="en-US" w:eastAsia="zh-CN"/>
        </w:rPr>
        <w:t>12.43</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highlight w:val="none"/>
        </w:rPr>
        <w:t>新增地方政府专项债券</w:t>
      </w:r>
      <w:r>
        <w:rPr>
          <w:rFonts w:hint="eastAsia" w:ascii="仿宋_GB2312" w:hAnsi="仿宋_GB2312" w:eastAsia="仿宋_GB2312" w:cs="仿宋_GB2312"/>
          <w:color w:val="auto"/>
          <w:sz w:val="32"/>
          <w:szCs w:val="32"/>
          <w:highlight w:val="none"/>
          <w:lang w:eastAsia="zh-CN"/>
        </w:rPr>
        <w:t>资金转贷</w:t>
      </w:r>
      <w:r>
        <w:rPr>
          <w:rFonts w:hint="eastAsia" w:ascii="仿宋_GB2312" w:hAnsi="仿宋_GB2312" w:eastAsia="仿宋_GB2312" w:cs="仿宋_GB2312"/>
          <w:color w:val="auto"/>
          <w:sz w:val="32"/>
          <w:szCs w:val="32"/>
          <w:highlight w:val="none"/>
        </w:rPr>
        <w:t>收入</w:t>
      </w:r>
      <w:r>
        <w:rPr>
          <w:rFonts w:hint="eastAsia" w:ascii="仿宋_GB2312" w:hAnsi="仿宋_GB2312" w:eastAsia="仿宋_GB2312" w:cs="仿宋_GB2312"/>
          <w:color w:val="auto"/>
          <w:sz w:val="32"/>
          <w:szCs w:val="32"/>
          <w:highlight w:val="none"/>
          <w:lang w:eastAsia="zh-CN"/>
        </w:rPr>
        <w:t>及再融资债券</w:t>
      </w:r>
      <w:r>
        <w:rPr>
          <w:rFonts w:hint="eastAsia" w:ascii="仿宋_GB2312" w:hAnsi="仿宋_GB2312" w:eastAsia="仿宋_GB2312" w:cs="仿宋_GB2312"/>
          <w:color w:val="auto"/>
          <w:sz w:val="32"/>
          <w:szCs w:val="32"/>
          <w:highlight w:val="none"/>
          <w:lang w:val="en-US" w:eastAsia="zh-CN"/>
        </w:rPr>
        <w:t>3.62</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债务还本支出</w:t>
      </w:r>
      <w:r>
        <w:rPr>
          <w:rFonts w:hint="eastAsia" w:ascii="仿宋_GB2312" w:hAnsi="仿宋_GB2312" w:eastAsia="仿宋_GB2312" w:cs="仿宋_GB2312"/>
          <w:color w:val="auto"/>
          <w:sz w:val="32"/>
          <w:szCs w:val="32"/>
          <w:highlight w:val="none"/>
          <w:lang w:val="en-US" w:eastAsia="zh-CN"/>
        </w:rPr>
        <w:t>3.96亿元，</w:t>
      </w:r>
      <w:r>
        <w:rPr>
          <w:rFonts w:hint="eastAsia" w:ascii="仿宋_GB2312" w:hAnsi="仿宋_GB2312" w:eastAsia="仿宋_GB2312" w:cs="仿宋_GB2312"/>
          <w:color w:val="auto"/>
          <w:sz w:val="32"/>
          <w:szCs w:val="32"/>
        </w:rPr>
        <w:t>当年实现政府性基金财力</w:t>
      </w:r>
      <w:r>
        <w:rPr>
          <w:rFonts w:hint="eastAsia" w:ascii="仿宋_GB2312" w:hAnsi="仿宋_GB2312" w:eastAsia="仿宋_GB2312" w:cs="仿宋_GB2312"/>
          <w:color w:val="auto"/>
          <w:sz w:val="32"/>
          <w:szCs w:val="32"/>
          <w:lang w:val="en-US" w:eastAsia="zh-CN"/>
        </w:rPr>
        <w:t>110.67</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年政府性基金全县可动用财力</w:t>
      </w:r>
      <w:r>
        <w:rPr>
          <w:rFonts w:hint="eastAsia" w:ascii="仿宋_GB2312" w:hAnsi="仿宋_GB2312" w:eastAsia="仿宋_GB2312" w:cs="仿宋_GB2312"/>
          <w:color w:val="auto"/>
          <w:sz w:val="32"/>
          <w:szCs w:val="32"/>
          <w:lang w:val="en-US" w:eastAsia="zh-CN"/>
        </w:rPr>
        <w:t>101.02亿</w:t>
      </w:r>
      <w:r>
        <w:rPr>
          <w:rFonts w:hint="eastAsia" w:ascii="仿宋_GB2312" w:hAnsi="仿宋_GB2312" w:eastAsia="仿宋_GB2312" w:cs="仿宋_GB2312"/>
          <w:color w:val="auto"/>
          <w:sz w:val="32"/>
          <w:szCs w:val="32"/>
        </w:rPr>
        <w:t>元（县本级</w:t>
      </w:r>
      <w:r>
        <w:rPr>
          <w:rFonts w:hint="eastAsia" w:ascii="仿宋_GB2312" w:hAnsi="仿宋_GB2312" w:eastAsia="仿宋_GB2312" w:cs="仿宋_GB2312"/>
          <w:color w:val="auto"/>
          <w:sz w:val="32"/>
          <w:szCs w:val="32"/>
          <w:lang w:val="en-US" w:eastAsia="zh-CN"/>
        </w:rPr>
        <w:t>65.25</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35.77</w:t>
      </w:r>
      <w:r>
        <w:rPr>
          <w:rFonts w:hint="eastAsia" w:ascii="仿宋_GB2312" w:hAnsi="仿宋_GB2312" w:eastAsia="仿宋_GB2312" w:cs="仿宋_GB2312"/>
          <w:color w:val="auto"/>
          <w:sz w:val="32"/>
          <w:szCs w:val="32"/>
        </w:rPr>
        <w:t>亿元），比年初预算财力</w:t>
      </w:r>
      <w:r>
        <w:rPr>
          <w:rFonts w:hint="eastAsia" w:ascii="仿宋_GB2312" w:hAnsi="仿宋_GB2312" w:eastAsia="仿宋_GB2312" w:cs="仿宋_GB2312"/>
          <w:color w:val="auto"/>
          <w:sz w:val="32"/>
          <w:szCs w:val="32"/>
          <w:lang w:val="en-US" w:eastAsia="zh-CN"/>
        </w:rPr>
        <w:t>195.08</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（县本级</w:t>
      </w:r>
      <w:r>
        <w:rPr>
          <w:rFonts w:hint="eastAsia" w:ascii="仿宋_GB2312" w:hAnsi="仿宋_GB2312" w:eastAsia="仿宋_GB2312" w:cs="仿宋_GB2312"/>
          <w:color w:val="auto"/>
          <w:sz w:val="32"/>
          <w:szCs w:val="32"/>
          <w:lang w:val="en-US" w:eastAsia="zh-CN"/>
        </w:rPr>
        <w:t>150亿元，高新区45.08亿元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94.06亿</w:t>
      </w:r>
      <w:r>
        <w:rPr>
          <w:rFonts w:hint="eastAsia" w:ascii="仿宋_GB2312" w:hAnsi="仿宋_GB2312" w:eastAsia="仿宋_GB2312" w:cs="仿宋_GB2312"/>
          <w:color w:val="auto"/>
          <w:sz w:val="32"/>
          <w:szCs w:val="32"/>
        </w:rPr>
        <w:t>元（县本级</w:t>
      </w:r>
      <w:r>
        <w:rPr>
          <w:rFonts w:hint="eastAsia" w:ascii="仿宋_GB2312" w:hAnsi="仿宋_GB2312" w:eastAsia="仿宋_GB2312" w:cs="仿宋_GB2312"/>
          <w:color w:val="auto"/>
          <w:sz w:val="32"/>
          <w:szCs w:val="32"/>
          <w:lang w:val="en-US" w:eastAsia="zh-CN"/>
        </w:rPr>
        <w:t>-84.75</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-9.31</w:t>
      </w:r>
      <w:r>
        <w:rPr>
          <w:rFonts w:hint="eastAsia" w:ascii="仿宋_GB2312" w:hAnsi="仿宋_GB2312" w:eastAsia="仿宋_GB2312" w:cs="仿宋_GB2312"/>
          <w:color w:val="auto"/>
          <w:sz w:val="32"/>
          <w:szCs w:val="32"/>
        </w:rPr>
        <w:t>亿元）。</w:t>
      </w:r>
    </w:p>
    <w:p>
      <w:pPr>
        <w:spacing w:line="580" w:lineRule="exact"/>
        <w:ind w:firstLine="640" w:firstLineChars="20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w:t>
      </w:r>
      <w:r>
        <w:rPr>
          <w:rFonts w:hint="eastAsia" w:ascii="楷体" w:hAnsi="楷体" w:eastAsia="楷体" w:cs="楷体"/>
          <w:sz w:val="32"/>
          <w:szCs w:val="32"/>
        </w:rPr>
        <w:t>国有资本经营预算</w:t>
      </w:r>
      <w:r>
        <w:rPr>
          <w:rFonts w:hint="eastAsia" w:ascii="楷体" w:hAnsi="楷体" w:eastAsia="楷体" w:cs="楷体"/>
          <w:sz w:val="32"/>
          <w:szCs w:val="32"/>
          <w:lang w:eastAsia="zh-CN"/>
        </w:rPr>
        <w:t>财力</w:t>
      </w:r>
    </w:p>
    <w:p>
      <w:pPr>
        <w:spacing w:line="580" w:lineRule="exact"/>
        <w:ind w:firstLine="640" w:firstLineChars="200"/>
        <w:rPr>
          <w:rFonts w:hint="eastAsia"/>
          <w:color w:val="auto"/>
        </w:rPr>
      </w:pPr>
      <w:r>
        <w:rPr>
          <w:rFonts w:hint="eastAsia" w:ascii="仿宋_GB2312" w:hAnsi="仿宋_GB2312" w:eastAsia="仿宋_GB2312" w:cs="仿宋_GB2312"/>
          <w:color w:val="auto"/>
          <w:sz w:val="32"/>
          <w:szCs w:val="32"/>
        </w:rPr>
        <w:t>县本级国有资本经营收入预算</w:t>
      </w:r>
      <w:r>
        <w:rPr>
          <w:rFonts w:hint="eastAsia" w:ascii="仿宋_GB2312" w:hAnsi="仿宋_GB2312" w:eastAsia="仿宋_GB2312" w:cs="仿宋_GB2312"/>
          <w:color w:val="auto"/>
          <w:sz w:val="32"/>
          <w:szCs w:val="32"/>
          <w:lang w:eastAsia="zh-CN"/>
        </w:rPr>
        <w:t>调整</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147万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加上上年结转</w:t>
      </w:r>
      <w:r>
        <w:rPr>
          <w:rFonts w:hint="eastAsia" w:ascii="仿宋_GB2312" w:hAnsi="仿宋_GB2312" w:eastAsia="仿宋_GB2312" w:cs="仿宋_GB2312"/>
          <w:color w:val="auto"/>
          <w:sz w:val="32"/>
          <w:szCs w:val="32"/>
          <w:lang w:val="en-US" w:eastAsia="zh-CN"/>
        </w:rPr>
        <w:t>30万元，调出一般预算53.1万元，财力</w:t>
      </w:r>
      <w:r>
        <w:rPr>
          <w:rFonts w:hint="eastAsia" w:ascii="仿宋_GB2312" w:hAnsi="仿宋_GB2312" w:eastAsia="仿宋_GB2312" w:cs="仿宋_GB2312"/>
          <w:color w:val="auto"/>
          <w:sz w:val="32"/>
          <w:szCs w:val="32"/>
          <w:lang w:eastAsia="zh-CN"/>
        </w:rPr>
        <w:t>调整为</w:t>
      </w:r>
      <w:r>
        <w:rPr>
          <w:rFonts w:hint="eastAsia" w:ascii="仿宋_GB2312" w:hAnsi="仿宋_GB2312" w:eastAsia="仿宋_GB2312" w:cs="仿宋_GB2312"/>
          <w:color w:val="auto"/>
          <w:sz w:val="32"/>
          <w:szCs w:val="32"/>
          <w:lang w:val="en-US" w:eastAsia="zh-CN"/>
        </w:rPr>
        <w:t>123.9万元，</w:t>
      </w:r>
      <w:r>
        <w:rPr>
          <w:rFonts w:hint="eastAsia" w:ascii="仿宋_GB2312" w:hAnsi="仿宋_GB2312" w:eastAsia="仿宋_GB2312" w:cs="仿宋_GB2312"/>
          <w:color w:val="auto"/>
          <w:sz w:val="32"/>
          <w:szCs w:val="32"/>
        </w:rPr>
        <w:t>比年初预算财力</w:t>
      </w:r>
      <w:r>
        <w:rPr>
          <w:rFonts w:hint="eastAsia" w:ascii="仿宋_GB2312" w:hAnsi="仿宋_GB2312" w:eastAsia="仿宋_GB2312" w:cs="仿宋_GB2312"/>
          <w:color w:val="auto"/>
          <w:sz w:val="32"/>
          <w:szCs w:val="32"/>
          <w:lang w:val="en-US" w:eastAsia="zh-CN"/>
        </w:rPr>
        <w:t>151.2万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调减27.3万元。</w:t>
      </w:r>
    </w:p>
    <w:p>
      <w:pPr>
        <w:tabs>
          <w:tab w:val="left" w:pos="8640"/>
        </w:tabs>
        <w:spacing w:line="600" w:lineRule="exact"/>
        <w:ind w:firstLine="956" w:firstLineChars="2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w:t>
      </w:r>
      <w:r>
        <w:rPr>
          <w:rFonts w:hint="eastAsia" w:ascii="黑体" w:hAnsi="黑体" w:eastAsia="黑体" w:cs="黑体"/>
          <w:b w:val="0"/>
          <w:bCs/>
          <w:color w:val="auto"/>
          <w:sz w:val="32"/>
          <w:szCs w:val="32"/>
          <w:lang w:eastAsia="zh-CN"/>
        </w:rPr>
        <w:t>202</w:t>
      </w:r>
      <w:r>
        <w:rPr>
          <w:rFonts w:hint="eastAsia" w:ascii="黑体" w:hAnsi="黑体" w:eastAsia="黑体" w:cs="黑体"/>
          <w:b w:val="0"/>
          <w:bCs/>
          <w:color w:val="auto"/>
          <w:sz w:val="32"/>
          <w:szCs w:val="32"/>
          <w:lang w:val="en-US" w:eastAsia="zh-CN"/>
        </w:rPr>
        <w:t>1</w:t>
      </w:r>
      <w:r>
        <w:rPr>
          <w:rFonts w:hint="eastAsia" w:ascii="黑体" w:hAnsi="黑体" w:eastAsia="黑体" w:cs="黑体"/>
          <w:b w:val="0"/>
          <w:bCs/>
          <w:color w:val="auto"/>
          <w:sz w:val="32"/>
          <w:szCs w:val="32"/>
        </w:rPr>
        <w:t>年财政支出预算调整</w:t>
      </w:r>
    </w:p>
    <w:p>
      <w:pPr>
        <w:tabs>
          <w:tab w:val="left" w:pos="8640"/>
        </w:tabs>
        <w:spacing w:line="60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根据收入完成情况、政策性增支、支出结构变化以及部门支出情况等因素，拟对年初支出项目预算做出相应调整。</w:t>
      </w:r>
    </w:p>
    <w:p>
      <w:pPr>
        <w:spacing w:line="60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（一）公共财政项目支出预算调整</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1、调减年初预算安排的项目支出</w:t>
      </w:r>
      <w:r>
        <w:rPr>
          <w:rFonts w:hint="eastAsia" w:ascii="仿宋_GB2312" w:hAnsi="仿宋_GB2312" w:eastAsia="仿宋_GB2312" w:cs="仿宋_GB2312"/>
          <w:color w:val="auto"/>
          <w:sz w:val="32"/>
          <w:szCs w:val="32"/>
          <w:lang w:val="en-US" w:eastAsia="zh-CN"/>
        </w:rPr>
        <w:t>13.79</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-9.98</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-3.81</w:t>
      </w:r>
      <w:r>
        <w:rPr>
          <w:rFonts w:hint="eastAsia" w:ascii="仿宋_GB2312" w:hAnsi="仿宋_GB2312" w:eastAsia="仿宋_GB2312" w:cs="仿宋_GB2312"/>
          <w:color w:val="auto"/>
          <w:sz w:val="32"/>
          <w:szCs w:val="32"/>
        </w:rPr>
        <w:t>亿元）。</w:t>
      </w:r>
    </w:p>
    <w:p>
      <w:pPr>
        <w:numPr>
          <w:ilvl w:val="0"/>
          <w:numId w:val="0"/>
        </w:numPr>
        <w:spacing w:line="600" w:lineRule="exact"/>
        <w:ind w:leftChars="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2、调增全县当年预算支出</w:t>
      </w:r>
      <w:r>
        <w:rPr>
          <w:rFonts w:hint="eastAsia" w:ascii="仿宋_GB2312" w:hAnsi="仿宋_GB2312" w:eastAsia="仿宋_GB2312" w:cs="仿宋_GB2312"/>
          <w:color w:val="auto"/>
          <w:sz w:val="32"/>
          <w:szCs w:val="32"/>
          <w:lang w:val="en-US" w:eastAsia="zh-CN"/>
        </w:rPr>
        <w:t>20.04</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15.29</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4.75</w:t>
      </w:r>
      <w:r>
        <w:rPr>
          <w:rFonts w:hint="eastAsia" w:ascii="仿宋_GB2312" w:hAnsi="仿宋_GB2312" w:eastAsia="仿宋_GB2312" w:cs="仿宋_GB2312"/>
          <w:color w:val="auto"/>
          <w:sz w:val="32"/>
          <w:szCs w:val="32"/>
        </w:rPr>
        <w:t>亿元）。</w:t>
      </w:r>
    </w:p>
    <w:p>
      <w:pPr>
        <w:spacing w:line="600" w:lineRule="exact"/>
        <w:ind w:left="0" w:leftChars="0"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根据上述项目预算调整方案，调整后安排全县一般公共预算支出</w:t>
      </w:r>
      <w:r>
        <w:rPr>
          <w:rFonts w:hint="eastAsia" w:ascii="仿宋_GB2312" w:hAnsi="仿宋_GB2312" w:eastAsia="仿宋_GB2312" w:cs="仿宋_GB2312"/>
          <w:b/>
          <w:bCs/>
          <w:color w:val="auto"/>
          <w:sz w:val="32"/>
          <w:szCs w:val="32"/>
          <w:lang w:val="en-US" w:eastAsia="zh-CN"/>
        </w:rPr>
        <w:t>96.42</w:t>
      </w:r>
      <w:r>
        <w:rPr>
          <w:rFonts w:hint="eastAsia" w:ascii="仿宋_GB2312" w:hAnsi="仿宋_GB2312" w:eastAsia="仿宋_GB2312" w:cs="仿宋_GB2312"/>
          <w:b/>
          <w:bCs/>
          <w:color w:val="auto"/>
          <w:sz w:val="32"/>
          <w:szCs w:val="32"/>
        </w:rPr>
        <w:t>亿元（县本级</w:t>
      </w:r>
      <w:r>
        <w:rPr>
          <w:rFonts w:hint="eastAsia" w:ascii="仿宋_GB2312" w:hAnsi="仿宋_GB2312" w:eastAsia="仿宋_GB2312" w:cs="仿宋_GB2312"/>
          <w:b/>
          <w:bCs/>
          <w:color w:val="auto"/>
          <w:sz w:val="32"/>
          <w:szCs w:val="32"/>
          <w:lang w:val="en-US" w:eastAsia="zh-CN"/>
        </w:rPr>
        <w:t>74.69</w:t>
      </w:r>
      <w:r>
        <w:rPr>
          <w:rFonts w:hint="eastAsia" w:ascii="仿宋_GB2312" w:hAnsi="仿宋_GB2312" w:eastAsia="仿宋_GB2312" w:cs="仿宋_GB2312"/>
          <w:b/>
          <w:bCs/>
          <w:color w:val="auto"/>
          <w:sz w:val="32"/>
          <w:szCs w:val="32"/>
        </w:rPr>
        <w:t>亿元，高新区</w:t>
      </w:r>
      <w:r>
        <w:rPr>
          <w:rFonts w:hint="eastAsia" w:ascii="仿宋_GB2312" w:hAnsi="仿宋_GB2312" w:eastAsia="仿宋_GB2312" w:cs="仿宋_GB2312"/>
          <w:b/>
          <w:bCs/>
          <w:color w:val="auto"/>
          <w:sz w:val="32"/>
          <w:szCs w:val="32"/>
          <w:lang w:val="en-US" w:eastAsia="zh-CN"/>
        </w:rPr>
        <w:t>21.73</w:t>
      </w:r>
      <w:r>
        <w:rPr>
          <w:rFonts w:hint="eastAsia" w:ascii="仿宋_GB2312" w:hAnsi="仿宋_GB2312" w:eastAsia="仿宋_GB2312" w:cs="仿宋_GB2312"/>
          <w:b/>
          <w:bCs/>
          <w:color w:val="auto"/>
          <w:sz w:val="32"/>
          <w:szCs w:val="32"/>
        </w:rPr>
        <w:t>亿元），调</w:t>
      </w:r>
      <w:r>
        <w:rPr>
          <w:rFonts w:hint="eastAsia" w:ascii="仿宋_GB2312" w:hAnsi="仿宋_GB2312" w:eastAsia="仿宋_GB2312" w:cs="仿宋_GB2312"/>
          <w:b/>
          <w:bCs/>
          <w:color w:val="auto"/>
          <w:sz w:val="32"/>
          <w:szCs w:val="32"/>
          <w:lang w:eastAsia="zh-CN"/>
        </w:rPr>
        <w:t>增</w:t>
      </w:r>
      <w:r>
        <w:rPr>
          <w:rFonts w:hint="eastAsia" w:ascii="仿宋_GB2312" w:hAnsi="仿宋_GB2312" w:eastAsia="仿宋_GB2312" w:cs="仿宋_GB2312"/>
          <w:b/>
          <w:bCs/>
          <w:color w:val="auto"/>
          <w:sz w:val="32"/>
          <w:szCs w:val="32"/>
          <w:lang w:val="en-US" w:eastAsia="zh-CN"/>
        </w:rPr>
        <w:t>6.25</w:t>
      </w:r>
      <w:r>
        <w:rPr>
          <w:rFonts w:hint="eastAsia" w:ascii="仿宋_GB2312" w:hAnsi="仿宋_GB2312" w:eastAsia="仿宋_GB2312" w:cs="仿宋_GB2312"/>
          <w:b/>
          <w:bCs/>
          <w:color w:val="auto"/>
          <w:sz w:val="32"/>
          <w:szCs w:val="32"/>
        </w:rPr>
        <w:t>亿元（县本级</w:t>
      </w:r>
      <w:r>
        <w:rPr>
          <w:rFonts w:hint="eastAsia" w:ascii="仿宋_GB2312" w:hAnsi="仿宋_GB2312" w:eastAsia="仿宋_GB2312" w:cs="仿宋_GB2312"/>
          <w:b/>
          <w:bCs/>
          <w:color w:val="auto"/>
          <w:sz w:val="32"/>
          <w:szCs w:val="32"/>
          <w:lang w:val="en-US" w:eastAsia="zh-CN"/>
        </w:rPr>
        <w:t>5.31亿</w:t>
      </w:r>
      <w:r>
        <w:rPr>
          <w:rFonts w:hint="eastAsia" w:ascii="仿宋_GB2312" w:hAnsi="仿宋_GB2312" w:eastAsia="仿宋_GB2312" w:cs="仿宋_GB2312"/>
          <w:b/>
          <w:bCs/>
          <w:color w:val="auto"/>
          <w:sz w:val="32"/>
          <w:szCs w:val="32"/>
        </w:rPr>
        <w:t>元，高新区</w:t>
      </w:r>
      <w:r>
        <w:rPr>
          <w:rFonts w:hint="eastAsia" w:ascii="仿宋_GB2312" w:hAnsi="仿宋_GB2312" w:eastAsia="仿宋_GB2312" w:cs="仿宋_GB2312"/>
          <w:b/>
          <w:bCs/>
          <w:color w:val="auto"/>
          <w:sz w:val="32"/>
          <w:szCs w:val="32"/>
          <w:lang w:val="en-US" w:eastAsia="zh-CN"/>
        </w:rPr>
        <w:t>0.94</w:t>
      </w:r>
      <w:r>
        <w:rPr>
          <w:rFonts w:hint="eastAsia" w:ascii="仿宋_GB2312" w:hAnsi="仿宋_GB2312" w:eastAsia="仿宋_GB2312" w:cs="仿宋_GB2312"/>
          <w:b/>
          <w:bCs/>
          <w:color w:val="auto"/>
          <w:sz w:val="32"/>
          <w:szCs w:val="32"/>
        </w:rPr>
        <w:t>亿元），</w:t>
      </w:r>
      <w:r>
        <w:rPr>
          <w:rFonts w:hint="eastAsia" w:ascii="仿宋_GB2312" w:hAnsi="仿宋_GB2312" w:eastAsia="仿宋_GB2312" w:cs="仿宋_GB2312"/>
          <w:b/>
          <w:bCs/>
          <w:color w:val="auto"/>
          <w:sz w:val="32"/>
          <w:szCs w:val="32"/>
          <w:lang w:eastAsia="zh-CN"/>
        </w:rPr>
        <w:t>结余</w:t>
      </w:r>
      <w:r>
        <w:rPr>
          <w:rFonts w:hint="eastAsia" w:ascii="仿宋_GB2312" w:hAnsi="仿宋_GB2312" w:eastAsia="仿宋_GB2312" w:cs="仿宋_GB2312"/>
          <w:b/>
          <w:bCs/>
          <w:color w:val="auto"/>
          <w:sz w:val="32"/>
          <w:szCs w:val="32"/>
          <w:lang w:val="en-US" w:eastAsia="zh-CN"/>
        </w:rPr>
        <w:t>7.85亿元，转入预算稳定调节基金</w:t>
      </w:r>
      <w:r>
        <w:rPr>
          <w:rFonts w:hint="eastAsia" w:ascii="仿宋_GB2312" w:hAnsi="仿宋_GB2312" w:eastAsia="仿宋_GB2312" w:cs="仿宋_GB2312"/>
          <w:b/>
          <w:bCs/>
          <w:color w:val="auto"/>
          <w:sz w:val="32"/>
          <w:szCs w:val="32"/>
        </w:rPr>
        <w:t xml:space="preserve">。 </w:t>
      </w:r>
    </w:p>
    <w:p>
      <w:pPr>
        <w:spacing w:line="60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（二）政府性基金</w:t>
      </w:r>
      <w:r>
        <w:rPr>
          <w:rFonts w:hint="eastAsia" w:ascii="楷体_GB2312" w:hAnsi="楷体_GB2312" w:eastAsia="楷体_GB2312" w:cs="楷体_GB2312"/>
          <w:color w:val="auto"/>
          <w:sz w:val="32"/>
          <w:szCs w:val="32"/>
          <w:lang w:eastAsia="zh-CN"/>
        </w:rPr>
        <w:t>项目</w:t>
      </w:r>
      <w:r>
        <w:rPr>
          <w:rFonts w:hint="eastAsia" w:ascii="楷体_GB2312" w:hAnsi="楷体_GB2312" w:eastAsia="楷体_GB2312" w:cs="楷体_GB2312"/>
          <w:color w:val="auto"/>
          <w:sz w:val="32"/>
          <w:szCs w:val="32"/>
        </w:rPr>
        <w:t>支出预算调整</w:t>
      </w:r>
    </w:p>
    <w:p>
      <w:pPr>
        <w:spacing w:line="600" w:lineRule="exact"/>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1、调减全县年初基金安排的项目支出</w:t>
      </w:r>
      <w:r>
        <w:rPr>
          <w:rFonts w:hint="eastAsia" w:ascii="仿宋_GB2312" w:hAnsi="仿宋_GB2312" w:eastAsia="仿宋_GB2312" w:cs="仿宋_GB2312"/>
          <w:color w:val="auto"/>
          <w:sz w:val="32"/>
          <w:szCs w:val="32"/>
          <w:lang w:val="en-US" w:eastAsia="zh-CN"/>
        </w:rPr>
        <w:t>141.08</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-120.76亿</w:t>
      </w:r>
      <w:r>
        <w:rPr>
          <w:rFonts w:hint="eastAsia" w:ascii="仿宋_GB2312" w:hAnsi="仿宋_GB2312" w:eastAsia="仿宋_GB2312" w:cs="仿宋_GB2312"/>
          <w:color w:val="auto"/>
          <w:sz w:val="32"/>
          <w:szCs w:val="32"/>
        </w:rPr>
        <w:t>元,高新区</w:t>
      </w:r>
      <w:r>
        <w:rPr>
          <w:rFonts w:hint="eastAsia" w:ascii="仿宋_GB2312" w:hAnsi="仿宋_GB2312" w:eastAsia="仿宋_GB2312" w:cs="仿宋_GB2312"/>
          <w:color w:val="auto"/>
          <w:sz w:val="32"/>
          <w:szCs w:val="32"/>
          <w:lang w:val="en-US" w:eastAsia="zh-CN"/>
        </w:rPr>
        <w:t>-20.32</w:t>
      </w:r>
      <w:r>
        <w:rPr>
          <w:rFonts w:hint="eastAsia" w:ascii="仿宋_GB2312" w:hAnsi="仿宋_GB2312" w:eastAsia="仿宋_GB2312" w:cs="仿宋_GB2312"/>
          <w:color w:val="auto"/>
          <w:sz w:val="32"/>
          <w:szCs w:val="32"/>
        </w:rPr>
        <w:t>亿元）。</w:t>
      </w:r>
    </w:p>
    <w:p>
      <w:pPr>
        <w:spacing w:line="600" w:lineRule="exact"/>
        <w:ind w:firstLine="800" w:firstLineChars="25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2、调增当年基金项目支出</w:t>
      </w:r>
      <w:r>
        <w:rPr>
          <w:rFonts w:hint="eastAsia" w:ascii="仿宋_GB2312" w:hAnsi="仿宋_GB2312" w:eastAsia="仿宋_GB2312" w:cs="仿宋_GB2312"/>
          <w:color w:val="auto"/>
          <w:sz w:val="32"/>
          <w:szCs w:val="32"/>
          <w:lang w:val="en-US" w:eastAsia="zh-CN"/>
        </w:rPr>
        <w:t>46.74</w:t>
      </w:r>
      <w:r>
        <w:rPr>
          <w:rFonts w:hint="eastAsia" w:ascii="仿宋_GB2312" w:hAnsi="仿宋_GB2312" w:eastAsia="仿宋_GB2312" w:cs="仿宋_GB2312"/>
          <w:color w:val="auto"/>
          <w:sz w:val="32"/>
          <w:szCs w:val="32"/>
        </w:rPr>
        <w:t>亿元（闽侯县</w:t>
      </w:r>
      <w:r>
        <w:rPr>
          <w:rFonts w:hint="eastAsia" w:ascii="仿宋_GB2312" w:hAnsi="仿宋_GB2312" w:eastAsia="仿宋_GB2312" w:cs="仿宋_GB2312"/>
          <w:color w:val="auto"/>
          <w:sz w:val="32"/>
          <w:szCs w:val="32"/>
          <w:lang w:val="en-US" w:eastAsia="zh-CN"/>
        </w:rPr>
        <w:t>36.01</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10.73</w:t>
      </w:r>
      <w:r>
        <w:rPr>
          <w:rFonts w:hint="eastAsia" w:ascii="仿宋_GB2312" w:hAnsi="仿宋_GB2312" w:eastAsia="仿宋_GB2312" w:cs="仿宋_GB2312"/>
          <w:color w:val="auto"/>
          <w:sz w:val="32"/>
          <w:szCs w:val="32"/>
        </w:rPr>
        <w:t>亿元）。</w:t>
      </w:r>
    </w:p>
    <w:p>
      <w:pPr>
        <w:spacing w:line="60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根据上述调整方案，调整后当年全县基金支出为</w:t>
      </w:r>
      <w:r>
        <w:rPr>
          <w:rFonts w:hint="eastAsia" w:ascii="仿宋_GB2312" w:hAnsi="仿宋_GB2312" w:eastAsia="仿宋_GB2312" w:cs="仿宋_GB2312"/>
          <w:b/>
          <w:bCs/>
          <w:color w:val="auto"/>
          <w:sz w:val="32"/>
          <w:szCs w:val="32"/>
          <w:lang w:val="en-US" w:eastAsia="zh-CN"/>
        </w:rPr>
        <w:t>100.74亿</w:t>
      </w:r>
      <w:r>
        <w:rPr>
          <w:rFonts w:hint="eastAsia" w:ascii="仿宋_GB2312" w:hAnsi="仿宋_GB2312" w:eastAsia="仿宋_GB2312" w:cs="仿宋_GB2312"/>
          <w:b/>
          <w:bCs/>
          <w:color w:val="auto"/>
          <w:sz w:val="32"/>
          <w:szCs w:val="32"/>
        </w:rPr>
        <w:t>元（县本级</w:t>
      </w:r>
      <w:r>
        <w:rPr>
          <w:rFonts w:hint="eastAsia" w:ascii="仿宋_GB2312" w:hAnsi="仿宋_GB2312" w:eastAsia="仿宋_GB2312" w:cs="仿宋_GB2312"/>
          <w:b/>
          <w:bCs/>
          <w:color w:val="auto"/>
          <w:sz w:val="32"/>
          <w:szCs w:val="32"/>
          <w:lang w:val="en-US" w:eastAsia="zh-CN"/>
        </w:rPr>
        <w:t>65.25</w:t>
      </w:r>
      <w:r>
        <w:rPr>
          <w:rFonts w:hint="eastAsia" w:ascii="仿宋_GB2312" w:hAnsi="仿宋_GB2312" w:eastAsia="仿宋_GB2312" w:cs="仿宋_GB2312"/>
          <w:b/>
          <w:bCs/>
          <w:color w:val="auto"/>
          <w:sz w:val="32"/>
          <w:szCs w:val="32"/>
        </w:rPr>
        <w:t>亿元，高新区</w:t>
      </w:r>
      <w:r>
        <w:rPr>
          <w:rFonts w:hint="eastAsia" w:ascii="仿宋_GB2312" w:hAnsi="仿宋_GB2312" w:eastAsia="仿宋_GB2312" w:cs="仿宋_GB2312"/>
          <w:b/>
          <w:bCs/>
          <w:color w:val="auto"/>
          <w:sz w:val="32"/>
          <w:szCs w:val="32"/>
          <w:lang w:val="en-US" w:eastAsia="zh-CN"/>
        </w:rPr>
        <w:t>35.49</w:t>
      </w:r>
      <w:r>
        <w:rPr>
          <w:rFonts w:hint="eastAsia" w:ascii="仿宋_GB2312" w:hAnsi="仿宋_GB2312" w:eastAsia="仿宋_GB2312" w:cs="仿宋_GB2312"/>
          <w:b/>
          <w:bCs/>
          <w:color w:val="auto"/>
          <w:sz w:val="32"/>
          <w:szCs w:val="32"/>
        </w:rPr>
        <w:t>亿元），调</w:t>
      </w:r>
      <w:r>
        <w:rPr>
          <w:rFonts w:hint="eastAsia" w:ascii="仿宋_GB2312" w:hAnsi="仿宋_GB2312" w:eastAsia="仿宋_GB2312" w:cs="仿宋_GB2312"/>
          <w:b/>
          <w:bCs/>
          <w:color w:val="auto"/>
          <w:sz w:val="32"/>
          <w:szCs w:val="32"/>
          <w:lang w:eastAsia="zh-CN"/>
        </w:rPr>
        <w:t>减</w:t>
      </w:r>
      <w:r>
        <w:rPr>
          <w:rFonts w:hint="eastAsia" w:ascii="仿宋_GB2312" w:hAnsi="仿宋_GB2312" w:eastAsia="仿宋_GB2312" w:cs="仿宋_GB2312"/>
          <w:b/>
          <w:bCs/>
          <w:color w:val="auto"/>
          <w:sz w:val="32"/>
          <w:szCs w:val="32"/>
          <w:lang w:val="en-US" w:eastAsia="zh-CN"/>
        </w:rPr>
        <w:t>94.34</w:t>
      </w:r>
      <w:r>
        <w:rPr>
          <w:rFonts w:hint="eastAsia" w:ascii="仿宋_GB2312" w:hAnsi="仿宋_GB2312" w:eastAsia="仿宋_GB2312" w:cs="仿宋_GB2312"/>
          <w:b/>
          <w:bCs/>
          <w:color w:val="auto"/>
          <w:sz w:val="32"/>
          <w:szCs w:val="32"/>
        </w:rPr>
        <w:t>亿元（县本级</w:t>
      </w:r>
      <w:r>
        <w:rPr>
          <w:rFonts w:hint="eastAsia" w:ascii="仿宋_GB2312" w:hAnsi="仿宋_GB2312" w:eastAsia="仿宋_GB2312" w:cs="仿宋_GB2312"/>
          <w:b/>
          <w:bCs/>
          <w:color w:val="auto"/>
          <w:sz w:val="32"/>
          <w:szCs w:val="32"/>
          <w:lang w:val="en-US" w:eastAsia="zh-CN"/>
        </w:rPr>
        <w:t>-84.75</w:t>
      </w:r>
      <w:r>
        <w:rPr>
          <w:rFonts w:hint="eastAsia" w:ascii="仿宋_GB2312" w:hAnsi="仿宋_GB2312" w:eastAsia="仿宋_GB2312" w:cs="仿宋_GB2312"/>
          <w:b/>
          <w:bCs/>
          <w:color w:val="auto"/>
          <w:sz w:val="32"/>
          <w:szCs w:val="32"/>
        </w:rPr>
        <w:t>亿元，高新区</w:t>
      </w:r>
      <w:r>
        <w:rPr>
          <w:rFonts w:hint="eastAsia" w:ascii="仿宋_GB2312" w:hAnsi="仿宋_GB2312" w:eastAsia="仿宋_GB2312" w:cs="仿宋_GB2312"/>
          <w:b/>
          <w:bCs/>
          <w:color w:val="auto"/>
          <w:sz w:val="32"/>
          <w:szCs w:val="32"/>
          <w:lang w:val="en-US" w:eastAsia="zh-CN"/>
        </w:rPr>
        <w:t>-9.59</w:t>
      </w:r>
      <w:r>
        <w:rPr>
          <w:rFonts w:hint="eastAsia" w:ascii="仿宋_GB2312" w:hAnsi="仿宋_GB2312" w:eastAsia="仿宋_GB2312" w:cs="仿宋_GB2312"/>
          <w:b/>
          <w:bCs/>
          <w:color w:val="auto"/>
          <w:sz w:val="32"/>
          <w:szCs w:val="32"/>
        </w:rPr>
        <w:t>亿元），</w:t>
      </w:r>
      <w:r>
        <w:rPr>
          <w:rFonts w:hint="eastAsia" w:ascii="仿宋_GB2312" w:hAnsi="仿宋_GB2312" w:eastAsia="仿宋_GB2312" w:cs="仿宋_GB2312"/>
          <w:b/>
          <w:bCs/>
          <w:color w:val="auto"/>
          <w:sz w:val="32"/>
          <w:szCs w:val="32"/>
          <w:lang w:eastAsia="zh-CN"/>
        </w:rPr>
        <w:t>结余</w:t>
      </w:r>
      <w:r>
        <w:rPr>
          <w:rFonts w:hint="eastAsia" w:ascii="仿宋_GB2312" w:hAnsi="仿宋_GB2312" w:eastAsia="仿宋_GB2312" w:cs="仿宋_GB2312"/>
          <w:b/>
          <w:bCs/>
          <w:color w:val="auto"/>
          <w:sz w:val="32"/>
          <w:szCs w:val="32"/>
          <w:lang w:val="en-US" w:eastAsia="zh-CN"/>
        </w:rPr>
        <w:t>0.28亿元(</w:t>
      </w:r>
      <w:r>
        <w:rPr>
          <w:rFonts w:hint="eastAsia" w:ascii="仿宋_GB2312" w:hAnsi="仿宋_GB2312" w:eastAsia="仿宋_GB2312" w:cs="仿宋_GB2312"/>
          <w:b/>
          <w:bCs/>
          <w:color w:val="auto"/>
          <w:sz w:val="32"/>
          <w:szCs w:val="32"/>
        </w:rPr>
        <w:t>高新区</w:t>
      </w:r>
      <w:r>
        <w:rPr>
          <w:rFonts w:hint="eastAsia" w:ascii="仿宋_GB2312" w:hAnsi="仿宋_GB2312" w:eastAsia="仿宋_GB2312" w:cs="仿宋_GB2312"/>
          <w:b/>
          <w:bCs/>
          <w:color w:val="auto"/>
          <w:sz w:val="32"/>
          <w:szCs w:val="32"/>
          <w:lang w:val="en-US" w:eastAsia="zh-CN"/>
        </w:rPr>
        <w:t>0.28</w:t>
      </w:r>
      <w:r>
        <w:rPr>
          <w:rFonts w:hint="eastAsia" w:ascii="仿宋_GB2312" w:hAnsi="仿宋_GB2312" w:eastAsia="仿宋_GB2312" w:cs="仿宋_GB2312"/>
          <w:b/>
          <w:bCs/>
          <w:color w:val="auto"/>
          <w:sz w:val="32"/>
          <w:szCs w:val="32"/>
        </w:rPr>
        <w:t>亿元</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w:t>
      </w:r>
    </w:p>
    <w:p>
      <w:pPr>
        <w:spacing w:line="580" w:lineRule="exact"/>
        <w:ind w:firstLine="640" w:firstLineChars="200"/>
        <w:rPr>
          <w:rFonts w:hint="eastAsia"/>
          <w:b/>
          <w:bCs/>
          <w:color w:val="auto"/>
        </w:rPr>
      </w:pP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国有资本经营</w:t>
      </w:r>
      <w:r>
        <w:rPr>
          <w:rFonts w:hint="eastAsia" w:ascii="楷体" w:hAnsi="楷体" w:eastAsia="楷体" w:cs="楷体"/>
          <w:color w:val="auto"/>
          <w:sz w:val="32"/>
          <w:szCs w:val="32"/>
          <w:lang w:eastAsia="zh-CN"/>
        </w:rPr>
        <w:t>支出</w:t>
      </w:r>
      <w:r>
        <w:rPr>
          <w:rFonts w:hint="eastAsia" w:ascii="楷体" w:hAnsi="楷体" w:eastAsia="楷体" w:cs="楷体"/>
          <w:color w:val="auto"/>
          <w:sz w:val="32"/>
          <w:szCs w:val="32"/>
        </w:rPr>
        <w:t>预算</w:t>
      </w:r>
      <w:r>
        <w:rPr>
          <w:rFonts w:hint="eastAsia" w:ascii="楷体" w:hAnsi="楷体" w:eastAsia="楷体" w:cs="楷体"/>
          <w:color w:val="auto"/>
          <w:sz w:val="32"/>
          <w:szCs w:val="32"/>
          <w:lang w:eastAsia="zh-CN"/>
        </w:rPr>
        <w:t>调整。</w:t>
      </w:r>
      <w:r>
        <w:rPr>
          <w:rFonts w:hint="eastAsia" w:ascii="仿宋_GB2312" w:hAnsi="仿宋_GB2312" w:eastAsia="仿宋_GB2312" w:cs="仿宋_GB2312"/>
          <w:b/>
          <w:bCs/>
          <w:color w:val="auto"/>
          <w:sz w:val="32"/>
          <w:szCs w:val="32"/>
          <w:lang w:eastAsia="zh-CN"/>
        </w:rPr>
        <w:t>经</w:t>
      </w:r>
      <w:r>
        <w:rPr>
          <w:rFonts w:hint="eastAsia" w:ascii="仿宋_GB2312" w:hAnsi="仿宋_GB2312" w:eastAsia="仿宋_GB2312" w:cs="仿宋_GB2312"/>
          <w:b/>
          <w:bCs/>
          <w:color w:val="auto"/>
          <w:sz w:val="32"/>
          <w:szCs w:val="32"/>
        </w:rPr>
        <w:t>调整后</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县本级国有资本经营预算</w:t>
      </w:r>
      <w:r>
        <w:rPr>
          <w:rFonts w:hint="eastAsia" w:ascii="仿宋_GB2312" w:hAnsi="仿宋_GB2312" w:eastAsia="仿宋_GB2312" w:cs="仿宋_GB2312"/>
          <w:b/>
          <w:bCs/>
          <w:color w:val="auto"/>
          <w:sz w:val="32"/>
          <w:szCs w:val="32"/>
          <w:lang w:eastAsia="zh-CN"/>
        </w:rPr>
        <w:t>支出调整</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123.9万元，调减27.3万元。</w:t>
      </w:r>
    </w:p>
    <w:p>
      <w:pPr>
        <w:numPr>
          <w:ilvl w:val="0"/>
          <w:numId w:val="0"/>
        </w:numPr>
        <w:spacing w:line="600" w:lineRule="exact"/>
        <w:ind w:firstLine="640" w:firstLineChars="200"/>
        <w:rPr>
          <w:rFonts w:hint="eastAsia" w:ascii="黑体" w:hAnsi="黑体" w:eastAsia="黑体" w:cs="黑体"/>
          <w:color w:val="000000"/>
          <w:kern w:val="0"/>
          <w:sz w:val="32"/>
          <w:szCs w:val="32"/>
          <w:u w:color="000000"/>
          <w:lang w:val="en-US" w:eastAsia="zh-CN" w:bidi="ar-SA"/>
        </w:rPr>
      </w:pPr>
      <w:r>
        <w:rPr>
          <w:rFonts w:hint="eastAsia" w:ascii="黑体" w:hAnsi="黑体" w:eastAsia="黑体" w:cs="黑体"/>
          <w:color w:val="auto"/>
          <w:sz w:val="32"/>
          <w:szCs w:val="32"/>
          <w:lang w:eastAsia="zh-CN"/>
        </w:rPr>
        <w:t>五、</w:t>
      </w:r>
      <w:r>
        <w:rPr>
          <w:rFonts w:hint="eastAsia" w:ascii="黑体" w:hAnsi="黑体" w:eastAsia="黑体" w:cs="黑体"/>
          <w:color w:val="000000"/>
          <w:kern w:val="0"/>
          <w:sz w:val="32"/>
          <w:szCs w:val="32"/>
          <w:u w:color="000000"/>
          <w:lang w:val="en-US" w:eastAsia="zh-CN" w:bidi="ar-SA"/>
        </w:rPr>
        <w:t>2021年地方政府债券资金安排使用方案</w:t>
      </w:r>
    </w:p>
    <w:p>
      <w:pPr>
        <w:spacing w:line="6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闽侯县申领到位2021年地方政府债券9.7</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lang w:eastAsia="zh-CN"/>
        </w:rPr>
        <w:t>亿元，其中：新增一般债券4.</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亿元，新增专项债券2.41亿元，再融资债券3.2</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lang w:eastAsia="zh-CN"/>
        </w:rPr>
        <w:t>亿元。截止11月末，闽侯县政府债务余额59.38亿元（其中闽侯县51.25亿元，高新区8.13亿元）。2021年债券资金主要用于：</w:t>
      </w:r>
    </w:p>
    <w:p>
      <w:pPr>
        <w:numPr>
          <w:ilvl w:val="0"/>
          <w:numId w:val="1"/>
        </w:numPr>
        <w:spacing w:line="600" w:lineRule="exact"/>
        <w:ind w:left="-10" w:leftChars="0" w:firstLine="640" w:firstLineChars="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新增一般债券资金4.</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亿元，用于南通文山至祥谦兰圃村段道路拓宽改造工程1.</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亿元、闽侯二桥2.50亿元（乡村振兴项目）。</w:t>
      </w:r>
    </w:p>
    <w:p>
      <w:pPr>
        <w:numPr>
          <w:ilvl w:val="0"/>
          <w:numId w:val="0"/>
        </w:numPr>
        <w:spacing w:line="600" w:lineRule="exact"/>
        <w:ind w:firstLine="320" w:firstLineChars="1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（二）外债转贷限额0.0</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亿元，用于指定的世界银行贷款“中国医疗卫生改革促进结果导向型项目”（以实际到位金额为准）。</w:t>
      </w:r>
    </w:p>
    <w:p>
      <w:pPr>
        <w:spacing w:line="6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三）新增专项债券2.41亿元，其中：用于县医院新病房大楼0.7亿元、白沙中心卫生院新院项目0.3亿元、上街中心卫生院扩征建设项目0.31亿元、2021年闽侯县乡镇公交场站建设项目0.3亿元、2021年闽侯县幼儿园工程项目0.3亿元、竹岐乡鸿尾乡供水工程项目0.5亿元。</w:t>
      </w:r>
    </w:p>
    <w:p>
      <w:pPr>
        <w:spacing w:line="6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（四）再融资债券3.2</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lang w:eastAsia="zh-CN"/>
        </w:rPr>
        <w:t>亿元，其中：再融资一般债券2.0</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eastAsia="zh-CN"/>
        </w:rPr>
        <w:t>亿元、再融资专项债券1.21亿元，用于偿还2021年对应的到期地方政府债券本金。</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县级预算调整后，我们将认真组织执行，并在年终决算后，将实际结果向县</w:t>
      </w:r>
      <w:r>
        <w:rPr>
          <w:rFonts w:hint="eastAsia" w:ascii="仿宋_GB2312" w:hAnsi="仿宋_GB2312" w:eastAsia="仿宋_GB2312" w:cs="仿宋_GB2312"/>
          <w:color w:val="auto"/>
          <w:sz w:val="32"/>
          <w:szCs w:val="32"/>
          <w:lang w:eastAsia="zh-CN"/>
        </w:rPr>
        <w:t>人大常委会</w:t>
      </w:r>
      <w:r>
        <w:rPr>
          <w:rFonts w:hint="eastAsia" w:ascii="仿宋_GB2312" w:hAnsi="仿宋_GB2312" w:eastAsia="仿宋_GB2312" w:cs="仿宋_GB2312"/>
          <w:color w:val="auto"/>
          <w:sz w:val="32"/>
          <w:szCs w:val="32"/>
        </w:rPr>
        <w:t>进行报告。</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年分部门分税种财政收入预算调整情况表</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年公共财政财力情况计算表</w:t>
      </w:r>
    </w:p>
    <w:p>
      <w:pPr>
        <w:spacing w:line="560" w:lineRule="exact"/>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年公共财政预算支出安排情况表</w:t>
      </w:r>
    </w:p>
    <w:p>
      <w:pPr>
        <w:spacing w:line="560" w:lineRule="exact"/>
        <w:ind w:firstLine="1593" w:firstLineChars="498"/>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年政府性基金预算支出调整情况表</w:t>
      </w:r>
    </w:p>
    <w:sectPr>
      <w:footerReference r:id="rId5" w:type="first"/>
      <w:footerReference r:id="rId3" w:type="default"/>
      <w:footerReference r:id="rId4" w:type="even"/>
      <w:pgSz w:w="11905" w:h="16837"/>
      <w:pgMar w:top="1134" w:right="1418" w:bottom="1134" w:left="1588" w:header="567" w:footer="1134" w:gutter="0"/>
      <w:pgNumType w:fmt="numberInDash" w:start="1"/>
      <w:cols w:space="368" w:num="1"/>
      <w:titlePg/>
      <w:rtlGutter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rPr>
                              <w:lang w:val="zh-CN"/>
                            </w:rPr>
                            <w:t>-</w:t>
                          </w:r>
                          <w:r>
                            <w:t xml:space="preserve">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rPr>
                        <w:lang w:val="zh-CN"/>
                      </w:rPr>
                      <w:t>-</w:t>
                    </w:r>
                    <w:r>
                      <w:t xml:space="preserve"> 5 -</w:t>
                    </w:r>
                    <w: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rPr>
                              <w:lang w:val="zh-CN"/>
                            </w:rPr>
                            <w:t>-</w:t>
                          </w:r>
                          <w:r>
                            <w:t xml:space="preserve">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rPr>
                        <w:lang w:val="zh-CN"/>
                      </w:rPr>
                      <w:t>-</w:t>
                    </w:r>
                    <w:r>
                      <w:t xml:space="preserve"> 4 -</w:t>
                    </w:r>
                    <w: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rPr>
                              <w:lang w:val="zh-CN"/>
                            </w:rPr>
                            <w:t>-</w:t>
                          </w:r>
                          <w:r>
                            <w:t xml:space="preserve">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rPr>
                        <w:lang w:val="zh-CN"/>
                      </w:rPr>
                      <w:t>-</w:t>
                    </w:r>
                    <w:r>
                      <w:t xml:space="preserve"> 1 -</w:t>
                    </w:r>
                    <w:r>
                      <w:fldChar w:fldCharType="end"/>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E0B4"/>
    <w:multiLevelType w:val="singleLevel"/>
    <w:tmpl w:val="096FE0B4"/>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YzgyNDMyZDI3NTJhZTZiOThhZjMyODdiZDYyOGIifQ=="/>
  </w:docVars>
  <w:rsids>
    <w:rsidRoot w:val="007F1E94"/>
    <w:rsid w:val="00003D32"/>
    <w:rsid w:val="00005B69"/>
    <w:rsid w:val="00010413"/>
    <w:rsid w:val="00011307"/>
    <w:rsid w:val="0001204F"/>
    <w:rsid w:val="00015EF6"/>
    <w:rsid w:val="0002001C"/>
    <w:rsid w:val="00020FE9"/>
    <w:rsid w:val="00021196"/>
    <w:rsid w:val="00021724"/>
    <w:rsid w:val="00022880"/>
    <w:rsid w:val="0002350A"/>
    <w:rsid w:val="0002459C"/>
    <w:rsid w:val="00025715"/>
    <w:rsid w:val="00025788"/>
    <w:rsid w:val="0003015B"/>
    <w:rsid w:val="000310ED"/>
    <w:rsid w:val="00040C18"/>
    <w:rsid w:val="000410DA"/>
    <w:rsid w:val="00044C5E"/>
    <w:rsid w:val="000450A6"/>
    <w:rsid w:val="0004572F"/>
    <w:rsid w:val="000506C8"/>
    <w:rsid w:val="0005307A"/>
    <w:rsid w:val="00053742"/>
    <w:rsid w:val="00054985"/>
    <w:rsid w:val="00055FC3"/>
    <w:rsid w:val="000565F3"/>
    <w:rsid w:val="00061EE2"/>
    <w:rsid w:val="000620FF"/>
    <w:rsid w:val="0006366A"/>
    <w:rsid w:val="00064685"/>
    <w:rsid w:val="00065899"/>
    <w:rsid w:val="000660A9"/>
    <w:rsid w:val="000706DC"/>
    <w:rsid w:val="0007353C"/>
    <w:rsid w:val="0007420F"/>
    <w:rsid w:val="00074E99"/>
    <w:rsid w:val="00076A35"/>
    <w:rsid w:val="00080C94"/>
    <w:rsid w:val="000815DC"/>
    <w:rsid w:val="00084DBC"/>
    <w:rsid w:val="00085810"/>
    <w:rsid w:val="00092992"/>
    <w:rsid w:val="000A14C8"/>
    <w:rsid w:val="000A2E9F"/>
    <w:rsid w:val="000A311B"/>
    <w:rsid w:val="000A38D7"/>
    <w:rsid w:val="000A3989"/>
    <w:rsid w:val="000A4368"/>
    <w:rsid w:val="000A4D5E"/>
    <w:rsid w:val="000A5110"/>
    <w:rsid w:val="000A531A"/>
    <w:rsid w:val="000B38C2"/>
    <w:rsid w:val="000B4269"/>
    <w:rsid w:val="000C443A"/>
    <w:rsid w:val="000C6E1B"/>
    <w:rsid w:val="000C7033"/>
    <w:rsid w:val="000C7818"/>
    <w:rsid w:val="000C7F98"/>
    <w:rsid w:val="000D0460"/>
    <w:rsid w:val="000D5A30"/>
    <w:rsid w:val="000D5CE6"/>
    <w:rsid w:val="000D64B4"/>
    <w:rsid w:val="000D71AD"/>
    <w:rsid w:val="000E119F"/>
    <w:rsid w:val="000E55C1"/>
    <w:rsid w:val="000E5655"/>
    <w:rsid w:val="000E6F16"/>
    <w:rsid w:val="000E714F"/>
    <w:rsid w:val="000E7FE7"/>
    <w:rsid w:val="000F03B2"/>
    <w:rsid w:val="000F13F0"/>
    <w:rsid w:val="000F1820"/>
    <w:rsid w:val="000F1C5B"/>
    <w:rsid w:val="000F2B4C"/>
    <w:rsid w:val="000F6484"/>
    <w:rsid w:val="000F6B46"/>
    <w:rsid w:val="00100F40"/>
    <w:rsid w:val="0010243D"/>
    <w:rsid w:val="00105854"/>
    <w:rsid w:val="0010703B"/>
    <w:rsid w:val="001118C5"/>
    <w:rsid w:val="00114DA3"/>
    <w:rsid w:val="0011790B"/>
    <w:rsid w:val="001231FA"/>
    <w:rsid w:val="001233EF"/>
    <w:rsid w:val="00125F21"/>
    <w:rsid w:val="00125FAE"/>
    <w:rsid w:val="00132F56"/>
    <w:rsid w:val="001349DA"/>
    <w:rsid w:val="001366F3"/>
    <w:rsid w:val="00136AAE"/>
    <w:rsid w:val="001375CC"/>
    <w:rsid w:val="00137DF9"/>
    <w:rsid w:val="001407FF"/>
    <w:rsid w:val="00140C41"/>
    <w:rsid w:val="0014159D"/>
    <w:rsid w:val="001450CC"/>
    <w:rsid w:val="001459AF"/>
    <w:rsid w:val="00146720"/>
    <w:rsid w:val="001508F6"/>
    <w:rsid w:val="00151054"/>
    <w:rsid w:val="001517B1"/>
    <w:rsid w:val="00154208"/>
    <w:rsid w:val="001548C4"/>
    <w:rsid w:val="0015504F"/>
    <w:rsid w:val="0015696E"/>
    <w:rsid w:val="0015717F"/>
    <w:rsid w:val="00166E83"/>
    <w:rsid w:val="00171465"/>
    <w:rsid w:val="001742F7"/>
    <w:rsid w:val="00174602"/>
    <w:rsid w:val="001759A3"/>
    <w:rsid w:val="00175FDA"/>
    <w:rsid w:val="00180679"/>
    <w:rsid w:val="00181E4F"/>
    <w:rsid w:val="00183037"/>
    <w:rsid w:val="0019531E"/>
    <w:rsid w:val="001A2154"/>
    <w:rsid w:val="001A2632"/>
    <w:rsid w:val="001A2B6B"/>
    <w:rsid w:val="001A2FD6"/>
    <w:rsid w:val="001A3991"/>
    <w:rsid w:val="001A3D51"/>
    <w:rsid w:val="001A4C07"/>
    <w:rsid w:val="001A4CE2"/>
    <w:rsid w:val="001A4D56"/>
    <w:rsid w:val="001A68F5"/>
    <w:rsid w:val="001B78CB"/>
    <w:rsid w:val="001C40F5"/>
    <w:rsid w:val="001C5558"/>
    <w:rsid w:val="001C5CE7"/>
    <w:rsid w:val="001C63B1"/>
    <w:rsid w:val="001C69DC"/>
    <w:rsid w:val="001C6B3F"/>
    <w:rsid w:val="001D012A"/>
    <w:rsid w:val="001D2442"/>
    <w:rsid w:val="001D3159"/>
    <w:rsid w:val="001D3E6F"/>
    <w:rsid w:val="001E05C4"/>
    <w:rsid w:val="001E0882"/>
    <w:rsid w:val="001E2B1F"/>
    <w:rsid w:val="001E3583"/>
    <w:rsid w:val="001E4FD9"/>
    <w:rsid w:val="001E5836"/>
    <w:rsid w:val="001F1ED1"/>
    <w:rsid w:val="001F2B18"/>
    <w:rsid w:val="001F468E"/>
    <w:rsid w:val="001F4E61"/>
    <w:rsid w:val="001F56BE"/>
    <w:rsid w:val="001F713F"/>
    <w:rsid w:val="0020202F"/>
    <w:rsid w:val="002062A6"/>
    <w:rsid w:val="002073BC"/>
    <w:rsid w:val="00207A3C"/>
    <w:rsid w:val="0021568C"/>
    <w:rsid w:val="00217E74"/>
    <w:rsid w:val="00221302"/>
    <w:rsid w:val="00225D34"/>
    <w:rsid w:val="00225FA8"/>
    <w:rsid w:val="0023031E"/>
    <w:rsid w:val="002310F6"/>
    <w:rsid w:val="0023125C"/>
    <w:rsid w:val="0023402E"/>
    <w:rsid w:val="00234DE4"/>
    <w:rsid w:val="00242647"/>
    <w:rsid w:val="002438C9"/>
    <w:rsid w:val="00244AD1"/>
    <w:rsid w:val="0024607D"/>
    <w:rsid w:val="0024773C"/>
    <w:rsid w:val="00251825"/>
    <w:rsid w:val="00252FC8"/>
    <w:rsid w:val="002546FE"/>
    <w:rsid w:val="00255867"/>
    <w:rsid w:val="00263F9A"/>
    <w:rsid w:val="002652A0"/>
    <w:rsid w:val="0026582C"/>
    <w:rsid w:val="00265E35"/>
    <w:rsid w:val="00271A55"/>
    <w:rsid w:val="002728DC"/>
    <w:rsid w:val="0027395A"/>
    <w:rsid w:val="00276288"/>
    <w:rsid w:val="002802D4"/>
    <w:rsid w:val="00280D7A"/>
    <w:rsid w:val="00280E33"/>
    <w:rsid w:val="00280FF4"/>
    <w:rsid w:val="00281763"/>
    <w:rsid w:val="00281EB5"/>
    <w:rsid w:val="00283BF5"/>
    <w:rsid w:val="002842BD"/>
    <w:rsid w:val="002863D9"/>
    <w:rsid w:val="002863EF"/>
    <w:rsid w:val="00286DC5"/>
    <w:rsid w:val="00286F37"/>
    <w:rsid w:val="00287AC7"/>
    <w:rsid w:val="00287B70"/>
    <w:rsid w:val="00292587"/>
    <w:rsid w:val="00293529"/>
    <w:rsid w:val="0029536C"/>
    <w:rsid w:val="002955C5"/>
    <w:rsid w:val="0029665C"/>
    <w:rsid w:val="002A2CD8"/>
    <w:rsid w:val="002A3366"/>
    <w:rsid w:val="002A5ED9"/>
    <w:rsid w:val="002A632D"/>
    <w:rsid w:val="002A6441"/>
    <w:rsid w:val="002A7343"/>
    <w:rsid w:val="002A7529"/>
    <w:rsid w:val="002B0565"/>
    <w:rsid w:val="002B082D"/>
    <w:rsid w:val="002B0DC9"/>
    <w:rsid w:val="002B13D9"/>
    <w:rsid w:val="002B18AB"/>
    <w:rsid w:val="002B203B"/>
    <w:rsid w:val="002B680A"/>
    <w:rsid w:val="002B7906"/>
    <w:rsid w:val="002C05C6"/>
    <w:rsid w:val="002C2163"/>
    <w:rsid w:val="002C21AA"/>
    <w:rsid w:val="002C53B7"/>
    <w:rsid w:val="002C5F94"/>
    <w:rsid w:val="002C7998"/>
    <w:rsid w:val="002D08DB"/>
    <w:rsid w:val="002D0FDC"/>
    <w:rsid w:val="002D27EF"/>
    <w:rsid w:val="002D3C9E"/>
    <w:rsid w:val="002D629C"/>
    <w:rsid w:val="002D6E54"/>
    <w:rsid w:val="002E1FB7"/>
    <w:rsid w:val="002E1FD5"/>
    <w:rsid w:val="002E2640"/>
    <w:rsid w:val="002E5CFE"/>
    <w:rsid w:val="002E69ED"/>
    <w:rsid w:val="002E6A9F"/>
    <w:rsid w:val="002E6C5D"/>
    <w:rsid w:val="002E7612"/>
    <w:rsid w:val="002F0F60"/>
    <w:rsid w:val="002F15A0"/>
    <w:rsid w:val="002F403D"/>
    <w:rsid w:val="002F4372"/>
    <w:rsid w:val="002F788D"/>
    <w:rsid w:val="00301080"/>
    <w:rsid w:val="003014DA"/>
    <w:rsid w:val="003016F5"/>
    <w:rsid w:val="00303060"/>
    <w:rsid w:val="0030329F"/>
    <w:rsid w:val="00305EA4"/>
    <w:rsid w:val="00306570"/>
    <w:rsid w:val="003114CF"/>
    <w:rsid w:val="003130B1"/>
    <w:rsid w:val="003148AF"/>
    <w:rsid w:val="00314C71"/>
    <w:rsid w:val="003171FC"/>
    <w:rsid w:val="00320170"/>
    <w:rsid w:val="00321ED3"/>
    <w:rsid w:val="00324249"/>
    <w:rsid w:val="003244D7"/>
    <w:rsid w:val="00324B79"/>
    <w:rsid w:val="00326C75"/>
    <w:rsid w:val="00326D3A"/>
    <w:rsid w:val="00330550"/>
    <w:rsid w:val="0033119A"/>
    <w:rsid w:val="003320E2"/>
    <w:rsid w:val="00332F3D"/>
    <w:rsid w:val="003349B7"/>
    <w:rsid w:val="00336739"/>
    <w:rsid w:val="00336E2F"/>
    <w:rsid w:val="00337964"/>
    <w:rsid w:val="003403FD"/>
    <w:rsid w:val="00340EDA"/>
    <w:rsid w:val="0034139F"/>
    <w:rsid w:val="003413BB"/>
    <w:rsid w:val="003425CD"/>
    <w:rsid w:val="00343005"/>
    <w:rsid w:val="003449AA"/>
    <w:rsid w:val="003476F1"/>
    <w:rsid w:val="00353C79"/>
    <w:rsid w:val="00355611"/>
    <w:rsid w:val="00355DDB"/>
    <w:rsid w:val="003564DB"/>
    <w:rsid w:val="00357C14"/>
    <w:rsid w:val="0036035D"/>
    <w:rsid w:val="00364315"/>
    <w:rsid w:val="00365CD5"/>
    <w:rsid w:val="003661DD"/>
    <w:rsid w:val="003666F5"/>
    <w:rsid w:val="00371DAA"/>
    <w:rsid w:val="003747ED"/>
    <w:rsid w:val="0037544D"/>
    <w:rsid w:val="003774CE"/>
    <w:rsid w:val="00381851"/>
    <w:rsid w:val="00381E8B"/>
    <w:rsid w:val="00383FA1"/>
    <w:rsid w:val="00390653"/>
    <w:rsid w:val="003925FF"/>
    <w:rsid w:val="00394A48"/>
    <w:rsid w:val="00395F7C"/>
    <w:rsid w:val="00397A9D"/>
    <w:rsid w:val="003A0F4D"/>
    <w:rsid w:val="003A4366"/>
    <w:rsid w:val="003A5030"/>
    <w:rsid w:val="003A7150"/>
    <w:rsid w:val="003A75FD"/>
    <w:rsid w:val="003A7AD9"/>
    <w:rsid w:val="003B416A"/>
    <w:rsid w:val="003C3E61"/>
    <w:rsid w:val="003C5221"/>
    <w:rsid w:val="003C7AB7"/>
    <w:rsid w:val="003D028B"/>
    <w:rsid w:val="003D03B7"/>
    <w:rsid w:val="003D0423"/>
    <w:rsid w:val="003D24A0"/>
    <w:rsid w:val="003D2B9A"/>
    <w:rsid w:val="003D56F2"/>
    <w:rsid w:val="003D7140"/>
    <w:rsid w:val="003D7A9D"/>
    <w:rsid w:val="003E0094"/>
    <w:rsid w:val="003E0B14"/>
    <w:rsid w:val="003E120A"/>
    <w:rsid w:val="003E4414"/>
    <w:rsid w:val="003E6084"/>
    <w:rsid w:val="003E6A21"/>
    <w:rsid w:val="003F25C8"/>
    <w:rsid w:val="003F4E20"/>
    <w:rsid w:val="003F5751"/>
    <w:rsid w:val="003F59A2"/>
    <w:rsid w:val="003F750F"/>
    <w:rsid w:val="00400298"/>
    <w:rsid w:val="0040129E"/>
    <w:rsid w:val="0040454B"/>
    <w:rsid w:val="00405D4A"/>
    <w:rsid w:val="00410D2D"/>
    <w:rsid w:val="004136F8"/>
    <w:rsid w:val="0041610B"/>
    <w:rsid w:val="004178EF"/>
    <w:rsid w:val="00421982"/>
    <w:rsid w:val="00425B62"/>
    <w:rsid w:val="004270FD"/>
    <w:rsid w:val="00431DF9"/>
    <w:rsid w:val="00433DD1"/>
    <w:rsid w:val="0043467A"/>
    <w:rsid w:val="00434C83"/>
    <w:rsid w:val="00436FE3"/>
    <w:rsid w:val="00441C42"/>
    <w:rsid w:val="0044409A"/>
    <w:rsid w:val="00445C63"/>
    <w:rsid w:val="00445D2E"/>
    <w:rsid w:val="00446F8E"/>
    <w:rsid w:val="00451421"/>
    <w:rsid w:val="0045142C"/>
    <w:rsid w:val="00452CD0"/>
    <w:rsid w:val="00452DC7"/>
    <w:rsid w:val="004531B8"/>
    <w:rsid w:val="0045349F"/>
    <w:rsid w:val="004554E8"/>
    <w:rsid w:val="00460510"/>
    <w:rsid w:val="00460579"/>
    <w:rsid w:val="00462D10"/>
    <w:rsid w:val="00462EF8"/>
    <w:rsid w:val="00463D4A"/>
    <w:rsid w:val="00463DF3"/>
    <w:rsid w:val="0046602F"/>
    <w:rsid w:val="00466DF4"/>
    <w:rsid w:val="0047625A"/>
    <w:rsid w:val="00476BD6"/>
    <w:rsid w:val="00477800"/>
    <w:rsid w:val="00481435"/>
    <w:rsid w:val="0048190A"/>
    <w:rsid w:val="0048240E"/>
    <w:rsid w:val="00484D9D"/>
    <w:rsid w:val="00485518"/>
    <w:rsid w:val="00485B85"/>
    <w:rsid w:val="004865EF"/>
    <w:rsid w:val="0048723B"/>
    <w:rsid w:val="00492A6C"/>
    <w:rsid w:val="00493E87"/>
    <w:rsid w:val="004946B6"/>
    <w:rsid w:val="00494B55"/>
    <w:rsid w:val="00495778"/>
    <w:rsid w:val="00497E4D"/>
    <w:rsid w:val="004A0718"/>
    <w:rsid w:val="004A08F3"/>
    <w:rsid w:val="004A186B"/>
    <w:rsid w:val="004A1ED3"/>
    <w:rsid w:val="004A5BD5"/>
    <w:rsid w:val="004B0D2A"/>
    <w:rsid w:val="004B2632"/>
    <w:rsid w:val="004B329A"/>
    <w:rsid w:val="004B471E"/>
    <w:rsid w:val="004B55F7"/>
    <w:rsid w:val="004B7582"/>
    <w:rsid w:val="004C188B"/>
    <w:rsid w:val="004C52BF"/>
    <w:rsid w:val="004C5E8F"/>
    <w:rsid w:val="004D2228"/>
    <w:rsid w:val="004D298D"/>
    <w:rsid w:val="004D559D"/>
    <w:rsid w:val="004D60BA"/>
    <w:rsid w:val="004E02DB"/>
    <w:rsid w:val="004E0BFD"/>
    <w:rsid w:val="004E2B27"/>
    <w:rsid w:val="004E3343"/>
    <w:rsid w:val="004E6DD4"/>
    <w:rsid w:val="004E7B4C"/>
    <w:rsid w:val="004F081D"/>
    <w:rsid w:val="004F69E6"/>
    <w:rsid w:val="004F7EFD"/>
    <w:rsid w:val="00502F31"/>
    <w:rsid w:val="00504A26"/>
    <w:rsid w:val="00505D1F"/>
    <w:rsid w:val="0050685B"/>
    <w:rsid w:val="005106A5"/>
    <w:rsid w:val="005129FC"/>
    <w:rsid w:val="0051484A"/>
    <w:rsid w:val="00516277"/>
    <w:rsid w:val="00517B8B"/>
    <w:rsid w:val="00522A44"/>
    <w:rsid w:val="00527778"/>
    <w:rsid w:val="00527B64"/>
    <w:rsid w:val="005303BA"/>
    <w:rsid w:val="00530C50"/>
    <w:rsid w:val="00534641"/>
    <w:rsid w:val="00534F2D"/>
    <w:rsid w:val="00536C10"/>
    <w:rsid w:val="005448BF"/>
    <w:rsid w:val="005450BD"/>
    <w:rsid w:val="0055396A"/>
    <w:rsid w:val="005571B2"/>
    <w:rsid w:val="00561409"/>
    <w:rsid w:val="00563CD1"/>
    <w:rsid w:val="00567C3E"/>
    <w:rsid w:val="00570FA6"/>
    <w:rsid w:val="00571FD1"/>
    <w:rsid w:val="00572644"/>
    <w:rsid w:val="005737BB"/>
    <w:rsid w:val="00577E8A"/>
    <w:rsid w:val="005822E9"/>
    <w:rsid w:val="00582A2A"/>
    <w:rsid w:val="00584F4C"/>
    <w:rsid w:val="00586253"/>
    <w:rsid w:val="00586708"/>
    <w:rsid w:val="00590DAD"/>
    <w:rsid w:val="00592ADE"/>
    <w:rsid w:val="00596390"/>
    <w:rsid w:val="00596A61"/>
    <w:rsid w:val="005A07D7"/>
    <w:rsid w:val="005A1535"/>
    <w:rsid w:val="005A27A8"/>
    <w:rsid w:val="005A446B"/>
    <w:rsid w:val="005B1E72"/>
    <w:rsid w:val="005B2B77"/>
    <w:rsid w:val="005B3988"/>
    <w:rsid w:val="005C0BC3"/>
    <w:rsid w:val="005C12D1"/>
    <w:rsid w:val="005C15C3"/>
    <w:rsid w:val="005C26DB"/>
    <w:rsid w:val="005C7216"/>
    <w:rsid w:val="005C7B9B"/>
    <w:rsid w:val="005C7ED2"/>
    <w:rsid w:val="005D200B"/>
    <w:rsid w:val="005D3926"/>
    <w:rsid w:val="005D4E11"/>
    <w:rsid w:val="005D53EC"/>
    <w:rsid w:val="005D5893"/>
    <w:rsid w:val="005D5942"/>
    <w:rsid w:val="005D5DC6"/>
    <w:rsid w:val="005D5F19"/>
    <w:rsid w:val="005E0E91"/>
    <w:rsid w:val="005E4FB1"/>
    <w:rsid w:val="005E6BF3"/>
    <w:rsid w:val="005F05A8"/>
    <w:rsid w:val="005F4E3F"/>
    <w:rsid w:val="00601868"/>
    <w:rsid w:val="00601DB2"/>
    <w:rsid w:val="00606383"/>
    <w:rsid w:val="006064CB"/>
    <w:rsid w:val="006139AF"/>
    <w:rsid w:val="006145AE"/>
    <w:rsid w:val="006145D2"/>
    <w:rsid w:val="0061543B"/>
    <w:rsid w:val="00616439"/>
    <w:rsid w:val="00622618"/>
    <w:rsid w:val="00624F46"/>
    <w:rsid w:val="006266CF"/>
    <w:rsid w:val="00630DB9"/>
    <w:rsid w:val="006317A6"/>
    <w:rsid w:val="00631C27"/>
    <w:rsid w:val="0063375C"/>
    <w:rsid w:val="00633EEE"/>
    <w:rsid w:val="006344B7"/>
    <w:rsid w:val="00636D4B"/>
    <w:rsid w:val="00642E2C"/>
    <w:rsid w:val="0064304F"/>
    <w:rsid w:val="006432AF"/>
    <w:rsid w:val="00643A10"/>
    <w:rsid w:val="00650BF8"/>
    <w:rsid w:val="00652C7C"/>
    <w:rsid w:val="00653ABE"/>
    <w:rsid w:val="0065590D"/>
    <w:rsid w:val="00656AD2"/>
    <w:rsid w:val="006605AF"/>
    <w:rsid w:val="00660F72"/>
    <w:rsid w:val="00664F25"/>
    <w:rsid w:val="0066747D"/>
    <w:rsid w:val="00671BB0"/>
    <w:rsid w:val="00672FB9"/>
    <w:rsid w:val="00676EAA"/>
    <w:rsid w:val="00677C43"/>
    <w:rsid w:val="00680139"/>
    <w:rsid w:val="00682B47"/>
    <w:rsid w:val="006830CA"/>
    <w:rsid w:val="00684BEC"/>
    <w:rsid w:val="006859E3"/>
    <w:rsid w:val="00690A54"/>
    <w:rsid w:val="00693669"/>
    <w:rsid w:val="006A4C57"/>
    <w:rsid w:val="006A5686"/>
    <w:rsid w:val="006A65FA"/>
    <w:rsid w:val="006A6A0C"/>
    <w:rsid w:val="006A71F7"/>
    <w:rsid w:val="006C0AF6"/>
    <w:rsid w:val="006C1C29"/>
    <w:rsid w:val="006C38C2"/>
    <w:rsid w:val="006C3D18"/>
    <w:rsid w:val="006C616D"/>
    <w:rsid w:val="006D2787"/>
    <w:rsid w:val="006D4FDC"/>
    <w:rsid w:val="006D5358"/>
    <w:rsid w:val="006D5954"/>
    <w:rsid w:val="006D715D"/>
    <w:rsid w:val="006D7582"/>
    <w:rsid w:val="006E38D3"/>
    <w:rsid w:val="006E6004"/>
    <w:rsid w:val="006E69AC"/>
    <w:rsid w:val="006E7AA6"/>
    <w:rsid w:val="006E7FB6"/>
    <w:rsid w:val="006F04E2"/>
    <w:rsid w:val="006F4AE2"/>
    <w:rsid w:val="006F4F22"/>
    <w:rsid w:val="006F5C7E"/>
    <w:rsid w:val="006F69F9"/>
    <w:rsid w:val="006F7504"/>
    <w:rsid w:val="006F7F8C"/>
    <w:rsid w:val="00704289"/>
    <w:rsid w:val="00705947"/>
    <w:rsid w:val="00707B8A"/>
    <w:rsid w:val="00714D6B"/>
    <w:rsid w:val="00714E00"/>
    <w:rsid w:val="00717474"/>
    <w:rsid w:val="00717D02"/>
    <w:rsid w:val="00721330"/>
    <w:rsid w:val="00721DAC"/>
    <w:rsid w:val="00722997"/>
    <w:rsid w:val="00724781"/>
    <w:rsid w:val="00726589"/>
    <w:rsid w:val="0073101B"/>
    <w:rsid w:val="00731333"/>
    <w:rsid w:val="0073148B"/>
    <w:rsid w:val="00731E6C"/>
    <w:rsid w:val="00732240"/>
    <w:rsid w:val="00735639"/>
    <w:rsid w:val="00735A0A"/>
    <w:rsid w:val="007372F3"/>
    <w:rsid w:val="0074044B"/>
    <w:rsid w:val="00740485"/>
    <w:rsid w:val="00740AD0"/>
    <w:rsid w:val="00740C44"/>
    <w:rsid w:val="007419F9"/>
    <w:rsid w:val="00743CE5"/>
    <w:rsid w:val="00745C0A"/>
    <w:rsid w:val="00746942"/>
    <w:rsid w:val="00747FD0"/>
    <w:rsid w:val="00750C7F"/>
    <w:rsid w:val="00753BC5"/>
    <w:rsid w:val="00761751"/>
    <w:rsid w:val="0076337D"/>
    <w:rsid w:val="007642F2"/>
    <w:rsid w:val="00764560"/>
    <w:rsid w:val="0076630B"/>
    <w:rsid w:val="0077035D"/>
    <w:rsid w:val="00775143"/>
    <w:rsid w:val="007751FA"/>
    <w:rsid w:val="0078043E"/>
    <w:rsid w:val="0078072E"/>
    <w:rsid w:val="00780C7E"/>
    <w:rsid w:val="00786905"/>
    <w:rsid w:val="007870AE"/>
    <w:rsid w:val="00791E5D"/>
    <w:rsid w:val="0079379D"/>
    <w:rsid w:val="00793C6F"/>
    <w:rsid w:val="00795322"/>
    <w:rsid w:val="007A0439"/>
    <w:rsid w:val="007A0B3D"/>
    <w:rsid w:val="007A1C4C"/>
    <w:rsid w:val="007A2CF3"/>
    <w:rsid w:val="007A38AF"/>
    <w:rsid w:val="007B3905"/>
    <w:rsid w:val="007B4C63"/>
    <w:rsid w:val="007B678F"/>
    <w:rsid w:val="007B69D5"/>
    <w:rsid w:val="007C00B8"/>
    <w:rsid w:val="007C117D"/>
    <w:rsid w:val="007C155B"/>
    <w:rsid w:val="007C3538"/>
    <w:rsid w:val="007C67D4"/>
    <w:rsid w:val="007C6BC5"/>
    <w:rsid w:val="007D19F7"/>
    <w:rsid w:val="007D36A2"/>
    <w:rsid w:val="007D4441"/>
    <w:rsid w:val="007D7B3B"/>
    <w:rsid w:val="007E0387"/>
    <w:rsid w:val="007E6BB7"/>
    <w:rsid w:val="007E7F2B"/>
    <w:rsid w:val="007F1C97"/>
    <w:rsid w:val="007F1E94"/>
    <w:rsid w:val="007F5B6D"/>
    <w:rsid w:val="00800ED2"/>
    <w:rsid w:val="00800EE0"/>
    <w:rsid w:val="0080402C"/>
    <w:rsid w:val="008060FB"/>
    <w:rsid w:val="008069F4"/>
    <w:rsid w:val="00812A01"/>
    <w:rsid w:val="00816698"/>
    <w:rsid w:val="00816E5A"/>
    <w:rsid w:val="008208C1"/>
    <w:rsid w:val="008215B5"/>
    <w:rsid w:val="00822EC4"/>
    <w:rsid w:val="00824D1A"/>
    <w:rsid w:val="00826508"/>
    <w:rsid w:val="00827A01"/>
    <w:rsid w:val="008305A5"/>
    <w:rsid w:val="00830A3B"/>
    <w:rsid w:val="00831155"/>
    <w:rsid w:val="008347A7"/>
    <w:rsid w:val="008357AC"/>
    <w:rsid w:val="00835C5C"/>
    <w:rsid w:val="008364CD"/>
    <w:rsid w:val="00840318"/>
    <w:rsid w:val="0084069E"/>
    <w:rsid w:val="00840997"/>
    <w:rsid w:val="008426B0"/>
    <w:rsid w:val="00843129"/>
    <w:rsid w:val="008451E4"/>
    <w:rsid w:val="00847CE0"/>
    <w:rsid w:val="00851D13"/>
    <w:rsid w:val="00851FD2"/>
    <w:rsid w:val="00852190"/>
    <w:rsid w:val="008541FC"/>
    <w:rsid w:val="00854AF3"/>
    <w:rsid w:val="00856AD4"/>
    <w:rsid w:val="00860070"/>
    <w:rsid w:val="008602A1"/>
    <w:rsid w:val="008647DF"/>
    <w:rsid w:val="008658AF"/>
    <w:rsid w:val="00865E30"/>
    <w:rsid w:val="008672A5"/>
    <w:rsid w:val="00867538"/>
    <w:rsid w:val="0087198B"/>
    <w:rsid w:val="008741DF"/>
    <w:rsid w:val="008765CD"/>
    <w:rsid w:val="0087753D"/>
    <w:rsid w:val="0088186A"/>
    <w:rsid w:val="0088221B"/>
    <w:rsid w:val="00887516"/>
    <w:rsid w:val="00891101"/>
    <w:rsid w:val="00893202"/>
    <w:rsid w:val="00895995"/>
    <w:rsid w:val="00896E57"/>
    <w:rsid w:val="008974F8"/>
    <w:rsid w:val="008A19FC"/>
    <w:rsid w:val="008A5798"/>
    <w:rsid w:val="008A5DB0"/>
    <w:rsid w:val="008A5F39"/>
    <w:rsid w:val="008A65F5"/>
    <w:rsid w:val="008B377E"/>
    <w:rsid w:val="008B3D53"/>
    <w:rsid w:val="008B4581"/>
    <w:rsid w:val="008B4F00"/>
    <w:rsid w:val="008B6308"/>
    <w:rsid w:val="008B7A07"/>
    <w:rsid w:val="008C6211"/>
    <w:rsid w:val="008C7A13"/>
    <w:rsid w:val="008D75FC"/>
    <w:rsid w:val="008E36C6"/>
    <w:rsid w:val="008E37A9"/>
    <w:rsid w:val="008E663C"/>
    <w:rsid w:val="008E7FB4"/>
    <w:rsid w:val="008F2195"/>
    <w:rsid w:val="008F5E3C"/>
    <w:rsid w:val="009004CA"/>
    <w:rsid w:val="00900E4D"/>
    <w:rsid w:val="00900FA2"/>
    <w:rsid w:val="00903190"/>
    <w:rsid w:val="00904206"/>
    <w:rsid w:val="00904E7D"/>
    <w:rsid w:val="0090567E"/>
    <w:rsid w:val="009131AB"/>
    <w:rsid w:val="00913DAA"/>
    <w:rsid w:val="00914041"/>
    <w:rsid w:val="00914795"/>
    <w:rsid w:val="009154AE"/>
    <w:rsid w:val="00915DD6"/>
    <w:rsid w:val="00916664"/>
    <w:rsid w:val="0091784C"/>
    <w:rsid w:val="00917B27"/>
    <w:rsid w:val="00917C27"/>
    <w:rsid w:val="0092254A"/>
    <w:rsid w:val="00926EBE"/>
    <w:rsid w:val="0092763D"/>
    <w:rsid w:val="0093129B"/>
    <w:rsid w:val="009326C1"/>
    <w:rsid w:val="009326D2"/>
    <w:rsid w:val="00932898"/>
    <w:rsid w:val="009333AD"/>
    <w:rsid w:val="00934A26"/>
    <w:rsid w:val="00935B7E"/>
    <w:rsid w:val="00936765"/>
    <w:rsid w:val="00936B84"/>
    <w:rsid w:val="00936D32"/>
    <w:rsid w:val="00936EBD"/>
    <w:rsid w:val="00937A68"/>
    <w:rsid w:val="00940838"/>
    <w:rsid w:val="0094091C"/>
    <w:rsid w:val="00943228"/>
    <w:rsid w:val="00943C37"/>
    <w:rsid w:val="00943F8E"/>
    <w:rsid w:val="00946692"/>
    <w:rsid w:val="00952471"/>
    <w:rsid w:val="0095254F"/>
    <w:rsid w:val="00952DA0"/>
    <w:rsid w:val="009537D8"/>
    <w:rsid w:val="00955665"/>
    <w:rsid w:val="00955A05"/>
    <w:rsid w:val="00957F77"/>
    <w:rsid w:val="00960854"/>
    <w:rsid w:val="009636CD"/>
    <w:rsid w:val="00963F54"/>
    <w:rsid w:val="00965737"/>
    <w:rsid w:val="00966098"/>
    <w:rsid w:val="009705B3"/>
    <w:rsid w:val="00970946"/>
    <w:rsid w:val="0097438A"/>
    <w:rsid w:val="0097617B"/>
    <w:rsid w:val="00976CFC"/>
    <w:rsid w:val="009826A1"/>
    <w:rsid w:val="00982BAF"/>
    <w:rsid w:val="00982CB2"/>
    <w:rsid w:val="0098554D"/>
    <w:rsid w:val="00990696"/>
    <w:rsid w:val="0099370E"/>
    <w:rsid w:val="00993E22"/>
    <w:rsid w:val="009944D8"/>
    <w:rsid w:val="00995235"/>
    <w:rsid w:val="00997236"/>
    <w:rsid w:val="00997877"/>
    <w:rsid w:val="009A4A29"/>
    <w:rsid w:val="009A6FB0"/>
    <w:rsid w:val="009A7BD6"/>
    <w:rsid w:val="009A7DC4"/>
    <w:rsid w:val="009B0A2D"/>
    <w:rsid w:val="009B5A62"/>
    <w:rsid w:val="009B633C"/>
    <w:rsid w:val="009B6B74"/>
    <w:rsid w:val="009C0BCD"/>
    <w:rsid w:val="009C1FBF"/>
    <w:rsid w:val="009C2FD0"/>
    <w:rsid w:val="009D0C64"/>
    <w:rsid w:val="009D16CD"/>
    <w:rsid w:val="009D1BA2"/>
    <w:rsid w:val="009D3666"/>
    <w:rsid w:val="009D7289"/>
    <w:rsid w:val="009E2121"/>
    <w:rsid w:val="009E36D3"/>
    <w:rsid w:val="009E4233"/>
    <w:rsid w:val="009E4DEE"/>
    <w:rsid w:val="009E534B"/>
    <w:rsid w:val="009E7449"/>
    <w:rsid w:val="009F02C6"/>
    <w:rsid w:val="009F2171"/>
    <w:rsid w:val="009F2CDD"/>
    <w:rsid w:val="009F3DDC"/>
    <w:rsid w:val="009F67AB"/>
    <w:rsid w:val="00A02BCB"/>
    <w:rsid w:val="00A057F5"/>
    <w:rsid w:val="00A061FE"/>
    <w:rsid w:val="00A0716B"/>
    <w:rsid w:val="00A10014"/>
    <w:rsid w:val="00A13DD7"/>
    <w:rsid w:val="00A22830"/>
    <w:rsid w:val="00A25649"/>
    <w:rsid w:val="00A25CED"/>
    <w:rsid w:val="00A26D6E"/>
    <w:rsid w:val="00A335E8"/>
    <w:rsid w:val="00A41F83"/>
    <w:rsid w:val="00A422FE"/>
    <w:rsid w:val="00A44E3E"/>
    <w:rsid w:val="00A50852"/>
    <w:rsid w:val="00A51264"/>
    <w:rsid w:val="00A51C42"/>
    <w:rsid w:val="00A530CD"/>
    <w:rsid w:val="00A54125"/>
    <w:rsid w:val="00A55005"/>
    <w:rsid w:val="00A57848"/>
    <w:rsid w:val="00A57E61"/>
    <w:rsid w:val="00A61D8C"/>
    <w:rsid w:val="00A62A02"/>
    <w:rsid w:val="00A64135"/>
    <w:rsid w:val="00A641E7"/>
    <w:rsid w:val="00A6747F"/>
    <w:rsid w:val="00A703B8"/>
    <w:rsid w:val="00A7063E"/>
    <w:rsid w:val="00A710FC"/>
    <w:rsid w:val="00A73D17"/>
    <w:rsid w:val="00A75450"/>
    <w:rsid w:val="00A761C7"/>
    <w:rsid w:val="00A7771C"/>
    <w:rsid w:val="00A818C5"/>
    <w:rsid w:val="00A81F53"/>
    <w:rsid w:val="00A8349D"/>
    <w:rsid w:val="00A8767C"/>
    <w:rsid w:val="00A877A1"/>
    <w:rsid w:val="00A901C3"/>
    <w:rsid w:val="00A92601"/>
    <w:rsid w:val="00A93C3D"/>
    <w:rsid w:val="00A94837"/>
    <w:rsid w:val="00A94D75"/>
    <w:rsid w:val="00AA1618"/>
    <w:rsid w:val="00AA2230"/>
    <w:rsid w:val="00AA2CC8"/>
    <w:rsid w:val="00AA49C0"/>
    <w:rsid w:val="00AA4CEC"/>
    <w:rsid w:val="00AA5EF0"/>
    <w:rsid w:val="00AA714D"/>
    <w:rsid w:val="00AB14E6"/>
    <w:rsid w:val="00AB26FF"/>
    <w:rsid w:val="00AB2DB6"/>
    <w:rsid w:val="00AB408F"/>
    <w:rsid w:val="00AB6D5D"/>
    <w:rsid w:val="00AB6D97"/>
    <w:rsid w:val="00AB7D49"/>
    <w:rsid w:val="00AC0B0E"/>
    <w:rsid w:val="00AC6E69"/>
    <w:rsid w:val="00AC7546"/>
    <w:rsid w:val="00AD094C"/>
    <w:rsid w:val="00AD434F"/>
    <w:rsid w:val="00AD64B3"/>
    <w:rsid w:val="00AD7A3A"/>
    <w:rsid w:val="00AD7ADE"/>
    <w:rsid w:val="00AE41DF"/>
    <w:rsid w:val="00AF157F"/>
    <w:rsid w:val="00AF3AB1"/>
    <w:rsid w:val="00AF56AB"/>
    <w:rsid w:val="00AF60CE"/>
    <w:rsid w:val="00AF7BE4"/>
    <w:rsid w:val="00B00573"/>
    <w:rsid w:val="00B006C6"/>
    <w:rsid w:val="00B0095D"/>
    <w:rsid w:val="00B009F0"/>
    <w:rsid w:val="00B0477E"/>
    <w:rsid w:val="00B12AF8"/>
    <w:rsid w:val="00B1537E"/>
    <w:rsid w:val="00B16743"/>
    <w:rsid w:val="00B20332"/>
    <w:rsid w:val="00B20495"/>
    <w:rsid w:val="00B21758"/>
    <w:rsid w:val="00B217DD"/>
    <w:rsid w:val="00B22A6D"/>
    <w:rsid w:val="00B23497"/>
    <w:rsid w:val="00B238C2"/>
    <w:rsid w:val="00B24F76"/>
    <w:rsid w:val="00B27D95"/>
    <w:rsid w:val="00B31FD3"/>
    <w:rsid w:val="00B323DA"/>
    <w:rsid w:val="00B34A89"/>
    <w:rsid w:val="00B35F04"/>
    <w:rsid w:val="00B36077"/>
    <w:rsid w:val="00B36845"/>
    <w:rsid w:val="00B42D9A"/>
    <w:rsid w:val="00B43633"/>
    <w:rsid w:val="00B44763"/>
    <w:rsid w:val="00B52105"/>
    <w:rsid w:val="00B52C2D"/>
    <w:rsid w:val="00B54297"/>
    <w:rsid w:val="00B54A98"/>
    <w:rsid w:val="00B54BAE"/>
    <w:rsid w:val="00B56A67"/>
    <w:rsid w:val="00B61AFB"/>
    <w:rsid w:val="00B63013"/>
    <w:rsid w:val="00B63AC6"/>
    <w:rsid w:val="00B64B1B"/>
    <w:rsid w:val="00B6719D"/>
    <w:rsid w:val="00B67457"/>
    <w:rsid w:val="00B6764A"/>
    <w:rsid w:val="00B67A17"/>
    <w:rsid w:val="00B7126E"/>
    <w:rsid w:val="00B7247D"/>
    <w:rsid w:val="00B76F1D"/>
    <w:rsid w:val="00B8244B"/>
    <w:rsid w:val="00B8383C"/>
    <w:rsid w:val="00B86F27"/>
    <w:rsid w:val="00B8773D"/>
    <w:rsid w:val="00B87FE3"/>
    <w:rsid w:val="00B932DF"/>
    <w:rsid w:val="00B952F2"/>
    <w:rsid w:val="00BA0DC9"/>
    <w:rsid w:val="00BA2E37"/>
    <w:rsid w:val="00BA670A"/>
    <w:rsid w:val="00BB38AB"/>
    <w:rsid w:val="00BB3E23"/>
    <w:rsid w:val="00BB47E1"/>
    <w:rsid w:val="00BB5E65"/>
    <w:rsid w:val="00BB5EFE"/>
    <w:rsid w:val="00BB602A"/>
    <w:rsid w:val="00BC00C2"/>
    <w:rsid w:val="00BC16B7"/>
    <w:rsid w:val="00BC221D"/>
    <w:rsid w:val="00BC35BD"/>
    <w:rsid w:val="00BC4F07"/>
    <w:rsid w:val="00BC75CE"/>
    <w:rsid w:val="00BD0625"/>
    <w:rsid w:val="00BD2039"/>
    <w:rsid w:val="00BD22E7"/>
    <w:rsid w:val="00BD3020"/>
    <w:rsid w:val="00BD41EC"/>
    <w:rsid w:val="00BD4F0C"/>
    <w:rsid w:val="00BD52C4"/>
    <w:rsid w:val="00BD6116"/>
    <w:rsid w:val="00BD6A16"/>
    <w:rsid w:val="00BE68F5"/>
    <w:rsid w:val="00BF0D8B"/>
    <w:rsid w:val="00BF22D6"/>
    <w:rsid w:val="00BF2674"/>
    <w:rsid w:val="00BF32A0"/>
    <w:rsid w:val="00BF4F72"/>
    <w:rsid w:val="00BF5E83"/>
    <w:rsid w:val="00BF5F42"/>
    <w:rsid w:val="00BF7DEF"/>
    <w:rsid w:val="00C0017B"/>
    <w:rsid w:val="00C01AE6"/>
    <w:rsid w:val="00C01FC5"/>
    <w:rsid w:val="00C02612"/>
    <w:rsid w:val="00C0353C"/>
    <w:rsid w:val="00C0377D"/>
    <w:rsid w:val="00C03A85"/>
    <w:rsid w:val="00C05463"/>
    <w:rsid w:val="00C063B9"/>
    <w:rsid w:val="00C06F29"/>
    <w:rsid w:val="00C07811"/>
    <w:rsid w:val="00C15362"/>
    <w:rsid w:val="00C156D2"/>
    <w:rsid w:val="00C16980"/>
    <w:rsid w:val="00C20A54"/>
    <w:rsid w:val="00C233DE"/>
    <w:rsid w:val="00C23765"/>
    <w:rsid w:val="00C24E5A"/>
    <w:rsid w:val="00C25E38"/>
    <w:rsid w:val="00C271E6"/>
    <w:rsid w:val="00C27EE6"/>
    <w:rsid w:val="00C33B7F"/>
    <w:rsid w:val="00C33B9E"/>
    <w:rsid w:val="00C3575F"/>
    <w:rsid w:val="00C36830"/>
    <w:rsid w:val="00C408BF"/>
    <w:rsid w:val="00C415B8"/>
    <w:rsid w:val="00C45192"/>
    <w:rsid w:val="00C45324"/>
    <w:rsid w:val="00C468D0"/>
    <w:rsid w:val="00C50C6A"/>
    <w:rsid w:val="00C54A19"/>
    <w:rsid w:val="00C54CBE"/>
    <w:rsid w:val="00C557DE"/>
    <w:rsid w:val="00C55C09"/>
    <w:rsid w:val="00C56098"/>
    <w:rsid w:val="00C65C1E"/>
    <w:rsid w:val="00C6769B"/>
    <w:rsid w:val="00C72038"/>
    <w:rsid w:val="00C73961"/>
    <w:rsid w:val="00C73989"/>
    <w:rsid w:val="00C836C7"/>
    <w:rsid w:val="00C84785"/>
    <w:rsid w:val="00C85E9A"/>
    <w:rsid w:val="00C861B4"/>
    <w:rsid w:val="00C86893"/>
    <w:rsid w:val="00C8711E"/>
    <w:rsid w:val="00C87BCC"/>
    <w:rsid w:val="00C91580"/>
    <w:rsid w:val="00C9253B"/>
    <w:rsid w:val="00C92F32"/>
    <w:rsid w:val="00C930B4"/>
    <w:rsid w:val="00C936D5"/>
    <w:rsid w:val="00C9459B"/>
    <w:rsid w:val="00C945CA"/>
    <w:rsid w:val="00C95DDC"/>
    <w:rsid w:val="00C97460"/>
    <w:rsid w:val="00CA0D91"/>
    <w:rsid w:val="00CA1C37"/>
    <w:rsid w:val="00CA1E2F"/>
    <w:rsid w:val="00CA1E9D"/>
    <w:rsid w:val="00CA21E3"/>
    <w:rsid w:val="00CA770E"/>
    <w:rsid w:val="00CB03AD"/>
    <w:rsid w:val="00CB1691"/>
    <w:rsid w:val="00CB1EF0"/>
    <w:rsid w:val="00CB2E0C"/>
    <w:rsid w:val="00CB34E1"/>
    <w:rsid w:val="00CB49A2"/>
    <w:rsid w:val="00CB6FFD"/>
    <w:rsid w:val="00CB7F22"/>
    <w:rsid w:val="00CC0519"/>
    <w:rsid w:val="00CC28C1"/>
    <w:rsid w:val="00CC3829"/>
    <w:rsid w:val="00CC4289"/>
    <w:rsid w:val="00CC6EDC"/>
    <w:rsid w:val="00CC7BD2"/>
    <w:rsid w:val="00CD09B6"/>
    <w:rsid w:val="00CD0E6D"/>
    <w:rsid w:val="00CD12F8"/>
    <w:rsid w:val="00CD283C"/>
    <w:rsid w:val="00CD2FB3"/>
    <w:rsid w:val="00CD60F9"/>
    <w:rsid w:val="00CD6EF0"/>
    <w:rsid w:val="00CE0493"/>
    <w:rsid w:val="00CF000B"/>
    <w:rsid w:val="00CF0614"/>
    <w:rsid w:val="00CF250C"/>
    <w:rsid w:val="00CF37DE"/>
    <w:rsid w:val="00CF3F32"/>
    <w:rsid w:val="00CF3F44"/>
    <w:rsid w:val="00D01BF5"/>
    <w:rsid w:val="00D02EB9"/>
    <w:rsid w:val="00D048CB"/>
    <w:rsid w:val="00D05000"/>
    <w:rsid w:val="00D05B56"/>
    <w:rsid w:val="00D06774"/>
    <w:rsid w:val="00D1200D"/>
    <w:rsid w:val="00D12115"/>
    <w:rsid w:val="00D1299D"/>
    <w:rsid w:val="00D2254E"/>
    <w:rsid w:val="00D22BD1"/>
    <w:rsid w:val="00D24BC4"/>
    <w:rsid w:val="00D27679"/>
    <w:rsid w:val="00D31774"/>
    <w:rsid w:val="00D318A8"/>
    <w:rsid w:val="00D31BA4"/>
    <w:rsid w:val="00D32A81"/>
    <w:rsid w:val="00D340DF"/>
    <w:rsid w:val="00D350E9"/>
    <w:rsid w:val="00D37170"/>
    <w:rsid w:val="00D37F5B"/>
    <w:rsid w:val="00D40021"/>
    <w:rsid w:val="00D42585"/>
    <w:rsid w:val="00D44015"/>
    <w:rsid w:val="00D471C5"/>
    <w:rsid w:val="00D50730"/>
    <w:rsid w:val="00D50B61"/>
    <w:rsid w:val="00D50F4A"/>
    <w:rsid w:val="00D54240"/>
    <w:rsid w:val="00D62E8A"/>
    <w:rsid w:val="00D7023A"/>
    <w:rsid w:val="00D740AF"/>
    <w:rsid w:val="00D844C8"/>
    <w:rsid w:val="00D84C6C"/>
    <w:rsid w:val="00D872AA"/>
    <w:rsid w:val="00D912B6"/>
    <w:rsid w:val="00D9724A"/>
    <w:rsid w:val="00DA0919"/>
    <w:rsid w:val="00DA0CCD"/>
    <w:rsid w:val="00DA2C1B"/>
    <w:rsid w:val="00DA2D72"/>
    <w:rsid w:val="00DA4D70"/>
    <w:rsid w:val="00DA5C6B"/>
    <w:rsid w:val="00DA6506"/>
    <w:rsid w:val="00DB002C"/>
    <w:rsid w:val="00DB33EF"/>
    <w:rsid w:val="00DB3F5F"/>
    <w:rsid w:val="00DB67AA"/>
    <w:rsid w:val="00DB6CF4"/>
    <w:rsid w:val="00DC0635"/>
    <w:rsid w:val="00DC2483"/>
    <w:rsid w:val="00DC6C56"/>
    <w:rsid w:val="00DC7DEF"/>
    <w:rsid w:val="00DD103A"/>
    <w:rsid w:val="00DD243B"/>
    <w:rsid w:val="00DD2912"/>
    <w:rsid w:val="00DD2C6F"/>
    <w:rsid w:val="00DD57C7"/>
    <w:rsid w:val="00DE04F5"/>
    <w:rsid w:val="00DE2168"/>
    <w:rsid w:val="00DE3916"/>
    <w:rsid w:val="00DE3E4E"/>
    <w:rsid w:val="00DE491E"/>
    <w:rsid w:val="00DE56CD"/>
    <w:rsid w:val="00DE5762"/>
    <w:rsid w:val="00DE6837"/>
    <w:rsid w:val="00DE6A81"/>
    <w:rsid w:val="00DE715E"/>
    <w:rsid w:val="00DE7C8D"/>
    <w:rsid w:val="00DE7D94"/>
    <w:rsid w:val="00DF141B"/>
    <w:rsid w:val="00DF2712"/>
    <w:rsid w:val="00DF6492"/>
    <w:rsid w:val="00DF7737"/>
    <w:rsid w:val="00E00CF0"/>
    <w:rsid w:val="00E04953"/>
    <w:rsid w:val="00E056FD"/>
    <w:rsid w:val="00E1017F"/>
    <w:rsid w:val="00E117A2"/>
    <w:rsid w:val="00E1240E"/>
    <w:rsid w:val="00E130CB"/>
    <w:rsid w:val="00E1555F"/>
    <w:rsid w:val="00E15701"/>
    <w:rsid w:val="00E15819"/>
    <w:rsid w:val="00E160D5"/>
    <w:rsid w:val="00E165F0"/>
    <w:rsid w:val="00E1709B"/>
    <w:rsid w:val="00E22093"/>
    <w:rsid w:val="00E263A8"/>
    <w:rsid w:val="00E306D6"/>
    <w:rsid w:val="00E33931"/>
    <w:rsid w:val="00E42E1F"/>
    <w:rsid w:val="00E45457"/>
    <w:rsid w:val="00E46C19"/>
    <w:rsid w:val="00E53787"/>
    <w:rsid w:val="00E53EB7"/>
    <w:rsid w:val="00E576DA"/>
    <w:rsid w:val="00E61AED"/>
    <w:rsid w:val="00E62FAC"/>
    <w:rsid w:val="00E64013"/>
    <w:rsid w:val="00E65765"/>
    <w:rsid w:val="00E65E3E"/>
    <w:rsid w:val="00E66498"/>
    <w:rsid w:val="00E672FB"/>
    <w:rsid w:val="00E673ED"/>
    <w:rsid w:val="00E71E4E"/>
    <w:rsid w:val="00E71E9E"/>
    <w:rsid w:val="00E75262"/>
    <w:rsid w:val="00E76BA8"/>
    <w:rsid w:val="00E76E12"/>
    <w:rsid w:val="00E80463"/>
    <w:rsid w:val="00E8222E"/>
    <w:rsid w:val="00E83380"/>
    <w:rsid w:val="00E8750E"/>
    <w:rsid w:val="00E914CC"/>
    <w:rsid w:val="00E953CF"/>
    <w:rsid w:val="00EA6424"/>
    <w:rsid w:val="00EA7B12"/>
    <w:rsid w:val="00EB07CE"/>
    <w:rsid w:val="00EB0BAC"/>
    <w:rsid w:val="00EB187A"/>
    <w:rsid w:val="00EB1A9B"/>
    <w:rsid w:val="00EB1D92"/>
    <w:rsid w:val="00EB2FF8"/>
    <w:rsid w:val="00EB3C5D"/>
    <w:rsid w:val="00EB646A"/>
    <w:rsid w:val="00EB6CE5"/>
    <w:rsid w:val="00EC03DB"/>
    <w:rsid w:val="00EC1487"/>
    <w:rsid w:val="00EC289F"/>
    <w:rsid w:val="00EC4853"/>
    <w:rsid w:val="00EC5435"/>
    <w:rsid w:val="00EC64EA"/>
    <w:rsid w:val="00EC7571"/>
    <w:rsid w:val="00EC7737"/>
    <w:rsid w:val="00ED31FE"/>
    <w:rsid w:val="00ED4B3D"/>
    <w:rsid w:val="00ED4E53"/>
    <w:rsid w:val="00ED6625"/>
    <w:rsid w:val="00EE16E2"/>
    <w:rsid w:val="00EE197C"/>
    <w:rsid w:val="00EE3ACB"/>
    <w:rsid w:val="00EF109C"/>
    <w:rsid w:val="00EF3CC0"/>
    <w:rsid w:val="00EF3DE0"/>
    <w:rsid w:val="00EF6D38"/>
    <w:rsid w:val="00F002A8"/>
    <w:rsid w:val="00F00E4B"/>
    <w:rsid w:val="00F0349E"/>
    <w:rsid w:val="00F0596B"/>
    <w:rsid w:val="00F066A8"/>
    <w:rsid w:val="00F06C64"/>
    <w:rsid w:val="00F079AD"/>
    <w:rsid w:val="00F07F97"/>
    <w:rsid w:val="00F109C5"/>
    <w:rsid w:val="00F111CE"/>
    <w:rsid w:val="00F1223E"/>
    <w:rsid w:val="00F13304"/>
    <w:rsid w:val="00F13507"/>
    <w:rsid w:val="00F13E2D"/>
    <w:rsid w:val="00F15977"/>
    <w:rsid w:val="00F21030"/>
    <w:rsid w:val="00F2159F"/>
    <w:rsid w:val="00F23DC0"/>
    <w:rsid w:val="00F25BC7"/>
    <w:rsid w:val="00F26156"/>
    <w:rsid w:val="00F30AB5"/>
    <w:rsid w:val="00F34AAD"/>
    <w:rsid w:val="00F4281D"/>
    <w:rsid w:val="00F4336B"/>
    <w:rsid w:val="00F43991"/>
    <w:rsid w:val="00F45046"/>
    <w:rsid w:val="00F46AE8"/>
    <w:rsid w:val="00F47F13"/>
    <w:rsid w:val="00F512F2"/>
    <w:rsid w:val="00F53351"/>
    <w:rsid w:val="00F5410D"/>
    <w:rsid w:val="00F55B8E"/>
    <w:rsid w:val="00F56A7E"/>
    <w:rsid w:val="00F63D35"/>
    <w:rsid w:val="00F63F95"/>
    <w:rsid w:val="00F67E93"/>
    <w:rsid w:val="00F7619D"/>
    <w:rsid w:val="00F76206"/>
    <w:rsid w:val="00F76997"/>
    <w:rsid w:val="00F82389"/>
    <w:rsid w:val="00F831E0"/>
    <w:rsid w:val="00F84C11"/>
    <w:rsid w:val="00F9121B"/>
    <w:rsid w:val="00F926B8"/>
    <w:rsid w:val="00F92AFB"/>
    <w:rsid w:val="00F96754"/>
    <w:rsid w:val="00FA1118"/>
    <w:rsid w:val="00FA1A06"/>
    <w:rsid w:val="00FA25C5"/>
    <w:rsid w:val="00FA476A"/>
    <w:rsid w:val="00FA4A93"/>
    <w:rsid w:val="00FA5482"/>
    <w:rsid w:val="00FA7184"/>
    <w:rsid w:val="00FB021B"/>
    <w:rsid w:val="00FB0C4F"/>
    <w:rsid w:val="00FB139A"/>
    <w:rsid w:val="00FB13DB"/>
    <w:rsid w:val="00FB1A1D"/>
    <w:rsid w:val="00FB2778"/>
    <w:rsid w:val="00FB4A2B"/>
    <w:rsid w:val="00FB7712"/>
    <w:rsid w:val="00FC088D"/>
    <w:rsid w:val="00FC369F"/>
    <w:rsid w:val="00FC5BD9"/>
    <w:rsid w:val="00FC7CEE"/>
    <w:rsid w:val="00FD02DD"/>
    <w:rsid w:val="00FD189A"/>
    <w:rsid w:val="00FD33D4"/>
    <w:rsid w:val="00FD7268"/>
    <w:rsid w:val="00FD73EF"/>
    <w:rsid w:val="00FE1648"/>
    <w:rsid w:val="00FE25BC"/>
    <w:rsid w:val="00FE2AFB"/>
    <w:rsid w:val="00FE3BF7"/>
    <w:rsid w:val="00FE4ACC"/>
    <w:rsid w:val="00FE5B17"/>
    <w:rsid w:val="00FF0296"/>
    <w:rsid w:val="00FF2AA3"/>
    <w:rsid w:val="00FF3724"/>
    <w:rsid w:val="00FF3AC2"/>
    <w:rsid w:val="00FF76EF"/>
    <w:rsid w:val="017D4281"/>
    <w:rsid w:val="02421D02"/>
    <w:rsid w:val="03800D34"/>
    <w:rsid w:val="03B8766A"/>
    <w:rsid w:val="03E508C3"/>
    <w:rsid w:val="05C71058"/>
    <w:rsid w:val="06782CB2"/>
    <w:rsid w:val="07257757"/>
    <w:rsid w:val="085F0A08"/>
    <w:rsid w:val="08E35D68"/>
    <w:rsid w:val="0A325A62"/>
    <w:rsid w:val="0B411806"/>
    <w:rsid w:val="0BC0637A"/>
    <w:rsid w:val="0C50326D"/>
    <w:rsid w:val="0CE51B94"/>
    <w:rsid w:val="0DF86DAE"/>
    <w:rsid w:val="0F254AD3"/>
    <w:rsid w:val="0F5F5CA1"/>
    <w:rsid w:val="0F6E2F82"/>
    <w:rsid w:val="0F906F06"/>
    <w:rsid w:val="0FEC71AF"/>
    <w:rsid w:val="100C4A16"/>
    <w:rsid w:val="105E23FD"/>
    <w:rsid w:val="108B22EF"/>
    <w:rsid w:val="12D914F6"/>
    <w:rsid w:val="12FC720D"/>
    <w:rsid w:val="133C113C"/>
    <w:rsid w:val="135D0EE6"/>
    <w:rsid w:val="14591DCB"/>
    <w:rsid w:val="14694611"/>
    <w:rsid w:val="14792610"/>
    <w:rsid w:val="14CC28DF"/>
    <w:rsid w:val="14CE1A70"/>
    <w:rsid w:val="15775F47"/>
    <w:rsid w:val="16AE592B"/>
    <w:rsid w:val="1789148D"/>
    <w:rsid w:val="17E61685"/>
    <w:rsid w:val="180E2B86"/>
    <w:rsid w:val="186E292F"/>
    <w:rsid w:val="18937BEE"/>
    <w:rsid w:val="19844EDD"/>
    <w:rsid w:val="19D51ED3"/>
    <w:rsid w:val="1A324503"/>
    <w:rsid w:val="1AF46D0B"/>
    <w:rsid w:val="1BFC7F0B"/>
    <w:rsid w:val="1CA55ACB"/>
    <w:rsid w:val="1E1F0E46"/>
    <w:rsid w:val="202713BD"/>
    <w:rsid w:val="20F30D2B"/>
    <w:rsid w:val="22502B6A"/>
    <w:rsid w:val="225E6602"/>
    <w:rsid w:val="22BA3402"/>
    <w:rsid w:val="23D345D6"/>
    <w:rsid w:val="23D7155C"/>
    <w:rsid w:val="245145C9"/>
    <w:rsid w:val="25352159"/>
    <w:rsid w:val="26C50880"/>
    <w:rsid w:val="275F7CF1"/>
    <w:rsid w:val="27E46204"/>
    <w:rsid w:val="27E75F71"/>
    <w:rsid w:val="289F0EFF"/>
    <w:rsid w:val="28CD57D1"/>
    <w:rsid w:val="297168A5"/>
    <w:rsid w:val="299610F0"/>
    <w:rsid w:val="2A465F84"/>
    <w:rsid w:val="2A595DEB"/>
    <w:rsid w:val="2A921980"/>
    <w:rsid w:val="2ABA300C"/>
    <w:rsid w:val="2BC61AD7"/>
    <w:rsid w:val="2BDE3D91"/>
    <w:rsid w:val="2CCD3855"/>
    <w:rsid w:val="2E06377C"/>
    <w:rsid w:val="2E821547"/>
    <w:rsid w:val="2F032695"/>
    <w:rsid w:val="2F1A79DF"/>
    <w:rsid w:val="2F854E58"/>
    <w:rsid w:val="2FD504B8"/>
    <w:rsid w:val="2FF82F6E"/>
    <w:rsid w:val="30B74818"/>
    <w:rsid w:val="31C53BCD"/>
    <w:rsid w:val="31F72253"/>
    <w:rsid w:val="32675E43"/>
    <w:rsid w:val="32AD568B"/>
    <w:rsid w:val="332241E4"/>
    <w:rsid w:val="332E0496"/>
    <w:rsid w:val="33485559"/>
    <w:rsid w:val="335B69A3"/>
    <w:rsid w:val="33606515"/>
    <w:rsid w:val="336C7D04"/>
    <w:rsid w:val="35262C3A"/>
    <w:rsid w:val="3534061C"/>
    <w:rsid w:val="35DE5C42"/>
    <w:rsid w:val="35F958B3"/>
    <w:rsid w:val="36257837"/>
    <w:rsid w:val="365B6FB1"/>
    <w:rsid w:val="36794FEB"/>
    <w:rsid w:val="37933AEC"/>
    <w:rsid w:val="38386F9A"/>
    <w:rsid w:val="38C84307"/>
    <w:rsid w:val="3A1F7681"/>
    <w:rsid w:val="3BF25543"/>
    <w:rsid w:val="3CDB50E9"/>
    <w:rsid w:val="3D070CD1"/>
    <w:rsid w:val="3DE86D76"/>
    <w:rsid w:val="3DF9006E"/>
    <w:rsid w:val="3E934663"/>
    <w:rsid w:val="3ECD1433"/>
    <w:rsid w:val="3FAB42F0"/>
    <w:rsid w:val="40171818"/>
    <w:rsid w:val="41B9021F"/>
    <w:rsid w:val="42576B28"/>
    <w:rsid w:val="4392494C"/>
    <w:rsid w:val="43AA1F44"/>
    <w:rsid w:val="441C2A62"/>
    <w:rsid w:val="442575B9"/>
    <w:rsid w:val="44597C0F"/>
    <w:rsid w:val="447140BE"/>
    <w:rsid w:val="450E1CE7"/>
    <w:rsid w:val="45394259"/>
    <w:rsid w:val="456926CF"/>
    <w:rsid w:val="45E0309C"/>
    <w:rsid w:val="46B2629D"/>
    <w:rsid w:val="470071AC"/>
    <w:rsid w:val="477676E2"/>
    <w:rsid w:val="477F5000"/>
    <w:rsid w:val="47F33BD4"/>
    <w:rsid w:val="482D5B75"/>
    <w:rsid w:val="49017898"/>
    <w:rsid w:val="496C071A"/>
    <w:rsid w:val="49BE748D"/>
    <w:rsid w:val="4AB7172F"/>
    <w:rsid w:val="4AD00786"/>
    <w:rsid w:val="4B99374C"/>
    <w:rsid w:val="4C025735"/>
    <w:rsid w:val="4CA00072"/>
    <w:rsid w:val="4CA14D5B"/>
    <w:rsid w:val="4D1552C5"/>
    <w:rsid w:val="4DC534EF"/>
    <w:rsid w:val="4EF67A0F"/>
    <w:rsid w:val="4F0B2933"/>
    <w:rsid w:val="4F0E2468"/>
    <w:rsid w:val="4F3A1A37"/>
    <w:rsid w:val="508A7B08"/>
    <w:rsid w:val="50AC6367"/>
    <w:rsid w:val="513A1FD3"/>
    <w:rsid w:val="525A79B1"/>
    <w:rsid w:val="527F38D0"/>
    <w:rsid w:val="52955479"/>
    <w:rsid w:val="52DC2732"/>
    <w:rsid w:val="532960A9"/>
    <w:rsid w:val="53884A7A"/>
    <w:rsid w:val="55616F56"/>
    <w:rsid w:val="55B715A5"/>
    <w:rsid w:val="567F7E34"/>
    <w:rsid w:val="57AB1BB3"/>
    <w:rsid w:val="57C82F22"/>
    <w:rsid w:val="588F6ABD"/>
    <w:rsid w:val="58A96250"/>
    <w:rsid w:val="58ED1F4A"/>
    <w:rsid w:val="590311CD"/>
    <w:rsid w:val="5D320A35"/>
    <w:rsid w:val="5D735FC6"/>
    <w:rsid w:val="5E3274BE"/>
    <w:rsid w:val="5EAB221B"/>
    <w:rsid w:val="5F9F283C"/>
    <w:rsid w:val="5FB0517B"/>
    <w:rsid w:val="5FE8382A"/>
    <w:rsid w:val="618D4A8A"/>
    <w:rsid w:val="62265A2C"/>
    <w:rsid w:val="627F685F"/>
    <w:rsid w:val="628A27D2"/>
    <w:rsid w:val="62E73159"/>
    <w:rsid w:val="62E9150A"/>
    <w:rsid w:val="646C2364"/>
    <w:rsid w:val="647372B3"/>
    <w:rsid w:val="64CD7A12"/>
    <w:rsid w:val="66315049"/>
    <w:rsid w:val="66A93AD5"/>
    <w:rsid w:val="66DC5A2A"/>
    <w:rsid w:val="687A0B9D"/>
    <w:rsid w:val="69E42512"/>
    <w:rsid w:val="69E80AF3"/>
    <w:rsid w:val="6A652585"/>
    <w:rsid w:val="6A7B295E"/>
    <w:rsid w:val="6AE224ED"/>
    <w:rsid w:val="6B072438"/>
    <w:rsid w:val="6C4E4249"/>
    <w:rsid w:val="6CA572F4"/>
    <w:rsid w:val="6D577108"/>
    <w:rsid w:val="6DB24C30"/>
    <w:rsid w:val="6DF17581"/>
    <w:rsid w:val="6DF822AC"/>
    <w:rsid w:val="6EE96BBA"/>
    <w:rsid w:val="6F143527"/>
    <w:rsid w:val="6F266605"/>
    <w:rsid w:val="6F9D08E8"/>
    <w:rsid w:val="6FD11419"/>
    <w:rsid w:val="70357BF9"/>
    <w:rsid w:val="704B6ADF"/>
    <w:rsid w:val="70D8007C"/>
    <w:rsid w:val="71D03290"/>
    <w:rsid w:val="71E45D4B"/>
    <w:rsid w:val="733157CF"/>
    <w:rsid w:val="73873137"/>
    <w:rsid w:val="743D44F8"/>
    <w:rsid w:val="7456514B"/>
    <w:rsid w:val="748051BB"/>
    <w:rsid w:val="75847040"/>
    <w:rsid w:val="76C00A07"/>
    <w:rsid w:val="76CA0970"/>
    <w:rsid w:val="779F1DFC"/>
    <w:rsid w:val="77D75F2F"/>
    <w:rsid w:val="77EA7DA7"/>
    <w:rsid w:val="780A0E7F"/>
    <w:rsid w:val="78743CFB"/>
    <w:rsid w:val="792045E2"/>
    <w:rsid w:val="7961380D"/>
    <w:rsid w:val="7A4B0019"/>
    <w:rsid w:val="7AC82C41"/>
    <w:rsid w:val="7B077F5D"/>
    <w:rsid w:val="7B0E3521"/>
    <w:rsid w:val="7B99066B"/>
    <w:rsid w:val="7BB56C05"/>
    <w:rsid w:val="7D18549E"/>
    <w:rsid w:val="7D1E6C50"/>
    <w:rsid w:val="7D676F18"/>
    <w:rsid w:val="7D7B63EE"/>
    <w:rsid w:val="7E4763D2"/>
    <w:rsid w:val="7E7121C8"/>
    <w:rsid w:val="7E9C4590"/>
    <w:rsid w:val="7F3C1F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sz w:val="21"/>
      <w:u w:color="000000"/>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ind w:firstLine="420"/>
    </w:pPr>
  </w:style>
  <w:style w:type="paragraph" w:customStyle="1" w:styleId="3">
    <w:name w:val="Body Text Indent1"/>
    <w:basedOn w:val="1"/>
    <w:qFormat/>
    <w:uiPriority w:val="0"/>
    <w:pPr>
      <w:spacing w:after="120"/>
      <w:ind w:left="420" w:leftChars="200"/>
    </w:pPr>
  </w:style>
  <w:style w:type="paragraph" w:styleId="4">
    <w:name w:val="Date"/>
    <w:basedOn w:val="1"/>
    <w:next w:val="1"/>
    <w:link w:val="13"/>
    <w:qFormat/>
    <w:uiPriority w:val="99"/>
    <w:pPr>
      <w:ind w:left="100" w:leftChars="2500"/>
    </w:pPr>
    <w:rPr>
      <w:sz w:val="20"/>
    </w:rPr>
  </w:style>
  <w:style w:type="paragraph" w:styleId="5">
    <w:name w:val="Balloon Text"/>
    <w:basedOn w:val="1"/>
    <w:link w:val="14"/>
    <w:semiHidden/>
    <w:qFormat/>
    <w:uiPriority w:val="99"/>
    <w:rPr>
      <w:sz w:val="2"/>
    </w:rPr>
  </w:style>
  <w:style w:type="paragraph" w:styleId="6">
    <w:name w:val="footer"/>
    <w:basedOn w:val="1"/>
    <w:link w:val="15"/>
    <w:qFormat/>
    <w:uiPriority w:val="99"/>
    <w:pPr>
      <w:tabs>
        <w:tab w:val="center" w:pos="4153"/>
        <w:tab w:val="right" w:pos="8306"/>
      </w:tabs>
      <w:snapToGrid w:val="0"/>
      <w:spacing w:line="240" w:lineRule="atLeast"/>
      <w:jc w:val="left"/>
    </w:pPr>
    <w:rPr>
      <w:sz w:val="18"/>
    </w:rPr>
  </w:style>
  <w:style w:type="paragraph" w:styleId="7">
    <w:name w:val="header"/>
    <w:basedOn w:val="1"/>
    <w:link w:val="16"/>
    <w:qFormat/>
    <w:uiPriority w:val="99"/>
    <w:pPr>
      <w:pBdr>
        <w:bottom w:val="single" w:color="auto" w:sz="6" w:space="1"/>
      </w:pBdr>
      <w:tabs>
        <w:tab w:val="center" w:pos="4153"/>
        <w:tab w:val="right" w:pos="8306"/>
      </w:tabs>
      <w:snapToGrid w:val="0"/>
      <w:spacing w:line="240" w:lineRule="atLeast"/>
      <w:jc w:val="center"/>
    </w:pPr>
    <w:rPr>
      <w:sz w:val="18"/>
    </w:rPr>
  </w:style>
  <w:style w:type="paragraph" w:styleId="8">
    <w:name w:val="Normal (Web)"/>
    <w:basedOn w:val="1"/>
    <w:qFormat/>
    <w:uiPriority w:val="99"/>
    <w:pPr>
      <w:spacing w:before="100" w:beforeAutospacing="1" w:after="100" w:afterAutospacing="1" w:line="240" w:lineRule="auto"/>
      <w:ind w:firstLine="0"/>
      <w:jc w:val="left"/>
      <w:textAlignment w:val="auto"/>
    </w:pPr>
    <w:rPr>
      <w:rFonts w:ascii="宋体" w:hAnsi="宋体" w:cs="宋体"/>
      <w:color w:val="auto"/>
      <w:sz w:val="24"/>
      <w:szCs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customStyle="1" w:styleId="13">
    <w:name w:val="日期 Char"/>
    <w:link w:val="4"/>
    <w:semiHidden/>
    <w:qFormat/>
    <w:locked/>
    <w:uiPriority w:val="99"/>
    <w:rPr>
      <w:color w:val="000000"/>
      <w:kern w:val="0"/>
      <w:sz w:val="20"/>
      <w:u w:color="000000"/>
    </w:rPr>
  </w:style>
  <w:style w:type="character" w:customStyle="1" w:styleId="14">
    <w:name w:val="批注框文本 Char"/>
    <w:link w:val="5"/>
    <w:semiHidden/>
    <w:qFormat/>
    <w:locked/>
    <w:uiPriority w:val="99"/>
    <w:rPr>
      <w:color w:val="000000"/>
      <w:kern w:val="0"/>
      <w:sz w:val="2"/>
      <w:u w:color="000000"/>
    </w:rPr>
  </w:style>
  <w:style w:type="character" w:customStyle="1" w:styleId="15">
    <w:name w:val="页脚 Char"/>
    <w:link w:val="6"/>
    <w:qFormat/>
    <w:locked/>
    <w:uiPriority w:val="99"/>
    <w:rPr>
      <w:color w:val="000000"/>
      <w:sz w:val="18"/>
      <w:u w:color="000000"/>
    </w:rPr>
  </w:style>
  <w:style w:type="character" w:customStyle="1" w:styleId="16">
    <w:name w:val="页眉 Char"/>
    <w:link w:val="7"/>
    <w:qFormat/>
    <w:locked/>
    <w:uiPriority w:val="99"/>
    <w:rPr>
      <w:color w:val="000000"/>
      <w:sz w:val="18"/>
      <w:u w:color="000000"/>
    </w:rPr>
  </w:style>
  <w:style w:type="character" w:customStyle="1" w:styleId="17">
    <w:name w:val="链接"/>
    <w:qFormat/>
    <w:uiPriority w:val="99"/>
    <w:rPr>
      <w:rFonts w:ascii="Times New Roman" w:eastAsia="宋体"/>
      <w:color w:val="0000FF"/>
      <w:sz w:val="21"/>
      <w:u w:val="single" w:color="0000FF"/>
      <w:vertAlign w:val="baseline"/>
      <w:lang w:val="en-US" w:eastAsia="zh-CN"/>
    </w:rPr>
  </w:style>
  <w:style w:type="paragraph" w:styleId="18">
    <w:name w:val="List Paragraph"/>
    <w:basedOn w:val="1"/>
    <w:qFormat/>
    <w:uiPriority w:val="99"/>
    <w:pPr>
      <w:ind w:firstLine="420" w:firstLineChars="200"/>
    </w:pPr>
  </w:style>
  <w:style w:type="paragraph" w:customStyle="1" w:styleId="19">
    <w:name w:val="Char"/>
    <w:basedOn w:val="1"/>
    <w:qFormat/>
    <w:uiPriority w:val="99"/>
    <w:pPr>
      <w:widowControl w:val="0"/>
      <w:spacing w:line="240" w:lineRule="auto"/>
      <w:ind w:firstLine="0"/>
      <w:textAlignment w:val="auto"/>
    </w:pPr>
    <w:rPr>
      <w:color w:val="auto"/>
      <w:kern w:val="2"/>
      <w:szCs w:val="24"/>
    </w:rPr>
  </w:style>
  <w:style w:type="paragraph" w:styleId="20">
    <w:name w:val="No Spacing"/>
    <w:link w:val="21"/>
    <w:qFormat/>
    <w:uiPriority w:val="99"/>
    <w:rPr>
      <w:rFonts w:ascii="Calibri" w:hAnsi="Calibri" w:eastAsia="宋体" w:cs="Times New Roman"/>
      <w:sz w:val="22"/>
      <w:lang w:val="en-US" w:eastAsia="zh-CN" w:bidi="ar-SA"/>
    </w:rPr>
  </w:style>
  <w:style w:type="character" w:customStyle="1" w:styleId="21">
    <w:name w:val="无间隔 Char"/>
    <w:link w:val="20"/>
    <w:qFormat/>
    <w:locked/>
    <w:uiPriority w:val="99"/>
    <w:rPr>
      <w:rFonts w:ascii="Calibri" w:hAnsi="Calibri"/>
      <w:sz w:val="22"/>
      <w:lang w:val="en-US" w:eastAsia="zh-CN"/>
    </w:rPr>
  </w:style>
  <w:style w:type="paragraph" w:customStyle="1" w:styleId="22">
    <w:name w:val="p0"/>
    <w:basedOn w:val="1"/>
    <w:qFormat/>
    <w:uiPriority w:val="99"/>
    <w:pPr>
      <w:widowControl/>
      <w:spacing w:line="240" w:lineRule="atLeast"/>
    </w:pPr>
    <w:rPr>
      <w:rFonts w:ascii="仿宋_GB2312" w:hAnsi="仿宋_GB2312"/>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261C5E-A76E-41E0-849C-12913C93D73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2473</Words>
  <Characters>3190</Characters>
  <Lines>17</Lines>
  <Paragraphs>4</Paragraphs>
  <TotalTime>32</TotalTime>
  <ScaleCrop>false</ScaleCrop>
  <LinksUpToDate>false</LinksUpToDate>
  <CharactersWithSpaces>3210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2015-11-12T08:49:00Z</dcterms:created>
  <dc:creator>Lenovo User</dc:creator>
  <cp:lastModifiedBy>崋</cp:lastModifiedBy>
  <cp:lastPrinted>2021-12-07T06:38:00Z</cp:lastPrinted>
  <dcterms:modified xsi:type="dcterms:W3CDTF">2023-05-11T14:39:01Z</dcterms:modified>
  <dc:title>1、各业务科应继续督促预算单位对历年经常性和专项的结转和结余资金进行明细核算和逐项分类清查</dc:title>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FCADFEDF1D9242689C4254B9DDFE5FF4</vt:lpwstr>
  </property>
</Properties>
</file>