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spacing w:line="560" w:lineRule="exact"/>
        <w:ind w:left="0" w:leftChars="0" w:firstLine="0" w:firstLineChars="0"/>
        <w:jc w:val="both"/>
        <w:textAlignment w:val="baseline"/>
        <w:rPr>
          <w:rFonts w:ascii="方正小标宋简体" w:hAnsi="仿宋" w:eastAsia="方正小标宋简体"/>
          <w:sz w:val="44"/>
          <w:szCs w:val="44"/>
        </w:rPr>
      </w:pPr>
      <w:bookmarkStart w:id="0" w:name="_GoBack"/>
      <w:bookmarkEnd w:id="0"/>
    </w:p>
    <w:p>
      <w:pPr>
        <w:keepNext w:val="0"/>
        <w:keepLines w:val="0"/>
        <w:pageBreakBefore w:val="0"/>
        <w:widowControl/>
        <w:tabs>
          <w:tab w:val="left" w:pos="8640"/>
        </w:tabs>
        <w:kinsoku/>
        <w:wordWrap/>
        <w:overflowPunct/>
        <w:topLinePunct w:val="0"/>
        <w:bidi w:val="0"/>
        <w:snapToGrid/>
        <w:spacing w:line="560" w:lineRule="exact"/>
        <w:ind w:left="0" w:leftChars="0" w:right="90" w:rightChars="43" w:firstLine="0" w:firstLineChars="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年县财政预算调整的报告</w:t>
      </w:r>
    </w:p>
    <w:p>
      <w:pPr>
        <w:pStyle w:val="2"/>
        <w:rPr>
          <w:rFonts w:hint="eastAsia"/>
        </w:rPr>
      </w:pPr>
    </w:p>
    <w:p>
      <w:pPr>
        <w:keepNext w:val="0"/>
        <w:keepLines w:val="0"/>
        <w:pageBreakBefore w:val="0"/>
        <w:widowControl/>
        <w:tabs>
          <w:tab w:val="left" w:pos="8640"/>
        </w:tabs>
        <w:kinsoku/>
        <w:wordWrap/>
        <w:overflowPunct/>
        <w:topLinePunct w:val="0"/>
        <w:autoSpaceDE/>
        <w:autoSpaceDN/>
        <w:bidi w:val="0"/>
        <w:adjustRightInd/>
        <w:snapToGrid/>
        <w:spacing w:line="400" w:lineRule="exact"/>
        <w:ind w:left="0" w:leftChars="0" w:firstLine="0" w:firstLineChars="0"/>
        <w:jc w:val="center"/>
        <w:textAlignment w:val="baseline"/>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spacing w:val="0"/>
          <w:w w:val="94"/>
          <w:kern w:val="0"/>
          <w:sz w:val="32"/>
          <w:szCs w:val="32"/>
          <w:fitText w:val="8960" w:id="1014121567"/>
        </w:rPr>
        <w:t>（</w:t>
      </w:r>
      <w:r>
        <w:rPr>
          <w:rFonts w:hint="eastAsia" w:ascii="楷体_GB2312" w:hAnsi="楷体_GB2312" w:eastAsia="楷体_GB2312" w:cs="楷体_GB2312"/>
          <w:color w:val="auto"/>
          <w:spacing w:val="0"/>
          <w:w w:val="94"/>
          <w:kern w:val="0"/>
          <w:sz w:val="32"/>
          <w:szCs w:val="32"/>
          <w:fitText w:val="8960" w:id="1014121567"/>
          <w:lang w:eastAsia="zh-CN"/>
        </w:rPr>
        <w:t>202</w:t>
      </w:r>
      <w:r>
        <w:rPr>
          <w:rFonts w:hint="eastAsia" w:ascii="楷体_GB2312" w:hAnsi="楷体_GB2312" w:eastAsia="楷体_GB2312" w:cs="楷体_GB2312"/>
          <w:color w:val="auto"/>
          <w:spacing w:val="0"/>
          <w:w w:val="94"/>
          <w:kern w:val="0"/>
          <w:sz w:val="32"/>
          <w:szCs w:val="32"/>
          <w:fitText w:val="8960" w:id="1014121567"/>
          <w:lang w:val="en-US" w:eastAsia="zh-CN"/>
        </w:rPr>
        <w:t>3</w:t>
      </w:r>
      <w:r>
        <w:rPr>
          <w:rFonts w:hint="eastAsia" w:ascii="楷体_GB2312" w:hAnsi="楷体_GB2312" w:eastAsia="楷体_GB2312" w:cs="楷体_GB2312"/>
          <w:color w:val="auto"/>
          <w:spacing w:val="0"/>
          <w:w w:val="94"/>
          <w:kern w:val="0"/>
          <w:sz w:val="32"/>
          <w:szCs w:val="32"/>
          <w:fitText w:val="8960" w:id="1014121567"/>
        </w:rPr>
        <w:t>年</w:t>
      </w:r>
      <w:r>
        <w:rPr>
          <w:rFonts w:hint="eastAsia" w:ascii="楷体_GB2312" w:hAnsi="楷体_GB2312" w:eastAsia="楷体_GB2312" w:cs="楷体_GB2312"/>
          <w:color w:val="auto"/>
          <w:spacing w:val="0"/>
          <w:w w:val="94"/>
          <w:kern w:val="0"/>
          <w:sz w:val="32"/>
          <w:szCs w:val="32"/>
          <w:fitText w:val="8960" w:id="1014121567"/>
          <w:lang w:val="en-US" w:eastAsia="zh-CN"/>
        </w:rPr>
        <w:t>12</w:t>
      </w:r>
      <w:r>
        <w:rPr>
          <w:rFonts w:hint="eastAsia" w:ascii="楷体_GB2312" w:hAnsi="楷体_GB2312" w:eastAsia="楷体_GB2312" w:cs="楷体_GB2312"/>
          <w:color w:val="auto"/>
          <w:spacing w:val="0"/>
          <w:w w:val="94"/>
          <w:kern w:val="0"/>
          <w:sz w:val="32"/>
          <w:szCs w:val="32"/>
          <w:fitText w:val="8960" w:id="1014121567"/>
        </w:rPr>
        <w:t>月</w:t>
      </w:r>
      <w:r>
        <w:rPr>
          <w:rFonts w:hint="eastAsia" w:ascii="楷体_GB2312" w:hAnsi="楷体_GB2312" w:eastAsia="楷体_GB2312" w:cs="楷体_GB2312"/>
          <w:color w:val="auto"/>
          <w:spacing w:val="0"/>
          <w:w w:val="94"/>
          <w:kern w:val="0"/>
          <w:sz w:val="32"/>
          <w:szCs w:val="32"/>
          <w:fitText w:val="8960" w:id="1014121567"/>
          <w:lang w:val="en-US" w:eastAsia="zh-CN"/>
        </w:rPr>
        <w:t>25</w:t>
      </w:r>
      <w:r>
        <w:rPr>
          <w:rFonts w:hint="eastAsia" w:ascii="楷体_GB2312" w:hAnsi="楷体_GB2312" w:eastAsia="楷体_GB2312" w:cs="楷体_GB2312"/>
          <w:color w:val="auto"/>
          <w:spacing w:val="0"/>
          <w:w w:val="94"/>
          <w:kern w:val="0"/>
          <w:sz w:val="32"/>
          <w:szCs w:val="32"/>
          <w:fitText w:val="8960" w:id="1014121567"/>
        </w:rPr>
        <w:t>日在闽侯县第十</w:t>
      </w:r>
      <w:r>
        <w:rPr>
          <w:rFonts w:hint="eastAsia" w:ascii="楷体_GB2312" w:hAnsi="楷体_GB2312" w:eastAsia="楷体_GB2312" w:cs="楷体_GB2312"/>
          <w:color w:val="auto"/>
          <w:spacing w:val="0"/>
          <w:w w:val="94"/>
          <w:kern w:val="0"/>
          <w:sz w:val="32"/>
          <w:szCs w:val="32"/>
          <w:fitText w:val="8960" w:id="1014121567"/>
          <w:lang w:eastAsia="zh-CN"/>
        </w:rPr>
        <w:t>九</w:t>
      </w:r>
      <w:r>
        <w:rPr>
          <w:rFonts w:hint="eastAsia" w:ascii="楷体_GB2312" w:hAnsi="楷体_GB2312" w:eastAsia="楷体_GB2312" w:cs="楷体_GB2312"/>
          <w:color w:val="auto"/>
          <w:spacing w:val="0"/>
          <w:w w:val="94"/>
          <w:kern w:val="0"/>
          <w:sz w:val="32"/>
          <w:szCs w:val="32"/>
          <w:fitText w:val="8960" w:id="1014121567"/>
        </w:rPr>
        <w:t>届人大常委会第</w:t>
      </w:r>
      <w:r>
        <w:rPr>
          <w:rFonts w:hint="eastAsia" w:ascii="楷体_GB2312" w:hAnsi="楷体_GB2312" w:eastAsia="楷体_GB2312" w:cs="楷体_GB2312"/>
          <w:color w:val="auto"/>
          <w:spacing w:val="0"/>
          <w:w w:val="94"/>
          <w:kern w:val="0"/>
          <w:sz w:val="32"/>
          <w:szCs w:val="32"/>
          <w:fitText w:val="8960" w:id="1014121567"/>
          <w:lang w:val="en-US" w:eastAsia="zh-CN"/>
        </w:rPr>
        <w:t>17</w:t>
      </w:r>
      <w:r>
        <w:rPr>
          <w:rFonts w:hint="eastAsia" w:ascii="楷体_GB2312" w:hAnsi="楷体_GB2312" w:eastAsia="楷体_GB2312" w:cs="楷体_GB2312"/>
          <w:color w:val="auto"/>
          <w:spacing w:val="0"/>
          <w:w w:val="94"/>
          <w:kern w:val="0"/>
          <w:sz w:val="32"/>
          <w:szCs w:val="32"/>
          <w:fitText w:val="8960" w:id="1014121567"/>
        </w:rPr>
        <w:t>次会议上</w:t>
      </w:r>
      <w:r>
        <w:rPr>
          <w:rFonts w:hint="eastAsia" w:ascii="楷体_GB2312" w:hAnsi="楷体_GB2312" w:eastAsia="楷体_GB2312" w:cs="楷体_GB2312"/>
          <w:color w:val="auto"/>
          <w:spacing w:val="14"/>
          <w:w w:val="94"/>
          <w:kern w:val="0"/>
          <w:sz w:val="32"/>
          <w:szCs w:val="32"/>
          <w:fitText w:val="8960" w:id="1014121567"/>
        </w:rPr>
        <w:t>）</w:t>
      </w:r>
    </w:p>
    <w:p>
      <w:pPr>
        <w:pStyle w:val="2"/>
        <w:rPr>
          <w:rFonts w:hint="eastAsia"/>
        </w:rPr>
      </w:pPr>
    </w:p>
    <w:p>
      <w:pPr>
        <w:keepNext w:val="0"/>
        <w:keepLines w:val="0"/>
        <w:pageBreakBefore w:val="0"/>
        <w:widowControl/>
        <w:tabs>
          <w:tab w:val="left" w:pos="8640"/>
        </w:tabs>
        <w:kinsoku/>
        <w:wordWrap/>
        <w:overflowPunct/>
        <w:topLinePunct w:val="0"/>
        <w:autoSpaceDE/>
        <w:autoSpaceDN/>
        <w:bidi w:val="0"/>
        <w:adjustRightInd/>
        <w:snapToGrid/>
        <w:spacing w:line="400" w:lineRule="exact"/>
        <w:ind w:left="0" w:leftChars="0" w:firstLine="0" w:firstLineChars="0"/>
        <w:jc w:val="center"/>
        <w:textAlignment w:val="baseline"/>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闽侯县财政局</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 xml:space="preserve"> </w:t>
      </w:r>
      <w:r>
        <w:rPr>
          <w:rFonts w:hint="eastAsia" w:ascii="楷体_GB2312" w:hAnsi="楷体_GB2312" w:eastAsia="楷体_GB2312" w:cs="楷体_GB2312"/>
          <w:b/>
          <w:bCs/>
          <w:color w:val="auto"/>
          <w:sz w:val="32"/>
          <w:szCs w:val="32"/>
          <w:lang w:eastAsia="zh-CN"/>
        </w:rPr>
        <w:t>欧阳晓峰</w:t>
      </w:r>
    </w:p>
    <w:p>
      <w:pPr>
        <w:pStyle w:val="2"/>
      </w:pPr>
    </w:p>
    <w:p>
      <w:pPr>
        <w:keepNext w:val="0"/>
        <w:keepLines w:val="0"/>
        <w:pageBreakBefore w:val="0"/>
        <w:widowControl/>
        <w:tabs>
          <w:tab w:val="left" w:pos="8640"/>
        </w:tabs>
        <w:kinsoku/>
        <w:wordWrap/>
        <w:overflowPunct/>
        <w:topLinePunct w:val="0"/>
        <w:autoSpaceDE/>
        <w:autoSpaceDN/>
        <w:bidi w:val="0"/>
        <w:adjustRightInd/>
        <w:snapToGrid/>
        <w:spacing w:line="560" w:lineRule="exact"/>
        <w:ind w:right="90" w:rightChars="43" w:firstLine="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主任、各位副主任、委员:</w:t>
      </w:r>
    </w:p>
    <w:p>
      <w:pPr>
        <w:keepNext w:val="0"/>
        <w:keepLines w:val="0"/>
        <w:pageBreakBefore w:val="0"/>
        <w:widowControl/>
        <w:tabs>
          <w:tab w:val="left" w:pos="8640"/>
        </w:tabs>
        <w:kinsoku/>
        <w:wordWrap/>
        <w:overflowPunct/>
        <w:topLinePunct w:val="0"/>
        <w:autoSpaceDE/>
        <w:autoSpaceDN/>
        <w:bidi w:val="0"/>
        <w:adjustRightInd/>
        <w:snapToGrid/>
        <w:spacing w:line="560" w:lineRule="exact"/>
        <w:ind w:right="90" w:rightChars="43"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受县人民政府的委托，向县第十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届人大常委会第</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次会议报告</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年县财政预算调整方案，请予以审议。</w:t>
      </w:r>
    </w:p>
    <w:p>
      <w:pPr>
        <w:keepNext w:val="0"/>
        <w:keepLines w:val="0"/>
        <w:pageBreakBefore w:val="0"/>
        <w:tabs>
          <w:tab w:val="left" w:pos="8640"/>
        </w:tabs>
        <w:kinsoku/>
        <w:wordWrap/>
        <w:overflowPunct/>
        <w:topLinePunct w:val="0"/>
        <w:autoSpaceDE/>
        <w:autoSpaceDN/>
        <w:bidi w:val="0"/>
        <w:adjustRightInd/>
        <w:snapToGrid/>
        <w:spacing w:line="560" w:lineRule="exact"/>
        <w:ind w:right="90" w:rightChars="43" w:firstLine="800" w:firstLineChars="25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w:t>
      </w:r>
      <w:r>
        <w:rPr>
          <w:rFonts w:hint="eastAsia" w:ascii="黑体" w:hAnsi="黑体" w:eastAsia="黑体" w:cs="黑体"/>
          <w:b w:val="0"/>
          <w:bCs/>
          <w:color w:val="auto"/>
          <w:sz w:val="32"/>
          <w:szCs w:val="32"/>
          <w:lang w:eastAsia="zh-CN"/>
        </w:rPr>
        <w:t>202</w:t>
      </w:r>
      <w:r>
        <w:rPr>
          <w:rFonts w:hint="eastAsia" w:ascii="黑体" w:hAnsi="黑体" w:eastAsia="黑体" w:cs="黑体"/>
          <w:b w:val="0"/>
          <w:bCs/>
          <w:color w:val="auto"/>
          <w:sz w:val="32"/>
          <w:szCs w:val="32"/>
          <w:lang w:val="en-US" w:eastAsia="zh-CN"/>
        </w:rPr>
        <w:t>3</w:t>
      </w:r>
      <w:r>
        <w:rPr>
          <w:rFonts w:hint="eastAsia" w:ascii="黑体" w:hAnsi="黑体" w:eastAsia="黑体" w:cs="黑体"/>
          <w:b w:val="0"/>
          <w:bCs/>
          <w:color w:val="auto"/>
          <w:sz w:val="32"/>
          <w:szCs w:val="32"/>
        </w:rPr>
        <w:t>年年初</w:t>
      </w:r>
      <w:r>
        <w:rPr>
          <w:rFonts w:hint="eastAsia" w:ascii="黑体" w:hAnsi="黑体" w:eastAsia="黑体" w:cs="黑体"/>
          <w:b w:val="0"/>
          <w:bCs/>
          <w:color w:val="auto"/>
          <w:sz w:val="32"/>
          <w:szCs w:val="32"/>
          <w:lang w:eastAsia="zh-CN"/>
        </w:rPr>
        <w:t>县</w:t>
      </w:r>
      <w:r>
        <w:rPr>
          <w:rFonts w:hint="eastAsia" w:ascii="黑体" w:hAnsi="黑体" w:eastAsia="黑体" w:cs="黑体"/>
          <w:b w:val="0"/>
          <w:bCs/>
          <w:color w:val="auto"/>
          <w:sz w:val="32"/>
          <w:szCs w:val="32"/>
        </w:rPr>
        <w:t>人大批准全县（含高新区，下同）财政收支预算情况</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（一）全县一般公共预算总收入为</w:t>
      </w:r>
      <w:r>
        <w:rPr>
          <w:rFonts w:hint="eastAsia" w:ascii="仿宋_GB2312" w:hAnsi="仿宋_GB2312" w:eastAsia="仿宋_GB2312" w:cs="仿宋_GB2312"/>
          <w:color w:val="auto"/>
          <w:sz w:val="32"/>
          <w:szCs w:val="32"/>
          <w:lang w:val="en-US" w:eastAsia="zh-CN"/>
        </w:rPr>
        <w:t>147.97</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117.22</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30.75</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%。其中：一般公共预算收入为</w:t>
      </w:r>
      <w:r>
        <w:rPr>
          <w:rFonts w:hint="eastAsia" w:ascii="仿宋_GB2312" w:hAnsi="仿宋_GB2312" w:eastAsia="仿宋_GB2312" w:cs="仿宋_GB2312"/>
          <w:color w:val="auto"/>
          <w:sz w:val="32"/>
          <w:szCs w:val="32"/>
          <w:lang w:val="en-US" w:eastAsia="zh-CN"/>
        </w:rPr>
        <w:t>104.77</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82.28</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22.49</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%。一般公共预算支出为</w:t>
      </w:r>
      <w:r>
        <w:rPr>
          <w:rFonts w:hint="eastAsia" w:ascii="仿宋_GB2312" w:hAnsi="仿宋_GB2312" w:eastAsia="仿宋_GB2312" w:cs="仿宋_GB2312"/>
          <w:color w:val="auto"/>
          <w:sz w:val="32"/>
          <w:szCs w:val="32"/>
          <w:lang w:val="en-US" w:eastAsia="zh-CN"/>
        </w:rPr>
        <w:t>107.65</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85.72</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21.93</w:t>
      </w:r>
      <w:r>
        <w:rPr>
          <w:rFonts w:hint="eastAsia" w:ascii="仿宋_GB2312" w:hAnsi="仿宋_GB2312" w:eastAsia="仿宋_GB2312" w:cs="仿宋_GB2312"/>
          <w:color w:val="auto"/>
          <w:sz w:val="32"/>
          <w:szCs w:val="32"/>
        </w:rPr>
        <w:t>亿元）。</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（二）全县政府性基金收入为</w:t>
      </w:r>
      <w:r>
        <w:rPr>
          <w:rFonts w:hint="eastAsia" w:ascii="仿宋_GB2312" w:hAnsi="仿宋_GB2312" w:eastAsia="仿宋_GB2312" w:cs="仿宋_GB2312"/>
          <w:color w:val="auto"/>
          <w:sz w:val="32"/>
          <w:szCs w:val="32"/>
          <w:lang w:val="en-US" w:eastAsia="zh-CN"/>
        </w:rPr>
        <w:t>110</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306.99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（县本级</w:t>
      </w:r>
      <w:r>
        <w:rPr>
          <w:rFonts w:hint="eastAsia" w:ascii="仿宋_GB2312" w:hAnsi="仿宋_GB2312" w:eastAsia="仿宋_GB2312" w:cs="仿宋_GB2312"/>
          <w:color w:val="auto"/>
          <w:sz w:val="32"/>
          <w:szCs w:val="32"/>
          <w:lang w:val="en-US" w:eastAsia="zh-CN"/>
        </w:rPr>
        <w:t>369.17%，高新区211.84%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政府性基金支出为</w:t>
      </w:r>
      <w:r>
        <w:rPr>
          <w:rFonts w:hint="eastAsia" w:ascii="仿宋_GB2312" w:hAnsi="仿宋_GB2312" w:eastAsia="仿宋_GB2312" w:cs="仿宋_GB2312"/>
          <w:color w:val="auto"/>
          <w:sz w:val="32"/>
          <w:szCs w:val="32"/>
          <w:lang w:val="en-US" w:eastAsia="zh-CN"/>
        </w:rPr>
        <w:t>109.76</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79.76</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45.21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rPr>
        <w:t>（三）</w:t>
      </w:r>
      <w:r>
        <w:rPr>
          <w:rFonts w:hint="eastAsia" w:ascii="仿宋_GB2312" w:hAnsi="仿宋_GB2312" w:eastAsia="仿宋_GB2312" w:cs="仿宋_GB2312"/>
          <w:sz w:val="32"/>
          <w:szCs w:val="32"/>
          <w:highlight w:val="none"/>
        </w:rPr>
        <w:t>县本级国有资本经营收入预算为</w:t>
      </w:r>
      <w:r>
        <w:rPr>
          <w:rFonts w:hint="eastAsia" w:ascii="仿宋_GB2312" w:hAnsi="仿宋_GB2312" w:eastAsia="仿宋_GB2312" w:cs="仿宋_GB2312"/>
          <w:sz w:val="32"/>
          <w:szCs w:val="32"/>
          <w:highlight w:val="none"/>
          <w:lang w:val="en-US" w:eastAsia="zh-CN"/>
        </w:rPr>
        <w:t>279万元，支出195万元</w:t>
      </w:r>
      <w:r>
        <w:rPr>
          <w:rFonts w:hint="eastAsia" w:ascii="仿宋_GB2312" w:hAnsi="仿宋_GB2312" w:eastAsia="仿宋_GB2312" w:cs="仿宋_GB2312"/>
          <w:sz w:val="32"/>
          <w:szCs w:val="32"/>
          <w:highlight w:val="none"/>
        </w:rPr>
        <w:t>。</w:t>
      </w:r>
    </w:p>
    <w:p>
      <w:pPr>
        <w:pStyle w:val="2"/>
        <w:rPr>
          <w:rFonts w:hint="eastAsia"/>
        </w:rPr>
      </w:pPr>
    </w:p>
    <w:p>
      <w:pPr>
        <w:keepNext w:val="0"/>
        <w:keepLines w:val="0"/>
        <w:pageBreakBefore w:val="0"/>
        <w:tabs>
          <w:tab w:val="left" w:pos="8640"/>
        </w:tabs>
        <w:kinsoku/>
        <w:wordWrap/>
        <w:overflowPunct/>
        <w:topLinePunct w:val="0"/>
        <w:autoSpaceDE/>
        <w:autoSpaceDN/>
        <w:bidi w:val="0"/>
        <w:adjustRightInd/>
        <w:snapToGrid/>
        <w:spacing w:line="560" w:lineRule="exact"/>
        <w:ind w:left="0" w:leftChars="0" w:firstLine="640" w:firstLineChars="200"/>
        <w:jc w:val="both"/>
        <w:rPr>
          <w:rFonts w:ascii="仿宋" w:hAnsi="仿宋" w:eastAsia="仿宋"/>
          <w:color w:val="auto"/>
          <w:sz w:val="32"/>
          <w:szCs w:val="32"/>
        </w:rPr>
      </w:pPr>
      <w:r>
        <w:rPr>
          <w:rFonts w:hint="eastAsia" w:ascii="黑体" w:hAnsi="黑体" w:eastAsia="黑体" w:cs="黑体"/>
          <w:b w:val="0"/>
          <w:bCs/>
          <w:color w:val="auto"/>
          <w:sz w:val="32"/>
          <w:szCs w:val="32"/>
        </w:rPr>
        <w:t>二、</w:t>
      </w:r>
      <w:r>
        <w:rPr>
          <w:rFonts w:hint="eastAsia" w:ascii="黑体" w:hAnsi="黑体" w:eastAsia="黑体" w:cs="黑体"/>
          <w:b w:val="0"/>
          <w:bCs/>
          <w:color w:val="auto"/>
          <w:sz w:val="32"/>
          <w:szCs w:val="32"/>
          <w:lang w:eastAsia="zh-CN"/>
        </w:rPr>
        <w:t>2023</w:t>
      </w:r>
      <w:r>
        <w:rPr>
          <w:rFonts w:hint="eastAsia" w:ascii="黑体" w:hAnsi="黑体" w:eastAsia="黑体" w:cs="黑体"/>
          <w:b w:val="0"/>
          <w:bCs/>
          <w:color w:val="auto"/>
          <w:sz w:val="32"/>
          <w:szCs w:val="32"/>
        </w:rPr>
        <w:t>年财政收入预算调整</w:t>
      </w:r>
    </w:p>
    <w:p>
      <w:pPr>
        <w:keepNext w:val="0"/>
        <w:keepLines w:val="0"/>
        <w:pageBreakBefore w:val="0"/>
        <w:tabs>
          <w:tab w:val="left" w:pos="8640"/>
        </w:tabs>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rPr>
        <w:t>(一)全县一般公共预算总收入预算调整为</w:t>
      </w:r>
      <w:r>
        <w:rPr>
          <w:rFonts w:hint="eastAsia" w:ascii="仿宋_GB2312" w:hAnsi="仿宋_GB2312" w:eastAsia="仿宋_GB2312" w:cs="仿宋_GB2312"/>
          <w:color w:val="auto"/>
          <w:sz w:val="32"/>
          <w:szCs w:val="32"/>
          <w:lang w:val="en-US" w:eastAsia="zh-CN"/>
        </w:rPr>
        <w:t>141.01</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102.1</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38.91</w:t>
      </w:r>
      <w:r>
        <w:rPr>
          <w:rFonts w:hint="eastAsia" w:ascii="仿宋_GB2312" w:hAnsi="仿宋_GB2312" w:eastAsia="仿宋_GB2312" w:cs="仿宋_GB2312"/>
          <w:color w:val="auto"/>
          <w:sz w:val="32"/>
          <w:szCs w:val="32"/>
        </w:rPr>
        <w:t>亿元），调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6.96</w:t>
      </w:r>
      <w:r>
        <w:rPr>
          <w:rFonts w:hint="eastAsia" w:ascii="仿宋_GB2312" w:hAnsi="仿宋_GB2312" w:eastAsia="仿宋_GB2312" w:cs="仿宋_GB2312"/>
          <w:color w:val="auto"/>
          <w:sz w:val="32"/>
          <w:szCs w:val="32"/>
        </w:rPr>
        <w:t>亿元（县本级调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15.12</w:t>
      </w:r>
      <w:r>
        <w:rPr>
          <w:rFonts w:hint="eastAsia" w:ascii="仿宋_GB2312" w:hAnsi="仿宋_GB2312" w:eastAsia="仿宋_GB2312" w:cs="仿宋_GB2312"/>
          <w:color w:val="auto"/>
          <w:sz w:val="32"/>
          <w:szCs w:val="32"/>
        </w:rPr>
        <w:t>亿元，高新区调</w:t>
      </w:r>
      <w:r>
        <w:rPr>
          <w:rFonts w:hint="eastAsia" w:ascii="仿宋_GB2312" w:hAnsi="仿宋_GB2312" w:eastAsia="仿宋_GB2312" w:cs="仿宋_GB2312"/>
          <w:color w:val="auto"/>
          <w:sz w:val="32"/>
          <w:szCs w:val="32"/>
          <w:lang w:eastAsia="zh-CN"/>
        </w:rPr>
        <w:t>增</w:t>
      </w:r>
      <w:r>
        <w:rPr>
          <w:rFonts w:hint="eastAsia" w:ascii="仿宋_GB2312" w:hAnsi="仿宋_GB2312" w:eastAsia="仿宋_GB2312" w:cs="仿宋_GB2312"/>
          <w:color w:val="auto"/>
          <w:sz w:val="32"/>
          <w:szCs w:val="32"/>
          <w:lang w:val="en-US" w:eastAsia="zh-CN"/>
        </w:rPr>
        <w:t>8.16</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,与年初预算相比降幅4.71%（县本级-12.9%，高新区26.5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与去年同期相比降幅1.5%（县本级-10.24%，高新区32.28%）。</w:t>
      </w:r>
      <w:r>
        <w:rPr>
          <w:rFonts w:hint="eastAsia" w:ascii="仿宋_GB2312" w:hAnsi="仿宋_GB2312" w:eastAsia="仿宋_GB2312" w:cs="仿宋_GB2312"/>
          <w:color w:val="auto"/>
          <w:sz w:val="32"/>
          <w:szCs w:val="32"/>
          <w:highlight w:val="none"/>
        </w:rPr>
        <w:t>其中：全县一般公共预算收入预算调整为</w:t>
      </w:r>
      <w:r>
        <w:rPr>
          <w:rFonts w:hint="eastAsia" w:ascii="仿宋_GB2312" w:hAnsi="仿宋_GB2312" w:eastAsia="仿宋_GB2312" w:cs="仿宋_GB2312"/>
          <w:color w:val="auto"/>
          <w:sz w:val="32"/>
          <w:szCs w:val="32"/>
          <w:highlight w:val="none"/>
          <w:lang w:val="en-US" w:eastAsia="zh-CN"/>
        </w:rPr>
        <w:t>90.48</w:t>
      </w:r>
      <w:r>
        <w:rPr>
          <w:rFonts w:hint="eastAsia" w:ascii="仿宋_GB2312" w:hAnsi="仿宋_GB2312" w:eastAsia="仿宋_GB2312" w:cs="仿宋_GB2312"/>
          <w:color w:val="auto"/>
          <w:sz w:val="32"/>
          <w:szCs w:val="32"/>
          <w:highlight w:val="none"/>
        </w:rPr>
        <w:t>亿元（县本级</w:t>
      </w:r>
      <w:r>
        <w:rPr>
          <w:rFonts w:hint="eastAsia" w:ascii="仿宋_GB2312" w:hAnsi="仿宋_GB2312" w:eastAsia="仿宋_GB2312" w:cs="仿宋_GB2312"/>
          <w:color w:val="auto"/>
          <w:sz w:val="32"/>
          <w:szCs w:val="32"/>
          <w:highlight w:val="none"/>
          <w:lang w:val="en-US" w:eastAsia="zh-CN"/>
        </w:rPr>
        <w:t>63.09</w:t>
      </w:r>
      <w:r>
        <w:rPr>
          <w:rFonts w:hint="eastAsia" w:ascii="仿宋_GB2312" w:hAnsi="仿宋_GB2312" w:eastAsia="仿宋_GB2312" w:cs="仿宋_GB2312"/>
          <w:color w:val="auto"/>
          <w:sz w:val="32"/>
          <w:szCs w:val="32"/>
          <w:highlight w:val="none"/>
        </w:rPr>
        <w:t>亿元，高新区</w:t>
      </w:r>
      <w:r>
        <w:rPr>
          <w:rFonts w:hint="eastAsia" w:ascii="仿宋_GB2312" w:hAnsi="仿宋_GB2312" w:eastAsia="仿宋_GB2312" w:cs="仿宋_GB2312"/>
          <w:color w:val="auto"/>
          <w:sz w:val="32"/>
          <w:szCs w:val="32"/>
          <w:highlight w:val="none"/>
          <w:lang w:val="en-US" w:eastAsia="zh-CN"/>
        </w:rPr>
        <w:t>27.39</w:t>
      </w:r>
      <w:r>
        <w:rPr>
          <w:rFonts w:hint="eastAsia" w:ascii="仿宋_GB2312" w:hAnsi="仿宋_GB2312" w:eastAsia="仿宋_GB2312" w:cs="仿宋_GB2312"/>
          <w:color w:val="auto"/>
          <w:sz w:val="32"/>
          <w:szCs w:val="32"/>
          <w:highlight w:val="none"/>
        </w:rPr>
        <w:t>亿元），调</w:t>
      </w:r>
      <w:r>
        <w:rPr>
          <w:rFonts w:hint="eastAsia" w:ascii="仿宋_GB2312" w:hAnsi="仿宋_GB2312" w:eastAsia="仿宋_GB2312" w:cs="仿宋_GB2312"/>
          <w:color w:val="auto"/>
          <w:sz w:val="32"/>
          <w:szCs w:val="32"/>
          <w:highlight w:val="none"/>
          <w:lang w:eastAsia="zh-CN"/>
        </w:rPr>
        <w:t>减</w:t>
      </w:r>
      <w:r>
        <w:rPr>
          <w:rFonts w:hint="eastAsia" w:ascii="仿宋_GB2312" w:hAnsi="仿宋_GB2312" w:eastAsia="仿宋_GB2312" w:cs="仿宋_GB2312"/>
          <w:color w:val="auto"/>
          <w:sz w:val="32"/>
          <w:szCs w:val="32"/>
          <w:highlight w:val="none"/>
          <w:lang w:val="en-US" w:eastAsia="zh-CN"/>
        </w:rPr>
        <w:t>14.29</w:t>
      </w:r>
      <w:r>
        <w:rPr>
          <w:rFonts w:hint="eastAsia" w:ascii="仿宋_GB2312" w:hAnsi="仿宋_GB2312" w:eastAsia="仿宋_GB2312" w:cs="仿宋_GB2312"/>
          <w:color w:val="auto"/>
          <w:sz w:val="32"/>
          <w:szCs w:val="32"/>
          <w:highlight w:val="none"/>
        </w:rPr>
        <w:t>亿元（县本级调</w:t>
      </w:r>
      <w:r>
        <w:rPr>
          <w:rFonts w:hint="eastAsia" w:ascii="仿宋_GB2312" w:hAnsi="仿宋_GB2312" w:eastAsia="仿宋_GB2312" w:cs="仿宋_GB2312"/>
          <w:color w:val="auto"/>
          <w:sz w:val="32"/>
          <w:szCs w:val="32"/>
          <w:highlight w:val="none"/>
          <w:lang w:eastAsia="zh-CN"/>
        </w:rPr>
        <w:t>减</w:t>
      </w:r>
      <w:r>
        <w:rPr>
          <w:rFonts w:hint="eastAsia" w:ascii="仿宋_GB2312" w:hAnsi="仿宋_GB2312" w:eastAsia="仿宋_GB2312" w:cs="仿宋_GB2312"/>
          <w:color w:val="auto"/>
          <w:sz w:val="32"/>
          <w:szCs w:val="32"/>
          <w:highlight w:val="none"/>
          <w:lang w:val="en-US" w:eastAsia="zh-CN"/>
        </w:rPr>
        <w:t>19.19</w:t>
      </w:r>
      <w:r>
        <w:rPr>
          <w:rFonts w:hint="eastAsia" w:ascii="仿宋_GB2312" w:hAnsi="仿宋_GB2312" w:eastAsia="仿宋_GB2312" w:cs="仿宋_GB2312"/>
          <w:color w:val="auto"/>
          <w:sz w:val="32"/>
          <w:szCs w:val="32"/>
          <w:highlight w:val="none"/>
        </w:rPr>
        <w:t>亿元，高新区调</w:t>
      </w:r>
      <w:r>
        <w:rPr>
          <w:rFonts w:hint="eastAsia" w:ascii="仿宋_GB2312" w:hAnsi="仿宋_GB2312" w:eastAsia="仿宋_GB2312" w:cs="仿宋_GB2312"/>
          <w:color w:val="auto"/>
          <w:sz w:val="32"/>
          <w:szCs w:val="32"/>
          <w:highlight w:val="none"/>
          <w:lang w:eastAsia="zh-CN"/>
        </w:rPr>
        <w:t>增</w:t>
      </w:r>
      <w:r>
        <w:rPr>
          <w:rFonts w:hint="eastAsia" w:ascii="仿宋_GB2312" w:hAnsi="仿宋_GB2312" w:eastAsia="仿宋_GB2312" w:cs="仿宋_GB2312"/>
          <w:color w:val="auto"/>
          <w:sz w:val="32"/>
          <w:szCs w:val="32"/>
          <w:highlight w:val="none"/>
          <w:lang w:val="en-US" w:eastAsia="zh-CN"/>
        </w:rPr>
        <w:t>4.9</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与年初预算相比降幅13.64%（县本级-23.32%，高新区21.79%）,</w:t>
      </w:r>
      <w:r>
        <w:rPr>
          <w:rFonts w:hint="eastAsia" w:ascii="仿宋_GB2312" w:hAnsi="仿宋_GB2312" w:eastAsia="仿宋_GB2312" w:cs="仿宋_GB2312"/>
          <w:b/>
          <w:bCs/>
          <w:color w:val="auto"/>
          <w:sz w:val="32"/>
          <w:szCs w:val="32"/>
          <w:highlight w:val="none"/>
          <w:lang w:val="en-US" w:eastAsia="zh-CN"/>
        </w:rPr>
        <w:t>与去年同期相比降幅10.19%（县本级-20.46%，高新区27.83%）</w:t>
      </w:r>
      <w:r>
        <w:rPr>
          <w:rFonts w:hint="eastAsia" w:ascii="仿宋_GB2312" w:hAnsi="仿宋_GB2312" w:eastAsia="仿宋_GB2312" w:cs="仿宋_GB2312"/>
          <w:color w:val="auto"/>
          <w:sz w:val="32"/>
          <w:szCs w:val="32"/>
        </w:rPr>
        <w:t>,详见附表</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val="0"/>
          <w:bCs w:val="0"/>
          <w:color w:val="auto"/>
          <w:sz w:val="32"/>
          <w:szCs w:val="32"/>
          <w:highlight w:val="none"/>
        </w:rPr>
        <w:t>。</w:t>
      </w:r>
    </w:p>
    <w:p>
      <w:pPr>
        <w:keepNext w:val="0"/>
        <w:keepLines w:val="0"/>
        <w:pageBreakBefore w:val="0"/>
        <w:tabs>
          <w:tab w:val="left" w:pos="8640"/>
        </w:tabs>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（二）全县政府性基金收入预算调整为</w:t>
      </w:r>
      <w:r>
        <w:rPr>
          <w:rFonts w:hint="eastAsia" w:ascii="仿宋_GB2312" w:hAnsi="仿宋_GB2312" w:eastAsia="仿宋_GB2312" w:cs="仿宋_GB2312"/>
          <w:color w:val="auto"/>
          <w:sz w:val="32"/>
          <w:szCs w:val="32"/>
          <w:lang w:val="en-US" w:eastAsia="zh-CN"/>
        </w:rPr>
        <w:t>32.79</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15.79亿</w:t>
      </w:r>
      <w:r>
        <w:rPr>
          <w:rFonts w:hint="eastAsia" w:ascii="仿宋_GB2312" w:hAnsi="仿宋_GB2312" w:eastAsia="仿宋_GB2312" w:cs="仿宋_GB2312"/>
          <w:color w:val="auto"/>
          <w:sz w:val="32"/>
          <w:szCs w:val="32"/>
        </w:rPr>
        <w:t>元，高新区</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亿元），调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77.21</w:t>
      </w:r>
      <w:r>
        <w:rPr>
          <w:rFonts w:hint="eastAsia" w:ascii="仿宋_GB2312" w:hAnsi="仿宋_GB2312" w:eastAsia="仿宋_GB2312" w:cs="仿宋_GB2312"/>
          <w:color w:val="auto"/>
          <w:sz w:val="32"/>
          <w:szCs w:val="32"/>
        </w:rPr>
        <w:t>亿元（县本级调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64.21</w:t>
      </w:r>
      <w:r>
        <w:rPr>
          <w:rFonts w:hint="eastAsia" w:ascii="仿宋_GB2312" w:hAnsi="仿宋_GB2312" w:eastAsia="仿宋_GB2312" w:cs="仿宋_GB2312"/>
          <w:color w:val="auto"/>
          <w:sz w:val="32"/>
          <w:szCs w:val="32"/>
        </w:rPr>
        <w:t>亿元，高新区调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与年初预算相比</w:t>
      </w:r>
      <w:r>
        <w:rPr>
          <w:rFonts w:hint="eastAsia" w:ascii="仿宋_GB2312" w:hAnsi="仿宋_GB2312" w:eastAsia="仿宋_GB2312" w:cs="仿宋_GB2312"/>
          <w:color w:val="auto"/>
          <w:sz w:val="32"/>
          <w:szCs w:val="32"/>
          <w:lang w:eastAsia="zh-CN"/>
        </w:rPr>
        <w:t>降幅</w:t>
      </w:r>
      <w:r>
        <w:rPr>
          <w:rFonts w:hint="eastAsia" w:ascii="仿宋_GB2312" w:hAnsi="仿宋_GB2312" w:eastAsia="仿宋_GB2312" w:cs="仿宋_GB2312"/>
          <w:color w:val="auto"/>
          <w:sz w:val="32"/>
          <w:szCs w:val="32"/>
          <w:lang w:val="en-US" w:eastAsia="zh-CN"/>
        </w:rPr>
        <w:t>70.19%（县本级-80.26%，高新区-43.33%）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val="en-US" w:eastAsia="zh-CN"/>
        </w:rPr>
        <w:t>与去年同期相比降幅3.73%（县本级-20.76%，高新区20.29%）。</w:t>
      </w:r>
    </w:p>
    <w:p>
      <w:pPr>
        <w:keepNext w:val="0"/>
        <w:keepLines w:val="0"/>
        <w:pageBreakBefore w:val="0"/>
        <w:tabs>
          <w:tab w:val="left" w:pos="8640"/>
        </w:tabs>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sz w:val="32"/>
          <w:szCs w:val="32"/>
        </w:rPr>
        <w:t>县本级国有资本经营收入预算</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161万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调减</w:t>
      </w:r>
      <w:r>
        <w:rPr>
          <w:rFonts w:hint="eastAsia" w:ascii="仿宋_GB2312" w:hAnsi="仿宋_GB2312" w:eastAsia="仿宋_GB2312" w:cs="仿宋_GB2312"/>
          <w:sz w:val="32"/>
          <w:szCs w:val="32"/>
          <w:lang w:val="en-US" w:eastAsia="zh-CN"/>
        </w:rPr>
        <w:t>118万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与年初预算相比</w:t>
      </w:r>
      <w:r>
        <w:rPr>
          <w:rFonts w:hint="eastAsia" w:ascii="仿宋_GB2312" w:hAnsi="仿宋_GB2312" w:eastAsia="仿宋_GB2312" w:cs="仿宋_GB2312"/>
          <w:color w:val="auto"/>
          <w:sz w:val="32"/>
          <w:szCs w:val="32"/>
          <w:lang w:eastAsia="zh-CN"/>
        </w:rPr>
        <w:t>降幅</w:t>
      </w:r>
      <w:r>
        <w:rPr>
          <w:rFonts w:hint="eastAsia" w:ascii="仿宋_GB2312" w:hAnsi="仿宋_GB2312" w:eastAsia="仿宋_GB2312" w:cs="仿宋_GB2312"/>
          <w:color w:val="auto"/>
          <w:sz w:val="32"/>
          <w:szCs w:val="32"/>
          <w:lang w:val="en-US" w:eastAsia="zh-CN"/>
        </w:rPr>
        <w:t>42.29%，</w:t>
      </w:r>
      <w:r>
        <w:rPr>
          <w:rFonts w:hint="eastAsia" w:ascii="仿宋_GB2312" w:hAnsi="仿宋_GB2312" w:eastAsia="仿宋_GB2312" w:cs="仿宋_GB2312"/>
          <w:b/>
          <w:bCs/>
          <w:color w:val="auto"/>
          <w:sz w:val="32"/>
          <w:szCs w:val="32"/>
          <w:lang w:val="en-US" w:eastAsia="zh-CN"/>
        </w:rPr>
        <w:t>与去年同期相比降幅42.29%。</w:t>
      </w:r>
    </w:p>
    <w:p>
      <w:pPr>
        <w:keepNext w:val="0"/>
        <w:keepLines w:val="0"/>
        <w:pageBreakBefore w:val="0"/>
        <w:tabs>
          <w:tab w:val="left" w:pos="8640"/>
        </w:tabs>
        <w:kinsoku/>
        <w:wordWrap/>
        <w:overflowPunct/>
        <w:topLinePunct w:val="0"/>
        <w:autoSpaceDE/>
        <w:autoSpaceDN/>
        <w:bidi w:val="0"/>
        <w:adjustRightInd/>
        <w:snapToGrid/>
        <w:spacing w:line="560" w:lineRule="exact"/>
        <w:ind w:firstLine="956" w:firstLineChars="299"/>
        <w:jc w:val="both"/>
        <w:rPr>
          <w:rFonts w:ascii="仿宋" w:hAnsi="仿宋" w:eastAsia="仿宋"/>
          <w:b/>
          <w:color w:val="auto"/>
          <w:sz w:val="32"/>
          <w:szCs w:val="32"/>
        </w:rPr>
      </w:pPr>
      <w:r>
        <w:rPr>
          <w:rFonts w:hint="eastAsia" w:ascii="黑体" w:hAnsi="黑体" w:eastAsia="黑体" w:cs="黑体"/>
          <w:b w:val="0"/>
          <w:bCs/>
          <w:color w:val="auto"/>
          <w:sz w:val="32"/>
          <w:szCs w:val="32"/>
        </w:rPr>
        <w:t>三、调整后财力</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（一）公共财政财力</w:t>
      </w:r>
    </w:p>
    <w:p>
      <w:pPr>
        <w:keepNext w:val="0"/>
        <w:keepLines w:val="0"/>
        <w:pageBreakBefore w:val="0"/>
        <w:tabs>
          <w:tab w:val="left" w:pos="8640"/>
        </w:tabs>
        <w:kinsoku/>
        <w:wordWrap/>
        <w:overflowPunct/>
        <w:topLinePunct w:val="0"/>
        <w:autoSpaceDE/>
        <w:autoSpaceDN/>
        <w:bidi w:val="0"/>
        <w:adjustRightInd/>
        <w:snapToGrid/>
        <w:spacing w:line="560"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按现行省对县财政体制测算，全县</w:t>
      </w:r>
      <w:r>
        <w:rPr>
          <w:rFonts w:hint="eastAsia" w:ascii="仿宋_GB2312" w:hAnsi="仿宋_GB2312" w:eastAsia="仿宋_GB2312" w:cs="仿宋_GB2312"/>
          <w:color w:val="auto"/>
          <w:sz w:val="32"/>
          <w:szCs w:val="32"/>
          <w:lang w:eastAsia="zh-CN"/>
        </w:rPr>
        <w:t>2023</w:t>
      </w:r>
      <w:r>
        <w:rPr>
          <w:rFonts w:hint="eastAsia" w:ascii="仿宋_GB2312" w:hAnsi="仿宋_GB2312" w:eastAsia="仿宋_GB2312" w:cs="仿宋_GB2312"/>
          <w:color w:val="auto"/>
          <w:sz w:val="32"/>
          <w:szCs w:val="32"/>
        </w:rPr>
        <w:t>年一般公共预算收入</w:t>
      </w:r>
      <w:r>
        <w:rPr>
          <w:rFonts w:hint="eastAsia" w:ascii="仿宋_GB2312" w:hAnsi="仿宋_GB2312" w:eastAsia="仿宋_GB2312" w:cs="仿宋_GB2312"/>
          <w:color w:val="auto"/>
          <w:sz w:val="32"/>
          <w:szCs w:val="32"/>
          <w:lang w:val="en-US" w:eastAsia="zh-CN"/>
        </w:rPr>
        <w:t>90.48</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,加上</w:t>
      </w:r>
      <w:r>
        <w:rPr>
          <w:rFonts w:hint="eastAsia"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15.58</w:t>
      </w:r>
      <w:r>
        <w:rPr>
          <w:rFonts w:hint="eastAsia" w:ascii="仿宋_GB2312" w:hAnsi="仿宋_GB2312" w:eastAsia="仿宋_GB2312" w:cs="仿宋_GB2312"/>
          <w:color w:val="auto"/>
          <w:sz w:val="32"/>
          <w:szCs w:val="32"/>
        </w:rPr>
        <w:t>亿元、动用预算稳定调节基金</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rPr>
        <w:t>地方政府</w:t>
      </w:r>
      <w:r>
        <w:rPr>
          <w:rFonts w:hint="eastAsia" w:ascii="仿宋_GB2312" w:hAnsi="仿宋_GB2312" w:eastAsia="仿宋_GB2312" w:cs="仿宋_GB2312"/>
          <w:color w:val="auto"/>
          <w:sz w:val="32"/>
          <w:szCs w:val="32"/>
          <w:lang w:eastAsia="zh-CN"/>
        </w:rPr>
        <w:t>一般</w:t>
      </w:r>
      <w:r>
        <w:rPr>
          <w:rFonts w:hint="eastAsia" w:ascii="仿宋_GB2312" w:hAnsi="仿宋_GB2312" w:eastAsia="仿宋_GB2312" w:cs="仿宋_GB2312"/>
          <w:color w:val="auto"/>
          <w:sz w:val="32"/>
          <w:szCs w:val="32"/>
        </w:rPr>
        <w:t>债券</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转贷收入及再融资债券</w:t>
      </w:r>
      <w:r>
        <w:rPr>
          <w:rFonts w:hint="eastAsia" w:ascii="仿宋_GB2312" w:hAnsi="仿宋_GB2312" w:eastAsia="仿宋_GB2312" w:cs="仿宋_GB2312"/>
          <w:color w:val="auto"/>
          <w:sz w:val="32"/>
          <w:szCs w:val="32"/>
          <w:lang w:val="en-US" w:eastAsia="zh-CN"/>
        </w:rPr>
        <w:t>5.16</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，扣除</w:t>
      </w:r>
      <w:r>
        <w:rPr>
          <w:rFonts w:hint="eastAsia" w:ascii="仿宋_GB2312" w:hAnsi="仿宋_GB2312" w:eastAsia="仿宋_GB2312" w:cs="仿宋_GB2312"/>
          <w:color w:val="auto"/>
          <w:sz w:val="32"/>
          <w:szCs w:val="32"/>
          <w:lang w:eastAsia="zh-CN"/>
        </w:rPr>
        <w:t>债务还本支出</w:t>
      </w:r>
      <w:r>
        <w:rPr>
          <w:rFonts w:hint="eastAsia" w:ascii="仿宋_GB2312" w:hAnsi="仿宋_GB2312" w:eastAsia="仿宋_GB2312" w:cs="仿宋_GB2312"/>
          <w:color w:val="auto"/>
          <w:sz w:val="32"/>
          <w:szCs w:val="32"/>
          <w:lang w:val="en-US" w:eastAsia="zh-CN"/>
        </w:rPr>
        <w:t>3.09亿元、援助宁夏支出0.18亿元、</w:t>
      </w:r>
      <w:r>
        <w:rPr>
          <w:rFonts w:hint="eastAsia" w:ascii="仿宋_GB2312" w:hAnsi="仿宋_GB2312" w:eastAsia="仿宋_GB2312" w:cs="仿宋_GB2312"/>
          <w:color w:val="auto"/>
          <w:sz w:val="32"/>
          <w:szCs w:val="32"/>
        </w:rPr>
        <w:t>上解上级支出</w:t>
      </w:r>
      <w:r>
        <w:rPr>
          <w:rFonts w:hint="eastAsia" w:ascii="仿宋_GB2312" w:hAnsi="仿宋_GB2312" w:eastAsia="仿宋_GB2312" w:cs="仿宋_GB2312"/>
          <w:color w:val="auto"/>
          <w:sz w:val="32"/>
          <w:szCs w:val="32"/>
          <w:lang w:val="en-US" w:eastAsia="zh-CN"/>
        </w:rPr>
        <w:t>2.35</w:t>
      </w:r>
      <w:r>
        <w:rPr>
          <w:rFonts w:hint="eastAsia" w:ascii="仿宋_GB2312" w:hAnsi="仿宋_GB2312" w:eastAsia="仿宋_GB2312" w:cs="仿宋_GB2312"/>
          <w:color w:val="auto"/>
          <w:sz w:val="32"/>
          <w:szCs w:val="32"/>
        </w:rPr>
        <w:t>亿元，当年实现公共财政财力</w:t>
      </w:r>
      <w:r>
        <w:rPr>
          <w:rFonts w:hint="eastAsia" w:ascii="仿宋_GB2312" w:hAnsi="仿宋_GB2312" w:eastAsia="仿宋_GB2312" w:cs="仿宋_GB2312"/>
          <w:color w:val="auto"/>
          <w:sz w:val="32"/>
          <w:szCs w:val="32"/>
          <w:lang w:val="en-US" w:eastAsia="zh-CN"/>
        </w:rPr>
        <w:t>121.6</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2023</w:t>
      </w:r>
      <w:r>
        <w:rPr>
          <w:rFonts w:hint="eastAsia" w:ascii="仿宋_GB2312" w:hAnsi="仿宋_GB2312" w:eastAsia="仿宋_GB2312" w:cs="仿宋_GB2312"/>
          <w:color w:val="auto"/>
          <w:sz w:val="32"/>
          <w:szCs w:val="32"/>
        </w:rPr>
        <w:t>年我县公共财政预算</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县可动用财力预计</w:t>
      </w:r>
      <w:r>
        <w:rPr>
          <w:rFonts w:hint="eastAsia" w:ascii="仿宋_GB2312" w:hAnsi="仿宋_GB2312" w:eastAsia="仿宋_GB2312" w:cs="仿宋_GB2312"/>
          <w:color w:val="auto"/>
          <w:sz w:val="32"/>
          <w:szCs w:val="32"/>
          <w:lang w:val="en-US" w:eastAsia="zh-CN"/>
        </w:rPr>
        <w:t>121.6</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94.93</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26.67</w:t>
      </w:r>
      <w:r>
        <w:rPr>
          <w:rFonts w:hint="eastAsia" w:ascii="仿宋_GB2312" w:hAnsi="仿宋_GB2312" w:eastAsia="仿宋_GB2312" w:cs="仿宋_GB2312"/>
          <w:color w:val="auto"/>
          <w:sz w:val="32"/>
          <w:szCs w:val="32"/>
        </w:rPr>
        <w:t>亿元），比年初预算财力</w:t>
      </w:r>
      <w:r>
        <w:rPr>
          <w:rFonts w:hint="eastAsia" w:ascii="仿宋_GB2312" w:hAnsi="仿宋_GB2312" w:eastAsia="仿宋_GB2312" w:cs="仿宋_GB2312"/>
          <w:color w:val="auto"/>
          <w:sz w:val="32"/>
          <w:szCs w:val="32"/>
          <w:lang w:val="en-US" w:eastAsia="zh-CN"/>
        </w:rPr>
        <w:t>107.65</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85.72</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21.93</w:t>
      </w:r>
      <w:r>
        <w:rPr>
          <w:rFonts w:hint="eastAsia" w:ascii="仿宋_GB2312" w:hAnsi="仿宋_GB2312" w:eastAsia="仿宋_GB2312" w:cs="仿宋_GB2312"/>
          <w:color w:val="auto"/>
          <w:sz w:val="32"/>
          <w:szCs w:val="32"/>
        </w:rPr>
        <w:t>亿元）调</w:t>
      </w:r>
      <w:r>
        <w:rPr>
          <w:rFonts w:hint="eastAsia" w:ascii="仿宋_GB2312" w:hAnsi="仿宋_GB2312" w:eastAsia="仿宋_GB2312" w:cs="仿宋_GB2312"/>
          <w:color w:val="auto"/>
          <w:sz w:val="32"/>
          <w:szCs w:val="32"/>
          <w:lang w:eastAsia="zh-CN"/>
        </w:rPr>
        <w:t>增</w:t>
      </w:r>
      <w:r>
        <w:rPr>
          <w:rFonts w:hint="eastAsia" w:ascii="楷体_GB2312" w:hAnsi="楷体_GB2312" w:eastAsia="楷体_GB2312" w:cs="楷体_GB2312"/>
          <w:color w:val="auto"/>
          <w:sz w:val="32"/>
          <w:szCs w:val="32"/>
          <w:lang w:val="en-US" w:eastAsia="zh-CN"/>
        </w:rPr>
        <w:t>13.95</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9.21</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4.74</w:t>
      </w:r>
      <w:r>
        <w:rPr>
          <w:rFonts w:hint="eastAsia" w:ascii="仿宋_GB2312" w:hAnsi="仿宋_GB2312" w:eastAsia="仿宋_GB2312" w:cs="仿宋_GB2312"/>
          <w:color w:val="auto"/>
          <w:sz w:val="32"/>
          <w:szCs w:val="32"/>
        </w:rPr>
        <w:t>亿元）,详见附表2。</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（二）政府性基金财力</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全县</w:t>
      </w:r>
      <w:r>
        <w:rPr>
          <w:rFonts w:hint="eastAsia" w:ascii="仿宋_GB2312" w:hAnsi="仿宋_GB2312" w:eastAsia="仿宋_GB2312" w:cs="仿宋_GB2312"/>
          <w:color w:val="auto"/>
          <w:sz w:val="32"/>
          <w:szCs w:val="32"/>
          <w:lang w:eastAsia="zh-CN"/>
        </w:rPr>
        <w:t>2023</w:t>
      </w:r>
      <w:r>
        <w:rPr>
          <w:rFonts w:hint="eastAsia" w:ascii="仿宋_GB2312" w:hAnsi="仿宋_GB2312" w:eastAsia="仿宋_GB2312" w:cs="仿宋_GB2312"/>
          <w:color w:val="auto"/>
          <w:sz w:val="32"/>
          <w:szCs w:val="32"/>
        </w:rPr>
        <w:t>年政府性基金预算收入预计为</w:t>
      </w:r>
      <w:r>
        <w:rPr>
          <w:rFonts w:hint="eastAsia" w:ascii="仿宋_GB2312" w:hAnsi="仿宋_GB2312" w:eastAsia="仿宋_GB2312" w:cs="仿宋_GB2312"/>
          <w:color w:val="auto"/>
          <w:sz w:val="32"/>
          <w:szCs w:val="32"/>
          <w:lang w:val="en-US" w:eastAsia="zh-CN"/>
        </w:rPr>
        <w:t>32.79</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加上</w:t>
      </w:r>
      <w:r>
        <w:rPr>
          <w:rFonts w:hint="eastAsia" w:ascii="仿宋_GB2312" w:hAnsi="仿宋_GB2312" w:eastAsia="仿宋_GB2312" w:cs="仿宋_GB2312"/>
          <w:color w:val="auto"/>
          <w:sz w:val="32"/>
          <w:szCs w:val="32"/>
        </w:rPr>
        <w:t>动用上年结余</w:t>
      </w:r>
      <w:r>
        <w:rPr>
          <w:rFonts w:hint="eastAsia" w:ascii="仿宋_GB2312" w:hAnsi="仿宋_GB2312" w:eastAsia="仿宋_GB2312" w:cs="仿宋_GB2312"/>
          <w:color w:val="auto"/>
          <w:sz w:val="32"/>
          <w:szCs w:val="32"/>
          <w:lang w:val="en-US" w:eastAsia="zh-CN"/>
        </w:rPr>
        <w:t>7.14</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新增地方政府专项债券</w:t>
      </w:r>
      <w:r>
        <w:rPr>
          <w:rFonts w:hint="eastAsia" w:ascii="仿宋_GB2312" w:hAnsi="仿宋_GB2312" w:eastAsia="仿宋_GB2312" w:cs="仿宋_GB2312"/>
          <w:color w:val="auto"/>
          <w:sz w:val="32"/>
          <w:szCs w:val="32"/>
          <w:highlight w:val="none"/>
          <w:lang w:eastAsia="zh-CN"/>
        </w:rPr>
        <w:t>资金转贷</w:t>
      </w:r>
      <w:r>
        <w:rPr>
          <w:rFonts w:hint="eastAsia" w:ascii="仿宋_GB2312" w:hAnsi="仿宋_GB2312" w:eastAsia="仿宋_GB2312" w:cs="仿宋_GB2312"/>
          <w:color w:val="auto"/>
          <w:sz w:val="32"/>
          <w:szCs w:val="32"/>
          <w:highlight w:val="none"/>
        </w:rPr>
        <w:t>收入</w:t>
      </w:r>
      <w:r>
        <w:rPr>
          <w:rFonts w:hint="eastAsia" w:ascii="仿宋_GB2312" w:hAnsi="仿宋_GB2312" w:eastAsia="仿宋_GB2312" w:cs="仿宋_GB2312"/>
          <w:color w:val="auto"/>
          <w:sz w:val="32"/>
          <w:szCs w:val="32"/>
          <w:highlight w:val="none"/>
          <w:lang w:val="en-US" w:eastAsia="zh-CN"/>
        </w:rPr>
        <w:t>31.32</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扣除债务还本支出</w:t>
      </w:r>
      <w:r>
        <w:rPr>
          <w:rFonts w:hint="eastAsia" w:ascii="仿宋_GB2312" w:hAnsi="仿宋_GB2312" w:eastAsia="仿宋_GB2312" w:cs="仿宋_GB2312"/>
          <w:color w:val="auto"/>
          <w:sz w:val="32"/>
          <w:szCs w:val="32"/>
          <w:highlight w:val="none"/>
          <w:lang w:val="en-US" w:eastAsia="zh-CN"/>
        </w:rPr>
        <w:t>0.24亿元、</w:t>
      </w:r>
      <w:r>
        <w:rPr>
          <w:rFonts w:hint="eastAsia" w:ascii="仿宋_GB2312" w:hAnsi="仿宋_GB2312" w:eastAsia="仿宋_GB2312" w:cs="仿宋_GB2312"/>
          <w:color w:val="auto"/>
          <w:sz w:val="32"/>
          <w:szCs w:val="32"/>
          <w:highlight w:val="none"/>
          <w:lang w:eastAsia="zh-CN"/>
        </w:rPr>
        <w:t>上解上级支出</w:t>
      </w:r>
      <w:r>
        <w:rPr>
          <w:rFonts w:hint="eastAsia" w:ascii="仿宋_GB2312" w:hAnsi="仿宋_GB2312" w:eastAsia="仿宋_GB2312" w:cs="仿宋_GB2312"/>
          <w:color w:val="auto"/>
          <w:sz w:val="32"/>
          <w:szCs w:val="32"/>
          <w:highlight w:val="none"/>
          <w:lang w:val="en-US" w:eastAsia="zh-CN"/>
        </w:rPr>
        <w:t>0.5亿元，</w:t>
      </w:r>
      <w:r>
        <w:rPr>
          <w:rFonts w:hint="eastAsia" w:ascii="仿宋_GB2312" w:hAnsi="仿宋_GB2312" w:eastAsia="仿宋_GB2312" w:cs="仿宋_GB2312"/>
          <w:color w:val="auto"/>
          <w:sz w:val="32"/>
          <w:szCs w:val="32"/>
        </w:rPr>
        <w:t>当年实现政府性基金财力</w:t>
      </w:r>
      <w:r>
        <w:rPr>
          <w:rFonts w:hint="eastAsia" w:ascii="仿宋_GB2312" w:hAnsi="仿宋_GB2312" w:eastAsia="仿宋_GB2312" w:cs="仿宋_GB2312"/>
          <w:color w:val="auto"/>
          <w:sz w:val="32"/>
          <w:szCs w:val="32"/>
          <w:lang w:val="en-US" w:eastAsia="zh-CN"/>
        </w:rPr>
        <w:t>70.51</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2023</w:t>
      </w:r>
      <w:r>
        <w:rPr>
          <w:rFonts w:hint="eastAsia" w:ascii="仿宋_GB2312" w:hAnsi="仿宋_GB2312" w:eastAsia="仿宋_GB2312" w:cs="仿宋_GB2312"/>
          <w:color w:val="auto"/>
          <w:sz w:val="32"/>
          <w:szCs w:val="32"/>
        </w:rPr>
        <w:t>年政府性基金全县可动用财力</w:t>
      </w:r>
      <w:r>
        <w:rPr>
          <w:rFonts w:hint="eastAsia" w:ascii="仿宋_GB2312" w:hAnsi="仿宋_GB2312" w:eastAsia="仿宋_GB2312" w:cs="仿宋_GB2312"/>
          <w:color w:val="auto"/>
          <w:sz w:val="32"/>
          <w:szCs w:val="32"/>
          <w:lang w:val="en-US" w:eastAsia="zh-CN"/>
        </w:rPr>
        <w:t>70.51亿</w:t>
      </w:r>
      <w:r>
        <w:rPr>
          <w:rFonts w:hint="eastAsia" w:ascii="仿宋_GB2312" w:hAnsi="仿宋_GB2312" w:eastAsia="仿宋_GB2312" w:cs="仿宋_GB2312"/>
          <w:color w:val="auto"/>
          <w:sz w:val="32"/>
          <w:szCs w:val="32"/>
        </w:rPr>
        <w:t>元（县本级</w:t>
      </w:r>
      <w:r>
        <w:rPr>
          <w:rFonts w:hint="eastAsia" w:ascii="仿宋_GB2312" w:hAnsi="仿宋_GB2312" w:eastAsia="仿宋_GB2312" w:cs="仿宋_GB2312"/>
          <w:color w:val="auto"/>
          <w:sz w:val="32"/>
          <w:szCs w:val="32"/>
          <w:lang w:val="en-US" w:eastAsia="zh-CN"/>
        </w:rPr>
        <w:t>37.64</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32.87</w:t>
      </w:r>
      <w:r>
        <w:rPr>
          <w:rFonts w:hint="eastAsia" w:ascii="仿宋_GB2312" w:hAnsi="仿宋_GB2312" w:eastAsia="仿宋_GB2312" w:cs="仿宋_GB2312"/>
          <w:color w:val="auto"/>
          <w:sz w:val="32"/>
          <w:szCs w:val="32"/>
        </w:rPr>
        <w:t>亿元），比年初预算财力</w:t>
      </w:r>
      <w:r>
        <w:rPr>
          <w:rFonts w:hint="eastAsia" w:ascii="仿宋_GB2312" w:hAnsi="仿宋_GB2312" w:eastAsia="仿宋_GB2312" w:cs="仿宋_GB2312"/>
          <w:color w:val="auto"/>
          <w:sz w:val="32"/>
          <w:szCs w:val="32"/>
          <w:lang w:val="en-US" w:eastAsia="zh-CN"/>
        </w:rPr>
        <w:t>109.76</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（县本级</w:t>
      </w:r>
      <w:r>
        <w:rPr>
          <w:rFonts w:hint="eastAsia" w:ascii="仿宋_GB2312" w:hAnsi="仿宋_GB2312" w:eastAsia="仿宋_GB2312" w:cs="仿宋_GB2312"/>
          <w:color w:val="auto"/>
          <w:sz w:val="32"/>
          <w:szCs w:val="32"/>
          <w:lang w:val="en-US" w:eastAsia="zh-CN"/>
        </w:rPr>
        <w:t>79.76亿元，高新区30亿元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39.25亿</w:t>
      </w:r>
      <w:r>
        <w:rPr>
          <w:rFonts w:hint="eastAsia" w:ascii="仿宋_GB2312" w:hAnsi="仿宋_GB2312" w:eastAsia="仿宋_GB2312" w:cs="仿宋_GB2312"/>
          <w:color w:val="auto"/>
          <w:sz w:val="32"/>
          <w:szCs w:val="32"/>
        </w:rPr>
        <w:t>元（县本级</w:t>
      </w:r>
      <w:r>
        <w:rPr>
          <w:rFonts w:hint="eastAsia" w:ascii="仿宋_GB2312" w:hAnsi="仿宋_GB2312" w:eastAsia="仿宋_GB2312" w:cs="仿宋_GB2312"/>
          <w:color w:val="auto"/>
          <w:sz w:val="32"/>
          <w:szCs w:val="32"/>
          <w:lang w:val="en-US" w:eastAsia="zh-CN"/>
        </w:rPr>
        <w:t>-42.12</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2.87</w:t>
      </w:r>
      <w:r>
        <w:rPr>
          <w:rFonts w:hint="eastAsia" w:ascii="仿宋_GB2312" w:hAnsi="仿宋_GB2312" w:eastAsia="仿宋_GB2312" w:cs="仿宋_GB2312"/>
          <w:color w:val="auto"/>
          <w:sz w:val="32"/>
          <w:szCs w:val="32"/>
        </w:rPr>
        <w:t>亿元）。</w:t>
      </w:r>
    </w:p>
    <w:p>
      <w:pPr>
        <w:keepNext w:val="0"/>
        <w:keepLines w:val="0"/>
        <w:pageBreakBefore w:val="0"/>
        <w:numPr>
          <w:ilvl w:val="0"/>
          <w:numId w:val="0"/>
        </w:numPr>
        <w:tabs>
          <w:tab w:val="left" w:pos="8640"/>
        </w:tabs>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国有资本经营收入财力</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highlight w:val="none"/>
          <w:u w:color="000000"/>
          <w:lang w:val="en-US" w:eastAsia="zh-CN" w:bidi="ar-SA"/>
        </w:rPr>
      </w:pPr>
      <w:r>
        <w:rPr>
          <w:rFonts w:hint="eastAsia" w:ascii="仿宋_GB2312" w:hAnsi="仿宋_GB2312" w:eastAsia="仿宋_GB2312" w:cs="仿宋_GB2312"/>
          <w:color w:val="auto"/>
          <w:sz w:val="32"/>
          <w:szCs w:val="32"/>
          <w:highlight w:val="none"/>
          <w:u w:color="000000"/>
          <w:lang w:val="en-US" w:eastAsia="zh-CN" w:bidi="ar-SA"/>
        </w:rPr>
        <w:t>县本级国有资本经营收入预计为161万元，加上动用上年结余15万元，扣除调出资金48万元，当年实现财力128万元。比年初预算财力195万元调减67万元。</w:t>
      </w:r>
    </w:p>
    <w:p>
      <w:pPr>
        <w:keepNext w:val="0"/>
        <w:keepLines w:val="0"/>
        <w:pageBreakBefore w:val="0"/>
        <w:tabs>
          <w:tab w:val="left" w:pos="8640"/>
        </w:tabs>
        <w:kinsoku/>
        <w:wordWrap/>
        <w:overflowPunct/>
        <w:topLinePunct w:val="0"/>
        <w:autoSpaceDE/>
        <w:autoSpaceDN/>
        <w:bidi w:val="0"/>
        <w:adjustRightInd/>
        <w:snapToGrid/>
        <w:spacing w:line="560" w:lineRule="exact"/>
        <w:ind w:left="0" w:leftChars="0" w:firstLine="640" w:firstLineChars="20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w:t>
      </w:r>
      <w:r>
        <w:rPr>
          <w:rFonts w:hint="eastAsia" w:ascii="黑体" w:hAnsi="黑体" w:eastAsia="黑体" w:cs="黑体"/>
          <w:b w:val="0"/>
          <w:bCs/>
          <w:color w:val="auto"/>
          <w:sz w:val="32"/>
          <w:szCs w:val="32"/>
          <w:lang w:eastAsia="zh-CN"/>
        </w:rPr>
        <w:t>20</w:t>
      </w:r>
      <w:r>
        <w:rPr>
          <w:rFonts w:hint="eastAsia" w:ascii="黑体" w:hAnsi="黑体" w:eastAsia="黑体" w:cs="黑体"/>
          <w:b w:val="0"/>
          <w:bCs/>
          <w:color w:val="auto"/>
          <w:sz w:val="32"/>
          <w:szCs w:val="32"/>
          <w:lang w:val="en-US" w:eastAsia="zh-CN"/>
        </w:rPr>
        <w:t>23</w:t>
      </w:r>
      <w:r>
        <w:rPr>
          <w:rFonts w:hint="eastAsia" w:ascii="黑体" w:hAnsi="黑体" w:eastAsia="黑体" w:cs="黑体"/>
          <w:b w:val="0"/>
          <w:bCs/>
          <w:color w:val="auto"/>
          <w:sz w:val="32"/>
          <w:szCs w:val="32"/>
        </w:rPr>
        <w:t>年财政支出预算调整</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根据收入完成情况、政策性增支、支出结构变化以及部门支出情况等因素，拟对年初支出项目预算做出相应调整。</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（一）公共财政项目支出预算调整</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1、调减年初预算安排的项目支出</w:t>
      </w:r>
      <w:r>
        <w:rPr>
          <w:rFonts w:hint="eastAsia" w:ascii="仿宋_GB2312" w:hAnsi="仿宋_GB2312" w:eastAsia="仿宋_GB2312" w:cs="仿宋_GB2312"/>
          <w:color w:val="auto"/>
          <w:sz w:val="32"/>
          <w:szCs w:val="32"/>
          <w:lang w:val="en-US" w:eastAsia="zh-CN"/>
        </w:rPr>
        <w:t>30.03</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24.4</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5.63</w:t>
      </w:r>
      <w:r>
        <w:rPr>
          <w:rFonts w:hint="eastAsia" w:ascii="仿宋_GB2312" w:hAnsi="仿宋_GB2312" w:eastAsia="仿宋_GB2312" w:cs="仿宋_GB2312"/>
          <w:color w:val="auto"/>
          <w:sz w:val="32"/>
          <w:szCs w:val="32"/>
        </w:rPr>
        <w:t>亿元,具体调减项目详见附表3）。主要原因：</w:t>
      </w:r>
      <w:r>
        <w:rPr>
          <w:rFonts w:hint="eastAsia" w:ascii="仿宋_GB2312" w:hAnsi="仿宋_GB2312" w:eastAsia="仿宋_GB2312" w:cs="仿宋_GB2312"/>
          <w:color w:val="auto"/>
          <w:sz w:val="32"/>
          <w:szCs w:val="32"/>
          <w:lang w:eastAsia="zh-CN"/>
        </w:rPr>
        <w:t>一是一般公共预算短收</w:t>
      </w:r>
      <w:r>
        <w:rPr>
          <w:rFonts w:hint="eastAsia" w:ascii="仿宋_GB2312" w:hAnsi="仿宋_GB2312" w:eastAsia="仿宋_GB2312" w:cs="仿宋_GB2312"/>
          <w:color w:val="auto"/>
          <w:sz w:val="32"/>
          <w:szCs w:val="32"/>
          <w:lang w:val="en-US" w:eastAsia="zh-CN"/>
        </w:rPr>
        <w:t>14.29亿元，二是</w:t>
      </w:r>
      <w:r>
        <w:rPr>
          <w:rFonts w:hint="eastAsia" w:ascii="仿宋_GB2312" w:hAnsi="仿宋_GB2312" w:eastAsia="仿宋_GB2312" w:cs="仿宋_GB2312"/>
          <w:color w:val="auto"/>
          <w:sz w:val="32"/>
          <w:szCs w:val="32"/>
        </w:rPr>
        <w:t>收回是部</w:t>
      </w:r>
      <w:r>
        <w:rPr>
          <w:rFonts w:hint="eastAsia"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rPr>
        <w:t>年初预算安排项目支出未达进度，年底无法实现支出资金，调整到急需的民生项目支出。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2、调增全县当年预算支出</w:t>
      </w:r>
      <w:r>
        <w:rPr>
          <w:rFonts w:hint="eastAsia" w:ascii="仿宋_GB2312" w:hAnsi="仿宋_GB2312" w:eastAsia="仿宋_GB2312" w:cs="仿宋_GB2312"/>
          <w:color w:val="auto"/>
          <w:sz w:val="32"/>
          <w:szCs w:val="32"/>
          <w:lang w:val="en-US" w:eastAsia="zh-CN"/>
        </w:rPr>
        <w:t>42.98</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32.61</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10.37</w:t>
      </w:r>
      <w:r>
        <w:rPr>
          <w:rFonts w:hint="eastAsia" w:ascii="仿宋_GB2312" w:hAnsi="仿宋_GB2312" w:eastAsia="仿宋_GB2312" w:cs="仿宋_GB2312"/>
          <w:color w:val="auto"/>
          <w:sz w:val="32"/>
          <w:szCs w:val="32"/>
        </w:rPr>
        <w:t>亿元，具体调增项目详见附表3）。主要原因：</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收回当年未支出项目资金，相应调增安排急需的民生项目支出</w:t>
      </w:r>
      <w:r>
        <w:rPr>
          <w:rFonts w:hint="eastAsia" w:ascii="仿宋_GB2312" w:hAnsi="仿宋_GB2312" w:eastAsia="仿宋_GB2312" w:cs="仿宋_GB2312"/>
          <w:color w:val="auto"/>
          <w:sz w:val="32"/>
          <w:szCs w:val="32"/>
          <w:lang w:eastAsia="zh-CN"/>
        </w:rPr>
        <w:t>，二是动用预算稳定调节基金</w:t>
      </w:r>
      <w:r>
        <w:rPr>
          <w:rFonts w:hint="eastAsia" w:ascii="仿宋_GB2312" w:hAnsi="仿宋_GB2312" w:eastAsia="仿宋_GB2312" w:cs="仿宋_GB2312"/>
          <w:color w:val="auto"/>
          <w:sz w:val="32"/>
          <w:szCs w:val="32"/>
          <w:lang w:val="en-US" w:eastAsia="zh-CN"/>
        </w:rPr>
        <w:t>16亿元</w:t>
      </w:r>
      <w:r>
        <w:rPr>
          <w:rFonts w:hint="eastAsia" w:ascii="仿宋_GB2312" w:hAnsi="仿宋_GB2312" w:eastAsia="仿宋_GB2312" w:cs="仿宋_GB2312"/>
          <w:color w:val="auto"/>
          <w:sz w:val="32"/>
          <w:szCs w:val="32"/>
          <w:lang w:eastAsia="zh-CN"/>
        </w:rPr>
        <w:t>，用于化解历年挂账，三是新增一般债券</w:t>
      </w:r>
      <w:r>
        <w:rPr>
          <w:rFonts w:hint="eastAsia" w:ascii="仿宋_GB2312" w:hAnsi="仿宋_GB2312" w:eastAsia="仿宋_GB2312" w:cs="仿宋_GB2312"/>
          <w:color w:val="auto"/>
          <w:sz w:val="32"/>
          <w:szCs w:val="32"/>
          <w:lang w:val="en-US" w:eastAsia="zh-CN"/>
        </w:rPr>
        <w:t>2.5亿元和上级补助收入6.31亿元</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rPr>
        <w:t>根据上述项目预算调整方案，调整后安排全县一般公共预算支出</w:t>
      </w:r>
      <w:r>
        <w:rPr>
          <w:rFonts w:hint="eastAsia" w:ascii="仿宋_GB2312" w:hAnsi="仿宋_GB2312" w:eastAsia="仿宋_GB2312" w:cs="仿宋_GB2312"/>
          <w:b/>
          <w:bCs/>
          <w:color w:val="auto"/>
          <w:sz w:val="32"/>
          <w:szCs w:val="32"/>
          <w:lang w:val="en-US" w:eastAsia="zh-CN"/>
        </w:rPr>
        <w:t>120.6</w:t>
      </w:r>
      <w:r>
        <w:rPr>
          <w:rFonts w:hint="eastAsia" w:ascii="仿宋_GB2312" w:hAnsi="仿宋_GB2312" w:eastAsia="仿宋_GB2312" w:cs="仿宋_GB2312"/>
          <w:b/>
          <w:bCs/>
          <w:color w:val="auto"/>
          <w:sz w:val="32"/>
          <w:szCs w:val="32"/>
        </w:rPr>
        <w:t>亿元（县本级</w:t>
      </w:r>
      <w:r>
        <w:rPr>
          <w:rFonts w:hint="eastAsia" w:ascii="仿宋_GB2312" w:hAnsi="仿宋_GB2312" w:eastAsia="仿宋_GB2312" w:cs="仿宋_GB2312"/>
          <w:b/>
          <w:bCs/>
          <w:color w:val="auto"/>
          <w:sz w:val="32"/>
          <w:szCs w:val="32"/>
          <w:lang w:val="en-US" w:eastAsia="zh-CN"/>
        </w:rPr>
        <w:t>93.93</w:t>
      </w:r>
      <w:r>
        <w:rPr>
          <w:rFonts w:hint="eastAsia" w:ascii="仿宋_GB2312" w:hAnsi="仿宋_GB2312" w:eastAsia="仿宋_GB2312" w:cs="仿宋_GB2312"/>
          <w:b/>
          <w:bCs/>
          <w:color w:val="auto"/>
          <w:sz w:val="32"/>
          <w:szCs w:val="32"/>
        </w:rPr>
        <w:t>亿元，高新区</w:t>
      </w:r>
      <w:r>
        <w:rPr>
          <w:rFonts w:hint="eastAsia" w:ascii="仿宋_GB2312" w:hAnsi="仿宋_GB2312" w:eastAsia="仿宋_GB2312" w:cs="仿宋_GB2312"/>
          <w:b/>
          <w:bCs/>
          <w:color w:val="auto"/>
          <w:sz w:val="32"/>
          <w:szCs w:val="32"/>
          <w:lang w:val="en-US" w:eastAsia="zh-CN"/>
        </w:rPr>
        <w:t>26.67</w:t>
      </w:r>
      <w:r>
        <w:rPr>
          <w:rFonts w:hint="eastAsia" w:ascii="仿宋_GB2312" w:hAnsi="仿宋_GB2312" w:eastAsia="仿宋_GB2312" w:cs="仿宋_GB2312"/>
          <w:b/>
          <w:bCs/>
          <w:color w:val="auto"/>
          <w:sz w:val="32"/>
          <w:szCs w:val="32"/>
        </w:rPr>
        <w:t>亿元），调</w:t>
      </w:r>
      <w:r>
        <w:rPr>
          <w:rFonts w:hint="eastAsia" w:ascii="仿宋_GB2312" w:hAnsi="仿宋_GB2312" w:eastAsia="仿宋_GB2312" w:cs="仿宋_GB2312"/>
          <w:b/>
          <w:bCs/>
          <w:color w:val="auto"/>
          <w:sz w:val="32"/>
          <w:szCs w:val="32"/>
          <w:lang w:eastAsia="zh-CN"/>
        </w:rPr>
        <w:t>增</w:t>
      </w:r>
      <w:r>
        <w:rPr>
          <w:rFonts w:hint="eastAsia" w:ascii="仿宋_GB2312" w:hAnsi="仿宋_GB2312" w:eastAsia="仿宋_GB2312" w:cs="仿宋_GB2312"/>
          <w:b/>
          <w:bCs/>
          <w:color w:val="auto"/>
          <w:sz w:val="32"/>
          <w:szCs w:val="32"/>
          <w:lang w:val="en-US" w:eastAsia="zh-CN"/>
        </w:rPr>
        <w:t>12.95</w:t>
      </w:r>
      <w:r>
        <w:rPr>
          <w:rFonts w:hint="eastAsia" w:ascii="仿宋_GB2312" w:hAnsi="仿宋_GB2312" w:eastAsia="仿宋_GB2312" w:cs="仿宋_GB2312"/>
          <w:b/>
          <w:bCs/>
          <w:color w:val="auto"/>
          <w:sz w:val="32"/>
          <w:szCs w:val="32"/>
        </w:rPr>
        <w:t>亿</w:t>
      </w:r>
      <w:r>
        <w:rPr>
          <w:rFonts w:hint="eastAsia" w:ascii="仿宋_GB2312" w:hAnsi="仿宋_GB2312" w:eastAsia="仿宋_GB2312" w:cs="仿宋_GB2312"/>
          <w:b/>
          <w:bCs/>
          <w:color w:val="auto"/>
          <w:sz w:val="32"/>
          <w:szCs w:val="32"/>
          <w:highlight w:val="none"/>
        </w:rPr>
        <w:t>元（县本级</w:t>
      </w:r>
      <w:r>
        <w:rPr>
          <w:rFonts w:hint="eastAsia" w:ascii="仿宋_GB2312" w:hAnsi="仿宋_GB2312" w:eastAsia="仿宋_GB2312" w:cs="仿宋_GB2312"/>
          <w:b/>
          <w:bCs/>
          <w:color w:val="auto"/>
          <w:sz w:val="32"/>
          <w:szCs w:val="32"/>
          <w:highlight w:val="none"/>
          <w:lang w:val="en-US" w:eastAsia="zh-CN"/>
        </w:rPr>
        <w:t>8.21亿</w:t>
      </w:r>
      <w:r>
        <w:rPr>
          <w:rFonts w:hint="eastAsia" w:ascii="仿宋_GB2312" w:hAnsi="仿宋_GB2312" w:eastAsia="仿宋_GB2312" w:cs="仿宋_GB2312"/>
          <w:b/>
          <w:bCs/>
          <w:color w:val="auto"/>
          <w:sz w:val="32"/>
          <w:szCs w:val="32"/>
          <w:highlight w:val="none"/>
        </w:rPr>
        <w:t>元，高新区</w:t>
      </w:r>
      <w:r>
        <w:rPr>
          <w:rFonts w:hint="eastAsia" w:ascii="仿宋_GB2312" w:hAnsi="仿宋_GB2312" w:eastAsia="仿宋_GB2312" w:cs="仿宋_GB2312"/>
          <w:b/>
          <w:bCs/>
          <w:color w:val="auto"/>
          <w:sz w:val="32"/>
          <w:szCs w:val="32"/>
          <w:highlight w:val="none"/>
          <w:lang w:val="en-US" w:eastAsia="zh-CN"/>
        </w:rPr>
        <w:t>4.74</w:t>
      </w:r>
      <w:r>
        <w:rPr>
          <w:rFonts w:hint="eastAsia" w:ascii="仿宋_GB2312" w:hAnsi="仿宋_GB2312" w:eastAsia="仿宋_GB2312" w:cs="仿宋_GB2312"/>
          <w:b/>
          <w:bCs/>
          <w:color w:val="auto"/>
          <w:sz w:val="32"/>
          <w:szCs w:val="32"/>
          <w:highlight w:val="none"/>
        </w:rPr>
        <w:t>亿元），</w:t>
      </w:r>
      <w:r>
        <w:rPr>
          <w:rFonts w:hint="eastAsia" w:ascii="仿宋_GB2312" w:hAnsi="仿宋_GB2312" w:eastAsia="仿宋_GB2312" w:cs="仿宋_GB2312"/>
          <w:b/>
          <w:bCs/>
          <w:color w:val="auto"/>
          <w:sz w:val="32"/>
          <w:szCs w:val="32"/>
          <w:highlight w:val="none"/>
          <w:lang w:eastAsia="zh-CN"/>
        </w:rPr>
        <w:t>结余</w:t>
      </w:r>
      <w:r>
        <w:rPr>
          <w:rFonts w:hint="eastAsia" w:ascii="仿宋_GB2312" w:hAnsi="仿宋_GB2312" w:eastAsia="仿宋_GB2312" w:cs="仿宋_GB2312"/>
          <w:b/>
          <w:bCs/>
          <w:color w:val="auto"/>
          <w:sz w:val="32"/>
          <w:szCs w:val="32"/>
          <w:highlight w:val="none"/>
          <w:lang w:val="en-US" w:eastAsia="zh-CN"/>
        </w:rPr>
        <w:t>1亿元，转入预算稳定调节基金，</w:t>
      </w:r>
      <w:r>
        <w:rPr>
          <w:rFonts w:hint="eastAsia" w:ascii="仿宋_GB2312" w:hAnsi="仿宋_GB2312" w:eastAsia="仿宋_GB2312" w:cs="仿宋_GB2312"/>
          <w:b/>
          <w:bCs/>
          <w:color w:val="auto"/>
          <w:sz w:val="32"/>
          <w:szCs w:val="32"/>
          <w:highlight w:val="none"/>
        </w:rPr>
        <w:t xml:space="preserve">详见附表4。 </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（二）政府性基金支出预算调整</w:t>
      </w:r>
    </w:p>
    <w:p>
      <w:pPr>
        <w:keepNext w:val="0"/>
        <w:keepLines w:val="0"/>
        <w:pageBreakBefore w:val="0"/>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auto"/>
          <w:sz w:val="32"/>
          <w:szCs w:val="32"/>
          <w:highlight w:val="none"/>
        </w:rPr>
        <w:t>1、调减全县年初基金安排的项目支出</w:t>
      </w:r>
      <w:r>
        <w:rPr>
          <w:rFonts w:hint="eastAsia" w:ascii="仿宋_GB2312" w:hAnsi="仿宋_GB2312" w:eastAsia="仿宋_GB2312" w:cs="仿宋_GB2312"/>
          <w:color w:val="auto"/>
          <w:sz w:val="32"/>
          <w:szCs w:val="32"/>
          <w:highlight w:val="none"/>
          <w:lang w:val="en-US" w:eastAsia="zh-CN"/>
        </w:rPr>
        <w:t>79.64</w:t>
      </w:r>
      <w:r>
        <w:rPr>
          <w:rFonts w:hint="eastAsia" w:ascii="仿宋_GB2312" w:hAnsi="仿宋_GB2312" w:eastAsia="仿宋_GB2312" w:cs="仿宋_GB2312"/>
          <w:color w:val="auto"/>
          <w:sz w:val="32"/>
          <w:szCs w:val="32"/>
          <w:highlight w:val="none"/>
        </w:rPr>
        <w:t>亿元（县本级</w:t>
      </w:r>
      <w:r>
        <w:rPr>
          <w:rFonts w:hint="eastAsia" w:ascii="仿宋_GB2312" w:hAnsi="仿宋_GB2312" w:eastAsia="仿宋_GB2312" w:cs="仿宋_GB2312"/>
          <w:color w:val="auto"/>
          <w:sz w:val="32"/>
          <w:szCs w:val="32"/>
          <w:highlight w:val="none"/>
          <w:lang w:val="en-US" w:eastAsia="zh-CN"/>
        </w:rPr>
        <w:t>65.64</w:t>
      </w:r>
      <w:r>
        <w:rPr>
          <w:rFonts w:hint="eastAsia" w:ascii="仿宋_GB2312" w:hAnsi="仿宋_GB2312" w:eastAsia="仿宋_GB2312" w:cs="仿宋_GB2312"/>
          <w:color w:val="auto"/>
          <w:sz w:val="32"/>
          <w:szCs w:val="32"/>
          <w:highlight w:val="none"/>
        </w:rPr>
        <w:t>亿元,高新区</w:t>
      </w:r>
      <w:r>
        <w:rPr>
          <w:rFonts w:hint="eastAsia" w:ascii="仿宋_GB2312" w:hAnsi="仿宋_GB2312" w:eastAsia="仿宋_GB2312" w:cs="仿宋_GB2312"/>
          <w:color w:val="auto"/>
          <w:sz w:val="32"/>
          <w:szCs w:val="32"/>
          <w:highlight w:val="none"/>
          <w:lang w:val="en-US" w:eastAsia="zh-CN"/>
        </w:rPr>
        <w:t>13.99</w:t>
      </w:r>
      <w:r>
        <w:rPr>
          <w:rFonts w:hint="eastAsia" w:ascii="仿宋_GB2312" w:hAnsi="仿宋_GB2312" w:eastAsia="仿宋_GB2312" w:cs="仿宋_GB2312"/>
          <w:color w:val="auto"/>
          <w:sz w:val="32"/>
          <w:szCs w:val="32"/>
          <w:highlight w:val="none"/>
        </w:rPr>
        <w:t>亿元，具体调减项目详见附表5）。主要原因是：</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rPr>
        <w:t>政府性基金短收</w:t>
      </w:r>
      <w:r>
        <w:rPr>
          <w:rFonts w:hint="eastAsia" w:ascii="仿宋_GB2312" w:hAnsi="仿宋_GB2312" w:eastAsia="仿宋_GB2312" w:cs="仿宋_GB2312"/>
          <w:color w:val="auto"/>
          <w:sz w:val="32"/>
          <w:szCs w:val="32"/>
          <w:highlight w:val="none"/>
          <w:lang w:val="en-US" w:eastAsia="zh-CN"/>
        </w:rPr>
        <w:t>77.21</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，二是</w:t>
      </w:r>
      <w:r>
        <w:rPr>
          <w:rFonts w:hint="eastAsia" w:ascii="仿宋_GB2312" w:hAnsi="仿宋_GB2312" w:eastAsia="仿宋_GB2312" w:cs="仿宋_GB2312"/>
          <w:color w:val="auto"/>
          <w:sz w:val="32"/>
          <w:szCs w:val="32"/>
          <w:highlight w:val="none"/>
        </w:rPr>
        <w:t>收回是部门年初预算安排项目支出未达进度，年底无法实现支出资金，调整到急需的</w:t>
      </w:r>
      <w:r>
        <w:rPr>
          <w:rFonts w:hint="eastAsia" w:ascii="仿宋_GB2312" w:hAnsi="仿宋_GB2312" w:eastAsia="仿宋_GB2312" w:cs="仿宋_GB2312"/>
          <w:color w:val="auto"/>
          <w:sz w:val="32"/>
          <w:szCs w:val="32"/>
          <w:highlight w:val="none"/>
          <w:lang w:eastAsia="zh-CN"/>
        </w:rPr>
        <w:t>重点</w:t>
      </w:r>
      <w:r>
        <w:rPr>
          <w:rFonts w:hint="eastAsia" w:ascii="仿宋_GB2312" w:hAnsi="仿宋_GB2312" w:eastAsia="仿宋_GB2312" w:cs="仿宋_GB2312"/>
          <w:color w:val="auto"/>
          <w:sz w:val="32"/>
          <w:szCs w:val="32"/>
          <w:highlight w:val="none"/>
        </w:rPr>
        <w:t>项目支出。</w:t>
      </w:r>
    </w:p>
    <w:p>
      <w:pPr>
        <w:keepNext w:val="0"/>
        <w:keepLines w:val="0"/>
        <w:pageBreakBefore w:val="0"/>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2、调增当年基金项目支出</w:t>
      </w:r>
      <w:r>
        <w:rPr>
          <w:rFonts w:hint="eastAsia" w:ascii="仿宋_GB2312" w:hAnsi="仿宋_GB2312" w:eastAsia="仿宋_GB2312" w:cs="仿宋_GB2312"/>
          <w:color w:val="auto"/>
          <w:sz w:val="32"/>
          <w:szCs w:val="32"/>
          <w:highlight w:val="none"/>
          <w:lang w:val="en-US" w:eastAsia="zh-CN"/>
        </w:rPr>
        <w:t>40.39</w:t>
      </w:r>
      <w:r>
        <w:rPr>
          <w:rFonts w:hint="eastAsia" w:ascii="仿宋_GB2312" w:hAnsi="仿宋_GB2312" w:eastAsia="仿宋_GB2312" w:cs="仿宋_GB2312"/>
          <w:color w:val="auto"/>
          <w:sz w:val="32"/>
          <w:szCs w:val="32"/>
          <w:highlight w:val="none"/>
        </w:rPr>
        <w:t>亿元（闽侯县</w:t>
      </w:r>
      <w:r>
        <w:rPr>
          <w:rFonts w:hint="eastAsia" w:ascii="仿宋_GB2312" w:hAnsi="仿宋_GB2312" w:eastAsia="仿宋_GB2312" w:cs="仿宋_GB2312"/>
          <w:color w:val="auto"/>
          <w:sz w:val="32"/>
          <w:szCs w:val="32"/>
          <w:highlight w:val="none"/>
          <w:lang w:val="en-US" w:eastAsia="zh-CN"/>
        </w:rPr>
        <w:t>23.53</w:t>
      </w:r>
      <w:r>
        <w:rPr>
          <w:rFonts w:hint="eastAsia" w:ascii="仿宋_GB2312" w:hAnsi="仿宋_GB2312" w:eastAsia="仿宋_GB2312" w:cs="仿宋_GB2312"/>
          <w:color w:val="auto"/>
          <w:sz w:val="32"/>
          <w:szCs w:val="32"/>
          <w:highlight w:val="none"/>
        </w:rPr>
        <w:t>亿元，高新区</w:t>
      </w:r>
      <w:r>
        <w:rPr>
          <w:rFonts w:hint="eastAsia" w:ascii="仿宋_GB2312" w:hAnsi="仿宋_GB2312" w:eastAsia="仿宋_GB2312" w:cs="仿宋_GB2312"/>
          <w:color w:val="auto"/>
          <w:sz w:val="32"/>
          <w:szCs w:val="32"/>
          <w:highlight w:val="none"/>
          <w:lang w:val="en-US" w:eastAsia="zh-CN"/>
        </w:rPr>
        <w:t>16.86</w:t>
      </w:r>
      <w:r>
        <w:rPr>
          <w:rFonts w:hint="eastAsia" w:ascii="仿宋_GB2312" w:hAnsi="仿宋_GB2312" w:eastAsia="仿宋_GB2312" w:cs="仿宋_GB2312"/>
          <w:color w:val="auto"/>
          <w:sz w:val="32"/>
          <w:szCs w:val="32"/>
          <w:highlight w:val="none"/>
        </w:rPr>
        <w:t>亿元，具体调增项目详见附表5）。主要原因</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eastAsia="zh-CN"/>
        </w:rPr>
        <w:t>新增专项债券</w:t>
      </w:r>
      <w:r>
        <w:rPr>
          <w:rFonts w:hint="eastAsia" w:ascii="仿宋_GB2312" w:hAnsi="仿宋_GB2312" w:eastAsia="仿宋_GB2312" w:cs="仿宋_GB2312"/>
          <w:b w:val="0"/>
          <w:bCs w:val="0"/>
          <w:color w:val="auto"/>
          <w:sz w:val="32"/>
          <w:szCs w:val="32"/>
          <w:highlight w:val="none"/>
          <w:lang w:val="en-US" w:eastAsia="zh-CN"/>
        </w:rPr>
        <w:t>31.32</w:t>
      </w:r>
      <w:r>
        <w:rPr>
          <w:rFonts w:hint="eastAsia" w:ascii="仿宋_GB2312" w:hAnsi="仿宋_GB2312" w:eastAsia="仿宋_GB2312" w:cs="仿宋_GB2312"/>
          <w:b w:val="0"/>
          <w:bCs w:val="0"/>
          <w:color w:val="auto"/>
          <w:sz w:val="32"/>
          <w:szCs w:val="32"/>
          <w:highlight w:val="none"/>
          <w:lang w:eastAsia="zh-CN"/>
        </w:rPr>
        <w:t>亿元，二是</w:t>
      </w:r>
      <w:r>
        <w:rPr>
          <w:rFonts w:hint="eastAsia" w:ascii="仿宋_GB2312" w:hAnsi="仿宋_GB2312" w:eastAsia="仿宋_GB2312" w:cs="仿宋_GB2312"/>
          <w:color w:val="auto"/>
          <w:sz w:val="32"/>
          <w:szCs w:val="32"/>
          <w:highlight w:val="none"/>
        </w:rPr>
        <w:t>收回当年未支出项目资金相应调整安排急需的民生项目支出。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baseline"/>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根据上述调整方案，调整后当年全县基金支出为</w:t>
      </w:r>
      <w:r>
        <w:rPr>
          <w:rFonts w:hint="eastAsia" w:ascii="仿宋_GB2312" w:hAnsi="仿宋_GB2312" w:eastAsia="仿宋_GB2312" w:cs="仿宋_GB2312"/>
          <w:b/>
          <w:bCs/>
          <w:color w:val="auto"/>
          <w:sz w:val="32"/>
          <w:szCs w:val="32"/>
          <w:highlight w:val="none"/>
          <w:lang w:val="en-US" w:eastAsia="zh-CN"/>
        </w:rPr>
        <w:t>70.51亿</w:t>
      </w:r>
      <w:r>
        <w:rPr>
          <w:rFonts w:hint="eastAsia" w:ascii="仿宋_GB2312" w:hAnsi="仿宋_GB2312" w:eastAsia="仿宋_GB2312" w:cs="仿宋_GB2312"/>
          <w:b/>
          <w:bCs/>
          <w:color w:val="auto"/>
          <w:sz w:val="32"/>
          <w:szCs w:val="32"/>
          <w:highlight w:val="none"/>
        </w:rPr>
        <w:t>元（县本级</w:t>
      </w:r>
      <w:r>
        <w:rPr>
          <w:rFonts w:hint="eastAsia" w:ascii="仿宋_GB2312" w:hAnsi="仿宋_GB2312" w:eastAsia="仿宋_GB2312" w:cs="仿宋_GB2312"/>
          <w:b/>
          <w:bCs/>
          <w:color w:val="auto"/>
          <w:sz w:val="32"/>
          <w:szCs w:val="32"/>
          <w:highlight w:val="none"/>
          <w:lang w:val="en-US" w:eastAsia="zh-CN"/>
        </w:rPr>
        <w:t>37.64</w:t>
      </w:r>
      <w:r>
        <w:rPr>
          <w:rFonts w:hint="eastAsia" w:ascii="仿宋_GB2312" w:hAnsi="仿宋_GB2312" w:eastAsia="仿宋_GB2312" w:cs="仿宋_GB2312"/>
          <w:b/>
          <w:bCs/>
          <w:color w:val="auto"/>
          <w:sz w:val="32"/>
          <w:szCs w:val="32"/>
          <w:highlight w:val="none"/>
        </w:rPr>
        <w:t>亿元，高新区</w:t>
      </w:r>
      <w:r>
        <w:rPr>
          <w:rFonts w:hint="eastAsia" w:ascii="仿宋_GB2312" w:hAnsi="仿宋_GB2312" w:eastAsia="仿宋_GB2312" w:cs="仿宋_GB2312"/>
          <w:b/>
          <w:bCs/>
          <w:color w:val="auto"/>
          <w:sz w:val="32"/>
          <w:szCs w:val="32"/>
          <w:highlight w:val="none"/>
          <w:lang w:val="en-US" w:eastAsia="zh-CN"/>
        </w:rPr>
        <w:t>32.87</w:t>
      </w:r>
      <w:r>
        <w:rPr>
          <w:rFonts w:hint="eastAsia" w:ascii="仿宋_GB2312" w:hAnsi="仿宋_GB2312" w:eastAsia="仿宋_GB2312" w:cs="仿宋_GB2312"/>
          <w:b/>
          <w:bCs/>
          <w:color w:val="auto"/>
          <w:sz w:val="32"/>
          <w:szCs w:val="32"/>
          <w:highlight w:val="none"/>
        </w:rPr>
        <w:t>亿元），调</w:t>
      </w:r>
      <w:r>
        <w:rPr>
          <w:rFonts w:hint="eastAsia" w:ascii="仿宋_GB2312" w:hAnsi="仿宋_GB2312" w:eastAsia="仿宋_GB2312" w:cs="仿宋_GB2312"/>
          <w:b/>
          <w:bCs/>
          <w:color w:val="auto"/>
          <w:sz w:val="32"/>
          <w:szCs w:val="32"/>
          <w:highlight w:val="none"/>
          <w:lang w:eastAsia="zh-CN"/>
        </w:rPr>
        <w:t>减</w:t>
      </w:r>
      <w:r>
        <w:rPr>
          <w:rFonts w:hint="eastAsia" w:ascii="仿宋_GB2312" w:hAnsi="仿宋_GB2312" w:eastAsia="仿宋_GB2312" w:cs="仿宋_GB2312"/>
          <w:b/>
          <w:bCs/>
          <w:color w:val="auto"/>
          <w:sz w:val="32"/>
          <w:szCs w:val="32"/>
          <w:highlight w:val="none"/>
          <w:lang w:val="en-US" w:eastAsia="zh-CN"/>
        </w:rPr>
        <w:t>39.25</w:t>
      </w:r>
      <w:r>
        <w:rPr>
          <w:rFonts w:hint="eastAsia" w:ascii="仿宋_GB2312" w:hAnsi="仿宋_GB2312" w:eastAsia="仿宋_GB2312" w:cs="仿宋_GB2312"/>
          <w:b/>
          <w:bCs/>
          <w:color w:val="auto"/>
          <w:sz w:val="32"/>
          <w:szCs w:val="32"/>
          <w:highlight w:val="none"/>
        </w:rPr>
        <w:t>亿元（县本级</w:t>
      </w:r>
      <w:r>
        <w:rPr>
          <w:rFonts w:hint="eastAsia" w:ascii="仿宋_GB2312" w:hAnsi="仿宋_GB2312" w:eastAsia="仿宋_GB2312" w:cs="仿宋_GB2312"/>
          <w:b/>
          <w:bCs/>
          <w:color w:val="auto"/>
          <w:sz w:val="32"/>
          <w:szCs w:val="32"/>
          <w:highlight w:val="none"/>
          <w:lang w:val="en-US" w:eastAsia="zh-CN"/>
        </w:rPr>
        <w:t>-42.12</w:t>
      </w:r>
      <w:r>
        <w:rPr>
          <w:rFonts w:hint="eastAsia" w:ascii="仿宋_GB2312" w:hAnsi="仿宋_GB2312" w:eastAsia="仿宋_GB2312" w:cs="仿宋_GB2312"/>
          <w:b/>
          <w:bCs/>
          <w:color w:val="auto"/>
          <w:sz w:val="32"/>
          <w:szCs w:val="32"/>
          <w:highlight w:val="none"/>
        </w:rPr>
        <w:t>亿元，高新区</w:t>
      </w:r>
      <w:r>
        <w:rPr>
          <w:rFonts w:hint="eastAsia" w:ascii="仿宋_GB2312" w:hAnsi="仿宋_GB2312" w:eastAsia="仿宋_GB2312" w:cs="仿宋_GB2312"/>
          <w:b/>
          <w:bCs/>
          <w:color w:val="auto"/>
          <w:sz w:val="32"/>
          <w:szCs w:val="32"/>
          <w:highlight w:val="none"/>
          <w:lang w:val="en-US" w:eastAsia="zh-CN"/>
        </w:rPr>
        <w:t>2.87</w:t>
      </w:r>
      <w:r>
        <w:rPr>
          <w:rFonts w:hint="eastAsia" w:ascii="仿宋_GB2312" w:hAnsi="仿宋_GB2312" w:eastAsia="仿宋_GB2312" w:cs="仿宋_GB2312"/>
          <w:b/>
          <w:bCs/>
          <w:color w:val="auto"/>
          <w:sz w:val="32"/>
          <w:szCs w:val="32"/>
          <w:highlight w:val="none"/>
        </w:rPr>
        <w:t>亿元）</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详见附表6。</w:t>
      </w:r>
    </w:p>
    <w:p>
      <w:pPr>
        <w:pStyle w:val="2"/>
        <w:keepNext w:val="0"/>
        <w:keepLines w:val="0"/>
        <w:pageBreakBefore w:val="0"/>
        <w:widowControl/>
        <w:numPr>
          <w:ilvl w:val="0"/>
          <w:numId w:val="1"/>
        </w:numPr>
        <w:kinsoku/>
        <w:wordWrap/>
        <w:overflowPunct/>
        <w:topLinePunct w:val="0"/>
        <w:autoSpaceDE/>
        <w:autoSpaceDN/>
        <w:bidi w:val="0"/>
        <w:adjustRightInd/>
        <w:snapToGrid/>
        <w:spacing w:line="560" w:lineRule="exact"/>
        <w:jc w:val="both"/>
        <w:textAlignment w:val="baseline"/>
        <w:rPr>
          <w:rFonts w:hint="eastAsia" w:ascii="楷体_GB2312" w:hAnsi="楷体_GB2312" w:eastAsia="楷体_GB2312" w:cs="楷体_GB2312"/>
          <w:color w:val="auto"/>
          <w:sz w:val="32"/>
          <w:szCs w:val="32"/>
          <w:highlight w:val="none"/>
          <w:u w:color="000000"/>
          <w:lang w:val="en-US" w:eastAsia="zh-CN" w:bidi="ar-SA"/>
        </w:rPr>
      </w:pPr>
      <w:r>
        <w:rPr>
          <w:rFonts w:hint="eastAsia" w:ascii="楷体_GB2312" w:hAnsi="楷体_GB2312" w:eastAsia="楷体_GB2312" w:cs="楷体_GB2312"/>
          <w:color w:val="auto"/>
          <w:sz w:val="32"/>
          <w:szCs w:val="32"/>
          <w:highlight w:val="none"/>
          <w:u w:color="000000"/>
          <w:lang w:val="en-US" w:eastAsia="zh-CN" w:bidi="ar-SA"/>
        </w:rPr>
        <w:t>国有资本经营预算调整</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Fonts w:hint="default" w:ascii="仿宋_GB2312" w:hAnsi="仿宋_GB2312" w:eastAsia="仿宋_GB2312" w:cs="仿宋_GB2312"/>
          <w:b w:val="0"/>
          <w:bCs w:val="0"/>
          <w:color w:val="auto"/>
          <w:sz w:val="32"/>
          <w:szCs w:val="32"/>
          <w:highlight w:val="none"/>
          <w:u w:color="000000"/>
          <w:lang w:val="en-US" w:eastAsia="zh-CN" w:bidi="ar-SA"/>
        </w:rPr>
      </w:pPr>
      <w:r>
        <w:rPr>
          <w:rFonts w:hint="eastAsia" w:ascii="仿宋_GB2312" w:hAnsi="仿宋_GB2312" w:eastAsia="仿宋_GB2312" w:cs="仿宋_GB2312"/>
          <w:b w:val="0"/>
          <w:bCs w:val="0"/>
          <w:color w:val="auto"/>
          <w:sz w:val="32"/>
          <w:szCs w:val="32"/>
          <w:highlight w:val="none"/>
          <w:u w:color="000000"/>
          <w:lang w:val="en-US" w:eastAsia="zh-CN" w:bidi="ar-SA"/>
        </w:rPr>
        <w:t>调减当年企业注册资本金67万元，调整后当年国有资本经营预算支出128万元。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黑体" w:hAnsi="黑体" w:eastAsia="黑体" w:cs="黑体"/>
          <w:color w:val="000000"/>
          <w:kern w:val="0"/>
          <w:sz w:val="32"/>
          <w:szCs w:val="32"/>
          <w:highlight w:val="none"/>
          <w:u w:color="000000"/>
          <w:lang w:val="en-US" w:eastAsia="zh-CN" w:bidi="ar-SA"/>
        </w:rPr>
      </w:pPr>
      <w:r>
        <w:rPr>
          <w:rFonts w:hint="eastAsia" w:ascii="黑体" w:hAnsi="黑体" w:eastAsia="黑体" w:cs="黑体"/>
          <w:color w:val="auto"/>
          <w:sz w:val="32"/>
          <w:szCs w:val="32"/>
          <w:highlight w:val="none"/>
          <w:lang w:eastAsia="zh-CN"/>
        </w:rPr>
        <w:t>五、</w:t>
      </w:r>
      <w:r>
        <w:rPr>
          <w:rFonts w:hint="eastAsia" w:ascii="黑体" w:hAnsi="黑体" w:eastAsia="黑体" w:cs="黑体"/>
          <w:color w:val="000000"/>
          <w:kern w:val="0"/>
          <w:sz w:val="32"/>
          <w:szCs w:val="32"/>
          <w:highlight w:val="none"/>
          <w:u w:color="000000"/>
          <w:lang w:val="en-US" w:eastAsia="zh-CN" w:bidi="ar-SA"/>
        </w:rPr>
        <w:t>2023年地方政府债券资金安排使用方案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闽侯县申领到位2023年地方政府债券</w:t>
      </w:r>
      <w:r>
        <w:rPr>
          <w:rFonts w:hint="eastAsia" w:ascii="仿宋_GB2312" w:hAnsi="仿宋_GB2312" w:eastAsia="仿宋_GB2312" w:cs="仿宋_GB2312"/>
          <w:b w:val="0"/>
          <w:bCs w:val="0"/>
          <w:color w:val="auto"/>
          <w:sz w:val="32"/>
          <w:szCs w:val="32"/>
          <w:highlight w:val="none"/>
          <w:lang w:val="en-US" w:eastAsia="zh-CN"/>
        </w:rPr>
        <w:t>36.48</w:t>
      </w:r>
      <w:r>
        <w:rPr>
          <w:rFonts w:hint="eastAsia" w:ascii="仿宋_GB2312" w:hAnsi="仿宋_GB2312" w:eastAsia="仿宋_GB2312" w:cs="仿宋_GB2312"/>
          <w:b w:val="0"/>
          <w:bCs w:val="0"/>
          <w:color w:val="auto"/>
          <w:sz w:val="32"/>
          <w:szCs w:val="32"/>
          <w:highlight w:val="none"/>
          <w:lang w:eastAsia="zh-CN"/>
        </w:rPr>
        <w:t>亿元，其中：新增一般债券2.5亿元，新增专项债券31.32亿元，再融资债券2.66亿元。预计截止1</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月末，闽侯县政府债务余额132.57亿元（其中县本级100.73亿元，高新区31.84亿元）。2023年债券资金主要用于：</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一）新增一般债券资金2.5亿元，用于乡村振兴集团溪源泄洪洞、闽江南岸防洪六期工程等2个项目0.95亿元，首邑交投侯官大道、源通西路及广贤路改造工程0.55亿元，教育局竹岐中学、闽侯四中、青口宏屿小学等3个项目0.45亿元，南通镇罗洲南路、通洲路、北环路等3个项目0.55亿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（二）新增专项债券31.32亿元，其中：</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1.县本级20.53亿元，用于福州东南汽车城投资发展集团有限公司</w:t>
      </w:r>
      <w:r>
        <w:rPr>
          <w:rFonts w:hint="eastAsia" w:ascii="仿宋_GB2312" w:hAnsi="仿宋_GB2312" w:eastAsia="仿宋_GB2312" w:cs="仿宋_GB2312"/>
          <w:b w:val="0"/>
          <w:bCs w:val="0"/>
          <w:color w:val="auto"/>
          <w:sz w:val="32"/>
          <w:szCs w:val="32"/>
          <w:highlight w:val="none"/>
          <w:lang w:val="en-US" w:eastAsia="zh-CN"/>
        </w:rPr>
        <w:t>3个产业园区项目0.65亿元，闽侯青口汽车工业园区管委会3个产业园区项目4.44亿元，福州至长乐机场城际铁路（F1线）10.18亿元，港后铁路1亿元，县发改局智慧城市建设项目（一期）0.13亿元，县建投集团储备粮中心库扩建项目0.3亿元，县教育局幼儿园工程0.42亿元，荆溪镇水系水质提升（污水管网）工程0.8亿元，上街片区排水系统提升改造项目0.81亿元，县医院新病房大楼建设项目0.35亿元，县住建局南通镇生活污水治理项目1.06亿元，县自来水公司竹岐乡、鸿尾乡供水工程项目0.4亿元</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2.高新区10.79亿元，用于福州高新区城乡建设局智慧产业园及基础配套设施建设等</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lang w:eastAsia="zh-CN"/>
        </w:rPr>
        <w:t>个项目10.79亿元。高新区部分由其还本付息。</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按照相关规定，结合项目实际进展情况，将部分无法按实全部支出的专项债券资金用途予以调整，并按程序上报审批，合计调整金额</w:t>
      </w:r>
      <w:r>
        <w:rPr>
          <w:rFonts w:hint="eastAsia" w:ascii="仿宋_GB2312" w:hAnsi="仿宋_GB2312" w:eastAsia="仿宋_GB2312" w:cs="仿宋_GB2312"/>
          <w:b w:val="0"/>
          <w:bCs w:val="0"/>
          <w:color w:val="auto"/>
          <w:sz w:val="32"/>
          <w:szCs w:val="32"/>
          <w:highlight w:val="none"/>
          <w:lang w:val="en-US" w:eastAsia="zh-CN"/>
        </w:rPr>
        <w:t>7.73亿元</w:t>
      </w:r>
      <w:r>
        <w:rPr>
          <w:rFonts w:hint="eastAsia" w:ascii="仿宋_GB2312" w:hAnsi="仿宋_GB2312" w:eastAsia="仿宋_GB2312" w:cs="仿宋_GB2312"/>
          <w:b w:val="0"/>
          <w:bCs w:val="0"/>
          <w:color w:val="auto"/>
          <w:sz w:val="32"/>
          <w:szCs w:val="32"/>
          <w:highlight w:val="none"/>
          <w:lang w:eastAsia="zh-CN"/>
        </w:rPr>
        <w:t>（县本级4.</w:t>
      </w: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eastAsia="zh-CN"/>
        </w:rPr>
        <w:t>1亿元，高新区3.3</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亿元）（详见附表7）。</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（三）再融资债券2.66亿元，其中：再融资一般债券2.66亿元，用于偿还2023年对应的到期地方政府债券本金。</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县级预算调整后，我们将认真组织执行，并在年终决算后，将实际结果向县</w:t>
      </w:r>
      <w:r>
        <w:rPr>
          <w:rFonts w:hint="eastAsia" w:ascii="仿宋_GB2312" w:hAnsi="仿宋_GB2312" w:eastAsia="仿宋_GB2312" w:cs="仿宋_GB2312"/>
          <w:color w:val="auto"/>
          <w:sz w:val="32"/>
          <w:szCs w:val="32"/>
          <w:highlight w:val="none"/>
          <w:lang w:eastAsia="zh-CN"/>
        </w:rPr>
        <w:t>人大常委会</w:t>
      </w:r>
      <w:r>
        <w:rPr>
          <w:rFonts w:hint="eastAsia" w:ascii="仿宋_GB2312" w:hAnsi="仿宋_GB2312" w:eastAsia="仿宋_GB2312" w:cs="仿宋_GB2312"/>
          <w:color w:val="auto"/>
          <w:sz w:val="32"/>
          <w:szCs w:val="32"/>
          <w:highlight w:val="none"/>
        </w:rPr>
        <w:t>进行报告。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以上报告，请予审议。</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w:t>
      </w:r>
      <w:r>
        <w:rPr>
          <w:rFonts w:hint="eastAsia" w:ascii="仿宋_GB2312" w:hAnsi="仿宋_GB2312" w:eastAsia="仿宋_GB2312" w:cs="仿宋_GB2312"/>
          <w:color w:val="auto"/>
          <w:sz w:val="32"/>
          <w:szCs w:val="32"/>
          <w:highlight w:val="none"/>
          <w:lang w:eastAsia="zh-CN"/>
        </w:rPr>
        <w:t>件</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rPr>
        <w:t>年分部门分税种财政收入预算调整情况表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rPr>
        <w:t>年公共财政财力情况计算表</w:t>
      </w:r>
    </w:p>
    <w:p>
      <w:pPr>
        <w:keepNext w:val="0"/>
        <w:keepLines w:val="0"/>
        <w:pageBreakBefore w:val="0"/>
        <w:widowControl/>
        <w:kinsoku/>
        <w:wordWrap/>
        <w:overflowPunct/>
        <w:topLinePunct w:val="0"/>
        <w:autoSpaceDE/>
        <w:autoSpaceDN/>
        <w:bidi w:val="0"/>
        <w:adjustRightInd/>
        <w:snapToGrid/>
        <w:spacing w:line="540" w:lineRule="exact"/>
        <w:ind w:firstLine="1600" w:firstLineChars="5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rPr>
        <w:t>年公共预算项目调整支出情况表</w:t>
      </w:r>
    </w:p>
    <w:p>
      <w:pPr>
        <w:keepNext w:val="0"/>
        <w:keepLines w:val="0"/>
        <w:pageBreakBefore w:val="0"/>
        <w:widowControl/>
        <w:kinsoku/>
        <w:wordWrap/>
        <w:overflowPunct/>
        <w:topLinePunct w:val="0"/>
        <w:autoSpaceDE/>
        <w:autoSpaceDN/>
        <w:bidi w:val="0"/>
        <w:adjustRightInd/>
        <w:snapToGrid/>
        <w:spacing w:line="540" w:lineRule="exact"/>
        <w:ind w:firstLine="1600" w:firstLineChars="5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rPr>
        <w:t>年公共财政预算支出安排情况表</w:t>
      </w:r>
    </w:p>
    <w:p>
      <w:pPr>
        <w:keepNext w:val="0"/>
        <w:keepLines w:val="0"/>
        <w:pageBreakBefore w:val="0"/>
        <w:widowControl/>
        <w:kinsoku/>
        <w:wordWrap/>
        <w:overflowPunct/>
        <w:topLinePunct w:val="0"/>
        <w:autoSpaceDE/>
        <w:autoSpaceDN/>
        <w:bidi w:val="0"/>
        <w:adjustRightInd/>
        <w:snapToGrid/>
        <w:spacing w:line="540" w:lineRule="exact"/>
        <w:ind w:firstLine="1600" w:firstLineChars="5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rPr>
        <w:t>年政府性基金预算项目调整支出情况表</w:t>
      </w:r>
    </w:p>
    <w:p>
      <w:pPr>
        <w:keepNext w:val="0"/>
        <w:keepLines w:val="0"/>
        <w:pageBreakBefore w:val="0"/>
        <w:widowControl/>
        <w:kinsoku/>
        <w:wordWrap/>
        <w:overflowPunct/>
        <w:topLinePunct w:val="0"/>
        <w:autoSpaceDE/>
        <w:autoSpaceDN/>
        <w:bidi w:val="0"/>
        <w:adjustRightInd/>
        <w:snapToGrid/>
        <w:spacing w:line="540" w:lineRule="exact"/>
        <w:ind w:firstLine="1593" w:firstLineChars="498"/>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2023</w:t>
      </w:r>
      <w:r>
        <w:rPr>
          <w:rFonts w:hint="eastAsia" w:ascii="仿宋_GB2312" w:hAnsi="仿宋_GB2312" w:eastAsia="仿宋_GB2312" w:cs="仿宋_GB2312"/>
          <w:color w:val="auto"/>
          <w:sz w:val="32"/>
          <w:szCs w:val="32"/>
          <w:highlight w:val="none"/>
        </w:rPr>
        <w:t>年政府性基金预算支出调整情况表</w:t>
      </w:r>
    </w:p>
    <w:p>
      <w:pPr>
        <w:keepNext w:val="0"/>
        <w:keepLines w:val="0"/>
        <w:pageBreakBefore w:val="0"/>
        <w:widowControl/>
        <w:kinsoku/>
        <w:wordWrap/>
        <w:overflowPunct/>
        <w:topLinePunct w:val="0"/>
        <w:autoSpaceDE/>
        <w:autoSpaceDN/>
        <w:bidi w:val="0"/>
        <w:adjustRightInd/>
        <w:snapToGrid/>
        <w:spacing w:line="540" w:lineRule="exact"/>
        <w:ind w:firstLine="1600" w:firstLineChars="500"/>
        <w:jc w:val="both"/>
        <w:textAlignment w:val="baseline"/>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7.2023年地方政府债券资金安排情况表</w:t>
      </w:r>
    </w:p>
    <w:sectPr>
      <w:footerReference r:id="rId7" w:type="first"/>
      <w:footerReference r:id="rId5" w:type="default"/>
      <w:footerReference r:id="rId6" w:type="even"/>
      <w:pgSz w:w="11905" w:h="16837"/>
      <w:pgMar w:top="1134" w:right="1418" w:bottom="1134" w:left="1588" w:header="567" w:footer="1134" w:gutter="0"/>
      <w:pgNumType w:fmt="numberInDash" w:start="1"/>
      <w:cols w:space="368" w:num="1"/>
      <w:titlePg/>
      <w:rtlGutter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5 -</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4 -</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1 -</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63C0E"/>
    <w:multiLevelType w:val="singleLevel"/>
    <w:tmpl w:val="80863C0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Nzc4YzlmMGVhZTFiNjM0ZTkzNWE0NDhlYjlkNjUifQ=="/>
  </w:docVars>
  <w:rsids>
    <w:rsidRoot w:val="007F1E94"/>
    <w:rsid w:val="00003D32"/>
    <w:rsid w:val="00005B69"/>
    <w:rsid w:val="00010413"/>
    <w:rsid w:val="00011307"/>
    <w:rsid w:val="0001204F"/>
    <w:rsid w:val="00015EF6"/>
    <w:rsid w:val="0002001C"/>
    <w:rsid w:val="00020FE9"/>
    <w:rsid w:val="00021196"/>
    <w:rsid w:val="00021724"/>
    <w:rsid w:val="00022880"/>
    <w:rsid w:val="0002350A"/>
    <w:rsid w:val="0002459C"/>
    <w:rsid w:val="00025715"/>
    <w:rsid w:val="00025788"/>
    <w:rsid w:val="0003015B"/>
    <w:rsid w:val="000310ED"/>
    <w:rsid w:val="00040C18"/>
    <w:rsid w:val="000410DA"/>
    <w:rsid w:val="00044C5E"/>
    <w:rsid w:val="000450A6"/>
    <w:rsid w:val="0004572F"/>
    <w:rsid w:val="000506C8"/>
    <w:rsid w:val="0005307A"/>
    <w:rsid w:val="00053742"/>
    <w:rsid w:val="00054985"/>
    <w:rsid w:val="00055FC3"/>
    <w:rsid w:val="000565F3"/>
    <w:rsid w:val="00061EE2"/>
    <w:rsid w:val="000620FF"/>
    <w:rsid w:val="0006366A"/>
    <w:rsid w:val="00064685"/>
    <w:rsid w:val="00065899"/>
    <w:rsid w:val="000660A9"/>
    <w:rsid w:val="000706DC"/>
    <w:rsid w:val="0007353C"/>
    <w:rsid w:val="0007420F"/>
    <w:rsid w:val="00074E99"/>
    <w:rsid w:val="00076A35"/>
    <w:rsid w:val="00080C94"/>
    <w:rsid w:val="000815DC"/>
    <w:rsid w:val="00084DBC"/>
    <w:rsid w:val="00085810"/>
    <w:rsid w:val="00092992"/>
    <w:rsid w:val="000A14C8"/>
    <w:rsid w:val="000A2E9F"/>
    <w:rsid w:val="000A311B"/>
    <w:rsid w:val="000A38D7"/>
    <w:rsid w:val="000A3989"/>
    <w:rsid w:val="000A4368"/>
    <w:rsid w:val="000A4D5E"/>
    <w:rsid w:val="000A5110"/>
    <w:rsid w:val="000A531A"/>
    <w:rsid w:val="000B38C2"/>
    <w:rsid w:val="000B4269"/>
    <w:rsid w:val="000C443A"/>
    <w:rsid w:val="000C6E1B"/>
    <w:rsid w:val="000C7033"/>
    <w:rsid w:val="000C7818"/>
    <w:rsid w:val="000C7F98"/>
    <w:rsid w:val="000D0460"/>
    <w:rsid w:val="000D5A30"/>
    <w:rsid w:val="000D5CE6"/>
    <w:rsid w:val="000D64B4"/>
    <w:rsid w:val="000D71AD"/>
    <w:rsid w:val="000E119F"/>
    <w:rsid w:val="000E55C1"/>
    <w:rsid w:val="000E5655"/>
    <w:rsid w:val="000E6F16"/>
    <w:rsid w:val="000E714F"/>
    <w:rsid w:val="000E7FE7"/>
    <w:rsid w:val="000F03B2"/>
    <w:rsid w:val="000F13F0"/>
    <w:rsid w:val="000F1820"/>
    <w:rsid w:val="000F1C5B"/>
    <w:rsid w:val="000F2B4C"/>
    <w:rsid w:val="000F6484"/>
    <w:rsid w:val="000F6B46"/>
    <w:rsid w:val="00100F40"/>
    <w:rsid w:val="0010243D"/>
    <w:rsid w:val="00105854"/>
    <w:rsid w:val="0010703B"/>
    <w:rsid w:val="001118C5"/>
    <w:rsid w:val="00114DA3"/>
    <w:rsid w:val="0011790B"/>
    <w:rsid w:val="001231FA"/>
    <w:rsid w:val="001233EF"/>
    <w:rsid w:val="00125F21"/>
    <w:rsid w:val="00125FAE"/>
    <w:rsid w:val="00132F56"/>
    <w:rsid w:val="001349DA"/>
    <w:rsid w:val="001366F3"/>
    <w:rsid w:val="00136AAE"/>
    <w:rsid w:val="001375CC"/>
    <w:rsid w:val="00137DF9"/>
    <w:rsid w:val="001407FF"/>
    <w:rsid w:val="00140C41"/>
    <w:rsid w:val="0014159D"/>
    <w:rsid w:val="001450CC"/>
    <w:rsid w:val="001459AF"/>
    <w:rsid w:val="00146720"/>
    <w:rsid w:val="001508F6"/>
    <w:rsid w:val="00151054"/>
    <w:rsid w:val="001517B1"/>
    <w:rsid w:val="00154208"/>
    <w:rsid w:val="001548C4"/>
    <w:rsid w:val="0015504F"/>
    <w:rsid w:val="0015696E"/>
    <w:rsid w:val="0015717F"/>
    <w:rsid w:val="00166E83"/>
    <w:rsid w:val="00171465"/>
    <w:rsid w:val="001742F7"/>
    <w:rsid w:val="00174602"/>
    <w:rsid w:val="001759A3"/>
    <w:rsid w:val="00175FDA"/>
    <w:rsid w:val="00180679"/>
    <w:rsid w:val="00181E4F"/>
    <w:rsid w:val="00183037"/>
    <w:rsid w:val="0019531E"/>
    <w:rsid w:val="001A2154"/>
    <w:rsid w:val="001A2632"/>
    <w:rsid w:val="001A2B6B"/>
    <w:rsid w:val="001A2FD6"/>
    <w:rsid w:val="001A3991"/>
    <w:rsid w:val="001A3D51"/>
    <w:rsid w:val="001A4C07"/>
    <w:rsid w:val="001A4CE2"/>
    <w:rsid w:val="001A4D56"/>
    <w:rsid w:val="001A68F5"/>
    <w:rsid w:val="001B78CB"/>
    <w:rsid w:val="001C40F5"/>
    <w:rsid w:val="001C5558"/>
    <w:rsid w:val="001C5CE7"/>
    <w:rsid w:val="001C63B1"/>
    <w:rsid w:val="001C69DC"/>
    <w:rsid w:val="001C6B3F"/>
    <w:rsid w:val="001D012A"/>
    <w:rsid w:val="001D2442"/>
    <w:rsid w:val="001D3159"/>
    <w:rsid w:val="001D3E6F"/>
    <w:rsid w:val="001E05C4"/>
    <w:rsid w:val="001E0882"/>
    <w:rsid w:val="001E2B1F"/>
    <w:rsid w:val="001E3583"/>
    <w:rsid w:val="001E4FD9"/>
    <w:rsid w:val="001E5836"/>
    <w:rsid w:val="001F1ED1"/>
    <w:rsid w:val="001F2B18"/>
    <w:rsid w:val="001F468E"/>
    <w:rsid w:val="001F4E61"/>
    <w:rsid w:val="001F56BE"/>
    <w:rsid w:val="001F713F"/>
    <w:rsid w:val="0020202F"/>
    <w:rsid w:val="002062A6"/>
    <w:rsid w:val="002073BC"/>
    <w:rsid w:val="00207A3C"/>
    <w:rsid w:val="0021568C"/>
    <w:rsid w:val="00217E74"/>
    <w:rsid w:val="00221302"/>
    <w:rsid w:val="00225D34"/>
    <w:rsid w:val="00225FA8"/>
    <w:rsid w:val="0023031E"/>
    <w:rsid w:val="002310F6"/>
    <w:rsid w:val="0023125C"/>
    <w:rsid w:val="0023402E"/>
    <w:rsid w:val="00234DE4"/>
    <w:rsid w:val="00242647"/>
    <w:rsid w:val="002438C9"/>
    <w:rsid w:val="00244AD1"/>
    <w:rsid w:val="0024607D"/>
    <w:rsid w:val="0024773C"/>
    <w:rsid w:val="00251825"/>
    <w:rsid w:val="00252FC8"/>
    <w:rsid w:val="002546FE"/>
    <w:rsid w:val="00255867"/>
    <w:rsid w:val="00263F9A"/>
    <w:rsid w:val="002652A0"/>
    <w:rsid w:val="0026582C"/>
    <w:rsid w:val="00265E35"/>
    <w:rsid w:val="00271A55"/>
    <w:rsid w:val="002728DC"/>
    <w:rsid w:val="0027395A"/>
    <w:rsid w:val="00276288"/>
    <w:rsid w:val="002802D4"/>
    <w:rsid w:val="00280D7A"/>
    <w:rsid w:val="00280E33"/>
    <w:rsid w:val="00280FF4"/>
    <w:rsid w:val="00281763"/>
    <w:rsid w:val="00281EB5"/>
    <w:rsid w:val="00283BF5"/>
    <w:rsid w:val="002842BD"/>
    <w:rsid w:val="002863D9"/>
    <w:rsid w:val="002863EF"/>
    <w:rsid w:val="00286DC5"/>
    <w:rsid w:val="00286F37"/>
    <w:rsid w:val="00287AC7"/>
    <w:rsid w:val="00287B70"/>
    <w:rsid w:val="00292587"/>
    <w:rsid w:val="00293529"/>
    <w:rsid w:val="0029536C"/>
    <w:rsid w:val="002955C5"/>
    <w:rsid w:val="0029665C"/>
    <w:rsid w:val="002A2CD8"/>
    <w:rsid w:val="002A3366"/>
    <w:rsid w:val="002A5ED9"/>
    <w:rsid w:val="002A632D"/>
    <w:rsid w:val="002A6441"/>
    <w:rsid w:val="002A7343"/>
    <w:rsid w:val="002A7529"/>
    <w:rsid w:val="002B0565"/>
    <w:rsid w:val="002B082D"/>
    <w:rsid w:val="002B0DC9"/>
    <w:rsid w:val="002B13D9"/>
    <w:rsid w:val="002B18AB"/>
    <w:rsid w:val="002B203B"/>
    <w:rsid w:val="002B680A"/>
    <w:rsid w:val="002B7906"/>
    <w:rsid w:val="002C05C6"/>
    <w:rsid w:val="002C2163"/>
    <w:rsid w:val="002C21AA"/>
    <w:rsid w:val="002C53B7"/>
    <w:rsid w:val="002C5F94"/>
    <w:rsid w:val="002C7998"/>
    <w:rsid w:val="002D08DB"/>
    <w:rsid w:val="002D0FDC"/>
    <w:rsid w:val="002D27EF"/>
    <w:rsid w:val="002D3C9E"/>
    <w:rsid w:val="002D629C"/>
    <w:rsid w:val="002D6E54"/>
    <w:rsid w:val="002E1FB7"/>
    <w:rsid w:val="002E1FD5"/>
    <w:rsid w:val="002E2640"/>
    <w:rsid w:val="002E5CFE"/>
    <w:rsid w:val="002E69ED"/>
    <w:rsid w:val="002E6A9F"/>
    <w:rsid w:val="002E6C5D"/>
    <w:rsid w:val="002E7612"/>
    <w:rsid w:val="002F0F60"/>
    <w:rsid w:val="002F15A0"/>
    <w:rsid w:val="002F403D"/>
    <w:rsid w:val="002F4372"/>
    <w:rsid w:val="002F788D"/>
    <w:rsid w:val="00301080"/>
    <w:rsid w:val="003014DA"/>
    <w:rsid w:val="003016F5"/>
    <w:rsid w:val="00303060"/>
    <w:rsid w:val="0030329F"/>
    <w:rsid w:val="00305EA4"/>
    <w:rsid w:val="00306570"/>
    <w:rsid w:val="003114CF"/>
    <w:rsid w:val="003130B1"/>
    <w:rsid w:val="003148AF"/>
    <w:rsid w:val="00314C71"/>
    <w:rsid w:val="003171FC"/>
    <w:rsid w:val="00320170"/>
    <w:rsid w:val="00321ED3"/>
    <w:rsid w:val="00324249"/>
    <w:rsid w:val="003244D7"/>
    <w:rsid w:val="00324B79"/>
    <w:rsid w:val="00326C75"/>
    <w:rsid w:val="00326D3A"/>
    <w:rsid w:val="00330550"/>
    <w:rsid w:val="0033119A"/>
    <w:rsid w:val="003320E2"/>
    <w:rsid w:val="00332F3D"/>
    <w:rsid w:val="003349B7"/>
    <w:rsid w:val="00336739"/>
    <w:rsid w:val="00336E2F"/>
    <w:rsid w:val="00337964"/>
    <w:rsid w:val="003403FD"/>
    <w:rsid w:val="00340EDA"/>
    <w:rsid w:val="0034139F"/>
    <w:rsid w:val="003413BB"/>
    <w:rsid w:val="003425CD"/>
    <w:rsid w:val="00343005"/>
    <w:rsid w:val="003449AA"/>
    <w:rsid w:val="003476F1"/>
    <w:rsid w:val="00353C79"/>
    <w:rsid w:val="00355611"/>
    <w:rsid w:val="00355DDB"/>
    <w:rsid w:val="003564DB"/>
    <w:rsid w:val="00357C14"/>
    <w:rsid w:val="0036035D"/>
    <w:rsid w:val="00364315"/>
    <w:rsid w:val="00365CD5"/>
    <w:rsid w:val="003661DD"/>
    <w:rsid w:val="003666F5"/>
    <w:rsid w:val="00371DAA"/>
    <w:rsid w:val="003747ED"/>
    <w:rsid w:val="0037544D"/>
    <w:rsid w:val="003774CE"/>
    <w:rsid w:val="00381851"/>
    <w:rsid w:val="00381E8B"/>
    <w:rsid w:val="00383FA1"/>
    <w:rsid w:val="00390653"/>
    <w:rsid w:val="003925FF"/>
    <w:rsid w:val="00394A48"/>
    <w:rsid w:val="00395F7C"/>
    <w:rsid w:val="00397A9D"/>
    <w:rsid w:val="003A0F4D"/>
    <w:rsid w:val="003A4366"/>
    <w:rsid w:val="003A5030"/>
    <w:rsid w:val="003A7150"/>
    <w:rsid w:val="003A75FD"/>
    <w:rsid w:val="003A7AD9"/>
    <w:rsid w:val="003B416A"/>
    <w:rsid w:val="003C3E61"/>
    <w:rsid w:val="003C5221"/>
    <w:rsid w:val="003C7AB7"/>
    <w:rsid w:val="003D028B"/>
    <w:rsid w:val="003D03B7"/>
    <w:rsid w:val="003D0423"/>
    <w:rsid w:val="003D24A0"/>
    <w:rsid w:val="003D2B9A"/>
    <w:rsid w:val="003D56F2"/>
    <w:rsid w:val="003D7140"/>
    <w:rsid w:val="003D7A9D"/>
    <w:rsid w:val="003E0094"/>
    <w:rsid w:val="003E0B14"/>
    <w:rsid w:val="003E120A"/>
    <w:rsid w:val="003E4414"/>
    <w:rsid w:val="003E6084"/>
    <w:rsid w:val="003E6A21"/>
    <w:rsid w:val="003F25C8"/>
    <w:rsid w:val="003F4E20"/>
    <w:rsid w:val="003F5751"/>
    <w:rsid w:val="003F59A2"/>
    <w:rsid w:val="003F750F"/>
    <w:rsid w:val="00400298"/>
    <w:rsid w:val="0040129E"/>
    <w:rsid w:val="0040454B"/>
    <w:rsid w:val="00405D4A"/>
    <w:rsid w:val="00410D2D"/>
    <w:rsid w:val="004136F8"/>
    <w:rsid w:val="0041610B"/>
    <w:rsid w:val="004178EF"/>
    <w:rsid w:val="00421982"/>
    <w:rsid w:val="00425B62"/>
    <w:rsid w:val="004270FD"/>
    <w:rsid w:val="00431DF9"/>
    <w:rsid w:val="00433DD1"/>
    <w:rsid w:val="0043467A"/>
    <w:rsid w:val="00434C83"/>
    <w:rsid w:val="00436FE3"/>
    <w:rsid w:val="00441C42"/>
    <w:rsid w:val="0044409A"/>
    <w:rsid w:val="00445C63"/>
    <w:rsid w:val="00445D2E"/>
    <w:rsid w:val="00446F8E"/>
    <w:rsid w:val="00451421"/>
    <w:rsid w:val="0045142C"/>
    <w:rsid w:val="00452CD0"/>
    <w:rsid w:val="00452DC7"/>
    <w:rsid w:val="004531B8"/>
    <w:rsid w:val="0045349F"/>
    <w:rsid w:val="004554E8"/>
    <w:rsid w:val="00460510"/>
    <w:rsid w:val="00460579"/>
    <w:rsid w:val="00462D10"/>
    <w:rsid w:val="00462EF8"/>
    <w:rsid w:val="00463D4A"/>
    <w:rsid w:val="00463DF3"/>
    <w:rsid w:val="0046602F"/>
    <w:rsid w:val="00466DF4"/>
    <w:rsid w:val="0047625A"/>
    <w:rsid w:val="00476BD6"/>
    <w:rsid w:val="00477800"/>
    <w:rsid w:val="00481435"/>
    <w:rsid w:val="0048190A"/>
    <w:rsid w:val="0048240E"/>
    <w:rsid w:val="00484D9D"/>
    <w:rsid w:val="00485518"/>
    <w:rsid w:val="00485B85"/>
    <w:rsid w:val="004865EF"/>
    <w:rsid w:val="0048723B"/>
    <w:rsid w:val="00492A6C"/>
    <w:rsid w:val="00493E87"/>
    <w:rsid w:val="004946B6"/>
    <w:rsid w:val="00494B55"/>
    <w:rsid w:val="00495778"/>
    <w:rsid w:val="00497E4D"/>
    <w:rsid w:val="004A0718"/>
    <w:rsid w:val="004A08F3"/>
    <w:rsid w:val="004A186B"/>
    <w:rsid w:val="004A1ED3"/>
    <w:rsid w:val="004A5BD5"/>
    <w:rsid w:val="004B0D2A"/>
    <w:rsid w:val="004B2632"/>
    <w:rsid w:val="004B329A"/>
    <w:rsid w:val="004B471E"/>
    <w:rsid w:val="004B55F7"/>
    <w:rsid w:val="004B7582"/>
    <w:rsid w:val="004C188B"/>
    <w:rsid w:val="004C52BF"/>
    <w:rsid w:val="004C5E8F"/>
    <w:rsid w:val="004D2228"/>
    <w:rsid w:val="004D298D"/>
    <w:rsid w:val="004D559D"/>
    <w:rsid w:val="004D60BA"/>
    <w:rsid w:val="004E02DB"/>
    <w:rsid w:val="004E0BFD"/>
    <w:rsid w:val="004E2B27"/>
    <w:rsid w:val="004E3343"/>
    <w:rsid w:val="004E6DD4"/>
    <w:rsid w:val="004E7B4C"/>
    <w:rsid w:val="004F081D"/>
    <w:rsid w:val="004F69E6"/>
    <w:rsid w:val="004F7EFD"/>
    <w:rsid w:val="00502F31"/>
    <w:rsid w:val="00504A26"/>
    <w:rsid w:val="00505D1F"/>
    <w:rsid w:val="0050685B"/>
    <w:rsid w:val="005106A5"/>
    <w:rsid w:val="005129FC"/>
    <w:rsid w:val="0051484A"/>
    <w:rsid w:val="00516277"/>
    <w:rsid w:val="00517B8B"/>
    <w:rsid w:val="00522A44"/>
    <w:rsid w:val="00527778"/>
    <w:rsid w:val="00527B64"/>
    <w:rsid w:val="005303BA"/>
    <w:rsid w:val="00530C50"/>
    <w:rsid w:val="00534641"/>
    <w:rsid w:val="00534F2D"/>
    <w:rsid w:val="00536C10"/>
    <w:rsid w:val="005448BF"/>
    <w:rsid w:val="005450BD"/>
    <w:rsid w:val="0055396A"/>
    <w:rsid w:val="005571B2"/>
    <w:rsid w:val="00561409"/>
    <w:rsid w:val="00563CD1"/>
    <w:rsid w:val="00567C3E"/>
    <w:rsid w:val="00570FA6"/>
    <w:rsid w:val="00571FD1"/>
    <w:rsid w:val="00572644"/>
    <w:rsid w:val="005737BB"/>
    <w:rsid w:val="00577E8A"/>
    <w:rsid w:val="005822E9"/>
    <w:rsid w:val="00582A2A"/>
    <w:rsid w:val="00584F4C"/>
    <w:rsid w:val="00586253"/>
    <w:rsid w:val="00586708"/>
    <w:rsid w:val="00590DAD"/>
    <w:rsid w:val="00592ADE"/>
    <w:rsid w:val="00596390"/>
    <w:rsid w:val="00596A61"/>
    <w:rsid w:val="005A07D7"/>
    <w:rsid w:val="005A1535"/>
    <w:rsid w:val="005A27A8"/>
    <w:rsid w:val="005A446B"/>
    <w:rsid w:val="005B1E72"/>
    <w:rsid w:val="005B2B77"/>
    <w:rsid w:val="005B3988"/>
    <w:rsid w:val="005C0BC3"/>
    <w:rsid w:val="005C12D1"/>
    <w:rsid w:val="005C15C3"/>
    <w:rsid w:val="005C26DB"/>
    <w:rsid w:val="005C7216"/>
    <w:rsid w:val="005C7B9B"/>
    <w:rsid w:val="005C7ED2"/>
    <w:rsid w:val="005D200B"/>
    <w:rsid w:val="005D3926"/>
    <w:rsid w:val="005D4E11"/>
    <w:rsid w:val="005D53EC"/>
    <w:rsid w:val="005D5893"/>
    <w:rsid w:val="005D5942"/>
    <w:rsid w:val="005D5DC6"/>
    <w:rsid w:val="005D5F19"/>
    <w:rsid w:val="005E0E91"/>
    <w:rsid w:val="005E4FB1"/>
    <w:rsid w:val="005E6BF3"/>
    <w:rsid w:val="005F05A8"/>
    <w:rsid w:val="005F4E3F"/>
    <w:rsid w:val="00601868"/>
    <w:rsid w:val="00601DB2"/>
    <w:rsid w:val="00606383"/>
    <w:rsid w:val="006064CB"/>
    <w:rsid w:val="006139AF"/>
    <w:rsid w:val="006145AE"/>
    <w:rsid w:val="006145D2"/>
    <w:rsid w:val="0061543B"/>
    <w:rsid w:val="00616439"/>
    <w:rsid w:val="00622618"/>
    <w:rsid w:val="00624F46"/>
    <w:rsid w:val="006266CF"/>
    <w:rsid w:val="00630DB9"/>
    <w:rsid w:val="006317A6"/>
    <w:rsid w:val="00631C27"/>
    <w:rsid w:val="0063375C"/>
    <w:rsid w:val="00633EEE"/>
    <w:rsid w:val="006344B7"/>
    <w:rsid w:val="00636D4B"/>
    <w:rsid w:val="00642E2C"/>
    <w:rsid w:val="0064304F"/>
    <w:rsid w:val="006432AF"/>
    <w:rsid w:val="00643A10"/>
    <w:rsid w:val="00650BF8"/>
    <w:rsid w:val="00652C7C"/>
    <w:rsid w:val="00653ABE"/>
    <w:rsid w:val="0065590D"/>
    <w:rsid w:val="00656AD2"/>
    <w:rsid w:val="006605AF"/>
    <w:rsid w:val="00660F72"/>
    <w:rsid w:val="00664F25"/>
    <w:rsid w:val="0066747D"/>
    <w:rsid w:val="00671BB0"/>
    <w:rsid w:val="00672FB9"/>
    <w:rsid w:val="00676EAA"/>
    <w:rsid w:val="00677C43"/>
    <w:rsid w:val="00680139"/>
    <w:rsid w:val="00682B47"/>
    <w:rsid w:val="006830CA"/>
    <w:rsid w:val="00684BEC"/>
    <w:rsid w:val="006859E3"/>
    <w:rsid w:val="00690A54"/>
    <w:rsid w:val="00693669"/>
    <w:rsid w:val="006A4C57"/>
    <w:rsid w:val="006A5686"/>
    <w:rsid w:val="006A65FA"/>
    <w:rsid w:val="006A6A0C"/>
    <w:rsid w:val="006A71F7"/>
    <w:rsid w:val="006C0AF6"/>
    <w:rsid w:val="006C1C29"/>
    <w:rsid w:val="006C38C2"/>
    <w:rsid w:val="006C3D18"/>
    <w:rsid w:val="006C616D"/>
    <w:rsid w:val="006D2787"/>
    <w:rsid w:val="006D4FDC"/>
    <w:rsid w:val="006D5358"/>
    <w:rsid w:val="006D5954"/>
    <w:rsid w:val="006D715D"/>
    <w:rsid w:val="006D7582"/>
    <w:rsid w:val="006E38D3"/>
    <w:rsid w:val="006E6004"/>
    <w:rsid w:val="006E69AC"/>
    <w:rsid w:val="006E7AA6"/>
    <w:rsid w:val="006E7FB6"/>
    <w:rsid w:val="006F04E2"/>
    <w:rsid w:val="006F4AE2"/>
    <w:rsid w:val="006F4F22"/>
    <w:rsid w:val="006F5C7E"/>
    <w:rsid w:val="006F69F9"/>
    <w:rsid w:val="006F7504"/>
    <w:rsid w:val="006F7F8C"/>
    <w:rsid w:val="00704289"/>
    <w:rsid w:val="00705947"/>
    <w:rsid w:val="00707B8A"/>
    <w:rsid w:val="00714D6B"/>
    <w:rsid w:val="00714E00"/>
    <w:rsid w:val="00717474"/>
    <w:rsid w:val="00717D02"/>
    <w:rsid w:val="00721330"/>
    <w:rsid w:val="00721DAC"/>
    <w:rsid w:val="00722997"/>
    <w:rsid w:val="00724781"/>
    <w:rsid w:val="00726589"/>
    <w:rsid w:val="0073101B"/>
    <w:rsid w:val="00731333"/>
    <w:rsid w:val="0073148B"/>
    <w:rsid w:val="00731E6C"/>
    <w:rsid w:val="00732240"/>
    <w:rsid w:val="00735639"/>
    <w:rsid w:val="00735A0A"/>
    <w:rsid w:val="007372F3"/>
    <w:rsid w:val="0074044B"/>
    <w:rsid w:val="00740485"/>
    <w:rsid w:val="00740AD0"/>
    <w:rsid w:val="00740C44"/>
    <w:rsid w:val="007419F9"/>
    <w:rsid w:val="00743CE5"/>
    <w:rsid w:val="00745C0A"/>
    <w:rsid w:val="00746942"/>
    <w:rsid w:val="00747FD0"/>
    <w:rsid w:val="00750C7F"/>
    <w:rsid w:val="00753BC5"/>
    <w:rsid w:val="00761751"/>
    <w:rsid w:val="0076337D"/>
    <w:rsid w:val="007642F2"/>
    <w:rsid w:val="00764560"/>
    <w:rsid w:val="0076630B"/>
    <w:rsid w:val="0077035D"/>
    <w:rsid w:val="00775143"/>
    <w:rsid w:val="007751FA"/>
    <w:rsid w:val="0078043E"/>
    <w:rsid w:val="0078072E"/>
    <w:rsid w:val="00780C7E"/>
    <w:rsid w:val="00786905"/>
    <w:rsid w:val="007870AE"/>
    <w:rsid w:val="00791E5D"/>
    <w:rsid w:val="0079379D"/>
    <w:rsid w:val="00793C6F"/>
    <w:rsid w:val="00795322"/>
    <w:rsid w:val="007A0439"/>
    <w:rsid w:val="007A0B3D"/>
    <w:rsid w:val="007A1C4C"/>
    <w:rsid w:val="007A2CF3"/>
    <w:rsid w:val="007A38AF"/>
    <w:rsid w:val="007B3905"/>
    <w:rsid w:val="007B4C63"/>
    <w:rsid w:val="007B678F"/>
    <w:rsid w:val="007B69D5"/>
    <w:rsid w:val="007C00B8"/>
    <w:rsid w:val="007C117D"/>
    <w:rsid w:val="007C155B"/>
    <w:rsid w:val="007C3538"/>
    <w:rsid w:val="007C67D4"/>
    <w:rsid w:val="007C6BC5"/>
    <w:rsid w:val="007D19F7"/>
    <w:rsid w:val="007D36A2"/>
    <w:rsid w:val="007D4441"/>
    <w:rsid w:val="007D7B3B"/>
    <w:rsid w:val="007E0387"/>
    <w:rsid w:val="007E6BB7"/>
    <w:rsid w:val="007E7F2B"/>
    <w:rsid w:val="007F1C97"/>
    <w:rsid w:val="007F1E94"/>
    <w:rsid w:val="007F5B6D"/>
    <w:rsid w:val="00800ED2"/>
    <w:rsid w:val="00800EE0"/>
    <w:rsid w:val="0080402C"/>
    <w:rsid w:val="008060FB"/>
    <w:rsid w:val="008069F4"/>
    <w:rsid w:val="00812A01"/>
    <w:rsid w:val="00816698"/>
    <w:rsid w:val="00816E5A"/>
    <w:rsid w:val="008208C1"/>
    <w:rsid w:val="008215B5"/>
    <w:rsid w:val="00822EC4"/>
    <w:rsid w:val="00824D1A"/>
    <w:rsid w:val="00826508"/>
    <w:rsid w:val="00827A01"/>
    <w:rsid w:val="008305A5"/>
    <w:rsid w:val="00830A3B"/>
    <w:rsid w:val="00831155"/>
    <w:rsid w:val="008347A7"/>
    <w:rsid w:val="008357AC"/>
    <w:rsid w:val="00835C5C"/>
    <w:rsid w:val="008364CD"/>
    <w:rsid w:val="00840318"/>
    <w:rsid w:val="0084069E"/>
    <w:rsid w:val="00840997"/>
    <w:rsid w:val="008426B0"/>
    <w:rsid w:val="00843129"/>
    <w:rsid w:val="008451E4"/>
    <w:rsid w:val="00847CE0"/>
    <w:rsid w:val="00851D13"/>
    <w:rsid w:val="00851FD2"/>
    <w:rsid w:val="00852190"/>
    <w:rsid w:val="008541FC"/>
    <w:rsid w:val="00854AF3"/>
    <w:rsid w:val="00856AD4"/>
    <w:rsid w:val="00860070"/>
    <w:rsid w:val="008602A1"/>
    <w:rsid w:val="008647DF"/>
    <w:rsid w:val="008658AF"/>
    <w:rsid w:val="00865E30"/>
    <w:rsid w:val="008672A5"/>
    <w:rsid w:val="00867538"/>
    <w:rsid w:val="0087198B"/>
    <w:rsid w:val="008741DF"/>
    <w:rsid w:val="008765CD"/>
    <w:rsid w:val="0087753D"/>
    <w:rsid w:val="0088186A"/>
    <w:rsid w:val="0088221B"/>
    <w:rsid w:val="00887516"/>
    <w:rsid w:val="00891101"/>
    <w:rsid w:val="00893202"/>
    <w:rsid w:val="00895995"/>
    <w:rsid w:val="00896E57"/>
    <w:rsid w:val="008974F8"/>
    <w:rsid w:val="008A19FC"/>
    <w:rsid w:val="008A5798"/>
    <w:rsid w:val="008A5DB0"/>
    <w:rsid w:val="008A5F39"/>
    <w:rsid w:val="008A65F5"/>
    <w:rsid w:val="008B377E"/>
    <w:rsid w:val="008B3D53"/>
    <w:rsid w:val="008B4581"/>
    <w:rsid w:val="008B4F00"/>
    <w:rsid w:val="008B6308"/>
    <w:rsid w:val="008B7A07"/>
    <w:rsid w:val="008C6211"/>
    <w:rsid w:val="008C7A13"/>
    <w:rsid w:val="008D75FC"/>
    <w:rsid w:val="008E36C6"/>
    <w:rsid w:val="008E37A9"/>
    <w:rsid w:val="008E663C"/>
    <w:rsid w:val="008E7FB4"/>
    <w:rsid w:val="008F2195"/>
    <w:rsid w:val="008F5E3C"/>
    <w:rsid w:val="009004CA"/>
    <w:rsid w:val="00900E4D"/>
    <w:rsid w:val="00900FA2"/>
    <w:rsid w:val="00903190"/>
    <w:rsid w:val="00904206"/>
    <w:rsid w:val="00904E7D"/>
    <w:rsid w:val="0090567E"/>
    <w:rsid w:val="009131AB"/>
    <w:rsid w:val="00913DAA"/>
    <w:rsid w:val="00914041"/>
    <w:rsid w:val="00914795"/>
    <w:rsid w:val="009154AE"/>
    <w:rsid w:val="00915DD6"/>
    <w:rsid w:val="00916664"/>
    <w:rsid w:val="0091784C"/>
    <w:rsid w:val="00917B27"/>
    <w:rsid w:val="00917C27"/>
    <w:rsid w:val="0092254A"/>
    <w:rsid w:val="00926EBE"/>
    <w:rsid w:val="0092763D"/>
    <w:rsid w:val="0093129B"/>
    <w:rsid w:val="009326C1"/>
    <w:rsid w:val="009326D2"/>
    <w:rsid w:val="00932898"/>
    <w:rsid w:val="009333AD"/>
    <w:rsid w:val="00934A26"/>
    <w:rsid w:val="00935B7E"/>
    <w:rsid w:val="00936765"/>
    <w:rsid w:val="00936B84"/>
    <w:rsid w:val="00936D32"/>
    <w:rsid w:val="00936EBD"/>
    <w:rsid w:val="00937A68"/>
    <w:rsid w:val="00940838"/>
    <w:rsid w:val="0094091C"/>
    <w:rsid w:val="00943228"/>
    <w:rsid w:val="00943C37"/>
    <w:rsid w:val="00943F8E"/>
    <w:rsid w:val="00946692"/>
    <w:rsid w:val="00952471"/>
    <w:rsid w:val="0095254F"/>
    <w:rsid w:val="00952DA0"/>
    <w:rsid w:val="009537D8"/>
    <w:rsid w:val="00955665"/>
    <w:rsid w:val="00955A05"/>
    <w:rsid w:val="00957F77"/>
    <w:rsid w:val="00960854"/>
    <w:rsid w:val="009636CD"/>
    <w:rsid w:val="00963F54"/>
    <w:rsid w:val="00965737"/>
    <w:rsid w:val="00966098"/>
    <w:rsid w:val="009705B3"/>
    <w:rsid w:val="00970946"/>
    <w:rsid w:val="0097438A"/>
    <w:rsid w:val="0097617B"/>
    <w:rsid w:val="00976CFC"/>
    <w:rsid w:val="009826A1"/>
    <w:rsid w:val="00982BAF"/>
    <w:rsid w:val="00982CB2"/>
    <w:rsid w:val="0098554D"/>
    <w:rsid w:val="00990696"/>
    <w:rsid w:val="0099370E"/>
    <w:rsid w:val="00993E22"/>
    <w:rsid w:val="009944D8"/>
    <w:rsid w:val="00995235"/>
    <w:rsid w:val="00997236"/>
    <w:rsid w:val="00997877"/>
    <w:rsid w:val="009A4A29"/>
    <w:rsid w:val="009A6FB0"/>
    <w:rsid w:val="009A7BD6"/>
    <w:rsid w:val="009A7DC4"/>
    <w:rsid w:val="009B0A2D"/>
    <w:rsid w:val="009B5A62"/>
    <w:rsid w:val="009B633C"/>
    <w:rsid w:val="009B6B74"/>
    <w:rsid w:val="009C0BCD"/>
    <w:rsid w:val="009C1FBF"/>
    <w:rsid w:val="009C2FD0"/>
    <w:rsid w:val="009D0C64"/>
    <w:rsid w:val="009D16CD"/>
    <w:rsid w:val="009D1BA2"/>
    <w:rsid w:val="009D3666"/>
    <w:rsid w:val="009D7289"/>
    <w:rsid w:val="009E2121"/>
    <w:rsid w:val="009E36D3"/>
    <w:rsid w:val="009E4233"/>
    <w:rsid w:val="009E4DEE"/>
    <w:rsid w:val="009E534B"/>
    <w:rsid w:val="009E7449"/>
    <w:rsid w:val="009F02C6"/>
    <w:rsid w:val="009F2171"/>
    <w:rsid w:val="009F2CDD"/>
    <w:rsid w:val="009F3DDC"/>
    <w:rsid w:val="009F67AB"/>
    <w:rsid w:val="00A02BCB"/>
    <w:rsid w:val="00A057F5"/>
    <w:rsid w:val="00A061FE"/>
    <w:rsid w:val="00A0716B"/>
    <w:rsid w:val="00A10014"/>
    <w:rsid w:val="00A13DD7"/>
    <w:rsid w:val="00A22830"/>
    <w:rsid w:val="00A25649"/>
    <w:rsid w:val="00A25CED"/>
    <w:rsid w:val="00A26D6E"/>
    <w:rsid w:val="00A335E8"/>
    <w:rsid w:val="00A41F83"/>
    <w:rsid w:val="00A422FE"/>
    <w:rsid w:val="00A44E3E"/>
    <w:rsid w:val="00A50852"/>
    <w:rsid w:val="00A51264"/>
    <w:rsid w:val="00A51C42"/>
    <w:rsid w:val="00A530CD"/>
    <w:rsid w:val="00A54125"/>
    <w:rsid w:val="00A55005"/>
    <w:rsid w:val="00A57848"/>
    <w:rsid w:val="00A57E61"/>
    <w:rsid w:val="00A61D8C"/>
    <w:rsid w:val="00A62A02"/>
    <w:rsid w:val="00A64135"/>
    <w:rsid w:val="00A641E7"/>
    <w:rsid w:val="00A6747F"/>
    <w:rsid w:val="00A703B8"/>
    <w:rsid w:val="00A7063E"/>
    <w:rsid w:val="00A710FC"/>
    <w:rsid w:val="00A73D17"/>
    <w:rsid w:val="00A75450"/>
    <w:rsid w:val="00A761C7"/>
    <w:rsid w:val="00A7771C"/>
    <w:rsid w:val="00A818C5"/>
    <w:rsid w:val="00A81F53"/>
    <w:rsid w:val="00A8349D"/>
    <w:rsid w:val="00A8767C"/>
    <w:rsid w:val="00A877A1"/>
    <w:rsid w:val="00A901C3"/>
    <w:rsid w:val="00A92601"/>
    <w:rsid w:val="00A93C3D"/>
    <w:rsid w:val="00A94837"/>
    <w:rsid w:val="00A94D75"/>
    <w:rsid w:val="00AA1618"/>
    <w:rsid w:val="00AA2230"/>
    <w:rsid w:val="00AA2CC8"/>
    <w:rsid w:val="00AA49C0"/>
    <w:rsid w:val="00AA4CEC"/>
    <w:rsid w:val="00AA5EF0"/>
    <w:rsid w:val="00AA714D"/>
    <w:rsid w:val="00AB14E6"/>
    <w:rsid w:val="00AB26FF"/>
    <w:rsid w:val="00AB2DB6"/>
    <w:rsid w:val="00AB408F"/>
    <w:rsid w:val="00AB6D5D"/>
    <w:rsid w:val="00AB6D97"/>
    <w:rsid w:val="00AB7D49"/>
    <w:rsid w:val="00AC0B0E"/>
    <w:rsid w:val="00AC6E69"/>
    <w:rsid w:val="00AC7546"/>
    <w:rsid w:val="00AD094C"/>
    <w:rsid w:val="00AD434F"/>
    <w:rsid w:val="00AD64B3"/>
    <w:rsid w:val="00AD7A3A"/>
    <w:rsid w:val="00AD7ADE"/>
    <w:rsid w:val="00AE41DF"/>
    <w:rsid w:val="00AF157F"/>
    <w:rsid w:val="00AF3AB1"/>
    <w:rsid w:val="00AF56AB"/>
    <w:rsid w:val="00AF60CE"/>
    <w:rsid w:val="00AF7BE4"/>
    <w:rsid w:val="00B00573"/>
    <w:rsid w:val="00B006C6"/>
    <w:rsid w:val="00B0095D"/>
    <w:rsid w:val="00B009F0"/>
    <w:rsid w:val="00B0477E"/>
    <w:rsid w:val="00B12AF8"/>
    <w:rsid w:val="00B1537E"/>
    <w:rsid w:val="00B16743"/>
    <w:rsid w:val="00B20332"/>
    <w:rsid w:val="00B20495"/>
    <w:rsid w:val="00B21758"/>
    <w:rsid w:val="00B217DD"/>
    <w:rsid w:val="00B22A6D"/>
    <w:rsid w:val="00B23497"/>
    <w:rsid w:val="00B238C2"/>
    <w:rsid w:val="00B24F76"/>
    <w:rsid w:val="00B27D95"/>
    <w:rsid w:val="00B31FD3"/>
    <w:rsid w:val="00B323DA"/>
    <w:rsid w:val="00B34A89"/>
    <w:rsid w:val="00B35F04"/>
    <w:rsid w:val="00B36077"/>
    <w:rsid w:val="00B36845"/>
    <w:rsid w:val="00B42D9A"/>
    <w:rsid w:val="00B43633"/>
    <w:rsid w:val="00B44763"/>
    <w:rsid w:val="00B52105"/>
    <w:rsid w:val="00B52C2D"/>
    <w:rsid w:val="00B54297"/>
    <w:rsid w:val="00B54A98"/>
    <w:rsid w:val="00B54BAE"/>
    <w:rsid w:val="00B56A67"/>
    <w:rsid w:val="00B61AFB"/>
    <w:rsid w:val="00B63013"/>
    <w:rsid w:val="00B63AC6"/>
    <w:rsid w:val="00B64B1B"/>
    <w:rsid w:val="00B6719D"/>
    <w:rsid w:val="00B67457"/>
    <w:rsid w:val="00B6764A"/>
    <w:rsid w:val="00B67A17"/>
    <w:rsid w:val="00B7126E"/>
    <w:rsid w:val="00B7247D"/>
    <w:rsid w:val="00B76F1D"/>
    <w:rsid w:val="00B8244B"/>
    <w:rsid w:val="00B8383C"/>
    <w:rsid w:val="00B86F27"/>
    <w:rsid w:val="00B8773D"/>
    <w:rsid w:val="00B87FE3"/>
    <w:rsid w:val="00B932DF"/>
    <w:rsid w:val="00B952F2"/>
    <w:rsid w:val="00BA0DC9"/>
    <w:rsid w:val="00BA2E37"/>
    <w:rsid w:val="00BA670A"/>
    <w:rsid w:val="00BB38AB"/>
    <w:rsid w:val="00BB3E23"/>
    <w:rsid w:val="00BB47E1"/>
    <w:rsid w:val="00BB5E65"/>
    <w:rsid w:val="00BB5EFE"/>
    <w:rsid w:val="00BB602A"/>
    <w:rsid w:val="00BC00C2"/>
    <w:rsid w:val="00BC16B7"/>
    <w:rsid w:val="00BC221D"/>
    <w:rsid w:val="00BC35BD"/>
    <w:rsid w:val="00BC4F07"/>
    <w:rsid w:val="00BC75CE"/>
    <w:rsid w:val="00BD0625"/>
    <w:rsid w:val="00BD2039"/>
    <w:rsid w:val="00BD22E7"/>
    <w:rsid w:val="00BD3020"/>
    <w:rsid w:val="00BD41EC"/>
    <w:rsid w:val="00BD4F0C"/>
    <w:rsid w:val="00BD52C4"/>
    <w:rsid w:val="00BD6116"/>
    <w:rsid w:val="00BD6A16"/>
    <w:rsid w:val="00BE68F5"/>
    <w:rsid w:val="00BF0D8B"/>
    <w:rsid w:val="00BF22D6"/>
    <w:rsid w:val="00BF2674"/>
    <w:rsid w:val="00BF32A0"/>
    <w:rsid w:val="00BF4F72"/>
    <w:rsid w:val="00BF5E83"/>
    <w:rsid w:val="00BF5F42"/>
    <w:rsid w:val="00BF7DEF"/>
    <w:rsid w:val="00C0017B"/>
    <w:rsid w:val="00C01AE6"/>
    <w:rsid w:val="00C01FC5"/>
    <w:rsid w:val="00C02612"/>
    <w:rsid w:val="00C0353C"/>
    <w:rsid w:val="00C0377D"/>
    <w:rsid w:val="00C03A85"/>
    <w:rsid w:val="00C05463"/>
    <w:rsid w:val="00C063B9"/>
    <w:rsid w:val="00C06F29"/>
    <w:rsid w:val="00C07811"/>
    <w:rsid w:val="00C15362"/>
    <w:rsid w:val="00C156D2"/>
    <w:rsid w:val="00C16980"/>
    <w:rsid w:val="00C20A54"/>
    <w:rsid w:val="00C233DE"/>
    <w:rsid w:val="00C23765"/>
    <w:rsid w:val="00C24E5A"/>
    <w:rsid w:val="00C25E38"/>
    <w:rsid w:val="00C271E6"/>
    <w:rsid w:val="00C27EE6"/>
    <w:rsid w:val="00C33B7F"/>
    <w:rsid w:val="00C33B9E"/>
    <w:rsid w:val="00C3575F"/>
    <w:rsid w:val="00C36830"/>
    <w:rsid w:val="00C408BF"/>
    <w:rsid w:val="00C415B8"/>
    <w:rsid w:val="00C45192"/>
    <w:rsid w:val="00C45324"/>
    <w:rsid w:val="00C468D0"/>
    <w:rsid w:val="00C50C6A"/>
    <w:rsid w:val="00C54A19"/>
    <w:rsid w:val="00C54CBE"/>
    <w:rsid w:val="00C557DE"/>
    <w:rsid w:val="00C55C09"/>
    <w:rsid w:val="00C56098"/>
    <w:rsid w:val="00C65C1E"/>
    <w:rsid w:val="00C6769B"/>
    <w:rsid w:val="00C72038"/>
    <w:rsid w:val="00C73961"/>
    <w:rsid w:val="00C73989"/>
    <w:rsid w:val="00C836C7"/>
    <w:rsid w:val="00C84785"/>
    <w:rsid w:val="00C85E9A"/>
    <w:rsid w:val="00C861B4"/>
    <w:rsid w:val="00C86893"/>
    <w:rsid w:val="00C8711E"/>
    <w:rsid w:val="00C87BCC"/>
    <w:rsid w:val="00C91580"/>
    <w:rsid w:val="00C9253B"/>
    <w:rsid w:val="00C92F32"/>
    <w:rsid w:val="00C930B4"/>
    <w:rsid w:val="00C936D5"/>
    <w:rsid w:val="00C9459B"/>
    <w:rsid w:val="00C945CA"/>
    <w:rsid w:val="00C95DDC"/>
    <w:rsid w:val="00C97460"/>
    <w:rsid w:val="00CA0D91"/>
    <w:rsid w:val="00CA1C37"/>
    <w:rsid w:val="00CA1E2F"/>
    <w:rsid w:val="00CA1E9D"/>
    <w:rsid w:val="00CA21E3"/>
    <w:rsid w:val="00CA770E"/>
    <w:rsid w:val="00CB03AD"/>
    <w:rsid w:val="00CB1691"/>
    <w:rsid w:val="00CB1EF0"/>
    <w:rsid w:val="00CB2E0C"/>
    <w:rsid w:val="00CB34E1"/>
    <w:rsid w:val="00CB49A2"/>
    <w:rsid w:val="00CB6FFD"/>
    <w:rsid w:val="00CB7F22"/>
    <w:rsid w:val="00CC0519"/>
    <w:rsid w:val="00CC28C1"/>
    <w:rsid w:val="00CC3829"/>
    <w:rsid w:val="00CC4289"/>
    <w:rsid w:val="00CC6EDC"/>
    <w:rsid w:val="00CC7BD2"/>
    <w:rsid w:val="00CD09B6"/>
    <w:rsid w:val="00CD0E6D"/>
    <w:rsid w:val="00CD12F8"/>
    <w:rsid w:val="00CD283C"/>
    <w:rsid w:val="00CD2FB3"/>
    <w:rsid w:val="00CD60F9"/>
    <w:rsid w:val="00CD6EF0"/>
    <w:rsid w:val="00CE0493"/>
    <w:rsid w:val="00CF000B"/>
    <w:rsid w:val="00CF0614"/>
    <w:rsid w:val="00CF250C"/>
    <w:rsid w:val="00CF37DE"/>
    <w:rsid w:val="00CF3F32"/>
    <w:rsid w:val="00CF3F44"/>
    <w:rsid w:val="00D01BF5"/>
    <w:rsid w:val="00D02EB9"/>
    <w:rsid w:val="00D048CB"/>
    <w:rsid w:val="00D05000"/>
    <w:rsid w:val="00D05B56"/>
    <w:rsid w:val="00D06774"/>
    <w:rsid w:val="00D1200D"/>
    <w:rsid w:val="00D12115"/>
    <w:rsid w:val="00D1299D"/>
    <w:rsid w:val="00D2254E"/>
    <w:rsid w:val="00D22BD1"/>
    <w:rsid w:val="00D24BC4"/>
    <w:rsid w:val="00D27679"/>
    <w:rsid w:val="00D31774"/>
    <w:rsid w:val="00D318A8"/>
    <w:rsid w:val="00D31BA4"/>
    <w:rsid w:val="00D32A81"/>
    <w:rsid w:val="00D340DF"/>
    <w:rsid w:val="00D350E9"/>
    <w:rsid w:val="00D37170"/>
    <w:rsid w:val="00D37F5B"/>
    <w:rsid w:val="00D40021"/>
    <w:rsid w:val="00D42585"/>
    <w:rsid w:val="00D44015"/>
    <w:rsid w:val="00D471C5"/>
    <w:rsid w:val="00D50730"/>
    <w:rsid w:val="00D50B61"/>
    <w:rsid w:val="00D50F4A"/>
    <w:rsid w:val="00D54240"/>
    <w:rsid w:val="00D62E8A"/>
    <w:rsid w:val="00D7023A"/>
    <w:rsid w:val="00D740AF"/>
    <w:rsid w:val="00D844C8"/>
    <w:rsid w:val="00D84C6C"/>
    <w:rsid w:val="00D872AA"/>
    <w:rsid w:val="00D912B6"/>
    <w:rsid w:val="00D9724A"/>
    <w:rsid w:val="00DA0919"/>
    <w:rsid w:val="00DA0CCD"/>
    <w:rsid w:val="00DA2C1B"/>
    <w:rsid w:val="00DA2D72"/>
    <w:rsid w:val="00DA4D70"/>
    <w:rsid w:val="00DA5C6B"/>
    <w:rsid w:val="00DA6506"/>
    <w:rsid w:val="00DB002C"/>
    <w:rsid w:val="00DB33EF"/>
    <w:rsid w:val="00DB3F5F"/>
    <w:rsid w:val="00DB67AA"/>
    <w:rsid w:val="00DB6CF4"/>
    <w:rsid w:val="00DC0635"/>
    <w:rsid w:val="00DC2483"/>
    <w:rsid w:val="00DC6C56"/>
    <w:rsid w:val="00DC7DEF"/>
    <w:rsid w:val="00DD103A"/>
    <w:rsid w:val="00DD243B"/>
    <w:rsid w:val="00DD2912"/>
    <w:rsid w:val="00DD2C6F"/>
    <w:rsid w:val="00DD57C7"/>
    <w:rsid w:val="00DE04F5"/>
    <w:rsid w:val="00DE2168"/>
    <w:rsid w:val="00DE3E4E"/>
    <w:rsid w:val="00DE491E"/>
    <w:rsid w:val="00DE56CD"/>
    <w:rsid w:val="00DE5762"/>
    <w:rsid w:val="00DE6837"/>
    <w:rsid w:val="00DE6A81"/>
    <w:rsid w:val="00DE715E"/>
    <w:rsid w:val="00DE7C8D"/>
    <w:rsid w:val="00DE7D94"/>
    <w:rsid w:val="00DF141B"/>
    <w:rsid w:val="00DF2712"/>
    <w:rsid w:val="00DF6492"/>
    <w:rsid w:val="00DF7737"/>
    <w:rsid w:val="00E00CF0"/>
    <w:rsid w:val="00E04953"/>
    <w:rsid w:val="00E056FD"/>
    <w:rsid w:val="00E1017F"/>
    <w:rsid w:val="00E117A2"/>
    <w:rsid w:val="00E1240E"/>
    <w:rsid w:val="00E130CB"/>
    <w:rsid w:val="00E1555F"/>
    <w:rsid w:val="00E15701"/>
    <w:rsid w:val="00E15819"/>
    <w:rsid w:val="00E160D5"/>
    <w:rsid w:val="00E165F0"/>
    <w:rsid w:val="00E1709B"/>
    <w:rsid w:val="00E22093"/>
    <w:rsid w:val="00E263A8"/>
    <w:rsid w:val="00E306D6"/>
    <w:rsid w:val="00E33931"/>
    <w:rsid w:val="00E42E1F"/>
    <w:rsid w:val="00E45457"/>
    <w:rsid w:val="00E46C19"/>
    <w:rsid w:val="00E53787"/>
    <w:rsid w:val="00E53EB7"/>
    <w:rsid w:val="00E576DA"/>
    <w:rsid w:val="00E61AED"/>
    <w:rsid w:val="00E62FAC"/>
    <w:rsid w:val="00E64013"/>
    <w:rsid w:val="00E65765"/>
    <w:rsid w:val="00E65E3E"/>
    <w:rsid w:val="00E66498"/>
    <w:rsid w:val="00E672FB"/>
    <w:rsid w:val="00E673ED"/>
    <w:rsid w:val="00E71E4E"/>
    <w:rsid w:val="00E71E9E"/>
    <w:rsid w:val="00E75262"/>
    <w:rsid w:val="00E76BA8"/>
    <w:rsid w:val="00E76E12"/>
    <w:rsid w:val="00E80463"/>
    <w:rsid w:val="00E8222E"/>
    <w:rsid w:val="00E83380"/>
    <w:rsid w:val="00E8750E"/>
    <w:rsid w:val="00E914CC"/>
    <w:rsid w:val="00E953CF"/>
    <w:rsid w:val="00EA6424"/>
    <w:rsid w:val="00EA7B12"/>
    <w:rsid w:val="00EB07CE"/>
    <w:rsid w:val="00EB0BAC"/>
    <w:rsid w:val="00EB187A"/>
    <w:rsid w:val="00EB1A9B"/>
    <w:rsid w:val="00EB1D92"/>
    <w:rsid w:val="00EB2FF8"/>
    <w:rsid w:val="00EB3C5D"/>
    <w:rsid w:val="00EB646A"/>
    <w:rsid w:val="00EB6CE5"/>
    <w:rsid w:val="00EC03DB"/>
    <w:rsid w:val="00EC1487"/>
    <w:rsid w:val="00EC289F"/>
    <w:rsid w:val="00EC4853"/>
    <w:rsid w:val="00EC5435"/>
    <w:rsid w:val="00EC64EA"/>
    <w:rsid w:val="00EC7571"/>
    <w:rsid w:val="00EC7737"/>
    <w:rsid w:val="00ED31FE"/>
    <w:rsid w:val="00ED4B3D"/>
    <w:rsid w:val="00ED4E53"/>
    <w:rsid w:val="00ED6625"/>
    <w:rsid w:val="00EE16E2"/>
    <w:rsid w:val="00EE197C"/>
    <w:rsid w:val="00EE3ACB"/>
    <w:rsid w:val="00EF109C"/>
    <w:rsid w:val="00EF3CC0"/>
    <w:rsid w:val="00EF3DE0"/>
    <w:rsid w:val="00EF6D38"/>
    <w:rsid w:val="00F002A8"/>
    <w:rsid w:val="00F00E4B"/>
    <w:rsid w:val="00F0349E"/>
    <w:rsid w:val="00F0596B"/>
    <w:rsid w:val="00F066A8"/>
    <w:rsid w:val="00F06C64"/>
    <w:rsid w:val="00F079AD"/>
    <w:rsid w:val="00F07F97"/>
    <w:rsid w:val="00F109C5"/>
    <w:rsid w:val="00F111CE"/>
    <w:rsid w:val="00F1223E"/>
    <w:rsid w:val="00F13304"/>
    <w:rsid w:val="00F13507"/>
    <w:rsid w:val="00F13E2D"/>
    <w:rsid w:val="00F15977"/>
    <w:rsid w:val="00F21030"/>
    <w:rsid w:val="00F2159F"/>
    <w:rsid w:val="00F23DC0"/>
    <w:rsid w:val="00F25BC7"/>
    <w:rsid w:val="00F26156"/>
    <w:rsid w:val="00F30AB5"/>
    <w:rsid w:val="00F34AAD"/>
    <w:rsid w:val="00F4281D"/>
    <w:rsid w:val="00F4336B"/>
    <w:rsid w:val="00F43991"/>
    <w:rsid w:val="00F45046"/>
    <w:rsid w:val="00F46AE8"/>
    <w:rsid w:val="00F47F13"/>
    <w:rsid w:val="00F512F2"/>
    <w:rsid w:val="00F53351"/>
    <w:rsid w:val="00F5410D"/>
    <w:rsid w:val="00F55B8E"/>
    <w:rsid w:val="00F56A7E"/>
    <w:rsid w:val="00F63D35"/>
    <w:rsid w:val="00F63F95"/>
    <w:rsid w:val="00F67E93"/>
    <w:rsid w:val="00F7619D"/>
    <w:rsid w:val="00F76206"/>
    <w:rsid w:val="00F76997"/>
    <w:rsid w:val="00F82389"/>
    <w:rsid w:val="00F831E0"/>
    <w:rsid w:val="00F84C11"/>
    <w:rsid w:val="00F9121B"/>
    <w:rsid w:val="00F926B8"/>
    <w:rsid w:val="00F92AFB"/>
    <w:rsid w:val="00F96754"/>
    <w:rsid w:val="00FA1118"/>
    <w:rsid w:val="00FA1A06"/>
    <w:rsid w:val="00FA25C5"/>
    <w:rsid w:val="00FA476A"/>
    <w:rsid w:val="00FA4A93"/>
    <w:rsid w:val="00FA5482"/>
    <w:rsid w:val="00FA7184"/>
    <w:rsid w:val="00FB021B"/>
    <w:rsid w:val="00FB0C4F"/>
    <w:rsid w:val="00FB139A"/>
    <w:rsid w:val="00FB13DB"/>
    <w:rsid w:val="00FB1A1D"/>
    <w:rsid w:val="00FB2778"/>
    <w:rsid w:val="00FB4A2B"/>
    <w:rsid w:val="00FB7712"/>
    <w:rsid w:val="00FC088D"/>
    <w:rsid w:val="00FC369F"/>
    <w:rsid w:val="00FC5BD9"/>
    <w:rsid w:val="00FC7CEE"/>
    <w:rsid w:val="00FD02DD"/>
    <w:rsid w:val="00FD189A"/>
    <w:rsid w:val="00FD33D4"/>
    <w:rsid w:val="00FD7268"/>
    <w:rsid w:val="00FD73EF"/>
    <w:rsid w:val="00FE1648"/>
    <w:rsid w:val="00FE25BC"/>
    <w:rsid w:val="00FE2AFB"/>
    <w:rsid w:val="00FE3BF7"/>
    <w:rsid w:val="00FE4ACC"/>
    <w:rsid w:val="00FE5B17"/>
    <w:rsid w:val="00FF0296"/>
    <w:rsid w:val="00FF2AA3"/>
    <w:rsid w:val="00FF3724"/>
    <w:rsid w:val="00FF3AC2"/>
    <w:rsid w:val="00FF76EF"/>
    <w:rsid w:val="0153104B"/>
    <w:rsid w:val="017D4281"/>
    <w:rsid w:val="02AC7791"/>
    <w:rsid w:val="03433AAE"/>
    <w:rsid w:val="03A2514E"/>
    <w:rsid w:val="03B8766A"/>
    <w:rsid w:val="03E508C3"/>
    <w:rsid w:val="04650DC6"/>
    <w:rsid w:val="04E015D6"/>
    <w:rsid w:val="06782CB2"/>
    <w:rsid w:val="06E10432"/>
    <w:rsid w:val="07257757"/>
    <w:rsid w:val="08E35D68"/>
    <w:rsid w:val="097C3D4B"/>
    <w:rsid w:val="0A325A62"/>
    <w:rsid w:val="0BC0637A"/>
    <w:rsid w:val="0C940361"/>
    <w:rsid w:val="0D766F90"/>
    <w:rsid w:val="0DF86DAE"/>
    <w:rsid w:val="0EAB69DA"/>
    <w:rsid w:val="0F6E2F82"/>
    <w:rsid w:val="0F906F06"/>
    <w:rsid w:val="0FEC71AF"/>
    <w:rsid w:val="100C4A16"/>
    <w:rsid w:val="12D914F6"/>
    <w:rsid w:val="12FC720D"/>
    <w:rsid w:val="133C113C"/>
    <w:rsid w:val="135D0EE6"/>
    <w:rsid w:val="13657B5E"/>
    <w:rsid w:val="14591DCB"/>
    <w:rsid w:val="14694611"/>
    <w:rsid w:val="14792610"/>
    <w:rsid w:val="14CC28DF"/>
    <w:rsid w:val="14CE1A70"/>
    <w:rsid w:val="15775F47"/>
    <w:rsid w:val="16AE592B"/>
    <w:rsid w:val="16BF1E9D"/>
    <w:rsid w:val="173506A7"/>
    <w:rsid w:val="17E61685"/>
    <w:rsid w:val="180E2B86"/>
    <w:rsid w:val="186E292F"/>
    <w:rsid w:val="18937BEE"/>
    <w:rsid w:val="189A773F"/>
    <w:rsid w:val="19220EC7"/>
    <w:rsid w:val="19D51ED3"/>
    <w:rsid w:val="1A324503"/>
    <w:rsid w:val="1B544DBC"/>
    <w:rsid w:val="1B553576"/>
    <w:rsid w:val="1CA55ACB"/>
    <w:rsid w:val="1E1F0E46"/>
    <w:rsid w:val="1F577FB4"/>
    <w:rsid w:val="1FD763FF"/>
    <w:rsid w:val="202713BD"/>
    <w:rsid w:val="20F30D2B"/>
    <w:rsid w:val="22502B6A"/>
    <w:rsid w:val="225E6602"/>
    <w:rsid w:val="22BA3402"/>
    <w:rsid w:val="23D345D6"/>
    <w:rsid w:val="23D7155C"/>
    <w:rsid w:val="245145C9"/>
    <w:rsid w:val="24DB4C36"/>
    <w:rsid w:val="2616077B"/>
    <w:rsid w:val="26C50880"/>
    <w:rsid w:val="275F7CF1"/>
    <w:rsid w:val="277C4D2B"/>
    <w:rsid w:val="27A30DE1"/>
    <w:rsid w:val="27E46204"/>
    <w:rsid w:val="27E75F71"/>
    <w:rsid w:val="289F0EFF"/>
    <w:rsid w:val="2A595DEB"/>
    <w:rsid w:val="2A641D0E"/>
    <w:rsid w:val="2ABA300C"/>
    <w:rsid w:val="2B800A75"/>
    <w:rsid w:val="2BB73042"/>
    <w:rsid w:val="2BC61AD7"/>
    <w:rsid w:val="2CCD3855"/>
    <w:rsid w:val="2CF85FA9"/>
    <w:rsid w:val="2D357138"/>
    <w:rsid w:val="2E06377C"/>
    <w:rsid w:val="2E821547"/>
    <w:rsid w:val="2FD504B8"/>
    <w:rsid w:val="2FF82F6E"/>
    <w:rsid w:val="30B74818"/>
    <w:rsid w:val="31C53BCD"/>
    <w:rsid w:val="31F72253"/>
    <w:rsid w:val="32273FE1"/>
    <w:rsid w:val="32371ADA"/>
    <w:rsid w:val="32675E43"/>
    <w:rsid w:val="332241E4"/>
    <w:rsid w:val="332E0496"/>
    <w:rsid w:val="333A2C00"/>
    <w:rsid w:val="33606515"/>
    <w:rsid w:val="336C7D04"/>
    <w:rsid w:val="3534061C"/>
    <w:rsid w:val="35DE5C42"/>
    <w:rsid w:val="35F958B3"/>
    <w:rsid w:val="365B6FB1"/>
    <w:rsid w:val="37F9066B"/>
    <w:rsid w:val="38386F9A"/>
    <w:rsid w:val="38732400"/>
    <w:rsid w:val="38C84307"/>
    <w:rsid w:val="3A1F7681"/>
    <w:rsid w:val="3A660BE5"/>
    <w:rsid w:val="3BF25543"/>
    <w:rsid w:val="3D070CD1"/>
    <w:rsid w:val="3D92531E"/>
    <w:rsid w:val="3DE86D76"/>
    <w:rsid w:val="3E934663"/>
    <w:rsid w:val="3ECD1433"/>
    <w:rsid w:val="3F580C1C"/>
    <w:rsid w:val="40171818"/>
    <w:rsid w:val="40CC6554"/>
    <w:rsid w:val="4392494C"/>
    <w:rsid w:val="43AA1F44"/>
    <w:rsid w:val="441C2A62"/>
    <w:rsid w:val="44597C0F"/>
    <w:rsid w:val="447140BE"/>
    <w:rsid w:val="45394259"/>
    <w:rsid w:val="462A2DA8"/>
    <w:rsid w:val="46B2629D"/>
    <w:rsid w:val="47F33BD4"/>
    <w:rsid w:val="47FD44F4"/>
    <w:rsid w:val="481B685D"/>
    <w:rsid w:val="482D5B75"/>
    <w:rsid w:val="49017898"/>
    <w:rsid w:val="492879AB"/>
    <w:rsid w:val="4AB7172F"/>
    <w:rsid w:val="4AD00786"/>
    <w:rsid w:val="4B2D0728"/>
    <w:rsid w:val="4B99374C"/>
    <w:rsid w:val="4C025735"/>
    <w:rsid w:val="4CA14D5B"/>
    <w:rsid w:val="4D1552C5"/>
    <w:rsid w:val="4DC534EF"/>
    <w:rsid w:val="4F0B2933"/>
    <w:rsid w:val="4F0E2468"/>
    <w:rsid w:val="4F3A1A37"/>
    <w:rsid w:val="4F8169AA"/>
    <w:rsid w:val="508A7B08"/>
    <w:rsid w:val="50AC6367"/>
    <w:rsid w:val="51721EEC"/>
    <w:rsid w:val="525A79B1"/>
    <w:rsid w:val="527F38D0"/>
    <w:rsid w:val="532960A9"/>
    <w:rsid w:val="53884A7A"/>
    <w:rsid w:val="55B715A5"/>
    <w:rsid w:val="567F7E34"/>
    <w:rsid w:val="58A96250"/>
    <w:rsid w:val="58ED1F4A"/>
    <w:rsid w:val="5B535EEE"/>
    <w:rsid w:val="5C792792"/>
    <w:rsid w:val="5D320A35"/>
    <w:rsid w:val="5D735FC6"/>
    <w:rsid w:val="5E3274BE"/>
    <w:rsid w:val="5EAB221B"/>
    <w:rsid w:val="5EC250D7"/>
    <w:rsid w:val="5ED902B7"/>
    <w:rsid w:val="5F513453"/>
    <w:rsid w:val="5FE8382A"/>
    <w:rsid w:val="5FF233C9"/>
    <w:rsid w:val="610F6B2F"/>
    <w:rsid w:val="618D4A8A"/>
    <w:rsid w:val="627F685F"/>
    <w:rsid w:val="628A27D2"/>
    <w:rsid w:val="62E9150A"/>
    <w:rsid w:val="646C2364"/>
    <w:rsid w:val="64CD7A12"/>
    <w:rsid w:val="65730EA4"/>
    <w:rsid w:val="66315049"/>
    <w:rsid w:val="672777CC"/>
    <w:rsid w:val="687A0B9D"/>
    <w:rsid w:val="696C19EE"/>
    <w:rsid w:val="69E42512"/>
    <w:rsid w:val="6A652585"/>
    <w:rsid w:val="6A671A84"/>
    <w:rsid w:val="6AE224ED"/>
    <w:rsid w:val="6B072438"/>
    <w:rsid w:val="6BD35386"/>
    <w:rsid w:val="6C2732AF"/>
    <w:rsid w:val="6C452DB9"/>
    <w:rsid w:val="6CA572F4"/>
    <w:rsid w:val="6D577108"/>
    <w:rsid w:val="6DB24C30"/>
    <w:rsid w:val="6EE96BBA"/>
    <w:rsid w:val="6F266605"/>
    <w:rsid w:val="6F9D08E8"/>
    <w:rsid w:val="70383C4E"/>
    <w:rsid w:val="704B6ADF"/>
    <w:rsid w:val="70D8007C"/>
    <w:rsid w:val="71D03290"/>
    <w:rsid w:val="733157CF"/>
    <w:rsid w:val="73873137"/>
    <w:rsid w:val="73E9334D"/>
    <w:rsid w:val="7456514B"/>
    <w:rsid w:val="75847040"/>
    <w:rsid w:val="77D75F2F"/>
    <w:rsid w:val="77EA7DA7"/>
    <w:rsid w:val="780A0E7F"/>
    <w:rsid w:val="78743CFB"/>
    <w:rsid w:val="792045E2"/>
    <w:rsid w:val="79B27555"/>
    <w:rsid w:val="7A1F284E"/>
    <w:rsid w:val="7AC82C41"/>
    <w:rsid w:val="7B2A5EF0"/>
    <w:rsid w:val="7BB56C05"/>
    <w:rsid w:val="7BCD0EF6"/>
    <w:rsid w:val="7C6F7702"/>
    <w:rsid w:val="7D18549E"/>
    <w:rsid w:val="7D1E6C50"/>
    <w:rsid w:val="7D7B63EE"/>
    <w:rsid w:val="7E7121C8"/>
    <w:rsid w:val="7E9C4590"/>
    <w:rsid w:val="7F104ED2"/>
    <w:rsid w:val="7F3C1FCC"/>
    <w:rsid w:val="7FB328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sz w:val="21"/>
      <w:u w:color="000000"/>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pPr>
  </w:style>
  <w:style w:type="paragraph" w:customStyle="1" w:styleId="3">
    <w:name w:val="Body Text Indent1"/>
    <w:basedOn w:val="1"/>
    <w:qFormat/>
    <w:uiPriority w:val="0"/>
    <w:pPr>
      <w:spacing w:after="120"/>
      <w:ind w:left="420" w:leftChars="200"/>
    </w:pPr>
  </w:style>
  <w:style w:type="paragraph" w:styleId="4">
    <w:name w:val="Date"/>
    <w:basedOn w:val="1"/>
    <w:next w:val="1"/>
    <w:link w:val="13"/>
    <w:qFormat/>
    <w:uiPriority w:val="99"/>
    <w:pPr>
      <w:ind w:left="100" w:leftChars="2500"/>
    </w:pPr>
    <w:rPr>
      <w:sz w:val="20"/>
    </w:rPr>
  </w:style>
  <w:style w:type="paragraph" w:styleId="5">
    <w:name w:val="Balloon Text"/>
    <w:basedOn w:val="1"/>
    <w:next w:val="1"/>
    <w:link w:val="14"/>
    <w:semiHidden/>
    <w:qFormat/>
    <w:uiPriority w:val="99"/>
    <w:rPr>
      <w:sz w:val="2"/>
    </w:rPr>
  </w:style>
  <w:style w:type="paragraph" w:styleId="6">
    <w:name w:val="footer"/>
    <w:basedOn w:val="1"/>
    <w:link w:val="15"/>
    <w:qFormat/>
    <w:uiPriority w:val="99"/>
    <w:pPr>
      <w:tabs>
        <w:tab w:val="center" w:pos="4153"/>
        <w:tab w:val="right" w:pos="8306"/>
      </w:tabs>
      <w:snapToGrid w:val="0"/>
      <w:spacing w:line="240" w:lineRule="atLeast"/>
      <w:jc w:val="left"/>
    </w:pPr>
    <w:rPr>
      <w:sz w:val="18"/>
    </w:rPr>
  </w:style>
  <w:style w:type="paragraph" w:styleId="7">
    <w:name w:val="header"/>
    <w:basedOn w:val="1"/>
    <w:link w:val="16"/>
    <w:qFormat/>
    <w:uiPriority w:val="99"/>
    <w:pPr>
      <w:pBdr>
        <w:bottom w:val="single" w:color="auto" w:sz="6" w:space="1"/>
      </w:pBdr>
      <w:tabs>
        <w:tab w:val="center" w:pos="4153"/>
        <w:tab w:val="right" w:pos="8306"/>
      </w:tabs>
      <w:snapToGrid w:val="0"/>
      <w:spacing w:line="240" w:lineRule="atLeast"/>
      <w:jc w:val="center"/>
    </w:pPr>
    <w:rPr>
      <w:sz w:val="18"/>
    </w:rPr>
  </w:style>
  <w:style w:type="paragraph" w:styleId="8">
    <w:name w:val="Normal (Web)"/>
    <w:basedOn w:val="1"/>
    <w:qFormat/>
    <w:uiPriority w:val="99"/>
    <w:pPr>
      <w:spacing w:before="100" w:beforeAutospacing="1" w:after="100" w:afterAutospacing="1" w:line="240" w:lineRule="auto"/>
      <w:ind w:firstLine="0"/>
      <w:jc w:val="left"/>
      <w:textAlignment w:val="auto"/>
    </w:pPr>
    <w:rPr>
      <w:rFonts w:ascii="宋体" w:hAnsi="宋体" w:cs="宋体"/>
      <w:color w:val="auto"/>
      <w:sz w:val="24"/>
      <w:szCs w:val="24"/>
    </w:rPr>
  </w:style>
  <w:style w:type="character" w:styleId="11">
    <w:name w:val="Strong"/>
    <w:qFormat/>
    <w:uiPriority w:val="99"/>
    <w:rPr>
      <w:rFonts w:cs="Times New Roman"/>
      <w:b/>
    </w:rPr>
  </w:style>
  <w:style w:type="character" w:styleId="12">
    <w:name w:val="page number"/>
    <w:qFormat/>
    <w:uiPriority w:val="99"/>
    <w:rPr>
      <w:rFonts w:cs="Times New Roman"/>
    </w:rPr>
  </w:style>
  <w:style w:type="character" w:customStyle="1" w:styleId="13">
    <w:name w:val="日期 Char"/>
    <w:link w:val="4"/>
    <w:semiHidden/>
    <w:qFormat/>
    <w:locked/>
    <w:uiPriority w:val="99"/>
    <w:rPr>
      <w:color w:val="000000"/>
      <w:kern w:val="0"/>
      <w:sz w:val="20"/>
      <w:u w:color="000000"/>
    </w:rPr>
  </w:style>
  <w:style w:type="character" w:customStyle="1" w:styleId="14">
    <w:name w:val="批注框文本 Char"/>
    <w:link w:val="5"/>
    <w:semiHidden/>
    <w:qFormat/>
    <w:locked/>
    <w:uiPriority w:val="99"/>
    <w:rPr>
      <w:color w:val="000000"/>
      <w:kern w:val="0"/>
      <w:sz w:val="2"/>
      <w:u w:color="000000"/>
    </w:rPr>
  </w:style>
  <w:style w:type="character" w:customStyle="1" w:styleId="15">
    <w:name w:val="页脚 Char"/>
    <w:link w:val="6"/>
    <w:qFormat/>
    <w:locked/>
    <w:uiPriority w:val="99"/>
    <w:rPr>
      <w:color w:val="000000"/>
      <w:sz w:val="18"/>
      <w:u w:color="000000"/>
    </w:rPr>
  </w:style>
  <w:style w:type="character" w:customStyle="1" w:styleId="16">
    <w:name w:val="页眉 Char"/>
    <w:link w:val="7"/>
    <w:qFormat/>
    <w:locked/>
    <w:uiPriority w:val="99"/>
    <w:rPr>
      <w:color w:val="000000"/>
      <w:sz w:val="18"/>
      <w:u w:color="000000"/>
    </w:rPr>
  </w:style>
  <w:style w:type="character" w:customStyle="1" w:styleId="17">
    <w:name w:val="链接"/>
    <w:qFormat/>
    <w:uiPriority w:val="99"/>
    <w:rPr>
      <w:rFonts w:ascii="Times New Roman" w:eastAsia="宋体"/>
      <w:color w:val="0000FF"/>
      <w:sz w:val="21"/>
      <w:u w:val="single" w:color="0000FF"/>
      <w:vertAlign w:val="baseline"/>
      <w:lang w:val="en-US" w:eastAsia="zh-CN"/>
    </w:rPr>
  </w:style>
  <w:style w:type="paragraph" w:styleId="18">
    <w:name w:val="List Paragraph"/>
    <w:basedOn w:val="1"/>
    <w:qFormat/>
    <w:uiPriority w:val="99"/>
    <w:pPr>
      <w:ind w:firstLine="420" w:firstLineChars="200"/>
    </w:pPr>
  </w:style>
  <w:style w:type="paragraph" w:customStyle="1" w:styleId="19">
    <w:name w:val="Char"/>
    <w:basedOn w:val="1"/>
    <w:qFormat/>
    <w:uiPriority w:val="99"/>
    <w:pPr>
      <w:widowControl w:val="0"/>
      <w:spacing w:line="240" w:lineRule="auto"/>
      <w:ind w:firstLine="0"/>
      <w:textAlignment w:val="auto"/>
    </w:pPr>
    <w:rPr>
      <w:color w:val="auto"/>
      <w:kern w:val="2"/>
      <w:szCs w:val="24"/>
    </w:rPr>
  </w:style>
  <w:style w:type="paragraph" w:styleId="20">
    <w:name w:val="No Spacing"/>
    <w:link w:val="21"/>
    <w:qFormat/>
    <w:uiPriority w:val="99"/>
    <w:rPr>
      <w:rFonts w:ascii="Calibri" w:hAnsi="Calibri" w:eastAsia="宋体" w:cs="Times New Roman"/>
      <w:sz w:val="22"/>
      <w:lang w:val="en-US" w:eastAsia="zh-CN" w:bidi="ar-SA"/>
    </w:rPr>
  </w:style>
  <w:style w:type="character" w:customStyle="1" w:styleId="21">
    <w:name w:val="无间隔 Char"/>
    <w:link w:val="20"/>
    <w:qFormat/>
    <w:locked/>
    <w:uiPriority w:val="99"/>
    <w:rPr>
      <w:rFonts w:ascii="Calibri" w:hAnsi="Calibri"/>
      <w:sz w:val="22"/>
      <w:lang w:val="en-US" w:eastAsia="zh-CN"/>
    </w:rPr>
  </w:style>
  <w:style w:type="paragraph" w:customStyle="1" w:styleId="22">
    <w:name w:val="p0"/>
    <w:basedOn w:val="1"/>
    <w:qFormat/>
    <w:uiPriority w:val="99"/>
    <w:pPr>
      <w:widowControl/>
      <w:spacing w:line="240" w:lineRule="atLeast"/>
    </w:pPr>
    <w:rPr>
      <w:rFonts w:ascii="仿宋_GB2312" w:hAnsi="仿宋_GB2312"/>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261C5E-A76E-41E0-849C-12913C93D73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2853</Words>
  <Characters>3636</Characters>
  <Lines>17</Lines>
  <Paragraphs>4</Paragraphs>
  <TotalTime>37</TotalTime>
  <ScaleCrop>false</ScaleCrop>
  <LinksUpToDate>false</LinksUpToDate>
  <CharactersWithSpaces>3653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2015-11-12T08:49:00Z</dcterms:created>
  <dc:creator>Lenovo User</dc:creator>
  <cp:lastModifiedBy>HS</cp:lastModifiedBy>
  <cp:lastPrinted>2023-12-04T13:24:00Z</cp:lastPrinted>
  <dcterms:modified xsi:type="dcterms:W3CDTF">2024-02-28T00:47:01Z</dcterms:modified>
  <dc:title>1、各业务科应继续督促预算单位对历年经常性和专项的结转和结余资金进行明细核算和逐项分类清查</dc:title>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77C0BA1B8A9B4EABBE78D4D576F20F8B</vt:lpwstr>
  </property>
</Properties>
</file>