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8640"/>
        </w:tabs>
        <w:kinsoku/>
        <w:wordWrap/>
        <w:overflowPunct/>
        <w:topLinePunct w:val="0"/>
        <w:bidi w:val="0"/>
        <w:snapToGrid/>
        <w:spacing w:line="560" w:lineRule="exact"/>
        <w:ind w:right="90" w:rightChars="43" w:firstLine="0"/>
        <w:jc w:val="both"/>
        <w:textAlignment w:val="baseline"/>
        <w:rPr>
          <w:rFonts w:ascii="方正小标宋简体" w:hAnsi="仿宋" w:eastAsia="方正小标宋简体"/>
          <w:sz w:val="44"/>
          <w:szCs w:val="44"/>
        </w:rPr>
      </w:pPr>
      <w:bookmarkStart w:id="0" w:name="_GoBack"/>
      <w:bookmarkEnd w:id="0"/>
    </w:p>
    <w:p>
      <w:pPr>
        <w:keepNext w:val="0"/>
        <w:keepLines w:val="0"/>
        <w:pageBreakBefore w:val="0"/>
        <w:widowControl/>
        <w:tabs>
          <w:tab w:val="left" w:pos="8640"/>
        </w:tabs>
        <w:kinsoku/>
        <w:wordWrap/>
        <w:overflowPunct/>
        <w:topLinePunct w:val="0"/>
        <w:bidi w:val="0"/>
        <w:snapToGrid/>
        <w:spacing w:line="560" w:lineRule="exact"/>
        <w:ind w:right="90" w:rightChars="43" w:firstLine="1315" w:firstLineChars="299"/>
        <w:jc w:val="both"/>
        <w:textAlignment w:val="baseline"/>
        <w:rPr>
          <w:rFonts w:hint="eastAsia" w:ascii="黑体" w:hAnsi="黑体" w:eastAsia="黑体"/>
          <w:sz w:val="44"/>
          <w:szCs w:val="44"/>
          <w:lang w:eastAsia="zh-CN"/>
        </w:rPr>
      </w:pPr>
      <w:r>
        <w:rPr>
          <w:rFonts w:hint="eastAsia" w:ascii="黑体" w:hAnsi="黑体" w:eastAsia="黑体"/>
          <w:sz w:val="44"/>
          <w:szCs w:val="44"/>
        </w:rPr>
        <w:t>关于</w:t>
      </w:r>
      <w:r>
        <w:rPr>
          <w:rFonts w:hint="eastAsia" w:ascii="黑体" w:hAnsi="黑体" w:eastAsia="黑体"/>
          <w:sz w:val="44"/>
          <w:szCs w:val="44"/>
          <w:lang w:eastAsia="zh-CN"/>
        </w:rPr>
        <w:t>202</w:t>
      </w:r>
      <w:r>
        <w:rPr>
          <w:rFonts w:hint="eastAsia" w:ascii="黑体" w:hAnsi="黑体" w:eastAsia="黑体"/>
          <w:sz w:val="44"/>
          <w:szCs w:val="44"/>
          <w:lang w:val="en-US" w:eastAsia="zh-CN"/>
        </w:rPr>
        <w:t>2</w:t>
      </w:r>
      <w:r>
        <w:rPr>
          <w:rFonts w:hint="eastAsia" w:ascii="黑体" w:hAnsi="黑体" w:eastAsia="黑体"/>
          <w:sz w:val="44"/>
          <w:szCs w:val="44"/>
        </w:rPr>
        <w:t>年县财政预算调整的报告</w:t>
      </w:r>
    </w:p>
    <w:p>
      <w:pPr>
        <w:keepNext w:val="0"/>
        <w:keepLines w:val="0"/>
        <w:pageBreakBefore w:val="0"/>
        <w:widowControl/>
        <w:tabs>
          <w:tab w:val="left" w:pos="8640"/>
        </w:tabs>
        <w:kinsoku/>
        <w:wordWrap/>
        <w:overflowPunct/>
        <w:topLinePunct w:val="0"/>
        <w:bidi w:val="0"/>
        <w:snapToGrid/>
        <w:spacing w:line="560" w:lineRule="exact"/>
        <w:ind w:right="90" w:rightChars="43" w:firstLine="1960" w:firstLineChars="700"/>
        <w:jc w:val="both"/>
        <w:textAlignment w:val="baseline"/>
        <w:rPr>
          <w:rFonts w:ascii="楷体" w:hAnsi="楷体" w:eastAsia="楷体"/>
          <w:sz w:val="28"/>
          <w:szCs w:val="28"/>
        </w:rPr>
      </w:pPr>
      <w:r>
        <w:rPr>
          <w:rFonts w:hint="eastAsia" w:ascii="楷体" w:hAnsi="楷体" w:eastAsia="楷体"/>
          <w:sz w:val="28"/>
          <w:szCs w:val="28"/>
        </w:rPr>
        <w:t>（</w:t>
      </w:r>
      <w:r>
        <w:rPr>
          <w:rFonts w:hint="eastAsia" w:ascii="楷体" w:hAnsi="楷体" w:eastAsia="楷体"/>
          <w:sz w:val="28"/>
          <w:szCs w:val="28"/>
          <w:lang w:eastAsia="zh-CN"/>
        </w:rPr>
        <w:t>202</w:t>
      </w:r>
      <w:r>
        <w:rPr>
          <w:rFonts w:hint="eastAsia" w:ascii="楷体" w:hAnsi="楷体" w:eastAsia="楷体"/>
          <w:sz w:val="28"/>
          <w:szCs w:val="28"/>
          <w:lang w:val="en-US" w:eastAsia="zh-CN"/>
        </w:rPr>
        <w:t>2</w:t>
      </w:r>
      <w:r>
        <w:rPr>
          <w:rFonts w:hint="eastAsia" w:ascii="楷体" w:hAnsi="楷体" w:eastAsia="楷体"/>
          <w:sz w:val="28"/>
          <w:szCs w:val="28"/>
        </w:rPr>
        <w:t>年</w:t>
      </w:r>
      <w:r>
        <w:rPr>
          <w:rFonts w:hint="eastAsia" w:ascii="楷体" w:hAnsi="楷体" w:eastAsia="楷体"/>
          <w:sz w:val="28"/>
          <w:szCs w:val="28"/>
          <w:lang w:val="en-US" w:eastAsia="zh-CN"/>
        </w:rPr>
        <w:t>12</w:t>
      </w:r>
      <w:r>
        <w:rPr>
          <w:rFonts w:hint="eastAsia" w:ascii="楷体" w:hAnsi="楷体" w:eastAsia="楷体"/>
          <w:sz w:val="28"/>
          <w:szCs w:val="28"/>
        </w:rPr>
        <w:t>月</w:t>
      </w:r>
      <w:r>
        <w:rPr>
          <w:rFonts w:hint="eastAsia" w:ascii="楷体" w:hAnsi="楷体" w:eastAsia="楷体"/>
          <w:sz w:val="28"/>
          <w:szCs w:val="28"/>
          <w:lang w:val="en-US" w:eastAsia="zh-CN"/>
        </w:rPr>
        <w:t>15</w:t>
      </w:r>
      <w:r>
        <w:rPr>
          <w:rFonts w:hint="eastAsia" w:ascii="楷体" w:hAnsi="楷体" w:eastAsia="楷体"/>
          <w:sz w:val="28"/>
          <w:szCs w:val="28"/>
        </w:rPr>
        <w:t>日在闽侯县第十</w:t>
      </w:r>
      <w:r>
        <w:rPr>
          <w:rFonts w:hint="eastAsia" w:ascii="楷体" w:hAnsi="楷体" w:eastAsia="楷体"/>
          <w:sz w:val="28"/>
          <w:szCs w:val="28"/>
          <w:lang w:eastAsia="zh-CN"/>
        </w:rPr>
        <w:t>九</w:t>
      </w:r>
      <w:r>
        <w:rPr>
          <w:rFonts w:hint="eastAsia" w:ascii="楷体" w:hAnsi="楷体" w:eastAsia="楷体"/>
          <w:sz w:val="28"/>
          <w:szCs w:val="28"/>
        </w:rPr>
        <w:t>届</w:t>
      </w:r>
    </w:p>
    <w:p>
      <w:pPr>
        <w:keepNext w:val="0"/>
        <w:keepLines w:val="0"/>
        <w:pageBreakBefore w:val="0"/>
        <w:widowControl/>
        <w:tabs>
          <w:tab w:val="left" w:pos="8640"/>
        </w:tabs>
        <w:kinsoku/>
        <w:wordWrap/>
        <w:overflowPunct/>
        <w:topLinePunct w:val="0"/>
        <w:bidi w:val="0"/>
        <w:snapToGrid/>
        <w:spacing w:line="560" w:lineRule="exact"/>
        <w:ind w:right="90" w:rightChars="43" w:firstLine="2940" w:firstLineChars="1050"/>
        <w:jc w:val="both"/>
        <w:textAlignment w:val="baseline"/>
        <w:rPr>
          <w:rFonts w:ascii="楷体" w:hAnsi="楷体" w:eastAsia="楷体"/>
          <w:sz w:val="28"/>
          <w:szCs w:val="28"/>
        </w:rPr>
      </w:pPr>
      <w:r>
        <w:rPr>
          <w:rFonts w:hint="eastAsia" w:ascii="楷体" w:hAnsi="楷体" w:eastAsia="楷体"/>
          <w:sz w:val="28"/>
          <w:szCs w:val="28"/>
        </w:rPr>
        <w:t>人大常委会第</w:t>
      </w:r>
      <w:r>
        <w:rPr>
          <w:rFonts w:hint="eastAsia" w:ascii="楷体" w:hAnsi="楷体" w:eastAsia="楷体"/>
          <w:sz w:val="28"/>
          <w:szCs w:val="28"/>
          <w:lang w:val="en-US" w:eastAsia="zh-CN"/>
        </w:rPr>
        <w:t>8</w:t>
      </w:r>
      <w:r>
        <w:rPr>
          <w:rFonts w:hint="eastAsia" w:ascii="楷体" w:hAnsi="楷体" w:eastAsia="楷体"/>
          <w:sz w:val="28"/>
          <w:szCs w:val="28"/>
        </w:rPr>
        <w:t>次会议上）</w:t>
      </w:r>
    </w:p>
    <w:p>
      <w:pPr>
        <w:keepNext w:val="0"/>
        <w:keepLines w:val="0"/>
        <w:pageBreakBefore w:val="0"/>
        <w:widowControl/>
        <w:tabs>
          <w:tab w:val="left" w:pos="8640"/>
        </w:tabs>
        <w:kinsoku/>
        <w:wordWrap/>
        <w:overflowPunct/>
        <w:topLinePunct w:val="0"/>
        <w:bidi w:val="0"/>
        <w:snapToGrid/>
        <w:spacing w:line="560" w:lineRule="exact"/>
        <w:ind w:right="90" w:rightChars="43" w:firstLine="2656" w:firstLineChars="830"/>
        <w:jc w:val="both"/>
        <w:textAlignment w:val="baseline"/>
        <w:rPr>
          <w:rFonts w:ascii="楷体" w:hAnsi="楷体" w:eastAsia="楷体"/>
          <w:b w:val="0"/>
          <w:bCs/>
          <w:sz w:val="32"/>
          <w:szCs w:val="32"/>
        </w:rPr>
      </w:pPr>
      <w:r>
        <w:rPr>
          <w:rFonts w:hint="eastAsia" w:ascii="楷体" w:hAnsi="楷体" w:eastAsia="楷体"/>
          <w:b w:val="0"/>
          <w:bCs/>
          <w:sz w:val="32"/>
          <w:szCs w:val="32"/>
        </w:rPr>
        <w:t>闽侯县财政局局长</w:t>
      </w:r>
      <w:r>
        <w:rPr>
          <w:rFonts w:ascii="楷体" w:hAnsi="楷体" w:eastAsia="楷体"/>
          <w:b w:val="0"/>
          <w:bCs/>
          <w:sz w:val="32"/>
          <w:szCs w:val="32"/>
        </w:rPr>
        <w:t xml:space="preserve"> </w:t>
      </w:r>
      <w:r>
        <w:rPr>
          <w:rFonts w:hint="eastAsia" w:ascii="楷体" w:hAnsi="楷体" w:eastAsia="楷体"/>
          <w:b w:val="0"/>
          <w:bCs/>
          <w:sz w:val="32"/>
          <w:szCs w:val="32"/>
        </w:rPr>
        <w:t>吴文钦</w:t>
      </w:r>
    </w:p>
    <w:p>
      <w:pPr>
        <w:keepNext w:val="0"/>
        <w:keepLines w:val="0"/>
        <w:pageBreakBefore w:val="0"/>
        <w:widowControl/>
        <w:tabs>
          <w:tab w:val="left" w:pos="8640"/>
        </w:tabs>
        <w:kinsoku/>
        <w:wordWrap/>
        <w:overflowPunct/>
        <w:topLinePunct w:val="0"/>
        <w:bidi w:val="0"/>
        <w:snapToGrid/>
        <w:spacing w:line="560" w:lineRule="exact"/>
        <w:ind w:right="90" w:rightChars="43" w:firstLine="883" w:firstLineChars="200"/>
        <w:jc w:val="both"/>
        <w:textAlignment w:val="baseline"/>
        <w:rPr>
          <w:rFonts w:ascii="方正小标宋简体" w:hAnsi="仿宋" w:eastAsia="方正小标宋简体"/>
          <w:b/>
          <w:sz w:val="44"/>
          <w:szCs w:val="44"/>
        </w:rPr>
      </w:pPr>
    </w:p>
    <w:p>
      <w:pPr>
        <w:keepNext w:val="0"/>
        <w:keepLines w:val="0"/>
        <w:pageBreakBefore w:val="0"/>
        <w:widowControl/>
        <w:tabs>
          <w:tab w:val="left" w:pos="8640"/>
        </w:tabs>
        <w:kinsoku/>
        <w:wordWrap/>
        <w:overflowPunct/>
        <w:topLinePunct w:val="0"/>
        <w:autoSpaceDE/>
        <w:autoSpaceDN/>
        <w:bidi w:val="0"/>
        <w:adjustRightInd/>
        <w:snapToGrid/>
        <w:spacing w:line="560" w:lineRule="exact"/>
        <w:ind w:right="90" w:rightChars="43" w:firstLine="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主任、各位副主任、委员:</w:t>
      </w:r>
    </w:p>
    <w:p>
      <w:pPr>
        <w:keepNext w:val="0"/>
        <w:keepLines w:val="0"/>
        <w:pageBreakBefore w:val="0"/>
        <w:widowControl/>
        <w:tabs>
          <w:tab w:val="left" w:pos="8640"/>
        </w:tabs>
        <w:kinsoku/>
        <w:wordWrap/>
        <w:overflowPunct/>
        <w:topLinePunct w:val="0"/>
        <w:autoSpaceDE/>
        <w:autoSpaceDN/>
        <w:bidi w:val="0"/>
        <w:adjustRightInd/>
        <w:snapToGrid/>
        <w:spacing w:line="560" w:lineRule="exact"/>
        <w:ind w:right="90" w:rightChars="43" w:firstLine="640" w:firstLineChars="200"/>
        <w:jc w:val="both"/>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受县人民政府的委托，向县第十</w:t>
      </w: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届人大常委会第</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次会议报告</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年县财政预算调整方案，请予以审议。</w:t>
      </w:r>
    </w:p>
    <w:p>
      <w:pPr>
        <w:keepNext w:val="0"/>
        <w:keepLines w:val="0"/>
        <w:pageBreakBefore w:val="0"/>
        <w:tabs>
          <w:tab w:val="left" w:pos="8640"/>
        </w:tabs>
        <w:kinsoku/>
        <w:wordWrap/>
        <w:overflowPunct/>
        <w:topLinePunct w:val="0"/>
        <w:autoSpaceDE/>
        <w:autoSpaceDN/>
        <w:bidi w:val="0"/>
        <w:adjustRightInd/>
        <w:snapToGrid/>
        <w:spacing w:line="560" w:lineRule="exact"/>
        <w:ind w:right="90" w:rightChars="43" w:firstLine="800" w:firstLineChars="250"/>
        <w:jc w:val="both"/>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一、</w:t>
      </w:r>
      <w:r>
        <w:rPr>
          <w:rFonts w:hint="eastAsia" w:ascii="黑体" w:hAnsi="黑体" w:eastAsia="黑体" w:cs="黑体"/>
          <w:b w:val="0"/>
          <w:bCs/>
          <w:color w:val="auto"/>
          <w:sz w:val="32"/>
          <w:szCs w:val="32"/>
          <w:lang w:eastAsia="zh-CN"/>
        </w:rPr>
        <w:t>2022</w:t>
      </w:r>
      <w:r>
        <w:rPr>
          <w:rFonts w:hint="eastAsia" w:ascii="黑体" w:hAnsi="黑体" w:eastAsia="黑体" w:cs="黑体"/>
          <w:b w:val="0"/>
          <w:bCs/>
          <w:color w:val="auto"/>
          <w:sz w:val="32"/>
          <w:szCs w:val="32"/>
        </w:rPr>
        <w:t>年年初</w:t>
      </w:r>
      <w:r>
        <w:rPr>
          <w:rFonts w:hint="eastAsia" w:ascii="黑体" w:hAnsi="黑体" w:eastAsia="黑体" w:cs="黑体"/>
          <w:b w:val="0"/>
          <w:bCs/>
          <w:color w:val="auto"/>
          <w:sz w:val="32"/>
          <w:szCs w:val="32"/>
          <w:lang w:eastAsia="zh-CN"/>
        </w:rPr>
        <w:t>县</w:t>
      </w:r>
      <w:r>
        <w:rPr>
          <w:rFonts w:hint="eastAsia" w:ascii="黑体" w:hAnsi="黑体" w:eastAsia="黑体" w:cs="黑体"/>
          <w:b w:val="0"/>
          <w:bCs/>
          <w:color w:val="auto"/>
          <w:sz w:val="32"/>
          <w:szCs w:val="32"/>
        </w:rPr>
        <w:t>人大批准全县（含高新区，下同）财政收支预算情况</w:t>
      </w:r>
    </w:p>
    <w:p>
      <w:pPr>
        <w:keepNext w:val="0"/>
        <w:keepLines w:val="0"/>
        <w:pageBreakBefore w:val="0"/>
        <w:tabs>
          <w:tab w:val="left" w:pos="8640"/>
        </w:tabs>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（一）全县一般公共预算总收入为</w:t>
      </w:r>
      <w:r>
        <w:rPr>
          <w:rFonts w:hint="eastAsia" w:ascii="仿宋_GB2312" w:hAnsi="仿宋_GB2312" w:eastAsia="仿宋_GB2312" w:cs="仿宋_GB2312"/>
          <w:color w:val="auto"/>
          <w:sz w:val="32"/>
          <w:szCs w:val="32"/>
          <w:lang w:val="en-US" w:eastAsia="zh-CN"/>
        </w:rPr>
        <w:t>151.79</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120.39</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31.4</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%。其中：一般公共预算收入为</w:t>
      </w:r>
      <w:r>
        <w:rPr>
          <w:rFonts w:hint="eastAsia" w:ascii="仿宋_GB2312" w:hAnsi="仿宋_GB2312" w:eastAsia="仿宋_GB2312" w:cs="仿宋_GB2312"/>
          <w:color w:val="auto"/>
          <w:sz w:val="32"/>
          <w:szCs w:val="32"/>
          <w:lang w:val="en-US" w:eastAsia="zh-CN"/>
        </w:rPr>
        <w:t>95.33</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74.83</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20.5</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%。一般公共预算支出为</w:t>
      </w:r>
      <w:r>
        <w:rPr>
          <w:rFonts w:hint="eastAsia" w:ascii="仿宋_GB2312" w:hAnsi="仿宋_GB2312" w:eastAsia="仿宋_GB2312" w:cs="仿宋_GB2312"/>
          <w:color w:val="auto"/>
          <w:sz w:val="32"/>
          <w:szCs w:val="32"/>
          <w:lang w:val="en-US" w:eastAsia="zh-CN"/>
        </w:rPr>
        <w:t>103.91</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84.33</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19.58</w:t>
      </w:r>
      <w:r>
        <w:rPr>
          <w:rFonts w:hint="eastAsia" w:ascii="仿宋_GB2312" w:hAnsi="仿宋_GB2312" w:eastAsia="仿宋_GB2312" w:cs="仿宋_GB2312"/>
          <w:color w:val="auto"/>
          <w:sz w:val="32"/>
          <w:szCs w:val="32"/>
        </w:rPr>
        <w:t>亿元）。</w:t>
      </w:r>
    </w:p>
    <w:p>
      <w:pPr>
        <w:keepNext w:val="0"/>
        <w:keepLines w:val="0"/>
        <w:pageBreakBefore w:val="0"/>
        <w:tabs>
          <w:tab w:val="left" w:pos="8640"/>
        </w:tabs>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（二）全县政府性基金收入为</w:t>
      </w:r>
      <w:r>
        <w:rPr>
          <w:rFonts w:hint="eastAsia" w:ascii="仿宋_GB2312" w:hAnsi="仿宋_GB2312" w:eastAsia="仿宋_GB2312" w:cs="仿宋_GB2312"/>
          <w:color w:val="auto"/>
          <w:sz w:val="32"/>
          <w:szCs w:val="32"/>
          <w:lang w:val="en-US" w:eastAsia="zh-CN"/>
        </w:rPr>
        <w:t>156.5</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110</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46.5</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109.28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（县本级</w:t>
      </w:r>
      <w:r>
        <w:rPr>
          <w:rFonts w:hint="eastAsia" w:ascii="仿宋_GB2312" w:hAnsi="仿宋_GB2312" w:eastAsia="仿宋_GB2312" w:cs="仿宋_GB2312"/>
          <w:color w:val="auto"/>
          <w:sz w:val="32"/>
          <w:szCs w:val="32"/>
          <w:lang w:val="en-US" w:eastAsia="zh-CN"/>
        </w:rPr>
        <w:t>95.13%，高新区152.58%</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，其中：土地基金收入</w:t>
      </w:r>
      <w:r>
        <w:rPr>
          <w:rFonts w:hint="eastAsia" w:ascii="仿宋_GB2312" w:hAnsi="仿宋_GB2312" w:eastAsia="仿宋_GB2312" w:cs="仿宋_GB2312"/>
          <w:color w:val="auto"/>
          <w:sz w:val="32"/>
          <w:szCs w:val="32"/>
          <w:lang w:val="en-US" w:eastAsia="zh-CN"/>
        </w:rPr>
        <w:t>155.3</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109</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46.3</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110.38</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（县本级</w:t>
      </w:r>
      <w:r>
        <w:rPr>
          <w:rFonts w:hint="eastAsia" w:ascii="仿宋_GB2312" w:hAnsi="仿宋_GB2312" w:eastAsia="仿宋_GB2312" w:cs="仿宋_GB2312"/>
          <w:color w:val="auto"/>
          <w:sz w:val="32"/>
          <w:szCs w:val="32"/>
          <w:lang w:val="en-US" w:eastAsia="zh-CN"/>
        </w:rPr>
        <w:t>96.43%，高新区152.59%</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w:t>
      </w:r>
    </w:p>
    <w:p>
      <w:pPr>
        <w:keepNext w:val="0"/>
        <w:keepLines w:val="0"/>
        <w:pageBreakBefore w:val="0"/>
        <w:tabs>
          <w:tab w:val="left" w:pos="8640"/>
        </w:tabs>
        <w:kinsoku/>
        <w:wordWrap/>
        <w:overflowPunct/>
        <w:topLinePunct w:val="0"/>
        <w:autoSpaceDE/>
        <w:autoSpaceDN/>
        <w:bidi w:val="0"/>
        <w:adjustRightInd/>
        <w:snapToGrid/>
        <w:spacing w:line="560" w:lineRule="exact"/>
        <w:ind w:firstLine="800" w:firstLineChars="25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政府性基金支出为</w:t>
      </w:r>
      <w:r>
        <w:rPr>
          <w:rFonts w:hint="eastAsia" w:ascii="仿宋_GB2312" w:hAnsi="仿宋_GB2312" w:eastAsia="仿宋_GB2312" w:cs="仿宋_GB2312"/>
          <w:color w:val="auto"/>
          <w:sz w:val="32"/>
          <w:szCs w:val="32"/>
          <w:lang w:val="en-US" w:eastAsia="zh-CN"/>
        </w:rPr>
        <w:t>156.46</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109.96</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46.5</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45.21</w:t>
      </w:r>
      <w:r>
        <w:rPr>
          <w:rFonts w:hint="eastAsia" w:ascii="仿宋_GB2312" w:hAnsi="仿宋_GB2312" w:eastAsia="仿宋_GB2312" w:cs="仿宋_GB2312"/>
          <w:color w:val="auto"/>
          <w:sz w:val="32"/>
          <w:szCs w:val="32"/>
        </w:rPr>
        <w:t>%，其中：土地基金支出</w:t>
      </w:r>
      <w:r>
        <w:rPr>
          <w:rFonts w:hint="eastAsia" w:ascii="仿宋_GB2312" w:hAnsi="仿宋_GB2312" w:eastAsia="仿宋_GB2312" w:cs="仿宋_GB2312"/>
          <w:color w:val="auto"/>
          <w:sz w:val="32"/>
          <w:szCs w:val="32"/>
          <w:lang w:val="en-US" w:eastAsia="zh-CN"/>
        </w:rPr>
        <w:t>155.26</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108.96</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46.3</w:t>
      </w:r>
      <w:r>
        <w:rPr>
          <w:rFonts w:hint="eastAsia" w:ascii="仿宋_GB2312" w:hAnsi="仿宋_GB2312" w:eastAsia="仿宋_GB2312" w:cs="仿宋_GB2312"/>
          <w:color w:val="auto"/>
          <w:sz w:val="32"/>
          <w:szCs w:val="32"/>
        </w:rPr>
        <w:t>亿元），增长</w:t>
      </w:r>
      <w:r>
        <w:rPr>
          <w:rFonts w:hint="eastAsia" w:ascii="仿宋_GB2312" w:hAnsi="仿宋_GB2312" w:eastAsia="仿宋_GB2312" w:cs="仿宋_GB2312"/>
          <w:color w:val="auto"/>
          <w:sz w:val="32"/>
          <w:szCs w:val="32"/>
          <w:lang w:val="en-US" w:eastAsia="zh-CN"/>
        </w:rPr>
        <w:t>37.11</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rPr>
      </w:pPr>
      <w:r>
        <w:rPr>
          <w:rFonts w:hint="eastAsia" w:ascii="仿宋_GB2312" w:hAnsi="仿宋_GB2312" w:eastAsia="仿宋_GB2312" w:cs="仿宋_GB2312"/>
          <w:b w:val="0"/>
          <w:bCs w:val="0"/>
          <w:sz w:val="32"/>
          <w:szCs w:val="32"/>
        </w:rPr>
        <w:t>（三）</w:t>
      </w:r>
      <w:r>
        <w:rPr>
          <w:rFonts w:hint="eastAsia" w:ascii="仿宋_GB2312" w:hAnsi="仿宋_GB2312" w:eastAsia="仿宋_GB2312" w:cs="仿宋_GB2312"/>
          <w:sz w:val="32"/>
          <w:szCs w:val="32"/>
        </w:rPr>
        <w:t>县本级国有资本经营收入预算为</w:t>
      </w:r>
      <w:r>
        <w:rPr>
          <w:rFonts w:hint="eastAsia" w:ascii="仿宋_GB2312" w:hAnsi="仿宋_GB2312" w:eastAsia="仿宋_GB2312" w:cs="仿宋_GB2312"/>
          <w:sz w:val="32"/>
          <w:szCs w:val="32"/>
          <w:lang w:val="en-US" w:eastAsia="zh-CN"/>
        </w:rPr>
        <w:t>147</w:t>
      </w:r>
      <w:r>
        <w:rPr>
          <w:rFonts w:hint="eastAsia" w:ascii="仿宋_GB2312" w:hAnsi="仿宋_GB2312" w:eastAsia="仿宋_GB2312" w:cs="仿宋_GB2312"/>
          <w:sz w:val="32"/>
          <w:szCs w:val="32"/>
        </w:rPr>
        <w:t>万元，支出102.9万元。</w:t>
      </w:r>
    </w:p>
    <w:p>
      <w:pPr>
        <w:keepNext w:val="0"/>
        <w:keepLines w:val="0"/>
        <w:pageBreakBefore w:val="0"/>
        <w:tabs>
          <w:tab w:val="left" w:pos="8640"/>
        </w:tabs>
        <w:kinsoku/>
        <w:wordWrap/>
        <w:overflowPunct/>
        <w:topLinePunct w:val="0"/>
        <w:autoSpaceDE/>
        <w:autoSpaceDN/>
        <w:bidi w:val="0"/>
        <w:adjustRightInd/>
        <w:snapToGrid/>
        <w:spacing w:line="560" w:lineRule="exact"/>
        <w:ind w:left="0" w:leftChars="0" w:firstLine="640" w:firstLineChars="200"/>
        <w:jc w:val="both"/>
        <w:rPr>
          <w:rFonts w:ascii="仿宋" w:hAnsi="仿宋" w:eastAsia="仿宋"/>
          <w:color w:val="auto"/>
          <w:sz w:val="32"/>
          <w:szCs w:val="32"/>
        </w:rPr>
      </w:pPr>
      <w:r>
        <w:rPr>
          <w:rFonts w:hint="eastAsia" w:ascii="黑体" w:hAnsi="黑体" w:eastAsia="黑体" w:cs="黑体"/>
          <w:b w:val="0"/>
          <w:bCs/>
          <w:color w:val="auto"/>
          <w:sz w:val="32"/>
          <w:szCs w:val="32"/>
        </w:rPr>
        <w:t>二、</w:t>
      </w:r>
      <w:r>
        <w:rPr>
          <w:rFonts w:hint="eastAsia" w:ascii="黑体" w:hAnsi="黑体" w:eastAsia="黑体" w:cs="黑体"/>
          <w:b w:val="0"/>
          <w:bCs/>
          <w:color w:val="auto"/>
          <w:sz w:val="32"/>
          <w:szCs w:val="32"/>
          <w:lang w:eastAsia="zh-CN"/>
        </w:rPr>
        <w:t>2022</w:t>
      </w:r>
      <w:r>
        <w:rPr>
          <w:rFonts w:hint="eastAsia" w:ascii="黑体" w:hAnsi="黑体" w:eastAsia="黑体" w:cs="黑体"/>
          <w:b w:val="0"/>
          <w:bCs/>
          <w:color w:val="auto"/>
          <w:sz w:val="32"/>
          <w:szCs w:val="32"/>
        </w:rPr>
        <w:t>年财政收入预算调整</w:t>
      </w:r>
    </w:p>
    <w:p>
      <w:pPr>
        <w:keepNext w:val="0"/>
        <w:keepLines w:val="0"/>
        <w:pageBreakBefore w:val="0"/>
        <w:tabs>
          <w:tab w:val="left" w:pos="8640"/>
        </w:tabs>
        <w:kinsoku/>
        <w:wordWrap/>
        <w:overflowPunct/>
        <w:topLinePunct w:val="0"/>
        <w:autoSpaceDE/>
        <w:autoSpaceDN/>
        <w:bidi w:val="0"/>
        <w:adjustRightInd/>
        <w:snapToGrid/>
        <w:spacing w:line="560" w:lineRule="exact"/>
        <w:ind w:firstLine="800" w:firstLineChars="250"/>
        <w:jc w:val="both"/>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color w:val="auto"/>
          <w:sz w:val="32"/>
          <w:szCs w:val="32"/>
        </w:rPr>
        <w:t>(一)全县一般公共预算总收入预算调整为</w:t>
      </w:r>
      <w:r>
        <w:rPr>
          <w:rFonts w:hint="eastAsia" w:ascii="仿宋_GB2312" w:hAnsi="仿宋_GB2312" w:eastAsia="仿宋_GB2312" w:cs="仿宋_GB2312"/>
          <w:color w:val="auto"/>
          <w:sz w:val="32"/>
          <w:szCs w:val="32"/>
          <w:lang w:val="en-US" w:eastAsia="zh-CN"/>
        </w:rPr>
        <w:t>140.93</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 xml:space="preserve"> 111.64</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29.29</w:t>
      </w:r>
      <w:r>
        <w:rPr>
          <w:rFonts w:hint="eastAsia" w:ascii="仿宋_GB2312" w:hAnsi="仿宋_GB2312" w:eastAsia="仿宋_GB2312" w:cs="仿宋_GB2312"/>
          <w:color w:val="auto"/>
          <w:sz w:val="32"/>
          <w:szCs w:val="32"/>
        </w:rPr>
        <w:t>亿元），调</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lang w:val="en-US" w:eastAsia="zh-CN"/>
        </w:rPr>
        <w:t>10.86</w:t>
      </w:r>
      <w:r>
        <w:rPr>
          <w:rFonts w:hint="eastAsia" w:ascii="仿宋_GB2312" w:hAnsi="仿宋_GB2312" w:eastAsia="仿宋_GB2312" w:cs="仿宋_GB2312"/>
          <w:color w:val="auto"/>
          <w:sz w:val="32"/>
          <w:szCs w:val="32"/>
        </w:rPr>
        <w:t>亿元（县本级调</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lang w:val="en-US" w:eastAsia="zh-CN"/>
        </w:rPr>
        <w:t>8.75</w:t>
      </w:r>
      <w:r>
        <w:rPr>
          <w:rFonts w:hint="eastAsia" w:ascii="仿宋_GB2312" w:hAnsi="仿宋_GB2312" w:eastAsia="仿宋_GB2312" w:cs="仿宋_GB2312"/>
          <w:color w:val="auto"/>
          <w:sz w:val="32"/>
          <w:szCs w:val="32"/>
        </w:rPr>
        <w:t>亿元，高新区调</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lang w:val="en-US" w:eastAsia="zh-CN"/>
        </w:rPr>
        <w:t>2.11</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val="en-US" w:eastAsia="zh-CN"/>
        </w:rPr>
        <w:t>,与年初预算相比降幅7.16%（县本级-7.27%，高新区-6.</w:t>
      </w:r>
      <w:r>
        <w:rPr>
          <w:rFonts w:hint="eastAsia" w:ascii="仿宋_GB2312" w:hAnsi="仿宋_GB2312" w:eastAsia="仿宋_GB2312" w:cs="仿宋_GB2312"/>
          <w:color w:val="auto"/>
          <w:sz w:val="32"/>
          <w:szCs w:val="32"/>
          <w:highlight w:val="none"/>
          <w:lang w:val="en-US" w:eastAsia="zh-CN"/>
        </w:rPr>
        <w:t>71%），</w:t>
      </w:r>
      <w:r>
        <w:rPr>
          <w:rFonts w:hint="eastAsia" w:ascii="仿宋_GB2312" w:hAnsi="仿宋_GB2312" w:eastAsia="仿宋_GB2312" w:cs="仿宋_GB2312"/>
          <w:b/>
          <w:bCs/>
          <w:color w:val="auto"/>
          <w:sz w:val="32"/>
          <w:szCs w:val="32"/>
          <w:highlight w:val="none"/>
          <w:lang w:val="en-US" w:eastAsia="zh-CN"/>
        </w:rPr>
        <w:t>与去年同期相比同口径增幅1.78%（县本级持平，高新区8.37%）。</w:t>
      </w:r>
      <w:r>
        <w:rPr>
          <w:rFonts w:hint="eastAsia" w:ascii="仿宋_GB2312" w:hAnsi="仿宋_GB2312" w:eastAsia="仿宋_GB2312" w:cs="仿宋_GB2312"/>
          <w:color w:val="auto"/>
          <w:sz w:val="32"/>
          <w:szCs w:val="32"/>
          <w:highlight w:val="none"/>
        </w:rPr>
        <w:t>其中：全县一般公共预算收入预算调整为</w:t>
      </w:r>
      <w:r>
        <w:rPr>
          <w:rFonts w:hint="eastAsia" w:ascii="仿宋_GB2312" w:hAnsi="仿宋_GB2312" w:eastAsia="仿宋_GB2312" w:cs="仿宋_GB2312"/>
          <w:color w:val="auto"/>
          <w:sz w:val="32"/>
          <w:szCs w:val="32"/>
          <w:highlight w:val="none"/>
          <w:lang w:val="en-US" w:eastAsia="zh-CN"/>
        </w:rPr>
        <w:t>99.78</w:t>
      </w:r>
      <w:r>
        <w:rPr>
          <w:rFonts w:hint="eastAsia" w:ascii="仿宋_GB2312" w:hAnsi="仿宋_GB2312" w:eastAsia="仿宋_GB2312" w:cs="仿宋_GB2312"/>
          <w:color w:val="auto"/>
          <w:sz w:val="32"/>
          <w:szCs w:val="32"/>
          <w:highlight w:val="none"/>
        </w:rPr>
        <w:t>亿元（县本级</w:t>
      </w:r>
      <w:r>
        <w:rPr>
          <w:rFonts w:hint="eastAsia" w:ascii="仿宋_GB2312" w:hAnsi="仿宋_GB2312" w:eastAsia="仿宋_GB2312" w:cs="仿宋_GB2312"/>
          <w:color w:val="auto"/>
          <w:sz w:val="32"/>
          <w:szCs w:val="32"/>
          <w:highlight w:val="none"/>
          <w:lang w:val="en-US" w:eastAsia="zh-CN"/>
        </w:rPr>
        <w:t>78.36</w:t>
      </w:r>
      <w:r>
        <w:rPr>
          <w:rFonts w:hint="eastAsia" w:ascii="仿宋_GB2312" w:hAnsi="仿宋_GB2312" w:eastAsia="仿宋_GB2312" w:cs="仿宋_GB2312"/>
          <w:color w:val="auto"/>
          <w:sz w:val="32"/>
          <w:szCs w:val="32"/>
          <w:highlight w:val="none"/>
        </w:rPr>
        <w:t>亿元，高新区</w:t>
      </w:r>
      <w:r>
        <w:rPr>
          <w:rFonts w:hint="eastAsia" w:ascii="仿宋_GB2312" w:hAnsi="仿宋_GB2312" w:eastAsia="仿宋_GB2312" w:cs="仿宋_GB2312"/>
          <w:color w:val="auto"/>
          <w:sz w:val="32"/>
          <w:szCs w:val="32"/>
          <w:highlight w:val="none"/>
          <w:lang w:val="en-US" w:eastAsia="zh-CN"/>
        </w:rPr>
        <w:t>21.42</w:t>
      </w:r>
      <w:r>
        <w:rPr>
          <w:rFonts w:hint="eastAsia" w:ascii="仿宋_GB2312" w:hAnsi="仿宋_GB2312" w:eastAsia="仿宋_GB2312" w:cs="仿宋_GB2312"/>
          <w:color w:val="auto"/>
          <w:sz w:val="32"/>
          <w:szCs w:val="32"/>
          <w:highlight w:val="none"/>
        </w:rPr>
        <w:t>亿元），调</w:t>
      </w:r>
      <w:r>
        <w:rPr>
          <w:rFonts w:hint="eastAsia" w:ascii="仿宋_GB2312" w:hAnsi="仿宋_GB2312" w:eastAsia="仿宋_GB2312" w:cs="仿宋_GB2312"/>
          <w:color w:val="auto"/>
          <w:sz w:val="32"/>
          <w:szCs w:val="32"/>
          <w:highlight w:val="none"/>
          <w:lang w:eastAsia="zh-CN"/>
        </w:rPr>
        <w:t>增</w:t>
      </w:r>
      <w:r>
        <w:rPr>
          <w:rFonts w:hint="eastAsia" w:ascii="仿宋_GB2312" w:hAnsi="仿宋_GB2312" w:eastAsia="仿宋_GB2312" w:cs="仿宋_GB2312"/>
          <w:color w:val="auto"/>
          <w:sz w:val="32"/>
          <w:szCs w:val="32"/>
          <w:highlight w:val="none"/>
          <w:lang w:val="en-US" w:eastAsia="zh-CN"/>
        </w:rPr>
        <w:t>4.45</w:t>
      </w:r>
      <w:r>
        <w:rPr>
          <w:rFonts w:hint="eastAsia" w:ascii="仿宋_GB2312" w:hAnsi="仿宋_GB2312" w:eastAsia="仿宋_GB2312" w:cs="仿宋_GB2312"/>
          <w:color w:val="auto"/>
          <w:sz w:val="32"/>
          <w:szCs w:val="32"/>
          <w:highlight w:val="none"/>
        </w:rPr>
        <w:t>亿元（县本级调</w:t>
      </w:r>
      <w:r>
        <w:rPr>
          <w:rFonts w:hint="eastAsia" w:ascii="仿宋_GB2312" w:hAnsi="仿宋_GB2312" w:eastAsia="仿宋_GB2312" w:cs="仿宋_GB2312"/>
          <w:color w:val="auto"/>
          <w:sz w:val="32"/>
          <w:szCs w:val="32"/>
          <w:highlight w:val="none"/>
          <w:lang w:eastAsia="zh-CN"/>
        </w:rPr>
        <w:t>增</w:t>
      </w:r>
      <w:r>
        <w:rPr>
          <w:rFonts w:hint="eastAsia" w:ascii="仿宋_GB2312" w:hAnsi="仿宋_GB2312" w:eastAsia="仿宋_GB2312" w:cs="仿宋_GB2312"/>
          <w:color w:val="auto"/>
          <w:sz w:val="32"/>
          <w:szCs w:val="32"/>
          <w:highlight w:val="none"/>
          <w:lang w:val="en-US" w:eastAsia="zh-CN"/>
        </w:rPr>
        <w:t>3.53</w:t>
      </w:r>
      <w:r>
        <w:rPr>
          <w:rFonts w:hint="eastAsia" w:ascii="仿宋_GB2312" w:hAnsi="仿宋_GB2312" w:eastAsia="仿宋_GB2312" w:cs="仿宋_GB2312"/>
          <w:color w:val="auto"/>
          <w:sz w:val="32"/>
          <w:szCs w:val="32"/>
          <w:highlight w:val="none"/>
        </w:rPr>
        <w:t>亿元，高新区调</w:t>
      </w:r>
      <w:r>
        <w:rPr>
          <w:rFonts w:hint="eastAsia" w:ascii="仿宋_GB2312" w:hAnsi="仿宋_GB2312" w:eastAsia="仿宋_GB2312" w:cs="仿宋_GB2312"/>
          <w:color w:val="auto"/>
          <w:sz w:val="32"/>
          <w:szCs w:val="32"/>
          <w:highlight w:val="none"/>
          <w:lang w:eastAsia="zh-CN"/>
        </w:rPr>
        <w:t>增</w:t>
      </w:r>
      <w:r>
        <w:rPr>
          <w:rFonts w:hint="eastAsia" w:ascii="仿宋_GB2312" w:hAnsi="仿宋_GB2312" w:eastAsia="仿宋_GB2312" w:cs="仿宋_GB2312"/>
          <w:color w:val="auto"/>
          <w:sz w:val="32"/>
          <w:szCs w:val="32"/>
          <w:highlight w:val="none"/>
          <w:lang w:val="en-US" w:eastAsia="zh-CN"/>
        </w:rPr>
        <w:t>0.92</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与年初预算相比增幅4.67%（县本级4.72%，高新区4.5%）,</w:t>
      </w:r>
      <w:r>
        <w:rPr>
          <w:rFonts w:hint="eastAsia" w:ascii="仿宋_GB2312" w:hAnsi="仿宋_GB2312" w:eastAsia="仿宋_GB2312" w:cs="仿宋_GB2312"/>
          <w:b/>
          <w:bCs/>
          <w:color w:val="auto"/>
          <w:sz w:val="32"/>
          <w:szCs w:val="32"/>
          <w:highlight w:val="none"/>
          <w:lang w:val="en-US" w:eastAsia="zh-CN"/>
        </w:rPr>
        <w:t>与去年同期相比同口径增幅10.58%（县本级9.32%，高新区15%）</w:t>
      </w:r>
      <w:r>
        <w:rPr>
          <w:rFonts w:hint="eastAsia" w:ascii="仿宋_GB2312" w:hAnsi="仿宋_GB2312" w:eastAsia="仿宋_GB2312" w:cs="仿宋_GB2312"/>
          <w:b w:val="0"/>
          <w:bCs w:val="0"/>
          <w:color w:val="auto"/>
          <w:sz w:val="32"/>
          <w:szCs w:val="32"/>
          <w:highlight w:val="none"/>
        </w:rPr>
        <w:t>。</w:t>
      </w:r>
    </w:p>
    <w:p>
      <w:pPr>
        <w:keepNext w:val="0"/>
        <w:keepLines w:val="0"/>
        <w:pageBreakBefore w:val="0"/>
        <w:tabs>
          <w:tab w:val="left" w:pos="8640"/>
        </w:tabs>
        <w:kinsoku/>
        <w:wordWrap/>
        <w:overflowPunct/>
        <w:topLinePunct w:val="0"/>
        <w:autoSpaceDE/>
        <w:autoSpaceDN/>
        <w:bidi w:val="0"/>
        <w:adjustRightInd/>
        <w:snapToGrid/>
        <w:spacing w:line="560" w:lineRule="exact"/>
        <w:ind w:firstLine="800" w:firstLineChars="25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（二）全县政府性基金收入预算调整为</w:t>
      </w:r>
      <w:r>
        <w:rPr>
          <w:rFonts w:hint="eastAsia" w:ascii="仿宋_GB2312" w:hAnsi="仿宋_GB2312" w:eastAsia="仿宋_GB2312" w:cs="仿宋_GB2312"/>
          <w:color w:val="auto"/>
          <w:sz w:val="32"/>
          <w:szCs w:val="32"/>
          <w:lang w:val="en-US" w:eastAsia="zh-CN"/>
        </w:rPr>
        <w:t>35.83</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21.67亿</w:t>
      </w:r>
      <w:r>
        <w:rPr>
          <w:rFonts w:hint="eastAsia" w:ascii="仿宋_GB2312" w:hAnsi="仿宋_GB2312" w:eastAsia="仿宋_GB2312" w:cs="仿宋_GB2312"/>
          <w:color w:val="auto"/>
          <w:sz w:val="32"/>
          <w:szCs w:val="32"/>
        </w:rPr>
        <w:t>元，高新区</w:t>
      </w:r>
      <w:r>
        <w:rPr>
          <w:rFonts w:hint="eastAsia" w:ascii="仿宋_GB2312" w:hAnsi="仿宋_GB2312" w:eastAsia="仿宋_GB2312" w:cs="仿宋_GB2312"/>
          <w:color w:val="auto"/>
          <w:sz w:val="32"/>
          <w:szCs w:val="32"/>
          <w:lang w:val="en-US" w:eastAsia="zh-CN"/>
        </w:rPr>
        <w:t>14.16</w:t>
      </w:r>
      <w:r>
        <w:rPr>
          <w:rFonts w:hint="eastAsia" w:ascii="仿宋_GB2312" w:hAnsi="仿宋_GB2312" w:eastAsia="仿宋_GB2312" w:cs="仿宋_GB2312"/>
          <w:color w:val="auto"/>
          <w:sz w:val="32"/>
          <w:szCs w:val="32"/>
        </w:rPr>
        <w:t>亿元），调</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lang w:val="en-US" w:eastAsia="zh-CN"/>
        </w:rPr>
        <w:t>120.67</w:t>
      </w:r>
      <w:r>
        <w:rPr>
          <w:rFonts w:hint="eastAsia" w:ascii="仿宋_GB2312" w:hAnsi="仿宋_GB2312" w:eastAsia="仿宋_GB2312" w:cs="仿宋_GB2312"/>
          <w:color w:val="auto"/>
          <w:sz w:val="32"/>
          <w:szCs w:val="32"/>
        </w:rPr>
        <w:t>亿元（县本级调</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lang w:val="en-US" w:eastAsia="zh-CN"/>
        </w:rPr>
        <w:t>88.33</w:t>
      </w:r>
      <w:r>
        <w:rPr>
          <w:rFonts w:hint="eastAsia" w:ascii="仿宋_GB2312" w:hAnsi="仿宋_GB2312" w:eastAsia="仿宋_GB2312" w:cs="仿宋_GB2312"/>
          <w:color w:val="auto"/>
          <w:sz w:val="32"/>
          <w:szCs w:val="32"/>
        </w:rPr>
        <w:t>亿元，高新区调</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lang w:val="en-US" w:eastAsia="zh-CN"/>
        </w:rPr>
        <w:t>32.34</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与年初预算相比</w:t>
      </w:r>
      <w:r>
        <w:rPr>
          <w:rFonts w:hint="eastAsia" w:ascii="仿宋_GB2312" w:hAnsi="仿宋_GB2312" w:eastAsia="仿宋_GB2312" w:cs="仿宋_GB2312"/>
          <w:color w:val="auto"/>
          <w:sz w:val="32"/>
          <w:szCs w:val="32"/>
          <w:lang w:eastAsia="zh-CN"/>
        </w:rPr>
        <w:t>降幅</w:t>
      </w:r>
      <w:r>
        <w:rPr>
          <w:rFonts w:hint="eastAsia" w:ascii="仿宋_GB2312" w:hAnsi="仿宋_GB2312" w:eastAsia="仿宋_GB2312" w:cs="仿宋_GB2312"/>
          <w:color w:val="auto"/>
          <w:sz w:val="32"/>
          <w:szCs w:val="32"/>
          <w:lang w:val="en-US" w:eastAsia="zh-CN"/>
        </w:rPr>
        <w:t>77.1%（县本级-80.3%，高新区-69.55%）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lang w:val="en-US" w:eastAsia="zh-CN"/>
        </w:rPr>
        <w:t>与去年同期相比降幅52.08%（县本级-61.56%，高新区-23.09%）。</w:t>
      </w:r>
      <w:r>
        <w:rPr>
          <w:rFonts w:hint="eastAsia" w:ascii="仿宋_GB2312" w:hAnsi="仿宋_GB2312" w:eastAsia="仿宋_GB2312" w:cs="仿宋_GB2312"/>
          <w:color w:val="auto"/>
          <w:sz w:val="32"/>
          <w:szCs w:val="32"/>
        </w:rPr>
        <w:t>其中：土地基金收入预算调整为</w:t>
      </w:r>
      <w:r>
        <w:rPr>
          <w:rFonts w:hint="eastAsia" w:ascii="仿宋_GB2312" w:hAnsi="仿宋_GB2312" w:eastAsia="仿宋_GB2312" w:cs="仿宋_GB2312"/>
          <w:color w:val="auto"/>
          <w:sz w:val="32"/>
          <w:szCs w:val="32"/>
          <w:lang w:val="en-US" w:eastAsia="zh-CN"/>
        </w:rPr>
        <w:t>35.1</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14.1</w:t>
      </w:r>
      <w:r>
        <w:rPr>
          <w:rFonts w:hint="eastAsia" w:ascii="仿宋_GB2312" w:hAnsi="仿宋_GB2312" w:eastAsia="仿宋_GB2312" w:cs="仿宋_GB2312"/>
          <w:color w:val="auto"/>
          <w:sz w:val="32"/>
          <w:szCs w:val="32"/>
        </w:rPr>
        <w:t>亿元），调</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lang w:val="en-US" w:eastAsia="zh-CN"/>
        </w:rPr>
        <w:t>120.2</w:t>
      </w:r>
      <w:r>
        <w:rPr>
          <w:rFonts w:hint="eastAsia" w:ascii="仿宋_GB2312" w:hAnsi="仿宋_GB2312" w:eastAsia="仿宋_GB2312" w:cs="仿宋_GB2312"/>
          <w:color w:val="auto"/>
          <w:sz w:val="32"/>
          <w:szCs w:val="32"/>
        </w:rPr>
        <w:t>亿元（县本级调</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lang w:val="en-US" w:eastAsia="zh-CN"/>
        </w:rPr>
        <w:t>88</w:t>
      </w:r>
      <w:r>
        <w:rPr>
          <w:rFonts w:hint="eastAsia" w:ascii="仿宋_GB2312" w:hAnsi="仿宋_GB2312" w:eastAsia="仿宋_GB2312" w:cs="仿宋_GB2312"/>
          <w:color w:val="auto"/>
          <w:sz w:val="32"/>
          <w:szCs w:val="32"/>
        </w:rPr>
        <w:t>亿元，高新区调</w:t>
      </w:r>
      <w:r>
        <w:rPr>
          <w:rFonts w:hint="eastAsia" w:ascii="仿宋_GB2312" w:hAnsi="仿宋_GB2312" w:eastAsia="仿宋_GB2312" w:cs="仿宋_GB2312"/>
          <w:color w:val="auto"/>
          <w:sz w:val="32"/>
          <w:szCs w:val="32"/>
          <w:lang w:val="en-US" w:eastAsia="zh-CN"/>
        </w:rPr>
        <w:t>减32.2</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与年初预算相比</w:t>
      </w:r>
      <w:r>
        <w:rPr>
          <w:rFonts w:hint="eastAsia" w:ascii="仿宋_GB2312" w:hAnsi="仿宋_GB2312" w:eastAsia="仿宋_GB2312" w:cs="仿宋_GB2312"/>
          <w:color w:val="auto"/>
          <w:sz w:val="32"/>
          <w:szCs w:val="32"/>
          <w:lang w:eastAsia="zh-CN"/>
        </w:rPr>
        <w:t>降幅</w:t>
      </w:r>
      <w:r>
        <w:rPr>
          <w:rFonts w:hint="eastAsia" w:ascii="仿宋_GB2312" w:hAnsi="仿宋_GB2312" w:eastAsia="仿宋_GB2312" w:cs="仿宋_GB2312"/>
          <w:color w:val="auto"/>
          <w:sz w:val="32"/>
          <w:szCs w:val="32"/>
          <w:lang w:val="en-US" w:eastAsia="zh-CN"/>
        </w:rPr>
        <w:t>77.4%（县本级-80.73%，高新区-69.55%），</w:t>
      </w:r>
      <w:r>
        <w:rPr>
          <w:rFonts w:hint="eastAsia" w:ascii="仿宋_GB2312" w:hAnsi="仿宋_GB2312" w:eastAsia="仿宋_GB2312" w:cs="仿宋_GB2312"/>
          <w:b/>
          <w:bCs/>
          <w:color w:val="auto"/>
          <w:sz w:val="32"/>
          <w:szCs w:val="32"/>
          <w:lang w:val="en-US" w:eastAsia="zh-CN"/>
        </w:rPr>
        <w:t>与去年同期相比降幅52.45%（县本级-62.16%，高新区-23.07%）。</w:t>
      </w:r>
    </w:p>
    <w:p>
      <w:pPr>
        <w:keepNext w:val="0"/>
        <w:keepLines w:val="0"/>
        <w:pageBreakBefore w:val="0"/>
        <w:tabs>
          <w:tab w:val="left" w:pos="8640"/>
        </w:tabs>
        <w:kinsoku/>
        <w:wordWrap/>
        <w:overflowPunct/>
        <w:topLinePunct w:val="0"/>
        <w:autoSpaceDE/>
        <w:autoSpaceDN/>
        <w:bidi w:val="0"/>
        <w:adjustRightInd/>
        <w:snapToGrid/>
        <w:spacing w:line="560" w:lineRule="exact"/>
        <w:ind w:firstLine="800" w:firstLineChars="250"/>
        <w:jc w:val="both"/>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（三）</w:t>
      </w:r>
      <w:r>
        <w:rPr>
          <w:rFonts w:hint="eastAsia" w:ascii="仿宋_GB2312" w:hAnsi="仿宋_GB2312" w:eastAsia="仿宋_GB2312" w:cs="仿宋_GB2312"/>
          <w:sz w:val="32"/>
          <w:szCs w:val="32"/>
        </w:rPr>
        <w:t>县本级国有资本经营收入预算</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279.15万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调增</w:t>
      </w:r>
      <w:r>
        <w:rPr>
          <w:rFonts w:hint="eastAsia" w:ascii="仿宋_GB2312" w:hAnsi="仿宋_GB2312" w:eastAsia="仿宋_GB2312" w:cs="仿宋_GB2312"/>
          <w:sz w:val="32"/>
          <w:szCs w:val="32"/>
          <w:lang w:val="en-US" w:eastAsia="zh-CN"/>
        </w:rPr>
        <w:t>132.15万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auto"/>
          <w:sz w:val="32"/>
          <w:szCs w:val="32"/>
          <w:lang w:val="en-US" w:eastAsia="zh-CN"/>
        </w:rPr>
        <w:t>与年初预算相比</w:t>
      </w:r>
      <w:r>
        <w:rPr>
          <w:rFonts w:hint="eastAsia" w:ascii="仿宋_GB2312" w:hAnsi="仿宋_GB2312" w:eastAsia="仿宋_GB2312" w:cs="仿宋_GB2312"/>
          <w:color w:val="auto"/>
          <w:sz w:val="32"/>
          <w:szCs w:val="32"/>
          <w:lang w:eastAsia="zh-CN"/>
        </w:rPr>
        <w:t>增幅</w:t>
      </w:r>
      <w:r>
        <w:rPr>
          <w:rFonts w:hint="eastAsia" w:ascii="仿宋_GB2312" w:hAnsi="仿宋_GB2312" w:eastAsia="仿宋_GB2312" w:cs="仿宋_GB2312"/>
          <w:color w:val="auto"/>
          <w:sz w:val="32"/>
          <w:szCs w:val="32"/>
          <w:lang w:val="en-US" w:eastAsia="zh-CN"/>
        </w:rPr>
        <w:t>89.9%，</w:t>
      </w:r>
      <w:r>
        <w:rPr>
          <w:rFonts w:hint="eastAsia" w:ascii="仿宋_GB2312" w:hAnsi="仿宋_GB2312" w:eastAsia="仿宋_GB2312" w:cs="仿宋_GB2312"/>
          <w:b/>
          <w:bCs/>
          <w:color w:val="auto"/>
          <w:sz w:val="32"/>
          <w:szCs w:val="32"/>
          <w:lang w:val="en-US" w:eastAsia="zh-CN"/>
        </w:rPr>
        <w:t>与去年同期相比增幅89.9%。</w:t>
      </w:r>
    </w:p>
    <w:p>
      <w:pPr>
        <w:keepNext w:val="0"/>
        <w:keepLines w:val="0"/>
        <w:pageBreakBefore w:val="0"/>
        <w:tabs>
          <w:tab w:val="left" w:pos="8640"/>
        </w:tabs>
        <w:kinsoku/>
        <w:wordWrap/>
        <w:overflowPunct/>
        <w:topLinePunct w:val="0"/>
        <w:autoSpaceDE/>
        <w:autoSpaceDN/>
        <w:bidi w:val="0"/>
        <w:adjustRightInd/>
        <w:snapToGrid/>
        <w:spacing w:line="560" w:lineRule="exact"/>
        <w:ind w:firstLine="956" w:firstLineChars="299"/>
        <w:jc w:val="both"/>
        <w:rPr>
          <w:rFonts w:ascii="仿宋" w:hAnsi="仿宋" w:eastAsia="仿宋"/>
          <w:b/>
          <w:color w:val="auto"/>
          <w:sz w:val="32"/>
          <w:szCs w:val="32"/>
        </w:rPr>
      </w:pPr>
      <w:r>
        <w:rPr>
          <w:rFonts w:hint="eastAsia" w:ascii="黑体" w:hAnsi="黑体" w:eastAsia="黑体" w:cs="黑体"/>
          <w:b w:val="0"/>
          <w:bCs/>
          <w:color w:val="auto"/>
          <w:sz w:val="32"/>
          <w:szCs w:val="32"/>
        </w:rPr>
        <w:t>三、调整后财力</w:t>
      </w:r>
    </w:p>
    <w:p>
      <w:pPr>
        <w:keepNext w:val="0"/>
        <w:keepLines w:val="0"/>
        <w:pageBreakBefore w:val="0"/>
        <w:tabs>
          <w:tab w:val="left" w:pos="8640"/>
        </w:tabs>
        <w:kinsoku/>
        <w:wordWrap/>
        <w:overflowPunct/>
        <w:topLinePunct w:val="0"/>
        <w:autoSpaceDE/>
        <w:autoSpaceDN/>
        <w:bidi w:val="0"/>
        <w:adjustRightInd/>
        <w:snapToGrid/>
        <w:spacing w:line="560" w:lineRule="exact"/>
        <w:ind w:firstLine="640" w:firstLineChars="200"/>
        <w:jc w:val="both"/>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（一）公共财政财力</w:t>
      </w:r>
    </w:p>
    <w:p>
      <w:pPr>
        <w:keepNext w:val="0"/>
        <w:keepLines w:val="0"/>
        <w:pageBreakBefore w:val="0"/>
        <w:tabs>
          <w:tab w:val="left" w:pos="8640"/>
        </w:tabs>
        <w:kinsoku/>
        <w:wordWrap/>
        <w:overflowPunct/>
        <w:topLinePunct w:val="0"/>
        <w:autoSpaceDE/>
        <w:autoSpaceDN/>
        <w:bidi w:val="0"/>
        <w:adjustRightInd/>
        <w:snapToGrid/>
        <w:spacing w:line="560" w:lineRule="exact"/>
        <w:ind w:left="0" w:lef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按现行省对县财政体制测算，全县</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年一般公共预算收入</w:t>
      </w:r>
      <w:r>
        <w:rPr>
          <w:rFonts w:hint="eastAsia" w:ascii="仿宋_GB2312" w:hAnsi="仿宋_GB2312" w:eastAsia="仿宋_GB2312" w:cs="仿宋_GB2312"/>
          <w:color w:val="auto"/>
          <w:sz w:val="32"/>
          <w:szCs w:val="32"/>
          <w:lang w:val="en-US" w:eastAsia="zh-CN"/>
        </w:rPr>
        <w:t>99.78</w:t>
      </w:r>
      <w:r>
        <w:rPr>
          <w:rFonts w:hint="eastAsia" w:ascii="仿宋_GB2312" w:hAnsi="仿宋_GB2312" w:eastAsia="仿宋_GB2312" w:cs="仿宋_GB2312"/>
          <w:color w:val="auto"/>
          <w:sz w:val="32"/>
          <w:szCs w:val="32"/>
        </w:rPr>
        <w:t>亿元、上级补助收入</w:t>
      </w:r>
      <w:r>
        <w:rPr>
          <w:rFonts w:hint="eastAsia" w:ascii="仿宋_GB2312" w:hAnsi="仿宋_GB2312" w:eastAsia="仿宋_GB2312" w:cs="仿宋_GB2312"/>
          <w:color w:val="auto"/>
          <w:sz w:val="32"/>
          <w:szCs w:val="32"/>
          <w:lang w:val="en-US" w:eastAsia="zh-CN"/>
        </w:rPr>
        <w:t>11.84</w:t>
      </w:r>
      <w:r>
        <w:rPr>
          <w:rFonts w:hint="eastAsia" w:ascii="仿宋_GB2312" w:hAnsi="仿宋_GB2312" w:eastAsia="仿宋_GB2312" w:cs="仿宋_GB2312"/>
          <w:color w:val="auto"/>
          <w:sz w:val="32"/>
          <w:szCs w:val="32"/>
        </w:rPr>
        <w:t>亿元、动用预算稳定调节基金</w:t>
      </w:r>
      <w:r>
        <w:rPr>
          <w:rFonts w:hint="eastAsia" w:ascii="仿宋_GB2312" w:hAnsi="仿宋_GB2312" w:eastAsia="仿宋_GB2312" w:cs="仿宋_GB2312"/>
          <w:color w:val="auto"/>
          <w:sz w:val="32"/>
          <w:szCs w:val="32"/>
          <w:lang w:val="en-US" w:eastAsia="zh-CN"/>
        </w:rPr>
        <w:t>7.61</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，新增</w:t>
      </w:r>
      <w:r>
        <w:rPr>
          <w:rFonts w:hint="eastAsia" w:ascii="仿宋_GB2312" w:hAnsi="仿宋_GB2312" w:eastAsia="仿宋_GB2312" w:cs="仿宋_GB2312"/>
          <w:color w:val="auto"/>
          <w:sz w:val="32"/>
          <w:szCs w:val="32"/>
        </w:rPr>
        <w:t>地方政府</w:t>
      </w:r>
      <w:r>
        <w:rPr>
          <w:rFonts w:hint="eastAsia" w:ascii="仿宋_GB2312" w:hAnsi="仿宋_GB2312" w:eastAsia="仿宋_GB2312" w:cs="仿宋_GB2312"/>
          <w:color w:val="auto"/>
          <w:sz w:val="32"/>
          <w:szCs w:val="32"/>
          <w:lang w:eastAsia="zh-CN"/>
        </w:rPr>
        <w:t>一般</w:t>
      </w:r>
      <w:r>
        <w:rPr>
          <w:rFonts w:hint="eastAsia" w:ascii="仿宋_GB2312" w:hAnsi="仿宋_GB2312" w:eastAsia="仿宋_GB2312" w:cs="仿宋_GB2312"/>
          <w:color w:val="auto"/>
          <w:sz w:val="32"/>
          <w:szCs w:val="32"/>
        </w:rPr>
        <w:t>债券</w:t>
      </w:r>
      <w:r>
        <w:rPr>
          <w:rFonts w:hint="eastAsia" w:ascii="仿宋_GB2312" w:hAnsi="仿宋_GB2312" w:eastAsia="仿宋_GB2312" w:cs="仿宋_GB2312"/>
          <w:color w:val="auto"/>
          <w:sz w:val="32"/>
          <w:szCs w:val="32"/>
          <w:lang w:eastAsia="zh-CN"/>
        </w:rPr>
        <w:t>资金</w:t>
      </w:r>
      <w:r>
        <w:rPr>
          <w:rFonts w:hint="eastAsia" w:ascii="仿宋_GB2312" w:hAnsi="仿宋_GB2312" w:eastAsia="仿宋_GB2312" w:cs="仿宋_GB2312"/>
          <w:color w:val="auto"/>
          <w:sz w:val="32"/>
          <w:szCs w:val="32"/>
        </w:rPr>
        <w:t>转贷收入及再融资债券</w:t>
      </w:r>
      <w:r>
        <w:rPr>
          <w:rFonts w:hint="eastAsia" w:ascii="仿宋_GB2312" w:hAnsi="仿宋_GB2312" w:eastAsia="仿宋_GB2312" w:cs="仿宋_GB2312"/>
          <w:color w:val="auto"/>
          <w:sz w:val="32"/>
          <w:szCs w:val="32"/>
          <w:lang w:val="en-US" w:eastAsia="zh-CN"/>
        </w:rPr>
        <w:t>5.59</w:t>
      </w:r>
      <w:r>
        <w:rPr>
          <w:rFonts w:hint="eastAsia" w:ascii="仿宋_GB2312" w:hAnsi="仿宋_GB2312" w:eastAsia="仿宋_GB2312" w:cs="仿宋_GB2312"/>
          <w:color w:val="auto"/>
          <w:sz w:val="32"/>
          <w:szCs w:val="32"/>
        </w:rPr>
        <w:t>亿元，调入国有资本预算资金</w:t>
      </w:r>
      <w:r>
        <w:rPr>
          <w:rFonts w:hint="eastAsia" w:ascii="仿宋_GB2312" w:hAnsi="仿宋_GB2312" w:eastAsia="仿宋_GB2312" w:cs="仿宋_GB2312"/>
          <w:color w:val="auto"/>
          <w:sz w:val="32"/>
          <w:szCs w:val="32"/>
          <w:lang w:val="en-US" w:eastAsia="zh-CN"/>
        </w:rPr>
        <w:t>0.01亿元，</w:t>
      </w:r>
      <w:r>
        <w:rPr>
          <w:rFonts w:hint="eastAsia" w:ascii="仿宋_GB2312" w:hAnsi="仿宋_GB2312" w:eastAsia="仿宋_GB2312" w:cs="仿宋_GB2312"/>
          <w:color w:val="auto"/>
          <w:sz w:val="32"/>
          <w:szCs w:val="32"/>
          <w:lang w:eastAsia="zh-CN"/>
        </w:rPr>
        <w:t>债务还本支出</w:t>
      </w:r>
      <w:r>
        <w:rPr>
          <w:rFonts w:hint="eastAsia" w:ascii="仿宋_GB2312" w:hAnsi="仿宋_GB2312" w:eastAsia="仿宋_GB2312" w:cs="仿宋_GB2312"/>
          <w:color w:val="auto"/>
          <w:sz w:val="32"/>
          <w:szCs w:val="32"/>
          <w:lang w:val="en-US" w:eastAsia="zh-CN"/>
        </w:rPr>
        <w:t>3.49亿元，援助宁夏支出0.18亿元，</w:t>
      </w:r>
      <w:r>
        <w:rPr>
          <w:rFonts w:hint="eastAsia" w:ascii="仿宋_GB2312" w:hAnsi="仿宋_GB2312" w:eastAsia="仿宋_GB2312" w:cs="仿宋_GB2312"/>
          <w:color w:val="auto"/>
          <w:sz w:val="32"/>
          <w:szCs w:val="32"/>
        </w:rPr>
        <w:t>上解上级支出</w:t>
      </w:r>
      <w:r>
        <w:rPr>
          <w:rFonts w:hint="eastAsia" w:ascii="仿宋_GB2312" w:hAnsi="仿宋_GB2312" w:eastAsia="仿宋_GB2312" w:cs="仿宋_GB2312"/>
          <w:color w:val="auto"/>
          <w:sz w:val="32"/>
          <w:szCs w:val="32"/>
          <w:lang w:val="en-US" w:eastAsia="zh-CN"/>
        </w:rPr>
        <w:t>3.49</w:t>
      </w:r>
      <w:r>
        <w:rPr>
          <w:rFonts w:hint="eastAsia" w:ascii="仿宋_GB2312" w:hAnsi="仿宋_GB2312" w:eastAsia="仿宋_GB2312" w:cs="仿宋_GB2312"/>
          <w:color w:val="auto"/>
          <w:sz w:val="32"/>
          <w:szCs w:val="32"/>
        </w:rPr>
        <w:t>亿元，当年实现公共财政财力</w:t>
      </w:r>
      <w:r>
        <w:rPr>
          <w:rFonts w:hint="eastAsia" w:ascii="仿宋_GB2312" w:hAnsi="仿宋_GB2312" w:eastAsia="仿宋_GB2312" w:cs="仿宋_GB2312"/>
          <w:color w:val="auto"/>
          <w:sz w:val="32"/>
          <w:szCs w:val="32"/>
          <w:lang w:val="en-US" w:eastAsia="zh-CN"/>
        </w:rPr>
        <w:t>117.67</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年我县公共财政预算</w:t>
      </w:r>
      <w:r>
        <w:rPr>
          <w:rFonts w:hint="eastAsia" w:ascii="仿宋_GB2312" w:hAnsi="仿宋_GB2312" w:eastAsia="仿宋_GB2312" w:cs="仿宋_GB2312"/>
          <w:color w:val="auto"/>
          <w:sz w:val="32"/>
          <w:szCs w:val="32"/>
          <w:lang w:eastAsia="zh-CN"/>
        </w:rPr>
        <w:t>全</w:t>
      </w:r>
      <w:r>
        <w:rPr>
          <w:rFonts w:hint="eastAsia" w:ascii="仿宋_GB2312" w:hAnsi="仿宋_GB2312" w:eastAsia="仿宋_GB2312" w:cs="仿宋_GB2312"/>
          <w:color w:val="auto"/>
          <w:sz w:val="32"/>
          <w:szCs w:val="32"/>
        </w:rPr>
        <w:t>县可动用财力预计</w:t>
      </w:r>
      <w:r>
        <w:rPr>
          <w:rFonts w:hint="eastAsia" w:ascii="仿宋_GB2312" w:hAnsi="仿宋_GB2312" w:eastAsia="仿宋_GB2312" w:cs="仿宋_GB2312"/>
          <w:color w:val="auto"/>
          <w:sz w:val="32"/>
          <w:szCs w:val="32"/>
          <w:lang w:val="en-US" w:eastAsia="zh-CN"/>
        </w:rPr>
        <w:t>117.67</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95.74</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21.93</w:t>
      </w:r>
      <w:r>
        <w:rPr>
          <w:rFonts w:hint="eastAsia" w:ascii="仿宋_GB2312" w:hAnsi="仿宋_GB2312" w:eastAsia="仿宋_GB2312" w:cs="仿宋_GB2312"/>
          <w:color w:val="auto"/>
          <w:sz w:val="32"/>
          <w:szCs w:val="32"/>
        </w:rPr>
        <w:t>亿元），比年初预算财力</w:t>
      </w:r>
      <w:r>
        <w:rPr>
          <w:rFonts w:hint="eastAsia" w:ascii="仿宋_GB2312" w:hAnsi="仿宋_GB2312" w:eastAsia="仿宋_GB2312" w:cs="仿宋_GB2312"/>
          <w:color w:val="auto"/>
          <w:sz w:val="32"/>
          <w:szCs w:val="32"/>
          <w:lang w:val="en-US" w:eastAsia="zh-CN"/>
        </w:rPr>
        <w:t>103.91</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84.33</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19.58</w:t>
      </w:r>
      <w:r>
        <w:rPr>
          <w:rFonts w:hint="eastAsia" w:ascii="仿宋_GB2312" w:hAnsi="仿宋_GB2312" w:eastAsia="仿宋_GB2312" w:cs="仿宋_GB2312"/>
          <w:color w:val="auto"/>
          <w:sz w:val="32"/>
          <w:szCs w:val="32"/>
        </w:rPr>
        <w:t>亿元）调</w:t>
      </w:r>
      <w:r>
        <w:rPr>
          <w:rFonts w:hint="eastAsia" w:ascii="仿宋_GB2312" w:hAnsi="仿宋_GB2312" w:eastAsia="仿宋_GB2312" w:cs="仿宋_GB2312"/>
          <w:color w:val="auto"/>
          <w:sz w:val="32"/>
          <w:szCs w:val="32"/>
          <w:lang w:eastAsia="zh-CN"/>
        </w:rPr>
        <w:t>增</w:t>
      </w:r>
      <w:r>
        <w:rPr>
          <w:rFonts w:hint="eastAsia" w:ascii="仿宋_GB2312" w:hAnsi="仿宋_GB2312" w:eastAsia="仿宋_GB2312" w:cs="仿宋_GB2312"/>
          <w:color w:val="auto"/>
          <w:sz w:val="32"/>
          <w:szCs w:val="32"/>
          <w:lang w:val="en-US" w:eastAsia="zh-CN"/>
        </w:rPr>
        <w:t>13.76</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11.41</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2.35</w:t>
      </w:r>
      <w:r>
        <w:rPr>
          <w:rFonts w:hint="eastAsia" w:ascii="仿宋_GB2312" w:hAnsi="仿宋_GB2312" w:eastAsia="仿宋_GB2312" w:cs="仿宋_GB2312"/>
          <w:color w:val="auto"/>
          <w:sz w:val="32"/>
          <w:szCs w:val="32"/>
        </w:rPr>
        <w:t>亿元）。</w:t>
      </w:r>
    </w:p>
    <w:p>
      <w:pPr>
        <w:keepNext w:val="0"/>
        <w:keepLines w:val="0"/>
        <w:pageBreakBefore w:val="0"/>
        <w:tabs>
          <w:tab w:val="left" w:pos="8640"/>
        </w:tabs>
        <w:kinsoku/>
        <w:wordWrap/>
        <w:overflowPunct/>
        <w:topLinePunct w:val="0"/>
        <w:autoSpaceDE/>
        <w:autoSpaceDN/>
        <w:bidi w:val="0"/>
        <w:adjustRightInd/>
        <w:snapToGrid/>
        <w:spacing w:line="560" w:lineRule="exact"/>
        <w:ind w:firstLine="640" w:firstLineChars="200"/>
        <w:jc w:val="both"/>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（二）政府性基金财力</w:t>
      </w:r>
    </w:p>
    <w:p>
      <w:pPr>
        <w:keepNext w:val="0"/>
        <w:keepLines w:val="0"/>
        <w:pageBreakBefore w:val="0"/>
        <w:tabs>
          <w:tab w:val="left" w:pos="8640"/>
        </w:tabs>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全县</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年政府性基金预算收入预计为</w:t>
      </w:r>
      <w:r>
        <w:rPr>
          <w:rFonts w:hint="eastAsia" w:ascii="仿宋_GB2312" w:hAnsi="仿宋_GB2312" w:eastAsia="仿宋_GB2312" w:cs="仿宋_GB2312"/>
          <w:color w:val="auto"/>
          <w:sz w:val="32"/>
          <w:szCs w:val="32"/>
          <w:lang w:val="en-US" w:eastAsia="zh-CN"/>
        </w:rPr>
        <w:t>35.83</w:t>
      </w:r>
      <w:r>
        <w:rPr>
          <w:rFonts w:hint="eastAsia" w:ascii="仿宋_GB2312" w:hAnsi="仿宋_GB2312" w:eastAsia="仿宋_GB2312" w:cs="仿宋_GB2312"/>
          <w:color w:val="auto"/>
          <w:sz w:val="32"/>
          <w:szCs w:val="32"/>
        </w:rPr>
        <w:t>亿元，动用上年结余</w:t>
      </w:r>
      <w:r>
        <w:rPr>
          <w:rFonts w:hint="eastAsia" w:ascii="仿宋_GB2312" w:hAnsi="仿宋_GB2312" w:eastAsia="仿宋_GB2312" w:cs="仿宋_GB2312"/>
          <w:color w:val="auto"/>
          <w:sz w:val="32"/>
          <w:szCs w:val="32"/>
          <w:lang w:val="en-US" w:eastAsia="zh-CN"/>
        </w:rPr>
        <w:t>-0.3</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highlight w:val="none"/>
        </w:rPr>
        <w:t>新增地方政府专项债券</w:t>
      </w:r>
      <w:r>
        <w:rPr>
          <w:rFonts w:hint="eastAsia" w:ascii="仿宋_GB2312" w:hAnsi="仿宋_GB2312" w:eastAsia="仿宋_GB2312" w:cs="仿宋_GB2312"/>
          <w:color w:val="auto"/>
          <w:sz w:val="32"/>
          <w:szCs w:val="32"/>
          <w:highlight w:val="none"/>
          <w:lang w:eastAsia="zh-CN"/>
        </w:rPr>
        <w:t>资金转贷</w:t>
      </w:r>
      <w:r>
        <w:rPr>
          <w:rFonts w:hint="eastAsia" w:ascii="仿宋_GB2312" w:hAnsi="仿宋_GB2312" w:eastAsia="仿宋_GB2312" w:cs="仿宋_GB2312"/>
          <w:color w:val="auto"/>
          <w:sz w:val="32"/>
          <w:szCs w:val="32"/>
          <w:highlight w:val="none"/>
        </w:rPr>
        <w:t>收入</w:t>
      </w:r>
      <w:r>
        <w:rPr>
          <w:rFonts w:hint="eastAsia" w:ascii="仿宋_GB2312" w:hAnsi="仿宋_GB2312" w:eastAsia="仿宋_GB2312" w:cs="仿宋_GB2312"/>
          <w:color w:val="auto"/>
          <w:sz w:val="32"/>
          <w:szCs w:val="32"/>
          <w:highlight w:val="none"/>
          <w:lang w:val="en-US" w:eastAsia="zh-CN"/>
        </w:rPr>
        <w:t>37.93</w:t>
      </w:r>
      <w:r>
        <w:rPr>
          <w:rFonts w:hint="eastAsia" w:ascii="仿宋_GB2312" w:hAnsi="仿宋_GB2312" w:eastAsia="仿宋_GB2312" w:cs="仿宋_GB2312"/>
          <w:color w:val="auto"/>
          <w:sz w:val="32"/>
          <w:szCs w:val="32"/>
          <w:highlight w:val="none"/>
        </w:rPr>
        <w:t>亿元，</w:t>
      </w:r>
      <w:r>
        <w:rPr>
          <w:rFonts w:hint="eastAsia" w:ascii="仿宋_GB2312" w:hAnsi="仿宋_GB2312" w:eastAsia="仿宋_GB2312" w:cs="仿宋_GB2312"/>
          <w:color w:val="auto"/>
          <w:sz w:val="32"/>
          <w:szCs w:val="32"/>
          <w:highlight w:val="none"/>
          <w:lang w:eastAsia="zh-CN"/>
        </w:rPr>
        <w:t>债务还本支出</w:t>
      </w:r>
      <w:r>
        <w:rPr>
          <w:rFonts w:hint="eastAsia" w:ascii="仿宋_GB2312" w:hAnsi="仿宋_GB2312" w:eastAsia="仿宋_GB2312" w:cs="仿宋_GB2312"/>
          <w:color w:val="auto"/>
          <w:sz w:val="32"/>
          <w:szCs w:val="32"/>
          <w:highlight w:val="none"/>
          <w:lang w:val="en-US" w:eastAsia="zh-CN"/>
        </w:rPr>
        <w:t>0.04亿元，</w:t>
      </w:r>
      <w:r>
        <w:rPr>
          <w:rFonts w:hint="eastAsia" w:ascii="仿宋_GB2312" w:hAnsi="仿宋_GB2312" w:eastAsia="仿宋_GB2312" w:cs="仿宋_GB2312"/>
          <w:color w:val="auto"/>
          <w:sz w:val="32"/>
          <w:szCs w:val="32"/>
          <w:highlight w:val="none"/>
          <w:lang w:eastAsia="zh-CN"/>
        </w:rPr>
        <w:t>上解上级支出</w:t>
      </w:r>
      <w:r>
        <w:rPr>
          <w:rFonts w:hint="eastAsia" w:ascii="仿宋_GB2312" w:hAnsi="仿宋_GB2312" w:eastAsia="仿宋_GB2312" w:cs="仿宋_GB2312"/>
          <w:color w:val="auto"/>
          <w:sz w:val="32"/>
          <w:szCs w:val="32"/>
          <w:highlight w:val="none"/>
          <w:lang w:val="en-US" w:eastAsia="zh-CN"/>
        </w:rPr>
        <w:t>0.5亿元，</w:t>
      </w:r>
      <w:r>
        <w:rPr>
          <w:rFonts w:hint="eastAsia" w:ascii="仿宋_GB2312" w:hAnsi="仿宋_GB2312" w:eastAsia="仿宋_GB2312" w:cs="仿宋_GB2312"/>
          <w:color w:val="auto"/>
          <w:sz w:val="32"/>
          <w:szCs w:val="32"/>
        </w:rPr>
        <w:t>当年实现政府性基金财力</w:t>
      </w:r>
      <w:r>
        <w:rPr>
          <w:rFonts w:hint="eastAsia" w:ascii="仿宋_GB2312" w:hAnsi="仿宋_GB2312" w:eastAsia="仿宋_GB2312" w:cs="仿宋_GB2312"/>
          <w:color w:val="auto"/>
          <w:sz w:val="32"/>
          <w:szCs w:val="32"/>
          <w:lang w:val="en-US" w:eastAsia="zh-CN"/>
        </w:rPr>
        <w:t>72.92</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年政府性基金全县可动用财力</w:t>
      </w:r>
      <w:r>
        <w:rPr>
          <w:rFonts w:hint="eastAsia" w:ascii="仿宋_GB2312" w:hAnsi="仿宋_GB2312" w:eastAsia="仿宋_GB2312" w:cs="仿宋_GB2312"/>
          <w:color w:val="auto"/>
          <w:sz w:val="32"/>
          <w:szCs w:val="32"/>
          <w:lang w:val="en-US" w:eastAsia="zh-CN"/>
        </w:rPr>
        <w:t>72.92亿</w:t>
      </w:r>
      <w:r>
        <w:rPr>
          <w:rFonts w:hint="eastAsia" w:ascii="仿宋_GB2312" w:hAnsi="仿宋_GB2312" w:eastAsia="仿宋_GB2312" w:cs="仿宋_GB2312"/>
          <w:color w:val="auto"/>
          <w:sz w:val="32"/>
          <w:szCs w:val="32"/>
        </w:rPr>
        <w:t>元（县本级</w:t>
      </w:r>
      <w:r>
        <w:rPr>
          <w:rFonts w:hint="eastAsia" w:ascii="仿宋_GB2312" w:hAnsi="仿宋_GB2312" w:eastAsia="仿宋_GB2312" w:cs="仿宋_GB2312"/>
          <w:color w:val="auto"/>
          <w:sz w:val="32"/>
          <w:szCs w:val="32"/>
          <w:lang w:val="en-US" w:eastAsia="zh-CN"/>
        </w:rPr>
        <w:t>45.31</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27.61</w:t>
      </w:r>
      <w:r>
        <w:rPr>
          <w:rFonts w:hint="eastAsia" w:ascii="仿宋_GB2312" w:hAnsi="仿宋_GB2312" w:eastAsia="仿宋_GB2312" w:cs="仿宋_GB2312"/>
          <w:color w:val="auto"/>
          <w:sz w:val="32"/>
          <w:szCs w:val="32"/>
        </w:rPr>
        <w:t>亿元），比年初预算财力</w:t>
      </w:r>
      <w:r>
        <w:rPr>
          <w:rFonts w:hint="eastAsia" w:ascii="仿宋_GB2312" w:hAnsi="仿宋_GB2312" w:eastAsia="仿宋_GB2312" w:cs="仿宋_GB2312"/>
          <w:color w:val="auto"/>
          <w:sz w:val="32"/>
          <w:szCs w:val="32"/>
          <w:lang w:val="en-US" w:eastAsia="zh-CN"/>
        </w:rPr>
        <w:t>156.46</w:t>
      </w:r>
      <w:r>
        <w:rPr>
          <w:rFonts w:hint="eastAsia" w:ascii="仿宋_GB2312" w:hAnsi="仿宋_GB2312" w:eastAsia="仿宋_GB2312" w:cs="仿宋_GB2312"/>
          <w:color w:val="auto"/>
          <w:sz w:val="32"/>
          <w:szCs w:val="32"/>
        </w:rPr>
        <w:t>亿元</w:t>
      </w:r>
      <w:r>
        <w:rPr>
          <w:rFonts w:hint="eastAsia" w:ascii="仿宋_GB2312" w:hAnsi="仿宋_GB2312" w:eastAsia="仿宋_GB2312" w:cs="仿宋_GB2312"/>
          <w:color w:val="auto"/>
          <w:sz w:val="32"/>
          <w:szCs w:val="32"/>
          <w:lang w:eastAsia="zh-CN"/>
        </w:rPr>
        <w:t>（县本级</w:t>
      </w:r>
      <w:r>
        <w:rPr>
          <w:rFonts w:hint="eastAsia" w:ascii="仿宋_GB2312" w:hAnsi="仿宋_GB2312" w:eastAsia="仿宋_GB2312" w:cs="仿宋_GB2312"/>
          <w:color w:val="auto"/>
          <w:sz w:val="32"/>
          <w:szCs w:val="32"/>
          <w:lang w:val="en-US" w:eastAsia="zh-CN"/>
        </w:rPr>
        <w:t>109.96亿元，高新区46.5亿元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调</w:t>
      </w:r>
      <w:r>
        <w:rPr>
          <w:rFonts w:hint="eastAsia" w:ascii="仿宋_GB2312" w:hAnsi="仿宋_GB2312" w:eastAsia="仿宋_GB2312" w:cs="仿宋_GB2312"/>
          <w:color w:val="auto"/>
          <w:sz w:val="32"/>
          <w:szCs w:val="32"/>
          <w:lang w:eastAsia="zh-CN"/>
        </w:rPr>
        <w:t>减</w:t>
      </w:r>
      <w:r>
        <w:rPr>
          <w:rFonts w:hint="eastAsia" w:ascii="仿宋_GB2312" w:hAnsi="仿宋_GB2312" w:eastAsia="仿宋_GB2312" w:cs="仿宋_GB2312"/>
          <w:color w:val="auto"/>
          <w:sz w:val="32"/>
          <w:szCs w:val="32"/>
          <w:lang w:val="en-US" w:eastAsia="zh-CN"/>
        </w:rPr>
        <w:t>83.54亿</w:t>
      </w:r>
      <w:r>
        <w:rPr>
          <w:rFonts w:hint="eastAsia" w:ascii="仿宋_GB2312" w:hAnsi="仿宋_GB2312" w:eastAsia="仿宋_GB2312" w:cs="仿宋_GB2312"/>
          <w:color w:val="auto"/>
          <w:sz w:val="32"/>
          <w:szCs w:val="32"/>
        </w:rPr>
        <w:t>元（县本级</w:t>
      </w:r>
      <w:r>
        <w:rPr>
          <w:rFonts w:hint="eastAsia" w:ascii="仿宋_GB2312" w:hAnsi="仿宋_GB2312" w:eastAsia="仿宋_GB2312" w:cs="仿宋_GB2312"/>
          <w:color w:val="auto"/>
          <w:sz w:val="32"/>
          <w:szCs w:val="32"/>
          <w:lang w:val="en-US" w:eastAsia="zh-CN"/>
        </w:rPr>
        <w:t>-64.65</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-18.89</w:t>
      </w:r>
      <w:r>
        <w:rPr>
          <w:rFonts w:hint="eastAsia" w:ascii="仿宋_GB2312" w:hAnsi="仿宋_GB2312" w:eastAsia="仿宋_GB2312" w:cs="仿宋_GB2312"/>
          <w:color w:val="auto"/>
          <w:sz w:val="32"/>
          <w:szCs w:val="32"/>
        </w:rPr>
        <w:t>亿元）。</w:t>
      </w:r>
    </w:p>
    <w:p>
      <w:pPr>
        <w:keepNext w:val="0"/>
        <w:keepLines w:val="0"/>
        <w:pageBreakBefore w:val="0"/>
        <w:numPr>
          <w:ilvl w:val="0"/>
          <w:numId w:val="0"/>
        </w:numPr>
        <w:tabs>
          <w:tab w:val="left" w:pos="8640"/>
        </w:tabs>
        <w:kinsoku/>
        <w:wordWrap/>
        <w:overflowPunct/>
        <w:topLinePunct w:val="0"/>
        <w:autoSpaceDE/>
        <w:autoSpaceDN/>
        <w:bidi w:val="0"/>
        <w:adjustRightInd/>
        <w:snapToGrid/>
        <w:spacing w:line="560" w:lineRule="exact"/>
        <w:ind w:firstLine="640" w:firstLineChars="200"/>
        <w:jc w:val="both"/>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eastAsia="zh-CN"/>
        </w:rPr>
        <w:t>（三）</w:t>
      </w:r>
      <w:r>
        <w:rPr>
          <w:rFonts w:hint="eastAsia" w:ascii="楷体_GB2312" w:hAnsi="楷体_GB2312" w:eastAsia="楷体_GB2312" w:cs="楷体_GB2312"/>
          <w:color w:val="auto"/>
          <w:sz w:val="32"/>
          <w:szCs w:val="32"/>
        </w:rPr>
        <w:t>国有资本经营收入财力</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sz w:val="32"/>
          <w:szCs w:val="32"/>
          <w:highlight w:val="none"/>
          <w:u w:color="000000"/>
          <w:lang w:val="en-US" w:eastAsia="zh-CN" w:bidi="ar-SA"/>
        </w:rPr>
      </w:pPr>
      <w:r>
        <w:rPr>
          <w:rFonts w:hint="eastAsia" w:ascii="仿宋_GB2312" w:hAnsi="仿宋_GB2312" w:eastAsia="仿宋_GB2312" w:cs="仿宋_GB2312"/>
          <w:color w:val="auto"/>
          <w:sz w:val="32"/>
          <w:szCs w:val="32"/>
          <w:highlight w:val="none"/>
          <w:u w:color="000000"/>
          <w:lang w:val="en-US" w:eastAsia="zh-CN" w:bidi="ar-SA"/>
        </w:rPr>
        <w:t>县本级国有资本经营收入预计为279.15万元，动用上年结余28万元，调出资金83.75万元，当年实现财力223.4万元。比年初预算财力109.2万元调增114.2万元。</w:t>
      </w:r>
    </w:p>
    <w:p>
      <w:pPr>
        <w:keepNext w:val="0"/>
        <w:keepLines w:val="0"/>
        <w:pageBreakBefore w:val="0"/>
        <w:tabs>
          <w:tab w:val="left" w:pos="8640"/>
        </w:tabs>
        <w:kinsoku/>
        <w:wordWrap/>
        <w:overflowPunct/>
        <w:topLinePunct w:val="0"/>
        <w:autoSpaceDE/>
        <w:autoSpaceDN/>
        <w:bidi w:val="0"/>
        <w:adjustRightInd/>
        <w:snapToGrid/>
        <w:spacing w:line="560" w:lineRule="exact"/>
        <w:ind w:left="0" w:leftChars="0" w:firstLine="640" w:firstLineChars="200"/>
        <w:jc w:val="both"/>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w:t>
      </w:r>
      <w:r>
        <w:rPr>
          <w:rFonts w:hint="eastAsia" w:ascii="黑体" w:hAnsi="黑体" w:eastAsia="黑体" w:cs="黑体"/>
          <w:b w:val="0"/>
          <w:bCs/>
          <w:color w:val="auto"/>
          <w:sz w:val="32"/>
          <w:szCs w:val="32"/>
          <w:lang w:eastAsia="zh-CN"/>
        </w:rPr>
        <w:t>2022</w:t>
      </w:r>
      <w:r>
        <w:rPr>
          <w:rFonts w:hint="eastAsia" w:ascii="黑体" w:hAnsi="黑体" w:eastAsia="黑体" w:cs="黑体"/>
          <w:b w:val="0"/>
          <w:bCs/>
          <w:color w:val="auto"/>
          <w:sz w:val="32"/>
          <w:szCs w:val="32"/>
        </w:rPr>
        <w:t>年财政支出预算调整</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根据收入完成情况、政策性增支、支出结构变化以及部门支出情况等因素，拟对年初支出项目预算做出相应调整。</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（一）公共财政项目支出预算调整</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1、调减年初预算安排的项目支出</w:t>
      </w:r>
      <w:r>
        <w:rPr>
          <w:rFonts w:hint="eastAsia" w:ascii="仿宋_GB2312" w:hAnsi="仿宋_GB2312" w:eastAsia="仿宋_GB2312" w:cs="仿宋_GB2312"/>
          <w:color w:val="auto"/>
          <w:sz w:val="32"/>
          <w:szCs w:val="32"/>
          <w:lang w:val="en-US" w:eastAsia="zh-CN"/>
        </w:rPr>
        <w:t>17.35</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12.82</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4.53</w:t>
      </w:r>
      <w:r>
        <w:rPr>
          <w:rFonts w:hint="eastAsia" w:ascii="仿宋_GB2312" w:hAnsi="仿宋_GB2312" w:eastAsia="仿宋_GB2312" w:cs="仿宋_GB2312"/>
          <w:color w:val="auto"/>
          <w:sz w:val="32"/>
          <w:szCs w:val="32"/>
        </w:rPr>
        <w:t>亿元）。</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rPr>
        <w:t>2、调增全县当年预算支出</w:t>
      </w:r>
      <w:r>
        <w:rPr>
          <w:rFonts w:hint="eastAsia" w:ascii="仿宋_GB2312" w:hAnsi="仿宋_GB2312" w:eastAsia="仿宋_GB2312" w:cs="仿宋_GB2312"/>
          <w:color w:val="auto"/>
          <w:sz w:val="32"/>
          <w:szCs w:val="32"/>
          <w:lang w:val="en-US" w:eastAsia="zh-CN"/>
        </w:rPr>
        <w:t>30.6</w:t>
      </w:r>
      <w:r>
        <w:rPr>
          <w:rFonts w:hint="eastAsia" w:ascii="仿宋_GB2312" w:hAnsi="仿宋_GB2312" w:eastAsia="仿宋_GB2312" w:cs="仿宋_GB2312"/>
          <w:color w:val="auto"/>
          <w:sz w:val="32"/>
          <w:szCs w:val="32"/>
        </w:rPr>
        <w:t>亿元（县本级</w:t>
      </w:r>
      <w:r>
        <w:rPr>
          <w:rFonts w:hint="eastAsia" w:ascii="仿宋_GB2312" w:hAnsi="仿宋_GB2312" w:eastAsia="仿宋_GB2312" w:cs="仿宋_GB2312"/>
          <w:color w:val="auto"/>
          <w:sz w:val="32"/>
          <w:szCs w:val="32"/>
          <w:lang w:val="en-US" w:eastAsia="zh-CN"/>
        </w:rPr>
        <w:t>23.73</w:t>
      </w:r>
      <w:r>
        <w:rPr>
          <w:rFonts w:hint="eastAsia" w:ascii="仿宋_GB2312" w:hAnsi="仿宋_GB2312" w:eastAsia="仿宋_GB2312" w:cs="仿宋_GB2312"/>
          <w:color w:val="auto"/>
          <w:sz w:val="32"/>
          <w:szCs w:val="32"/>
        </w:rPr>
        <w:t>亿元，高新区</w:t>
      </w:r>
      <w:r>
        <w:rPr>
          <w:rFonts w:hint="eastAsia" w:ascii="仿宋_GB2312" w:hAnsi="仿宋_GB2312" w:eastAsia="仿宋_GB2312" w:cs="仿宋_GB2312"/>
          <w:color w:val="auto"/>
          <w:sz w:val="32"/>
          <w:szCs w:val="32"/>
          <w:lang w:val="en-US" w:eastAsia="zh-CN"/>
        </w:rPr>
        <w:t>6.87</w:t>
      </w:r>
      <w:r>
        <w:rPr>
          <w:rFonts w:hint="eastAsia" w:ascii="仿宋_GB2312" w:hAnsi="仿宋_GB2312" w:eastAsia="仿宋_GB2312" w:cs="仿宋_GB2312"/>
          <w:color w:val="auto"/>
          <w:sz w:val="32"/>
          <w:szCs w:val="32"/>
        </w:rPr>
        <w:t>亿元）。</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jc w:val="both"/>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rPr>
        <w:t>根据上述项目预算调整方案，调整后安排全县一般公共预算支出</w:t>
      </w:r>
      <w:r>
        <w:rPr>
          <w:rFonts w:hint="eastAsia" w:ascii="仿宋_GB2312" w:hAnsi="仿宋_GB2312" w:eastAsia="仿宋_GB2312" w:cs="仿宋_GB2312"/>
          <w:b/>
          <w:bCs/>
          <w:color w:val="auto"/>
          <w:sz w:val="32"/>
          <w:szCs w:val="32"/>
          <w:lang w:val="en-US" w:eastAsia="zh-CN"/>
        </w:rPr>
        <w:t>117.17</w:t>
      </w:r>
      <w:r>
        <w:rPr>
          <w:rFonts w:hint="eastAsia" w:ascii="仿宋_GB2312" w:hAnsi="仿宋_GB2312" w:eastAsia="仿宋_GB2312" w:cs="仿宋_GB2312"/>
          <w:b/>
          <w:bCs/>
          <w:color w:val="auto"/>
          <w:sz w:val="32"/>
          <w:szCs w:val="32"/>
        </w:rPr>
        <w:t>亿元（县本级</w:t>
      </w:r>
      <w:r>
        <w:rPr>
          <w:rFonts w:hint="eastAsia" w:ascii="仿宋_GB2312" w:hAnsi="仿宋_GB2312" w:eastAsia="仿宋_GB2312" w:cs="仿宋_GB2312"/>
          <w:b/>
          <w:bCs/>
          <w:color w:val="auto"/>
          <w:sz w:val="32"/>
          <w:szCs w:val="32"/>
          <w:lang w:val="en-US" w:eastAsia="zh-CN"/>
        </w:rPr>
        <w:t>95.24</w:t>
      </w:r>
      <w:r>
        <w:rPr>
          <w:rFonts w:hint="eastAsia" w:ascii="仿宋_GB2312" w:hAnsi="仿宋_GB2312" w:eastAsia="仿宋_GB2312" w:cs="仿宋_GB2312"/>
          <w:b/>
          <w:bCs/>
          <w:color w:val="auto"/>
          <w:sz w:val="32"/>
          <w:szCs w:val="32"/>
        </w:rPr>
        <w:t>亿元，高新区</w:t>
      </w:r>
      <w:r>
        <w:rPr>
          <w:rFonts w:hint="eastAsia" w:ascii="仿宋_GB2312" w:hAnsi="仿宋_GB2312" w:eastAsia="仿宋_GB2312" w:cs="仿宋_GB2312"/>
          <w:b/>
          <w:bCs/>
          <w:color w:val="auto"/>
          <w:sz w:val="32"/>
          <w:szCs w:val="32"/>
          <w:lang w:val="en-US" w:eastAsia="zh-CN"/>
        </w:rPr>
        <w:t>21.93</w:t>
      </w:r>
      <w:r>
        <w:rPr>
          <w:rFonts w:hint="eastAsia" w:ascii="仿宋_GB2312" w:hAnsi="仿宋_GB2312" w:eastAsia="仿宋_GB2312" w:cs="仿宋_GB2312"/>
          <w:b/>
          <w:bCs/>
          <w:color w:val="auto"/>
          <w:sz w:val="32"/>
          <w:szCs w:val="32"/>
        </w:rPr>
        <w:t>亿元），调</w:t>
      </w:r>
      <w:r>
        <w:rPr>
          <w:rFonts w:hint="eastAsia" w:ascii="仿宋_GB2312" w:hAnsi="仿宋_GB2312" w:eastAsia="仿宋_GB2312" w:cs="仿宋_GB2312"/>
          <w:b/>
          <w:bCs/>
          <w:color w:val="auto"/>
          <w:sz w:val="32"/>
          <w:szCs w:val="32"/>
          <w:lang w:eastAsia="zh-CN"/>
        </w:rPr>
        <w:t>增</w:t>
      </w:r>
      <w:r>
        <w:rPr>
          <w:rFonts w:hint="eastAsia" w:ascii="仿宋_GB2312" w:hAnsi="仿宋_GB2312" w:eastAsia="仿宋_GB2312" w:cs="仿宋_GB2312"/>
          <w:b/>
          <w:bCs/>
          <w:color w:val="auto"/>
          <w:sz w:val="32"/>
          <w:szCs w:val="32"/>
          <w:lang w:val="en-US" w:eastAsia="zh-CN"/>
        </w:rPr>
        <w:t>13.26</w:t>
      </w:r>
      <w:r>
        <w:rPr>
          <w:rFonts w:hint="eastAsia" w:ascii="仿宋_GB2312" w:hAnsi="仿宋_GB2312" w:eastAsia="仿宋_GB2312" w:cs="仿宋_GB2312"/>
          <w:b/>
          <w:bCs/>
          <w:color w:val="auto"/>
          <w:sz w:val="32"/>
          <w:szCs w:val="32"/>
        </w:rPr>
        <w:t>亿</w:t>
      </w:r>
      <w:r>
        <w:rPr>
          <w:rFonts w:hint="eastAsia" w:ascii="仿宋_GB2312" w:hAnsi="仿宋_GB2312" w:eastAsia="仿宋_GB2312" w:cs="仿宋_GB2312"/>
          <w:b/>
          <w:bCs/>
          <w:color w:val="auto"/>
          <w:sz w:val="32"/>
          <w:szCs w:val="32"/>
          <w:highlight w:val="none"/>
        </w:rPr>
        <w:t>元（县本级</w:t>
      </w:r>
      <w:r>
        <w:rPr>
          <w:rFonts w:hint="eastAsia" w:ascii="仿宋_GB2312" w:hAnsi="仿宋_GB2312" w:eastAsia="仿宋_GB2312" w:cs="仿宋_GB2312"/>
          <w:b/>
          <w:bCs/>
          <w:color w:val="auto"/>
          <w:sz w:val="32"/>
          <w:szCs w:val="32"/>
          <w:highlight w:val="none"/>
          <w:lang w:val="en-US" w:eastAsia="zh-CN"/>
        </w:rPr>
        <w:t>10.91亿</w:t>
      </w:r>
      <w:r>
        <w:rPr>
          <w:rFonts w:hint="eastAsia" w:ascii="仿宋_GB2312" w:hAnsi="仿宋_GB2312" w:eastAsia="仿宋_GB2312" w:cs="仿宋_GB2312"/>
          <w:b/>
          <w:bCs/>
          <w:color w:val="auto"/>
          <w:sz w:val="32"/>
          <w:szCs w:val="32"/>
          <w:highlight w:val="none"/>
        </w:rPr>
        <w:t>元，高新区</w:t>
      </w:r>
      <w:r>
        <w:rPr>
          <w:rFonts w:hint="eastAsia" w:ascii="仿宋_GB2312" w:hAnsi="仿宋_GB2312" w:eastAsia="仿宋_GB2312" w:cs="仿宋_GB2312"/>
          <w:b/>
          <w:bCs/>
          <w:color w:val="auto"/>
          <w:sz w:val="32"/>
          <w:szCs w:val="32"/>
          <w:highlight w:val="none"/>
          <w:lang w:val="en-US" w:eastAsia="zh-CN"/>
        </w:rPr>
        <w:t>2.35</w:t>
      </w:r>
      <w:r>
        <w:rPr>
          <w:rFonts w:hint="eastAsia" w:ascii="仿宋_GB2312" w:hAnsi="仿宋_GB2312" w:eastAsia="仿宋_GB2312" w:cs="仿宋_GB2312"/>
          <w:b/>
          <w:bCs/>
          <w:color w:val="auto"/>
          <w:sz w:val="32"/>
          <w:szCs w:val="32"/>
          <w:highlight w:val="none"/>
        </w:rPr>
        <w:t>亿元），</w:t>
      </w:r>
      <w:r>
        <w:rPr>
          <w:rFonts w:hint="eastAsia" w:ascii="仿宋_GB2312" w:hAnsi="仿宋_GB2312" w:eastAsia="仿宋_GB2312" w:cs="仿宋_GB2312"/>
          <w:b/>
          <w:bCs/>
          <w:color w:val="auto"/>
          <w:sz w:val="32"/>
          <w:szCs w:val="32"/>
          <w:highlight w:val="none"/>
          <w:lang w:eastAsia="zh-CN"/>
        </w:rPr>
        <w:t>结余</w:t>
      </w:r>
      <w:r>
        <w:rPr>
          <w:rFonts w:hint="eastAsia" w:ascii="仿宋_GB2312" w:hAnsi="仿宋_GB2312" w:eastAsia="仿宋_GB2312" w:cs="仿宋_GB2312"/>
          <w:b/>
          <w:bCs/>
          <w:color w:val="auto"/>
          <w:sz w:val="32"/>
          <w:szCs w:val="32"/>
          <w:highlight w:val="none"/>
          <w:lang w:val="en-US" w:eastAsia="zh-CN"/>
        </w:rPr>
        <w:t>0.5亿元，转入预算稳定调节基金</w:t>
      </w:r>
      <w:r>
        <w:rPr>
          <w:rFonts w:hint="eastAsia" w:ascii="仿宋_GB2312" w:hAnsi="仿宋_GB2312" w:eastAsia="仿宋_GB2312" w:cs="仿宋_GB2312"/>
          <w:b/>
          <w:bCs/>
          <w:color w:val="auto"/>
          <w:sz w:val="32"/>
          <w:szCs w:val="32"/>
          <w:highlight w:val="none"/>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（二）政府性基金支出预算调整</w:t>
      </w:r>
    </w:p>
    <w:p>
      <w:pPr>
        <w:keepNext w:val="0"/>
        <w:keepLines w:val="0"/>
        <w:pageBreakBefore w:val="0"/>
        <w:kinsoku/>
        <w:wordWrap/>
        <w:overflowPunct/>
        <w:topLinePunct w:val="0"/>
        <w:autoSpaceDE/>
        <w:autoSpaceDN/>
        <w:bidi w:val="0"/>
        <w:adjustRightInd/>
        <w:snapToGrid/>
        <w:spacing w:line="560" w:lineRule="exact"/>
        <w:ind w:firstLine="800" w:firstLineChars="250"/>
        <w:jc w:val="both"/>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color w:val="auto"/>
          <w:sz w:val="32"/>
          <w:szCs w:val="32"/>
          <w:highlight w:val="none"/>
        </w:rPr>
        <w:t>1、调减全县年初基金安排的项目支出</w:t>
      </w:r>
      <w:r>
        <w:rPr>
          <w:rFonts w:hint="eastAsia" w:ascii="仿宋_GB2312" w:hAnsi="仿宋_GB2312" w:eastAsia="仿宋_GB2312" w:cs="仿宋_GB2312"/>
          <w:color w:val="auto"/>
          <w:sz w:val="32"/>
          <w:szCs w:val="32"/>
          <w:highlight w:val="none"/>
          <w:lang w:val="en-US" w:eastAsia="zh-CN"/>
        </w:rPr>
        <w:t>124.21</w:t>
      </w:r>
      <w:r>
        <w:rPr>
          <w:rFonts w:hint="eastAsia" w:ascii="仿宋_GB2312" w:hAnsi="仿宋_GB2312" w:eastAsia="仿宋_GB2312" w:cs="仿宋_GB2312"/>
          <w:color w:val="auto"/>
          <w:sz w:val="32"/>
          <w:szCs w:val="32"/>
          <w:highlight w:val="none"/>
        </w:rPr>
        <w:t>亿元（县本级</w:t>
      </w:r>
      <w:r>
        <w:rPr>
          <w:rFonts w:hint="eastAsia" w:ascii="仿宋_GB2312" w:hAnsi="仿宋_GB2312" w:eastAsia="仿宋_GB2312" w:cs="仿宋_GB2312"/>
          <w:color w:val="auto"/>
          <w:sz w:val="32"/>
          <w:szCs w:val="32"/>
          <w:highlight w:val="none"/>
          <w:lang w:val="en-US" w:eastAsia="zh-CN"/>
        </w:rPr>
        <w:t>90.5</w:t>
      </w:r>
      <w:r>
        <w:rPr>
          <w:rFonts w:hint="eastAsia" w:ascii="仿宋_GB2312" w:hAnsi="仿宋_GB2312" w:eastAsia="仿宋_GB2312" w:cs="仿宋_GB2312"/>
          <w:color w:val="auto"/>
          <w:sz w:val="32"/>
          <w:szCs w:val="32"/>
          <w:highlight w:val="none"/>
        </w:rPr>
        <w:t>亿元,高新区</w:t>
      </w:r>
      <w:r>
        <w:rPr>
          <w:rFonts w:hint="eastAsia" w:ascii="仿宋_GB2312" w:hAnsi="仿宋_GB2312" w:eastAsia="仿宋_GB2312" w:cs="仿宋_GB2312"/>
          <w:color w:val="auto"/>
          <w:sz w:val="32"/>
          <w:szCs w:val="32"/>
          <w:highlight w:val="none"/>
          <w:lang w:val="en-US" w:eastAsia="zh-CN"/>
        </w:rPr>
        <w:t>33.71</w:t>
      </w:r>
      <w:r>
        <w:rPr>
          <w:rFonts w:hint="eastAsia" w:ascii="仿宋_GB2312" w:hAnsi="仿宋_GB2312" w:eastAsia="仿宋_GB2312" w:cs="仿宋_GB2312"/>
          <w:color w:val="auto"/>
          <w:sz w:val="32"/>
          <w:szCs w:val="32"/>
          <w:highlight w:val="none"/>
        </w:rPr>
        <w:t>亿元）。主要原因是政府性基金短收120.67亿元。</w:t>
      </w:r>
    </w:p>
    <w:p>
      <w:pPr>
        <w:keepNext w:val="0"/>
        <w:keepLines w:val="0"/>
        <w:pageBreakBefore w:val="0"/>
        <w:kinsoku/>
        <w:wordWrap/>
        <w:overflowPunct/>
        <w:topLinePunct w:val="0"/>
        <w:autoSpaceDE/>
        <w:autoSpaceDN/>
        <w:bidi w:val="0"/>
        <w:adjustRightInd/>
        <w:snapToGrid/>
        <w:spacing w:line="560" w:lineRule="exact"/>
        <w:ind w:firstLine="800" w:firstLineChars="25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2、调增当年基金项目支出</w:t>
      </w:r>
      <w:r>
        <w:rPr>
          <w:rFonts w:hint="eastAsia" w:ascii="仿宋_GB2312" w:hAnsi="仿宋_GB2312" w:eastAsia="仿宋_GB2312" w:cs="仿宋_GB2312"/>
          <w:color w:val="auto"/>
          <w:sz w:val="32"/>
          <w:szCs w:val="32"/>
          <w:highlight w:val="none"/>
          <w:lang w:val="en-US" w:eastAsia="zh-CN"/>
        </w:rPr>
        <w:t>40.67</w:t>
      </w:r>
      <w:r>
        <w:rPr>
          <w:rFonts w:hint="eastAsia" w:ascii="仿宋_GB2312" w:hAnsi="仿宋_GB2312" w:eastAsia="仿宋_GB2312" w:cs="仿宋_GB2312"/>
          <w:color w:val="auto"/>
          <w:sz w:val="32"/>
          <w:szCs w:val="32"/>
          <w:highlight w:val="none"/>
        </w:rPr>
        <w:t>亿元（闽侯县</w:t>
      </w:r>
      <w:r>
        <w:rPr>
          <w:rFonts w:hint="eastAsia" w:ascii="仿宋_GB2312" w:hAnsi="仿宋_GB2312" w:eastAsia="仿宋_GB2312" w:cs="仿宋_GB2312"/>
          <w:color w:val="auto"/>
          <w:sz w:val="32"/>
          <w:szCs w:val="32"/>
          <w:highlight w:val="none"/>
          <w:lang w:val="en-US" w:eastAsia="zh-CN"/>
        </w:rPr>
        <w:t>25.85</w:t>
      </w:r>
      <w:r>
        <w:rPr>
          <w:rFonts w:hint="eastAsia" w:ascii="仿宋_GB2312" w:hAnsi="仿宋_GB2312" w:eastAsia="仿宋_GB2312" w:cs="仿宋_GB2312"/>
          <w:color w:val="auto"/>
          <w:sz w:val="32"/>
          <w:szCs w:val="32"/>
          <w:highlight w:val="none"/>
        </w:rPr>
        <w:t>亿元，高新区</w:t>
      </w:r>
      <w:r>
        <w:rPr>
          <w:rFonts w:hint="eastAsia" w:ascii="仿宋_GB2312" w:hAnsi="仿宋_GB2312" w:eastAsia="仿宋_GB2312" w:cs="仿宋_GB2312"/>
          <w:color w:val="auto"/>
          <w:sz w:val="32"/>
          <w:szCs w:val="32"/>
          <w:highlight w:val="none"/>
          <w:lang w:val="en-US" w:eastAsia="zh-CN"/>
        </w:rPr>
        <w:t>14.82</w:t>
      </w:r>
      <w:r>
        <w:rPr>
          <w:rFonts w:hint="eastAsia" w:ascii="仿宋_GB2312" w:hAnsi="仿宋_GB2312" w:eastAsia="仿宋_GB2312" w:cs="仿宋_GB2312"/>
          <w:color w:val="auto"/>
          <w:sz w:val="32"/>
          <w:szCs w:val="32"/>
          <w:highlight w:val="none"/>
        </w:rPr>
        <w:t>亿元）。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baseline"/>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根据上述调整方案，调整后当年全县基金支出为</w:t>
      </w:r>
      <w:r>
        <w:rPr>
          <w:rFonts w:hint="eastAsia" w:ascii="仿宋_GB2312" w:hAnsi="仿宋_GB2312" w:eastAsia="仿宋_GB2312" w:cs="仿宋_GB2312"/>
          <w:b/>
          <w:bCs/>
          <w:color w:val="auto"/>
          <w:sz w:val="32"/>
          <w:szCs w:val="32"/>
          <w:highlight w:val="none"/>
          <w:lang w:val="en-US" w:eastAsia="zh-CN"/>
        </w:rPr>
        <w:t>72.92亿</w:t>
      </w:r>
      <w:r>
        <w:rPr>
          <w:rFonts w:hint="eastAsia" w:ascii="仿宋_GB2312" w:hAnsi="仿宋_GB2312" w:eastAsia="仿宋_GB2312" w:cs="仿宋_GB2312"/>
          <w:b/>
          <w:bCs/>
          <w:color w:val="auto"/>
          <w:sz w:val="32"/>
          <w:szCs w:val="32"/>
          <w:highlight w:val="none"/>
        </w:rPr>
        <w:t>元（县本级</w:t>
      </w:r>
      <w:r>
        <w:rPr>
          <w:rFonts w:hint="eastAsia" w:ascii="仿宋_GB2312" w:hAnsi="仿宋_GB2312" w:eastAsia="仿宋_GB2312" w:cs="仿宋_GB2312"/>
          <w:b/>
          <w:bCs/>
          <w:color w:val="auto"/>
          <w:sz w:val="32"/>
          <w:szCs w:val="32"/>
          <w:highlight w:val="none"/>
          <w:lang w:val="en-US" w:eastAsia="zh-CN"/>
        </w:rPr>
        <w:t>45.31</w:t>
      </w:r>
      <w:r>
        <w:rPr>
          <w:rFonts w:hint="eastAsia" w:ascii="仿宋_GB2312" w:hAnsi="仿宋_GB2312" w:eastAsia="仿宋_GB2312" w:cs="仿宋_GB2312"/>
          <w:b/>
          <w:bCs/>
          <w:color w:val="auto"/>
          <w:sz w:val="32"/>
          <w:szCs w:val="32"/>
          <w:highlight w:val="none"/>
        </w:rPr>
        <w:t>亿元，高新区</w:t>
      </w:r>
      <w:r>
        <w:rPr>
          <w:rFonts w:hint="eastAsia" w:ascii="仿宋_GB2312" w:hAnsi="仿宋_GB2312" w:eastAsia="仿宋_GB2312" w:cs="仿宋_GB2312"/>
          <w:b/>
          <w:bCs/>
          <w:color w:val="auto"/>
          <w:sz w:val="32"/>
          <w:szCs w:val="32"/>
          <w:highlight w:val="none"/>
          <w:lang w:val="en-US" w:eastAsia="zh-CN"/>
        </w:rPr>
        <w:t>27.61</w:t>
      </w:r>
      <w:r>
        <w:rPr>
          <w:rFonts w:hint="eastAsia" w:ascii="仿宋_GB2312" w:hAnsi="仿宋_GB2312" w:eastAsia="仿宋_GB2312" w:cs="仿宋_GB2312"/>
          <w:b/>
          <w:bCs/>
          <w:color w:val="auto"/>
          <w:sz w:val="32"/>
          <w:szCs w:val="32"/>
          <w:highlight w:val="none"/>
        </w:rPr>
        <w:t>亿元），调</w:t>
      </w:r>
      <w:r>
        <w:rPr>
          <w:rFonts w:hint="eastAsia" w:ascii="仿宋_GB2312" w:hAnsi="仿宋_GB2312" w:eastAsia="仿宋_GB2312" w:cs="仿宋_GB2312"/>
          <w:b/>
          <w:bCs/>
          <w:color w:val="auto"/>
          <w:sz w:val="32"/>
          <w:szCs w:val="32"/>
          <w:highlight w:val="none"/>
          <w:lang w:eastAsia="zh-CN"/>
        </w:rPr>
        <w:t>减</w:t>
      </w:r>
      <w:r>
        <w:rPr>
          <w:rFonts w:hint="eastAsia" w:ascii="仿宋_GB2312" w:hAnsi="仿宋_GB2312" w:eastAsia="仿宋_GB2312" w:cs="仿宋_GB2312"/>
          <w:b/>
          <w:bCs/>
          <w:color w:val="auto"/>
          <w:sz w:val="32"/>
          <w:szCs w:val="32"/>
          <w:highlight w:val="none"/>
          <w:lang w:val="en-US" w:eastAsia="zh-CN"/>
        </w:rPr>
        <w:t>83.54</w:t>
      </w:r>
      <w:r>
        <w:rPr>
          <w:rFonts w:hint="eastAsia" w:ascii="仿宋_GB2312" w:hAnsi="仿宋_GB2312" w:eastAsia="仿宋_GB2312" w:cs="仿宋_GB2312"/>
          <w:b/>
          <w:bCs/>
          <w:color w:val="auto"/>
          <w:sz w:val="32"/>
          <w:szCs w:val="32"/>
          <w:highlight w:val="none"/>
        </w:rPr>
        <w:t>亿元（县本级</w:t>
      </w:r>
      <w:r>
        <w:rPr>
          <w:rFonts w:hint="eastAsia" w:ascii="仿宋_GB2312" w:hAnsi="仿宋_GB2312" w:eastAsia="仿宋_GB2312" w:cs="仿宋_GB2312"/>
          <w:b/>
          <w:bCs/>
          <w:color w:val="auto"/>
          <w:sz w:val="32"/>
          <w:szCs w:val="32"/>
          <w:highlight w:val="none"/>
          <w:lang w:val="en-US" w:eastAsia="zh-CN"/>
        </w:rPr>
        <w:t>-64.65</w:t>
      </w:r>
      <w:r>
        <w:rPr>
          <w:rFonts w:hint="eastAsia" w:ascii="仿宋_GB2312" w:hAnsi="仿宋_GB2312" w:eastAsia="仿宋_GB2312" w:cs="仿宋_GB2312"/>
          <w:b/>
          <w:bCs/>
          <w:color w:val="auto"/>
          <w:sz w:val="32"/>
          <w:szCs w:val="32"/>
          <w:highlight w:val="none"/>
        </w:rPr>
        <w:t>亿元，高新区</w:t>
      </w:r>
      <w:r>
        <w:rPr>
          <w:rFonts w:hint="eastAsia" w:ascii="仿宋_GB2312" w:hAnsi="仿宋_GB2312" w:eastAsia="仿宋_GB2312" w:cs="仿宋_GB2312"/>
          <w:b/>
          <w:bCs/>
          <w:color w:val="auto"/>
          <w:sz w:val="32"/>
          <w:szCs w:val="32"/>
          <w:highlight w:val="none"/>
          <w:lang w:val="en-US" w:eastAsia="zh-CN"/>
        </w:rPr>
        <w:t>-18.89</w:t>
      </w:r>
      <w:r>
        <w:rPr>
          <w:rFonts w:hint="eastAsia" w:ascii="仿宋_GB2312" w:hAnsi="仿宋_GB2312" w:eastAsia="仿宋_GB2312" w:cs="仿宋_GB2312"/>
          <w:b/>
          <w:bCs/>
          <w:color w:val="auto"/>
          <w:sz w:val="32"/>
          <w:szCs w:val="32"/>
          <w:highlight w:val="none"/>
        </w:rPr>
        <w:t>亿元）。</w:t>
      </w:r>
    </w:p>
    <w:p>
      <w:pPr>
        <w:pStyle w:val="2"/>
        <w:keepNext w:val="0"/>
        <w:keepLines w:val="0"/>
        <w:pageBreakBefore w:val="0"/>
        <w:widowControl/>
        <w:numPr>
          <w:ilvl w:val="0"/>
          <w:numId w:val="1"/>
        </w:numPr>
        <w:kinsoku/>
        <w:wordWrap/>
        <w:overflowPunct/>
        <w:topLinePunct w:val="0"/>
        <w:autoSpaceDE/>
        <w:autoSpaceDN/>
        <w:bidi w:val="0"/>
        <w:adjustRightInd/>
        <w:snapToGrid/>
        <w:spacing w:line="560" w:lineRule="exact"/>
        <w:jc w:val="both"/>
        <w:textAlignment w:val="baseline"/>
        <w:rPr>
          <w:rFonts w:hint="eastAsia" w:ascii="楷体_GB2312" w:hAnsi="楷体_GB2312" w:eastAsia="楷体_GB2312" w:cs="楷体_GB2312"/>
          <w:color w:val="auto"/>
          <w:sz w:val="32"/>
          <w:szCs w:val="32"/>
          <w:highlight w:val="none"/>
          <w:u w:color="000000"/>
          <w:lang w:val="en-US" w:eastAsia="zh-CN" w:bidi="ar-SA"/>
        </w:rPr>
      </w:pPr>
      <w:r>
        <w:rPr>
          <w:rFonts w:hint="eastAsia" w:ascii="楷体_GB2312" w:hAnsi="楷体_GB2312" w:eastAsia="楷体_GB2312" w:cs="楷体_GB2312"/>
          <w:color w:val="auto"/>
          <w:sz w:val="32"/>
          <w:szCs w:val="32"/>
          <w:highlight w:val="none"/>
          <w:u w:color="000000"/>
          <w:lang w:val="en-US" w:eastAsia="zh-CN" w:bidi="ar-SA"/>
        </w:rPr>
        <w:t>国有资本经营预算调整</w:t>
      </w:r>
    </w:p>
    <w:p>
      <w:pPr>
        <w:pStyle w:val="2"/>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baseline"/>
        <w:rPr>
          <w:rFonts w:hint="default" w:ascii="仿宋_GB2312" w:hAnsi="仿宋_GB2312" w:eastAsia="仿宋_GB2312" w:cs="仿宋_GB2312"/>
          <w:b w:val="0"/>
          <w:bCs w:val="0"/>
          <w:color w:val="auto"/>
          <w:sz w:val="32"/>
          <w:szCs w:val="32"/>
          <w:highlight w:val="none"/>
          <w:u w:color="000000"/>
          <w:lang w:val="en-US" w:eastAsia="zh-CN" w:bidi="ar-SA"/>
        </w:rPr>
      </w:pPr>
      <w:r>
        <w:rPr>
          <w:rFonts w:hint="eastAsia" w:ascii="仿宋_GB2312" w:hAnsi="仿宋_GB2312" w:eastAsia="仿宋_GB2312" w:cs="仿宋_GB2312"/>
          <w:b w:val="0"/>
          <w:bCs w:val="0"/>
          <w:color w:val="auto"/>
          <w:sz w:val="32"/>
          <w:szCs w:val="32"/>
          <w:highlight w:val="none"/>
          <w:u w:color="000000"/>
          <w:lang w:val="en-US" w:eastAsia="zh-CN" w:bidi="ar-SA"/>
        </w:rPr>
        <w:t>调增当年企业注册资本金114.2万元，调整后当年国有资本经营预算支出223.4万元。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baseline"/>
        <w:rPr>
          <w:rFonts w:hint="eastAsia" w:ascii="黑体" w:hAnsi="黑体" w:eastAsia="黑体" w:cs="黑体"/>
          <w:color w:val="000000"/>
          <w:kern w:val="0"/>
          <w:sz w:val="32"/>
          <w:szCs w:val="32"/>
          <w:highlight w:val="none"/>
          <w:u w:color="000000"/>
          <w:lang w:val="en-US" w:eastAsia="zh-CN" w:bidi="ar-SA"/>
        </w:rPr>
      </w:pPr>
      <w:r>
        <w:rPr>
          <w:rFonts w:hint="eastAsia" w:ascii="黑体" w:hAnsi="黑体" w:eastAsia="黑体" w:cs="黑体"/>
          <w:color w:val="auto"/>
          <w:sz w:val="32"/>
          <w:szCs w:val="32"/>
          <w:highlight w:val="none"/>
          <w:lang w:eastAsia="zh-CN"/>
        </w:rPr>
        <w:t>五、</w:t>
      </w:r>
      <w:r>
        <w:rPr>
          <w:rFonts w:hint="eastAsia" w:ascii="黑体" w:hAnsi="黑体" w:eastAsia="黑体" w:cs="黑体"/>
          <w:color w:val="000000"/>
          <w:kern w:val="0"/>
          <w:sz w:val="32"/>
          <w:szCs w:val="32"/>
          <w:highlight w:val="none"/>
          <w:u w:color="000000"/>
          <w:lang w:val="en-US" w:eastAsia="zh-CN" w:bidi="ar-SA"/>
        </w:rPr>
        <w:t>2022年地方政府债券资金安排使用方案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baseline"/>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闽侯县申领到位2022年地方政府债券43.52亿元，其中：新增一般债券3.</w:t>
      </w:r>
      <w:r>
        <w:rPr>
          <w:rFonts w:hint="eastAsia" w:ascii="仿宋_GB2312" w:hAnsi="仿宋_GB2312" w:eastAsia="仿宋_GB2312" w:cs="仿宋_GB2312"/>
          <w:b w:val="0"/>
          <w:bCs w:val="0"/>
          <w:color w:val="auto"/>
          <w:sz w:val="32"/>
          <w:szCs w:val="32"/>
          <w:highlight w:val="none"/>
          <w:lang w:val="en-US" w:eastAsia="zh-CN"/>
        </w:rPr>
        <w:t>29</w:t>
      </w:r>
      <w:r>
        <w:rPr>
          <w:rFonts w:hint="eastAsia" w:ascii="仿宋_GB2312" w:hAnsi="仿宋_GB2312" w:eastAsia="仿宋_GB2312" w:cs="仿宋_GB2312"/>
          <w:b w:val="0"/>
          <w:bCs w:val="0"/>
          <w:color w:val="auto"/>
          <w:sz w:val="32"/>
          <w:szCs w:val="32"/>
          <w:highlight w:val="none"/>
          <w:lang w:eastAsia="zh-CN"/>
        </w:rPr>
        <w:t>亿元，新增专项债券37.93亿元，再融资债券2.29亿元。截止11月末，闽侯县政府债务余额99.40亿元（其中闽侯县78.35亿元，高新区21.05亿元）。2022年债券资金主要用于：</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（一）新增一般债券资金3.</w:t>
      </w:r>
      <w:r>
        <w:rPr>
          <w:rFonts w:hint="eastAsia" w:ascii="仿宋_GB2312" w:hAnsi="仿宋_GB2312" w:eastAsia="仿宋_GB2312" w:cs="仿宋_GB2312"/>
          <w:b w:val="0"/>
          <w:bCs w:val="0"/>
          <w:color w:val="auto"/>
          <w:sz w:val="32"/>
          <w:szCs w:val="32"/>
          <w:highlight w:val="none"/>
          <w:lang w:val="en-US" w:eastAsia="zh-CN"/>
        </w:rPr>
        <w:t>29</w:t>
      </w:r>
      <w:r>
        <w:rPr>
          <w:rFonts w:hint="eastAsia" w:ascii="仿宋_GB2312" w:hAnsi="仿宋_GB2312" w:eastAsia="仿宋_GB2312" w:cs="仿宋_GB2312"/>
          <w:b w:val="0"/>
          <w:bCs w:val="0"/>
          <w:color w:val="auto"/>
          <w:sz w:val="32"/>
          <w:szCs w:val="32"/>
          <w:highlight w:val="none"/>
          <w:lang w:eastAsia="zh-CN"/>
        </w:rPr>
        <w:t>亿元，用于南通文山至祥谦兰圃村段道路拓宽改造工程1.43亿元、闽侯二桥1.8</w:t>
      </w:r>
      <w:r>
        <w:rPr>
          <w:rFonts w:hint="eastAsia" w:ascii="仿宋_GB2312" w:hAnsi="仿宋_GB2312" w:eastAsia="仿宋_GB2312" w:cs="仿宋_GB2312"/>
          <w:b w:val="0"/>
          <w:bCs w:val="0"/>
          <w:color w:val="auto"/>
          <w:sz w:val="32"/>
          <w:szCs w:val="32"/>
          <w:highlight w:val="none"/>
          <w:lang w:val="en-US" w:eastAsia="zh-CN"/>
        </w:rPr>
        <w:t>6</w:t>
      </w:r>
      <w:r>
        <w:rPr>
          <w:rFonts w:hint="eastAsia" w:ascii="仿宋_GB2312" w:hAnsi="仿宋_GB2312" w:eastAsia="仿宋_GB2312" w:cs="仿宋_GB2312"/>
          <w:b w:val="0"/>
          <w:bCs w:val="0"/>
          <w:color w:val="auto"/>
          <w:sz w:val="32"/>
          <w:szCs w:val="32"/>
          <w:highlight w:val="none"/>
          <w:lang w:eastAsia="zh-CN"/>
        </w:rPr>
        <w:t>亿元（乡村振兴项目）。</w:t>
      </w:r>
    </w:p>
    <w:p>
      <w:pPr>
        <w:keepNext w:val="0"/>
        <w:keepLines w:val="0"/>
        <w:pageBreakBefore w:val="0"/>
        <w:kinsoku/>
        <w:wordWrap/>
        <w:overflowPunct/>
        <w:topLinePunct w:val="0"/>
        <w:autoSpaceDE/>
        <w:autoSpaceDN/>
        <w:bidi w:val="0"/>
        <w:adjustRightInd/>
        <w:snapToGrid/>
        <w:spacing w:line="560" w:lineRule="exact"/>
        <w:ind w:firstLine="640" w:firstLineChars="200"/>
        <w:jc w:val="both"/>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（二）新增专项债券37.93亿元，其中：</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baseline"/>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eastAsia="zh-CN"/>
        </w:rPr>
        <w:t>县本级24.9</w:t>
      </w:r>
      <w:r>
        <w:rPr>
          <w:rFonts w:hint="eastAsia" w:ascii="仿宋_GB2312" w:hAnsi="仿宋_GB2312" w:eastAsia="仿宋_GB2312" w:cs="仿宋_GB2312"/>
          <w:b w:val="0"/>
          <w:bCs w:val="0"/>
          <w:color w:val="auto"/>
          <w:sz w:val="32"/>
          <w:szCs w:val="32"/>
          <w:highlight w:val="none"/>
          <w:lang w:val="en-US" w:eastAsia="zh-CN"/>
        </w:rPr>
        <w:t>8</w:t>
      </w:r>
      <w:r>
        <w:rPr>
          <w:rFonts w:hint="eastAsia" w:ascii="仿宋_GB2312" w:hAnsi="仿宋_GB2312" w:eastAsia="仿宋_GB2312" w:cs="仿宋_GB2312"/>
          <w:b w:val="0"/>
          <w:bCs w:val="0"/>
          <w:color w:val="auto"/>
          <w:sz w:val="32"/>
          <w:szCs w:val="32"/>
          <w:highlight w:val="none"/>
          <w:lang w:eastAsia="zh-CN"/>
        </w:rPr>
        <w:t>亿元，用于东南汽车城自来水厂项目1.5亿元、科创产业园0.3亿元、大湖乡乡村振兴文化旅游项目1.9</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亿元、闽侯青口汽车城七里产业园3.04亿元、闽侯青口汽车城东台工业园2.25亿元、闽侯青口汽车城兰圃产业园2.41亿元、县医院新病房大楼1.1亿元、白沙中心卫生院新院项目0.15亿元、上街中心卫生院扩征建设项目0.7亿元、竹岐乡鸿尾乡供水工程项目1亿元、祥谦五虎山文化旅游基地基础设施建设项目0.5亿元、闽侯县储备粮中心库扩建项目0.1亿元福州至长乐机场城际铁路（F1线）项目资本金6亿元、福州市轨道交通5号线一期工程4亿元。</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baseline"/>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lang w:eastAsia="zh-CN"/>
        </w:rPr>
        <w:t>高新区12.9</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lang w:eastAsia="zh-CN"/>
        </w:rPr>
        <w:t>亿元，用于福州高新区光电产业基地C区0.9亿元、福州高新区光电产业基地D区0.9亿元、福州高新区南屿镇农村供水工程0.4亿元、两园高标准数字产业园及基础设施配套建设3.22亿元、高新区综合智能产业园及基础设施配套建设4.69亿元、海峡柔性实验室配套基础设施建设1.8亿元、福州高新区综合医院（一期）1.04亿元。高新区部分由其还本付息。</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baseline"/>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（三）再融资债券2.29亿元，其中：再融资一般债券2.29亿元，用于偿还2022年对应的到期地方政府债券本金。</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rPr>
        <w:t>县级预算调整后，我们将认真组织执行，并在年终决算后，将实际结果向县</w:t>
      </w:r>
      <w:r>
        <w:rPr>
          <w:rFonts w:hint="eastAsia" w:ascii="仿宋_GB2312" w:hAnsi="仿宋_GB2312" w:eastAsia="仿宋_GB2312" w:cs="仿宋_GB2312"/>
          <w:color w:val="auto"/>
          <w:sz w:val="32"/>
          <w:szCs w:val="32"/>
          <w:highlight w:val="none"/>
          <w:lang w:eastAsia="zh-CN"/>
        </w:rPr>
        <w:t>人大常委会</w:t>
      </w:r>
      <w:r>
        <w:rPr>
          <w:rFonts w:hint="eastAsia" w:ascii="仿宋_GB2312" w:hAnsi="仿宋_GB2312" w:eastAsia="仿宋_GB2312" w:cs="仿宋_GB2312"/>
          <w:color w:val="auto"/>
          <w:sz w:val="32"/>
          <w:szCs w:val="32"/>
          <w:highlight w:val="none"/>
        </w:rPr>
        <w:t>进行报告。</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baseline"/>
        <w:rPr>
          <w:rFonts w:hint="eastAsia" w:ascii="仿宋_GB2312" w:hAnsi="仿宋_GB2312" w:eastAsia="仿宋_GB2312" w:cs="仿宋_GB2312"/>
          <w:color w:val="auto"/>
          <w:sz w:val="32"/>
          <w:szCs w:val="32"/>
        </w:rPr>
      </w:pP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r>
        <w:rPr>
          <w:rFonts w:hint="eastAsia" w:ascii="仿宋_GB2312" w:hAnsi="仿宋_GB2312" w:eastAsia="仿宋_GB2312" w:cs="仿宋_GB2312"/>
          <w:color w:val="auto"/>
          <w:sz w:val="32"/>
          <w:szCs w:val="32"/>
          <w:lang w:eastAsia="zh-CN"/>
        </w:rPr>
        <w:t>件</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年分部门分税种财政收入预算调整情况表</w:t>
      </w:r>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2</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年公共财政财力情况计算表</w:t>
      </w:r>
    </w:p>
    <w:p>
      <w:pPr>
        <w:keepNext w:val="0"/>
        <w:keepLines w:val="0"/>
        <w:pageBreakBefore w:val="0"/>
        <w:widowControl/>
        <w:kinsoku/>
        <w:wordWrap/>
        <w:overflowPunct/>
        <w:topLinePunct w:val="0"/>
        <w:autoSpaceDE/>
        <w:autoSpaceDN/>
        <w:bidi w:val="0"/>
        <w:adjustRightInd/>
        <w:snapToGrid/>
        <w:spacing w:line="540" w:lineRule="exact"/>
        <w:ind w:firstLine="1600" w:firstLineChars="500"/>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年公共财政预算支出安排情况表</w:t>
      </w:r>
    </w:p>
    <w:p>
      <w:pPr>
        <w:keepNext w:val="0"/>
        <w:keepLines w:val="0"/>
        <w:pageBreakBefore w:val="0"/>
        <w:widowControl/>
        <w:kinsoku/>
        <w:wordWrap/>
        <w:overflowPunct/>
        <w:topLinePunct w:val="0"/>
        <w:autoSpaceDE/>
        <w:autoSpaceDN/>
        <w:bidi w:val="0"/>
        <w:adjustRightInd/>
        <w:snapToGrid/>
        <w:spacing w:line="540" w:lineRule="exact"/>
        <w:ind w:firstLine="1593" w:firstLineChars="498"/>
        <w:jc w:val="both"/>
        <w:textAlignment w:val="baseline"/>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年政府性基金预算支出调整情况表</w:t>
      </w:r>
    </w:p>
    <w:sectPr>
      <w:footerReference r:id="rId5" w:type="first"/>
      <w:footerReference r:id="rId3" w:type="default"/>
      <w:footerReference r:id="rId4" w:type="even"/>
      <w:pgSz w:w="11905" w:h="16837"/>
      <w:pgMar w:top="1134" w:right="1418" w:bottom="1134" w:left="1588" w:header="567" w:footer="1134" w:gutter="0"/>
      <w:pgNumType w:fmt="numberInDash" w:start="1"/>
      <w:cols w:space="368" w:num="1"/>
      <w:titlePg/>
      <w:rtlGutter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w:t>
    </w:r>
    <w:r>
      <w:t xml:space="preserve"> 5 -</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w:t>
    </w:r>
    <w:r>
      <w:t xml:space="preserve"> 4 -</w:t>
    </w:r>
    <w: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w:t>
    </w:r>
    <w:r>
      <w:t xml:space="preserve"> 1 -</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863C0E"/>
    <w:multiLevelType w:val="singleLevel"/>
    <w:tmpl w:val="80863C0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evenAndOddHeaders w:val="1"/>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yYzgyNDMyZDI3NTJhZTZiOThhZjMyODdiZDYyOGIifQ=="/>
  </w:docVars>
  <w:rsids>
    <w:rsidRoot w:val="007F1E94"/>
    <w:rsid w:val="00003D32"/>
    <w:rsid w:val="00005B69"/>
    <w:rsid w:val="00010413"/>
    <w:rsid w:val="00011307"/>
    <w:rsid w:val="0001204F"/>
    <w:rsid w:val="00015EF6"/>
    <w:rsid w:val="0002001C"/>
    <w:rsid w:val="00020FE9"/>
    <w:rsid w:val="00021196"/>
    <w:rsid w:val="00021724"/>
    <w:rsid w:val="00022880"/>
    <w:rsid w:val="0002350A"/>
    <w:rsid w:val="0002459C"/>
    <w:rsid w:val="00025715"/>
    <w:rsid w:val="00025788"/>
    <w:rsid w:val="0003015B"/>
    <w:rsid w:val="000310ED"/>
    <w:rsid w:val="00040C18"/>
    <w:rsid w:val="000410DA"/>
    <w:rsid w:val="00044C5E"/>
    <w:rsid w:val="000450A6"/>
    <w:rsid w:val="0004572F"/>
    <w:rsid w:val="000506C8"/>
    <w:rsid w:val="0005307A"/>
    <w:rsid w:val="00053742"/>
    <w:rsid w:val="00054985"/>
    <w:rsid w:val="00055FC3"/>
    <w:rsid w:val="000565F3"/>
    <w:rsid w:val="00061EE2"/>
    <w:rsid w:val="000620FF"/>
    <w:rsid w:val="0006366A"/>
    <w:rsid w:val="00064685"/>
    <w:rsid w:val="00065899"/>
    <w:rsid w:val="000660A9"/>
    <w:rsid w:val="000706DC"/>
    <w:rsid w:val="0007353C"/>
    <w:rsid w:val="0007420F"/>
    <w:rsid w:val="00074E99"/>
    <w:rsid w:val="00076A35"/>
    <w:rsid w:val="00080C94"/>
    <w:rsid w:val="000815DC"/>
    <w:rsid w:val="00084DBC"/>
    <w:rsid w:val="00085810"/>
    <w:rsid w:val="00092992"/>
    <w:rsid w:val="000A14C8"/>
    <w:rsid w:val="000A2E9F"/>
    <w:rsid w:val="000A311B"/>
    <w:rsid w:val="000A38D7"/>
    <w:rsid w:val="000A3989"/>
    <w:rsid w:val="000A4368"/>
    <w:rsid w:val="000A4D5E"/>
    <w:rsid w:val="000A5110"/>
    <w:rsid w:val="000A531A"/>
    <w:rsid w:val="000B38C2"/>
    <w:rsid w:val="000B4269"/>
    <w:rsid w:val="000C443A"/>
    <w:rsid w:val="000C6E1B"/>
    <w:rsid w:val="000C7033"/>
    <w:rsid w:val="000C7818"/>
    <w:rsid w:val="000C7F98"/>
    <w:rsid w:val="000D0460"/>
    <w:rsid w:val="000D5A30"/>
    <w:rsid w:val="000D5CE6"/>
    <w:rsid w:val="000D64B4"/>
    <w:rsid w:val="000D71AD"/>
    <w:rsid w:val="000E119F"/>
    <w:rsid w:val="000E55C1"/>
    <w:rsid w:val="000E5655"/>
    <w:rsid w:val="000E6F16"/>
    <w:rsid w:val="000E714F"/>
    <w:rsid w:val="000E7FE7"/>
    <w:rsid w:val="000F03B2"/>
    <w:rsid w:val="000F13F0"/>
    <w:rsid w:val="000F1820"/>
    <w:rsid w:val="000F1C5B"/>
    <w:rsid w:val="000F2B4C"/>
    <w:rsid w:val="000F6484"/>
    <w:rsid w:val="000F6B46"/>
    <w:rsid w:val="00100F40"/>
    <w:rsid w:val="0010243D"/>
    <w:rsid w:val="00105854"/>
    <w:rsid w:val="0010703B"/>
    <w:rsid w:val="001118C5"/>
    <w:rsid w:val="00114DA3"/>
    <w:rsid w:val="0011790B"/>
    <w:rsid w:val="001231FA"/>
    <w:rsid w:val="001233EF"/>
    <w:rsid w:val="00125F21"/>
    <w:rsid w:val="00125FAE"/>
    <w:rsid w:val="00132F56"/>
    <w:rsid w:val="001349DA"/>
    <w:rsid w:val="001366F3"/>
    <w:rsid w:val="00136AAE"/>
    <w:rsid w:val="001375CC"/>
    <w:rsid w:val="00137DF9"/>
    <w:rsid w:val="001407FF"/>
    <w:rsid w:val="00140C41"/>
    <w:rsid w:val="0014159D"/>
    <w:rsid w:val="001450CC"/>
    <w:rsid w:val="001459AF"/>
    <w:rsid w:val="00146720"/>
    <w:rsid w:val="001508F6"/>
    <w:rsid w:val="00151054"/>
    <w:rsid w:val="001517B1"/>
    <w:rsid w:val="00154208"/>
    <w:rsid w:val="001548C4"/>
    <w:rsid w:val="0015504F"/>
    <w:rsid w:val="0015696E"/>
    <w:rsid w:val="0015717F"/>
    <w:rsid w:val="00166E83"/>
    <w:rsid w:val="00171465"/>
    <w:rsid w:val="001742F7"/>
    <w:rsid w:val="00174602"/>
    <w:rsid w:val="001759A3"/>
    <w:rsid w:val="00175FDA"/>
    <w:rsid w:val="00180679"/>
    <w:rsid w:val="00181E4F"/>
    <w:rsid w:val="00183037"/>
    <w:rsid w:val="0019531E"/>
    <w:rsid w:val="001A2154"/>
    <w:rsid w:val="001A2632"/>
    <w:rsid w:val="001A2B6B"/>
    <w:rsid w:val="001A2FD6"/>
    <w:rsid w:val="001A3991"/>
    <w:rsid w:val="001A3D51"/>
    <w:rsid w:val="001A4C07"/>
    <w:rsid w:val="001A4CE2"/>
    <w:rsid w:val="001A4D56"/>
    <w:rsid w:val="001A68F5"/>
    <w:rsid w:val="001B78CB"/>
    <w:rsid w:val="001C40F5"/>
    <w:rsid w:val="001C5558"/>
    <w:rsid w:val="001C5CE7"/>
    <w:rsid w:val="001C63B1"/>
    <w:rsid w:val="001C69DC"/>
    <w:rsid w:val="001C6B3F"/>
    <w:rsid w:val="001D012A"/>
    <w:rsid w:val="001D2442"/>
    <w:rsid w:val="001D3159"/>
    <w:rsid w:val="001D3E6F"/>
    <w:rsid w:val="001E05C4"/>
    <w:rsid w:val="001E0882"/>
    <w:rsid w:val="001E2B1F"/>
    <w:rsid w:val="001E3583"/>
    <w:rsid w:val="001E4FD9"/>
    <w:rsid w:val="001E5836"/>
    <w:rsid w:val="001F1ED1"/>
    <w:rsid w:val="001F2B18"/>
    <w:rsid w:val="001F468E"/>
    <w:rsid w:val="001F4E61"/>
    <w:rsid w:val="001F56BE"/>
    <w:rsid w:val="001F713F"/>
    <w:rsid w:val="0020202F"/>
    <w:rsid w:val="002062A6"/>
    <w:rsid w:val="002073BC"/>
    <w:rsid w:val="00207A3C"/>
    <w:rsid w:val="0021568C"/>
    <w:rsid w:val="00217E74"/>
    <w:rsid w:val="00221302"/>
    <w:rsid w:val="00225D34"/>
    <w:rsid w:val="00225FA8"/>
    <w:rsid w:val="0023031E"/>
    <w:rsid w:val="002310F6"/>
    <w:rsid w:val="0023125C"/>
    <w:rsid w:val="0023402E"/>
    <w:rsid w:val="00234DE4"/>
    <w:rsid w:val="00242647"/>
    <w:rsid w:val="002438C9"/>
    <w:rsid w:val="00244AD1"/>
    <w:rsid w:val="0024607D"/>
    <w:rsid w:val="0024773C"/>
    <w:rsid w:val="00251825"/>
    <w:rsid w:val="00252FC8"/>
    <w:rsid w:val="002546FE"/>
    <w:rsid w:val="00255867"/>
    <w:rsid w:val="00263F9A"/>
    <w:rsid w:val="002652A0"/>
    <w:rsid w:val="0026582C"/>
    <w:rsid w:val="00265E35"/>
    <w:rsid w:val="00271A55"/>
    <w:rsid w:val="002728DC"/>
    <w:rsid w:val="0027395A"/>
    <w:rsid w:val="00276288"/>
    <w:rsid w:val="002802D4"/>
    <w:rsid w:val="00280D7A"/>
    <w:rsid w:val="00280E33"/>
    <w:rsid w:val="00280FF4"/>
    <w:rsid w:val="00281763"/>
    <w:rsid w:val="00281EB5"/>
    <w:rsid w:val="00283BF5"/>
    <w:rsid w:val="002842BD"/>
    <w:rsid w:val="002863D9"/>
    <w:rsid w:val="002863EF"/>
    <w:rsid w:val="00286DC5"/>
    <w:rsid w:val="00286F37"/>
    <w:rsid w:val="00287AC7"/>
    <w:rsid w:val="00287B70"/>
    <w:rsid w:val="00292587"/>
    <w:rsid w:val="00293529"/>
    <w:rsid w:val="0029536C"/>
    <w:rsid w:val="002955C5"/>
    <w:rsid w:val="0029665C"/>
    <w:rsid w:val="002A2CD8"/>
    <w:rsid w:val="002A3366"/>
    <w:rsid w:val="002A5ED9"/>
    <w:rsid w:val="002A632D"/>
    <w:rsid w:val="002A6441"/>
    <w:rsid w:val="002A7343"/>
    <w:rsid w:val="002A7529"/>
    <w:rsid w:val="002B0565"/>
    <w:rsid w:val="002B082D"/>
    <w:rsid w:val="002B0DC9"/>
    <w:rsid w:val="002B13D9"/>
    <w:rsid w:val="002B18AB"/>
    <w:rsid w:val="002B203B"/>
    <w:rsid w:val="002B680A"/>
    <w:rsid w:val="002B7906"/>
    <w:rsid w:val="002C05C6"/>
    <w:rsid w:val="002C2163"/>
    <w:rsid w:val="002C21AA"/>
    <w:rsid w:val="002C53B7"/>
    <w:rsid w:val="002C5F94"/>
    <w:rsid w:val="002C7998"/>
    <w:rsid w:val="002D08DB"/>
    <w:rsid w:val="002D0FDC"/>
    <w:rsid w:val="002D27EF"/>
    <w:rsid w:val="002D3C9E"/>
    <w:rsid w:val="002D629C"/>
    <w:rsid w:val="002D6E54"/>
    <w:rsid w:val="002E1FB7"/>
    <w:rsid w:val="002E1FD5"/>
    <w:rsid w:val="002E2640"/>
    <w:rsid w:val="002E5CFE"/>
    <w:rsid w:val="002E69ED"/>
    <w:rsid w:val="002E6A9F"/>
    <w:rsid w:val="002E6C5D"/>
    <w:rsid w:val="002E7612"/>
    <w:rsid w:val="002F0F60"/>
    <w:rsid w:val="002F15A0"/>
    <w:rsid w:val="002F403D"/>
    <w:rsid w:val="002F4372"/>
    <w:rsid w:val="002F788D"/>
    <w:rsid w:val="00301080"/>
    <w:rsid w:val="003014DA"/>
    <w:rsid w:val="003016F5"/>
    <w:rsid w:val="00303060"/>
    <w:rsid w:val="0030329F"/>
    <w:rsid w:val="00305EA4"/>
    <w:rsid w:val="00306570"/>
    <w:rsid w:val="003114CF"/>
    <w:rsid w:val="003130B1"/>
    <w:rsid w:val="003148AF"/>
    <w:rsid w:val="00314C71"/>
    <w:rsid w:val="003171FC"/>
    <w:rsid w:val="00320170"/>
    <w:rsid w:val="00321ED3"/>
    <w:rsid w:val="00324249"/>
    <w:rsid w:val="003244D7"/>
    <w:rsid w:val="00324B79"/>
    <w:rsid w:val="00326C75"/>
    <w:rsid w:val="00326D3A"/>
    <w:rsid w:val="00330550"/>
    <w:rsid w:val="0033119A"/>
    <w:rsid w:val="003320E2"/>
    <w:rsid w:val="00332F3D"/>
    <w:rsid w:val="003349B7"/>
    <w:rsid w:val="00336739"/>
    <w:rsid w:val="00336E2F"/>
    <w:rsid w:val="00337964"/>
    <w:rsid w:val="003403FD"/>
    <w:rsid w:val="00340EDA"/>
    <w:rsid w:val="0034139F"/>
    <w:rsid w:val="003413BB"/>
    <w:rsid w:val="003425CD"/>
    <w:rsid w:val="00343005"/>
    <w:rsid w:val="003449AA"/>
    <w:rsid w:val="003476F1"/>
    <w:rsid w:val="00353C79"/>
    <w:rsid w:val="00355611"/>
    <w:rsid w:val="00355DDB"/>
    <w:rsid w:val="003564DB"/>
    <w:rsid w:val="00357C14"/>
    <w:rsid w:val="0036035D"/>
    <w:rsid w:val="00364315"/>
    <w:rsid w:val="00365CD5"/>
    <w:rsid w:val="003661DD"/>
    <w:rsid w:val="003666F5"/>
    <w:rsid w:val="00371DAA"/>
    <w:rsid w:val="003747ED"/>
    <w:rsid w:val="0037544D"/>
    <w:rsid w:val="003774CE"/>
    <w:rsid w:val="00381851"/>
    <w:rsid w:val="00381E8B"/>
    <w:rsid w:val="00383FA1"/>
    <w:rsid w:val="00390653"/>
    <w:rsid w:val="003925FF"/>
    <w:rsid w:val="00394A48"/>
    <w:rsid w:val="00395F7C"/>
    <w:rsid w:val="00397A9D"/>
    <w:rsid w:val="003A0F4D"/>
    <w:rsid w:val="003A4366"/>
    <w:rsid w:val="003A5030"/>
    <w:rsid w:val="003A7150"/>
    <w:rsid w:val="003A75FD"/>
    <w:rsid w:val="003A7AD9"/>
    <w:rsid w:val="003B416A"/>
    <w:rsid w:val="003C3E61"/>
    <w:rsid w:val="003C5221"/>
    <w:rsid w:val="003C7AB7"/>
    <w:rsid w:val="003D028B"/>
    <w:rsid w:val="003D03B7"/>
    <w:rsid w:val="003D0423"/>
    <w:rsid w:val="003D24A0"/>
    <w:rsid w:val="003D2B9A"/>
    <w:rsid w:val="003D56F2"/>
    <w:rsid w:val="003D7140"/>
    <w:rsid w:val="003D7A9D"/>
    <w:rsid w:val="003E0094"/>
    <w:rsid w:val="003E0B14"/>
    <w:rsid w:val="003E120A"/>
    <w:rsid w:val="003E4414"/>
    <w:rsid w:val="003E6084"/>
    <w:rsid w:val="003E6A21"/>
    <w:rsid w:val="003F25C8"/>
    <w:rsid w:val="003F4E20"/>
    <w:rsid w:val="003F5751"/>
    <w:rsid w:val="003F59A2"/>
    <w:rsid w:val="003F750F"/>
    <w:rsid w:val="00400298"/>
    <w:rsid w:val="0040129E"/>
    <w:rsid w:val="0040454B"/>
    <w:rsid w:val="00405D4A"/>
    <w:rsid w:val="00410D2D"/>
    <w:rsid w:val="004136F8"/>
    <w:rsid w:val="0041610B"/>
    <w:rsid w:val="004178EF"/>
    <w:rsid w:val="00421982"/>
    <w:rsid w:val="00425B62"/>
    <w:rsid w:val="004270FD"/>
    <w:rsid w:val="00431DF9"/>
    <w:rsid w:val="00433DD1"/>
    <w:rsid w:val="0043467A"/>
    <w:rsid w:val="00434C83"/>
    <w:rsid w:val="00436FE3"/>
    <w:rsid w:val="00441C42"/>
    <w:rsid w:val="0044409A"/>
    <w:rsid w:val="00445C63"/>
    <w:rsid w:val="00445D2E"/>
    <w:rsid w:val="00446F8E"/>
    <w:rsid w:val="00451421"/>
    <w:rsid w:val="0045142C"/>
    <w:rsid w:val="00452CD0"/>
    <w:rsid w:val="00452DC7"/>
    <w:rsid w:val="004531B8"/>
    <w:rsid w:val="0045349F"/>
    <w:rsid w:val="004554E8"/>
    <w:rsid w:val="00460510"/>
    <w:rsid w:val="00460579"/>
    <w:rsid w:val="00462D10"/>
    <w:rsid w:val="00462EF8"/>
    <w:rsid w:val="00463D4A"/>
    <w:rsid w:val="00463DF3"/>
    <w:rsid w:val="0046602F"/>
    <w:rsid w:val="00466DF4"/>
    <w:rsid w:val="0047625A"/>
    <w:rsid w:val="00476BD6"/>
    <w:rsid w:val="00477800"/>
    <w:rsid w:val="00481435"/>
    <w:rsid w:val="0048190A"/>
    <w:rsid w:val="0048240E"/>
    <w:rsid w:val="00484D9D"/>
    <w:rsid w:val="00485518"/>
    <w:rsid w:val="00485B85"/>
    <w:rsid w:val="004865EF"/>
    <w:rsid w:val="0048723B"/>
    <w:rsid w:val="00492A6C"/>
    <w:rsid w:val="00493E87"/>
    <w:rsid w:val="004946B6"/>
    <w:rsid w:val="00494B55"/>
    <w:rsid w:val="00495778"/>
    <w:rsid w:val="00497E4D"/>
    <w:rsid w:val="004A0718"/>
    <w:rsid w:val="004A08F3"/>
    <w:rsid w:val="004A186B"/>
    <w:rsid w:val="004A1ED3"/>
    <w:rsid w:val="004A5BD5"/>
    <w:rsid w:val="004B0D2A"/>
    <w:rsid w:val="004B2632"/>
    <w:rsid w:val="004B329A"/>
    <w:rsid w:val="004B471E"/>
    <w:rsid w:val="004B55F7"/>
    <w:rsid w:val="004B7582"/>
    <w:rsid w:val="004C188B"/>
    <w:rsid w:val="004C52BF"/>
    <w:rsid w:val="004C5E8F"/>
    <w:rsid w:val="004D2228"/>
    <w:rsid w:val="004D298D"/>
    <w:rsid w:val="004D559D"/>
    <w:rsid w:val="004D60BA"/>
    <w:rsid w:val="004E02DB"/>
    <w:rsid w:val="004E0BFD"/>
    <w:rsid w:val="004E2B27"/>
    <w:rsid w:val="004E3343"/>
    <w:rsid w:val="004E6DD4"/>
    <w:rsid w:val="004E7B4C"/>
    <w:rsid w:val="004F081D"/>
    <w:rsid w:val="004F69E6"/>
    <w:rsid w:val="004F7EFD"/>
    <w:rsid w:val="00502F31"/>
    <w:rsid w:val="00504A26"/>
    <w:rsid w:val="00505D1F"/>
    <w:rsid w:val="0050685B"/>
    <w:rsid w:val="005106A5"/>
    <w:rsid w:val="005129FC"/>
    <w:rsid w:val="0051484A"/>
    <w:rsid w:val="00516277"/>
    <w:rsid w:val="00517B8B"/>
    <w:rsid w:val="00522A44"/>
    <w:rsid w:val="00527778"/>
    <w:rsid w:val="00527B64"/>
    <w:rsid w:val="005303BA"/>
    <w:rsid w:val="00530C50"/>
    <w:rsid w:val="00534641"/>
    <w:rsid w:val="00534F2D"/>
    <w:rsid w:val="00536C10"/>
    <w:rsid w:val="005448BF"/>
    <w:rsid w:val="005450BD"/>
    <w:rsid w:val="0055396A"/>
    <w:rsid w:val="005571B2"/>
    <w:rsid w:val="00561409"/>
    <w:rsid w:val="00563CD1"/>
    <w:rsid w:val="00567C3E"/>
    <w:rsid w:val="00570FA6"/>
    <w:rsid w:val="00571FD1"/>
    <w:rsid w:val="00572644"/>
    <w:rsid w:val="005737BB"/>
    <w:rsid w:val="00577E8A"/>
    <w:rsid w:val="005822E9"/>
    <w:rsid w:val="00582A2A"/>
    <w:rsid w:val="00584F4C"/>
    <w:rsid w:val="00586253"/>
    <w:rsid w:val="00586708"/>
    <w:rsid w:val="00590DAD"/>
    <w:rsid w:val="00592ADE"/>
    <w:rsid w:val="00596390"/>
    <w:rsid w:val="00596A61"/>
    <w:rsid w:val="005A07D7"/>
    <w:rsid w:val="005A1535"/>
    <w:rsid w:val="005A27A8"/>
    <w:rsid w:val="005A446B"/>
    <w:rsid w:val="005B1E72"/>
    <w:rsid w:val="005B2B77"/>
    <w:rsid w:val="005B3988"/>
    <w:rsid w:val="005C0BC3"/>
    <w:rsid w:val="005C12D1"/>
    <w:rsid w:val="005C15C3"/>
    <w:rsid w:val="005C26DB"/>
    <w:rsid w:val="005C7216"/>
    <w:rsid w:val="005C7B9B"/>
    <w:rsid w:val="005C7ED2"/>
    <w:rsid w:val="005D200B"/>
    <w:rsid w:val="005D3926"/>
    <w:rsid w:val="005D4E11"/>
    <w:rsid w:val="005D53EC"/>
    <w:rsid w:val="005D5893"/>
    <w:rsid w:val="005D5942"/>
    <w:rsid w:val="005D5DC6"/>
    <w:rsid w:val="005D5F19"/>
    <w:rsid w:val="005E0E91"/>
    <w:rsid w:val="005E4FB1"/>
    <w:rsid w:val="005E6BF3"/>
    <w:rsid w:val="005F05A8"/>
    <w:rsid w:val="005F4E3F"/>
    <w:rsid w:val="00601868"/>
    <w:rsid w:val="00601DB2"/>
    <w:rsid w:val="00606383"/>
    <w:rsid w:val="006064CB"/>
    <w:rsid w:val="006139AF"/>
    <w:rsid w:val="006145AE"/>
    <w:rsid w:val="006145D2"/>
    <w:rsid w:val="0061543B"/>
    <w:rsid w:val="00616439"/>
    <w:rsid w:val="00622618"/>
    <w:rsid w:val="00624F46"/>
    <w:rsid w:val="006266CF"/>
    <w:rsid w:val="00630DB9"/>
    <w:rsid w:val="006317A6"/>
    <w:rsid w:val="00631C27"/>
    <w:rsid w:val="0063375C"/>
    <w:rsid w:val="00633EEE"/>
    <w:rsid w:val="006344B7"/>
    <w:rsid w:val="00636D4B"/>
    <w:rsid w:val="00642E2C"/>
    <w:rsid w:val="0064304F"/>
    <w:rsid w:val="006432AF"/>
    <w:rsid w:val="00643A10"/>
    <w:rsid w:val="00650BF8"/>
    <w:rsid w:val="00652C7C"/>
    <w:rsid w:val="00653ABE"/>
    <w:rsid w:val="0065590D"/>
    <w:rsid w:val="00656AD2"/>
    <w:rsid w:val="006605AF"/>
    <w:rsid w:val="00660F72"/>
    <w:rsid w:val="00664F25"/>
    <w:rsid w:val="0066747D"/>
    <w:rsid w:val="00671BB0"/>
    <w:rsid w:val="00672FB9"/>
    <w:rsid w:val="00676EAA"/>
    <w:rsid w:val="00677C43"/>
    <w:rsid w:val="00680139"/>
    <w:rsid w:val="00682B47"/>
    <w:rsid w:val="006830CA"/>
    <w:rsid w:val="00684BEC"/>
    <w:rsid w:val="006859E3"/>
    <w:rsid w:val="00690A54"/>
    <w:rsid w:val="00693669"/>
    <w:rsid w:val="006A4C57"/>
    <w:rsid w:val="006A5686"/>
    <w:rsid w:val="006A65FA"/>
    <w:rsid w:val="006A6A0C"/>
    <w:rsid w:val="006A71F7"/>
    <w:rsid w:val="006C0AF6"/>
    <w:rsid w:val="006C1C29"/>
    <w:rsid w:val="006C38C2"/>
    <w:rsid w:val="006C3D18"/>
    <w:rsid w:val="006C616D"/>
    <w:rsid w:val="006D2787"/>
    <w:rsid w:val="006D4FDC"/>
    <w:rsid w:val="006D5358"/>
    <w:rsid w:val="006D5954"/>
    <w:rsid w:val="006D715D"/>
    <w:rsid w:val="006D7582"/>
    <w:rsid w:val="006E38D3"/>
    <w:rsid w:val="006E6004"/>
    <w:rsid w:val="006E69AC"/>
    <w:rsid w:val="006E7AA6"/>
    <w:rsid w:val="006E7FB6"/>
    <w:rsid w:val="006F04E2"/>
    <w:rsid w:val="006F4AE2"/>
    <w:rsid w:val="006F4F22"/>
    <w:rsid w:val="006F5C7E"/>
    <w:rsid w:val="006F69F9"/>
    <w:rsid w:val="006F7504"/>
    <w:rsid w:val="006F7F8C"/>
    <w:rsid w:val="00704289"/>
    <w:rsid w:val="00705947"/>
    <w:rsid w:val="00707B8A"/>
    <w:rsid w:val="00714D6B"/>
    <w:rsid w:val="00714E00"/>
    <w:rsid w:val="00717474"/>
    <w:rsid w:val="00717D02"/>
    <w:rsid w:val="00721330"/>
    <w:rsid w:val="00721DAC"/>
    <w:rsid w:val="00722997"/>
    <w:rsid w:val="00724781"/>
    <w:rsid w:val="00726589"/>
    <w:rsid w:val="0073101B"/>
    <w:rsid w:val="00731333"/>
    <w:rsid w:val="0073148B"/>
    <w:rsid w:val="00731E6C"/>
    <w:rsid w:val="00732240"/>
    <w:rsid w:val="00735639"/>
    <w:rsid w:val="00735A0A"/>
    <w:rsid w:val="007372F3"/>
    <w:rsid w:val="0074044B"/>
    <w:rsid w:val="00740485"/>
    <w:rsid w:val="00740AD0"/>
    <w:rsid w:val="00740C44"/>
    <w:rsid w:val="007419F9"/>
    <w:rsid w:val="00743CE5"/>
    <w:rsid w:val="00745C0A"/>
    <w:rsid w:val="00746942"/>
    <w:rsid w:val="00747FD0"/>
    <w:rsid w:val="00750C7F"/>
    <w:rsid w:val="00753BC5"/>
    <w:rsid w:val="00761751"/>
    <w:rsid w:val="0076337D"/>
    <w:rsid w:val="007642F2"/>
    <w:rsid w:val="00764560"/>
    <w:rsid w:val="0076630B"/>
    <w:rsid w:val="0077035D"/>
    <w:rsid w:val="00775143"/>
    <w:rsid w:val="007751FA"/>
    <w:rsid w:val="0078043E"/>
    <w:rsid w:val="0078072E"/>
    <w:rsid w:val="00780C7E"/>
    <w:rsid w:val="00786905"/>
    <w:rsid w:val="007870AE"/>
    <w:rsid w:val="00791E5D"/>
    <w:rsid w:val="0079379D"/>
    <w:rsid w:val="00793C6F"/>
    <w:rsid w:val="00795322"/>
    <w:rsid w:val="007A0439"/>
    <w:rsid w:val="007A0B3D"/>
    <w:rsid w:val="007A1C4C"/>
    <w:rsid w:val="007A2CF3"/>
    <w:rsid w:val="007A38AF"/>
    <w:rsid w:val="007B3905"/>
    <w:rsid w:val="007B4C63"/>
    <w:rsid w:val="007B678F"/>
    <w:rsid w:val="007B69D5"/>
    <w:rsid w:val="007C00B8"/>
    <w:rsid w:val="007C117D"/>
    <w:rsid w:val="007C155B"/>
    <w:rsid w:val="007C3538"/>
    <w:rsid w:val="007C67D4"/>
    <w:rsid w:val="007C6BC5"/>
    <w:rsid w:val="007D19F7"/>
    <w:rsid w:val="007D36A2"/>
    <w:rsid w:val="007D4441"/>
    <w:rsid w:val="007D7B3B"/>
    <w:rsid w:val="007E0387"/>
    <w:rsid w:val="007E6BB7"/>
    <w:rsid w:val="007E7F2B"/>
    <w:rsid w:val="007F1C97"/>
    <w:rsid w:val="007F1E94"/>
    <w:rsid w:val="007F5B6D"/>
    <w:rsid w:val="00800ED2"/>
    <w:rsid w:val="00800EE0"/>
    <w:rsid w:val="0080402C"/>
    <w:rsid w:val="008060FB"/>
    <w:rsid w:val="008069F4"/>
    <w:rsid w:val="00812A01"/>
    <w:rsid w:val="00816698"/>
    <w:rsid w:val="00816E5A"/>
    <w:rsid w:val="008208C1"/>
    <w:rsid w:val="008215B5"/>
    <w:rsid w:val="00822EC4"/>
    <w:rsid w:val="00824D1A"/>
    <w:rsid w:val="00826508"/>
    <w:rsid w:val="00827A01"/>
    <w:rsid w:val="008305A5"/>
    <w:rsid w:val="00830A3B"/>
    <w:rsid w:val="00831155"/>
    <w:rsid w:val="008347A7"/>
    <w:rsid w:val="008357AC"/>
    <w:rsid w:val="00835C5C"/>
    <w:rsid w:val="008364CD"/>
    <w:rsid w:val="00840318"/>
    <w:rsid w:val="0084069E"/>
    <w:rsid w:val="00840997"/>
    <w:rsid w:val="008426B0"/>
    <w:rsid w:val="00843129"/>
    <w:rsid w:val="008451E4"/>
    <w:rsid w:val="00847CE0"/>
    <w:rsid w:val="00851D13"/>
    <w:rsid w:val="00851FD2"/>
    <w:rsid w:val="00852190"/>
    <w:rsid w:val="008541FC"/>
    <w:rsid w:val="00854AF3"/>
    <w:rsid w:val="00856AD4"/>
    <w:rsid w:val="00860070"/>
    <w:rsid w:val="008602A1"/>
    <w:rsid w:val="008647DF"/>
    <w:rsid w:val="008658AF"/>
    <w:rsid w:val="00865E30"/>
    <w:rsid w:val="008672A5"/>
    <w:rsid w:val="00867538"/>
    <w:rsid w:val="0087198B"/>
    <w:rsid w:val="008741DF"/>
    <w:rsid w:val="008765CD"/>
    <w:rsid w:val="0087753D"/>
    <w:rsid w:val="0088186A"/>
    <w:rsid w:val="0088221B"/>
    <w:rsid w:val="00887516"/>
    <w:rsid w:val="00891101"/>
    <w:rsid w:val="00893202"/>
    <w:rsid w:val="00895995"/>
    <w:rsid w:val="00896E57"/>
    <w:rsid w:val="008974F8"/>
    <w:rsid w:val="008A19FC"/>
    <w:rsid w:val="008A5798"/>
    <w:rsid w:val="008A5DB0"/>
    <w:rsid w:val="008A5F39"/>
    <w:rsid w:val="008A65F5"/>
    <w:rsid w:val="008B377E"/>
    <w:rsid w:val="008B3D53"/>
    <w:rsid w:val="008B4581"/>
    <w:rsid w:val="008B4F00"/>
    <w:rsid w:val="008B6308"/>
    <w:rsid w:val="008B7A07"/>
    <w:rsid w:val="008C6211"/>
    <w:rsid w:val="008C7A13"/>
    <w:rsid w:val="008D75FC"/>
    <w:rsid w:val="008E36C6"/>
    <w:rsid w:val="008E37A9"/>
    <w:rsid w:val="008E663C"/>
    <w:rsid w:val="008E7FB4"/>
    <w:rsid w:val="008F2195"/>
    <w:rsid w:val="008F5E3C"/>
    <w:rsid w:val="009004CA"/>
    <w:rsid w:val="00900E4D"/>
    <w:rsid w:val="00900FA2"/>
    <w:rsid w:val="00903190"/>
    <w:rsid w:val="00904206"/>
    <w:rsid w:val="00904E7D"/>
    <w:rsid w:val="0090567E"/>
    <w:rsid w:val="009131AB"/>
    <w:rsid w:val="00913DAA"/>
    <w:rsid w:val="00914041"/>
    <w:rsid w:val="00914795"/>
    <w:rsid w:val="009154AE"/>
    <w:rsid w:val="00915DD6"/>
    <w:rsid w:val="00916664"/>
    <w:rsid w:val="0091784C"/>
    <w:rsid w:val="00917B27"/>
    <w:rsid w:val="00917C27"/>
    <w:rsid w:val="0092254A"/>
    <w:rsid w:val="00926EBE"/>
    <w:rsid w:val="0092763D"/>
    <w:rsid w:val="0093129B"/>
    <w:rsid w:val="009326C1"/>
    <w:rsid w:val="009326D2"/>
    <w:rsid w:val="00932898"/>
    <w:rsid w:val="009333AD"/>
    <w:rsid w:val="00934A26"/>
    <w:rsid w:val="00935B7E"/>
    <w:rsid w:val="00936765"/>
    <w:rsid w:val="00936B84"/>
    <w:rsid w:val="00936D32"/>
    <w:rsid w:val="00936EBD"/>
    <w:rsid w:val="00937A68"/>
    <w:rsid w:val="00940838"/>
    <w:rsid w:val="0094091C"/>
    <w:rsid w:val="00943228"/>
    <w:rsid w:val="00943C37"/>
    <w:rsid w:val="00943F8E"/>
    <w:rsid w:val="00946692"/>
    <w:rsid w:val="00952471"/>
    <w:rsid w:val="0095254F"/>
    <w:rsid w:val="00952DA0"/>
    <w:rsid w:val="009537D8"/>
    <w:rsid w:val="00955665"/>
    <w:rsid w:val="00955A05"/>
    <w:rsid w:val="00957F77"/>
    <w:rsid w:val="00960854"/>
    <w:rsid w:val="009636CD"/>
    <w:rsid w:val="00963F54"/>
    <w:rsid w:val="00965737"/>
    <w:rsid w:val="00966098"/>
    <w:rsid w:val="009705B3"/>
    <w:rsid w:val="00970946"/>
    <w:rsid w:val="0097438A"/>
    <w:rsid w:val="0097617B"/>
    <w:rsid w:val="00976CFC"/>
    <w:rsid w:val="009826A1"/>
    <w:rsid w:val="00982BAF"/>
    <w:rsid w:val="00982CB2"/>
    <w:rsid w:val="0098554D"/>
    <w:rsid w:val="00990696"/>
    <w:rsid w:val="0099370E"/>
    <w:rsid w:val="00993E22"/>
    <w:rsid w:val="009944D8"/>
    <w:rsid w:val="00995235"/>
    <w:rsid w:val="00997236"/>
    <w:rsid w:val="00997877"/>
    <w:rsid w:val="009A4A29"/>
    <w:rsid w:val="009A6FB0"/>
    <w:rsid w:val="009A7BD6"/>
    <w:rsid w:val="009A7DC4"/>
    <w:rsid w:val="009B0A2D"/>
    <w:rsid w:val="009B5A62"/>
    <w:rsid w:val="009B633C"/>
    <w:rsid w:val="009B6B74"/>
    <w:rsid w:val="009C0BCD"/>
    <w:rsid w:val="009C1FBF"/>
    <w:rsid w:val="009C2FD0"/>
    <w:rsid w:val="009D0C64"/>
    <w:rsid w:val="009D16CD"/>
    <w:rsid w:val="009D1BA2"/>
    <w:rsid w:val="009D3666"/>
    <w:rsid w:val="009D7289"/>
    <w:rsid w:val="009E2121"/>
    <w:rsid w:val="009E36D3"/>
    <w:rsid w:val="009E4233"/>
    <w:rsid w:val="009E4DEE"/>
    <w:rsid w:val="009E534B"/>
    <w:rsid w:val="009E7449"/>
    <w:rsid w:val="009F02C6"/>
    <w:rsid w:val="009F2171"/>
    <w:rsid w:val="009F2CDD"/>
    <w:rsid w:val="009F3DDC"/>
    <w:rsid w:val="009F67AB"/>
    <w:rsid w:val="00A02BCB"/>
    <w:rsid w:val="00A057F5"/>
    <w:rsid w:val="00A061FE"/>
    <w:rsid w:val="00A0716B"/>
    <w:rsid w:val="00A10014"/>
    <w:rsid w:val="00A13DD7"/>
    <w:rsid w:val="00A22830"/>
    <w:rsid w:val="00A25649"/>
    <w:rsid w:val="00A25CED"/>
    <w:rsid w:val="00A26D6E"/>
    <w:rsid w:val="00A335E8"/>
    <w:rsid w:val="00A41F83"/>
    <w:rsid w:val="00A422FE"/>
    <w:rsid w:val="00A44E3E"/>
    <w:rsid w:val="00A50852"/>
    <w:rsid w:val="00A51264"/>
    <w:rsid w:val="00A51C42"/>
    <w:rsid w:val="00A530CD"/>
    <w:rsid w:val="00A54125"/>
    <w:rsid w:val="00A55005"/>
    <w:rsid w:val="00A57848"/>
    <w:rsid w:val="00A57E61"/>
    <w:rsid w:val="00A61D8C"/>
    <w:rsid w:val="00A62A02"/>
    <w:rsid w:val="00A64135"/>
    <w:rsid w:val="00A641E7"/>
    <w:rsid w:val="00A6747F"/>
    <w:rsid w:val="00A703B8"/>
    <w:rsid w:val="00A7063E"/>
    <w:rsid w:val="00A710FC"/>
    <w:rsid w:val="00A73D17"/>
    <w:rsid w:val="00A75450"/>
    <w:rsid w:val="00A761C7"/>
    <w:rsid w:val="00A7771C"/>
    <w:rsid w:val="00A818C5"/>
    <w:rsid w:val="00A81F53"/>
    <w:rsid w:val="00A8349D"/>
    <w:rsid w:val="00A8767C"/>
    <w:rsid w:val="00A877A1"/>
    <w:rsid w:val="00A901C3"/>
    <w:rsid w:val="00A92601"/>
    <w:rsid w:val="00A93C3D"/>
    <w:rsid w:val="00A94837"/>
    <w:rsid w:val="00A94D75"/>
    <w:rsid w:val="00AA1618"/>
    <w:rsid w:val="00AA2230"/>
    <w:rsid w:val="00AA2CC8"/>
    <w:rsid w:val="00AA49C0"/>
    <w:rsid w:val="00AA4CEC"/>
    <w:rsid w:val="00AA5EF0"/>
    <w:rsid w:val="00AA714D"/>
    <w:rsid w:val="00AB14E6"/>
    <w:rsid w:val="00AB26FF"/>
    <w:rsid w:val="00AB2DB6"/>
    <w:rsid w:val="00AB408F"/>
    <w:rsid w:val="00AB6D5D"/>
    <w:rsid w:val="00AB6D97"/>
    <w:rsid w:val="00AB7D49"/>
    <w:rsid w:val="00AC0B0E"/>
    <w:rsid w:val="00AC6E69"/>
    <w:rsid w:val="00AC7546"/>
    <w:rsid w:val="00AD094C"/>
    <w:rsid w:val="00AD434F"/>
    <w:rsid w:val="00AD64B3"/>
    <w:rsid w:val="00AD7A3A"/>
    <w:rsid w:val="00AD7ADE"/>
    <w:rsid w:val="00AE41DF"/>
    <w:rsid w:val="00AF157F"/>
    <w:rsid w:val="00AF3AB1"/>
    <w:rsid w:val="00AF56AB"/>
    <w:rsid w:val="00AF60CE"/>
    <w:rsid w:val="00AF7BE4"/>
    <w:rsid w:val="00B00573"/>
    <w:rsid w:val="00B006C6"/>
    <w:rsid w:val="00B0095D"/>
    <w:rsid w:val="00B009F0"/>
    <w:rsid w:val="00B0477E"/>
    <w:rsid w:val="00B12AF8"/>
    <w:rsid w:val="00B1537E"/>
    <w:rsid w:val="00B16743"/>
    <w:rsid w:val="00B20332"/>
    <w:rsid w:val="00B20495"/>
    <w:rsid w:val="00B21758"/>
    <w:rsid w:val="00B217DD"/>
    <w:rsid w:val="00B22A6D"/>
    <w:rsid w:val="00B23497"/>
    <w:rsid w:val="00B238C2"/>
    <w:rsid w:val="00B24F76"/>
    <w:rsid w:val="00B27D95"/>
    <w:rsid w:val="00B31FD3"/>
    <w:rsid w:val="00B323DA"/>
    <w:rsid w:val="00B34A89"/>
    <w:rsid w:val="00B35F04"/>
    <w:rsid w:val="00B36077"/>
    <w:rsid w:val="00B36845"/>
    <w:rsid w:val="00B42D9A"/>
    <w:rsid w:val="00B43633"/>
    <w:rsid w:val="00B44763"/>
    <w:rsid w:val="00B52105"/>
    <w:rsid w:val="00B52C2D"/>
    <w:rsid w:val="00B54297"/>
    <w:rsid w:val="00B54A98"/>
    <w:rsid w:val="00B54BAE"/>
    <w:rsid w:val="00B56A67"/>
    <w:rsid w:val="00B61AFB"/>
    <w:rsid w:val="00B63013"/>
    <w:rsid w:val="00B63AC6"/>
    <w:rsid w:val="00B64B1B"/>
    <w:rsid w:val="00B6719D"/>
    <w:rsid w:val="00B67457"/>
    <w:rsid w:val="00B6764A"/>
    <w:rsid w:val="00B67A17"/>
    <w:rsid w:val="00B7126E"/>
    <w:rsid w:val="00B7247D"/>
    <w:rsid w:val="00B76F1D"/>
    <w:rsid w:val="00B8244B"/>
    <w:rsid w:val="00B8383C"/>
    <w:rsid w:val="00B86F27"/>
    <w:rsid w:val="00B8773D"/>
    <w:rsid w:val="00B87FE3"/>
    <w:rsid w:val="00B932DF"/>
    <w:rsid w:val="00B952F2"/>
    <w:rsid w:val="00BA0DC9"/>
    <w:rsid w:val="00BA2E37"/>
    <w:rsid w:val="00BA670A"/>
    <w:rsid w:val="00BB38AB"/>
    <w:rsid w:val="00BB3E23"/>
    <w:rsid w:val="00BB47E1"/>
    <w:rsid w:val="00BB5E65"/>
    <w:rsid w:val="00BB5EFE"/>
    <w:rsid w:val="00BB602A"/>
    <w:rsid w:val="00BC00C2"/>
    <w:rsid w:val="00BC16B7"/>
    <w:rsid w:val="00BC221D"/>
    <w:rsid w:val="00BC35BD"/>
    <w:rsid w:val="00BC4F07"/>
    <w:rsid w:val="00BC75CE"/>
    <w:rsid w:val="00BD0625"/>
    <w:rsid w:val="00BD2039"/>
    <w:rsid w:val="00BD22E7"/>
    <w:rsid w:val="00BD3020"/>
    <w:rsid w:val="00BD41EC"/>
    <w:rsid w:val="00BD4F0C"/>
    <w:rsid w:val="00BD52C4"/>
    <w:rsid w:val="00BD6116"/>
    <w:rsid w:val="00BD6A16"/>
    <w:rsid w:val="00BE68F5"/>
    <w:rsid w:val="00BF0D8B"/>
    <w:rsid w:val="00BF22D6"/>
    <w:rsid w:val="00BF2674"/>
    <w:rsid w:val="00BF32A0"/>
    <w:rsid w:val="00BF4F72"/>
    <w:rsid w:val="00BF5E83"/>
    <w:rsid w:val="00BF5F42"/>
    <w:rsid w:val="00BF7DEF"/>
    <w:rsid w:val="00C0017B"/>
    <w:rsid w:val="00C01AE6"/>
    <w:rsid w:val="00C01FC5"/>
    <w:rsid w:val="00C02612"/>
    <w:rsid w:val="00C0353C"/>
    <w:rsid w:val="00C0377D"/>
    <w:rsid w:val="00C03A85"/>
    <w:rsid w:val="00C05463"/>
    <w:rsid w:val="00C063B9"/>
    <w:rsid w:val="00C06F29"/>
    <w:rsid w:val="00C07811"/>
    <w:rsid w:val="00C15362"/>
    <w:rsid w:val="00C156D2"/>
    <w:rsid w:val="00C16980"/>
    <w:rsid w:val="00C20A54"/>
    <w:rsid w:val="00C233DE"/>
    <w:rsid w:val="00C23765"/>
    <w:rsid w:val="00C24E5A"/>
    <w:rsid w:val="00C25E38"/>
    <w:rsid w:val="00C271E6"/>
    <w:rsid w:val="00C27EE6"/>
    <w:rsid w:val="00C33B7F"/>
    <w:rsid w:val="00C33B9E"/>
    <w:rsid w:val="00C3575F"/>
    <w:rsid w:val="00C36830"/>
    <w:rsid w:val="00C408BF"/>
    <w:rsid w:val="00C415B8"/>
    <w:rsid w:val="00C45192"/>
    <w:rsid w:val="00C45324"/>
    <w:rsid w:val="00C468D0"/>
    <w:rsid w:val="00C50C6A"/>
    <w:rsid w:val="00C54A19"/>
    <w:rsid w:val="00C54CBE"/>
    <w:rsid w:val="00C557DE"/>
    <w:rsid w:val="00C55C09"/>
    <w:rsid w:val="00C56098"/>
    <w:rsid w:val="00C65C1E"/>
    <w:rsid w:val="00C6769B"/>
    <w:rsid w:val="00C72038"/>
    <w:rsid w:val="00C73961"/>
    <w:rsid w:val="00C73989"/>
    <w:rsid w:val="00C836C7"/>
    <w:rsid w:val="00C84785"/>
    <w:rsid w:val="00C85E9A"/>
    <w:rsid w:val="00C861B4"/>
    <w:rsid w:val="00C86893"/>
    <w:rsid w:val="00C8711E"/>
    <w:rsid w:val="00C87BCC"/>
    <w:rsid w:val="00C91580"/>
    <w:rsid w:val="00C9253B"/>
    <w:rsid w:val="00C92F32"/>
    <w:rsid w:val="00C930B4"/>
    <w:rsid w:val="00C936D5"/>
    <w:rsid w:val="00C9459B"/>
    <w:rsid w:val="00C945CA"/>
    <w:rsid w:val="00C95DDC"/>
    <w:rsid w:val="00C97460"/>
    <w:rsid w:val="00CA0D91"/>
    <w:rsid w:val="00CA1C37"/>
    <w:rsid w:val="00CA1E2F"/>
    <w:rsid w:val="00CA1E9D"/>
    <w:rsid w:val="00CA21E3"/>
    <w:rsid w:val="00CA770E"/>
    <w:rsid w:val="00CB03AD"/>
    <w:rsid w:val="00CB1691"/>
    <w:rsid w:val="00CB1EF0"/>
    <w:rsid w:val="00CB2E0C"/>
    <w:rsid w:val="00CB34E1"/>
    <w:rsid w:val="00CB49A2"/>
    <w:rsid w:val="00CB6FFD"/>
    <w:rsid w:val="00CB7F22"/>
    <w:rsid w:val="00CC0519"/>
    <w:rsid w:val="00CC28C1"/>
    <w:rsid w:val="00CC3829"/>
    <w:rsid w:val="00CC4289"/>
    <w:rsid w:val="00CC6EDC"/>
    <w:rsid w:val="00CC7BD2"/>
    <w:rsid w:val="00CD09B6"/>
    <w:rsid w:val="00CD0E6D"/>
    <w:rsid w:val="00CD12F8"/>
    <w:rsid w:val="00CD283C"/>
    <w:rsid w:val="00CD2FB3"/>
    <w:rsid w:val="00CD60F9"/>
    <w:rsid w:val="00CD6EF0"/>
    <w:rsid w:val="00CE0493"/>
    <w:rsid w:val="00CF000B"/>
    <w:rsid w:val="00CF0614"/>
    <w:rsid w:val="00CF250C"/>
    <w:rsid w:val="00CF37DE"/>
    <w:rsid w:val="00CF3F32"/>
    <w:rsid w:val="00CF3F44"/>
    <w:rsid w:val="00D01BF5"/>
    <w:rsid w:val="00D02EB9"/>
    <w:rsid w:val="00D048CB"/>
    <w:rsid w:val="00D05000"/>
    <w:rsid w:val="00D05B56"/>
    <w:rsid w:val="00D06774"/>
    <w:rsid w:val="00D1200D"/>
    <w:rsid w:val="00D12115"/>
    <w:rsid w:val="00D1299D"/>
    <w:rsid w:val="00D2254E"/>
    <w:rsid w:val="00D22BD1"/>
    <w:rsid w:val="00D24BC4"/>
    <w:rsid w:val="00D27679"/>
    <w:rsid w:val="00D31774"/>
    <w:rsid w:val="00D318A8"/>
    <w:rsid w:val="00D31BA4"/>
    <w:rsid w:val="00D32A81"/>
    <w:rsid w:val="00D340DF"/>
    <w:rsid w:val="00D350E9"/>
    <w:rsid w:val="00D37170"/>
    <w:rsid w:val="00D37F5B"/>
    <w:rsid w:val="00D40021"/>
    <w:rsid w:val="00D42585"/>
    <w:rsid w:val="00D44015"/>
    <w:rsid w:val="00D471C5"/>
    <w:rsid w:val="00D50730"/>
    <w:rsid w:val="00D50B61"/>
    <w:rsid w:val="00D50F4A"/>
    <w:rsid w:val="00D54240"/>
    <w:rsid w:val="00D62E8A"/>
    <w:rsid w:val="00D7023A"/>
    <w:rsid w:val="00D740AF"/>
    <w:rsid w:val="00D844C8"/>
    <w:rsid w:val="00D84C6C"/>
    <w:rsid w:val="00D872AA"/>
    <w:rsid w:val="00D912B6"/>
    <w:rsid w:val="00D9724A"/>
    <w:rsid w:val="00DA0919"/>
    <w:rsid w:val="00DA0CCD"/>
    <w:rsid w:val="00DA2C1B"/>
    <w:rsid w:val="00DA2D72"/>
    <w:rsid w:val="00DA4D70"/>
    <w:rsid w:val="00DA5C6B"/>
    <w:rsid w:val="00DA6506"/>
    <w:rsid w:val="00DB002C"/>
    <w:rsid w:val="00DB33EF"/>
    <w:rsid w:val="00DB3F5F"/>
    <w:rsid w:val="00DB67AA"/>
    <w:rsid w:val="00DB6CF4"/>
    <w:rsid w:val="00DC0635"/>
    <w:rsid w:val="00DC2483"/>
    <w:rsid w:val="00DC6C56"/>
    <w:rsid w:val="00DC7DEF"/>
    <w:rsid w:val="00DD103A"/>
    <w:rsid w:val="00DD243B"/>
    <w:rsid w:val="00DD2912"/>
    <w:rsid w:val="00DD2C6F"/>
    <w:rsid w:val="00DD57C7"/>
    <w:rsid w:val="00DE04F5"/>
    <w:rsid w:val="00DE2168"/>
    <w:rsid w:val="00DE3E4E"/>
    <w:rsid w:val="00DE491E"/>
    <w:rsid w:val="00DE56CD"/>
    <w:rsid w:val="00DE5762"/>
    <w:rsid w:val="00DE6837"/>
    <w:rsid w:val="00DE6A81"/>
    <w:rsid w:val="00DE715E"/>
    <w:rsid w:val="00DE7C8D"/>
    <w:rsid w:val="00DE7D94"/>
    <w:rsid w:val="00DF141B"/>
    <w:rsid w:val="00DF2712"/>
    <w:rsid w:val="00DF6492"/>
    <w:rsid w:val="00DF7737"/>
    <w:rsid w:val="00E00CF0"/>
    <w:rsid w:val="00E04953"/>
    <w:rsid w:val="00E056FD"/>
    <w:rsid w:val="00E1017F"/>
    <w:rsid w:val="00E117A2"/>
    <w:rsid w:val="00E1240E"/>
    <w:rsid w:val="00E130CB"/>
    <w:rsid w:val="00E1555F"/>
    <w:rsid w:val="00E15701"/>
    <w:rsid w:val="00E15819"/>
    <w:rsid w:val="00E160D5"/>
    <w:rsid w:val="00E165F0"/>
    <w:rsid w:val="00E1709B"/>
    <w:rsid w:val="00E22093"/>
    <w:rsid w:val="00E263A8"/>
    <w:rsid w:val="00E306D6"/>
    <w:rsid w:val="00E33931"/>
    <w:rsid w:val="00E42E1F"/>
    <w:rsid w:val="00E45457"/>
    <w:rsid w:val="00E46C19"/>
    <w:rsid w:val="00E53787"/>
    <w:rsid w:val="00E53EB7"/>
    <w:rsid w:val="00E576DA"/>
    <w:rsid w:val="00E61AED"/>
    <w:rsid w:val="00E62FAC"/>
    <w:rsid w:val="00E64013"/>
    <w:rsid w:val="00E65765"/>
    <w:rsid w:val="00E65E3E"/>
    <w:rsid w:val="00E66498"/>
    <w:rsid w:val="00E672FB"/>
    <w:rsid w:val="00E673ED"/>
    <w:rsid w:val="00E71E4E"/>
    <w:rsid w:val="00E71E9E"/>
    <w:rsid w:val="00E75262"/>
    <w:rsid w:val="00E76BA8"/>
    <w:rsid w:val="00E76E12"/>
    <w:rsid w:val="00E80463"/>
    <w:rsid w:val="00E8222E"/>
    <w:rsid w:val="00E83380"/>
    <w:rsid w:val="00E8750E"/>
    <w:rsid w:val="00E914CC"/>
    <w:rsid w:val="00E953CF"/>
    <w:rsid w:val="00EA6424"/>
    <w:rsid w:val="00EA7B12"/>
    <w:rsid w:val="00EB07CE"/>
    <w:rsid w:val="00EB0BAC"/>
    <w:rsid w:val="00EB187A"/>
    <w:rsid w:val="00EB1A9B"/>
    <w:rsid w:val="00EB1D92"/>
    <w:rsid w:val="00EB2FF8"/>
    <w:rsid w:val="00EB3C5D"/>
    <w:rsid w:val="00EB646A"/>
    <w:rsid w:val="00EB6CE5"/>
    <w:rsid w:val="00EC03DB"/>
    <w:rsid w:val="00EC1487"/>
    <w:rsid w:val="00EC289F"/>
    <w:rsid w:val="00EC4853"/>
    <w:rsid w:val="00EC5435"/>
    <w:rsid w:val="00EC64EA"/>
    <w:rsid w:val="00EC7571"/>
    <w:rsid w:val="00EC7737"/>
    <w:rsid w:val="00ED31FE"/>
    <w:rsid w:val="00ED4B3D"/>
    <w:rsid w:val="00ED4E53"/>
    <w:rsid w:val="00ED6625"/>
    <w:rsid w:val="00EE16E2"/>
    <w:rsid w:val="00EE197C"/>
    <w:rsid w:val="00EE3ACB"/>
    <w:rsid w:val="00EF109C"/>
    <w:rsid w:val="00EF3CC0"/>
    <w:rsid w:val="00EF3DE0"/>
    <w:rsid w:val="00EF6D38"/>
    <w:rsid w:val="00F002A8"/>
    <w:rsid w:val="00F00E4B"/>
    <w:rsid w:val="00F0349E"/>
    <w:rsid w:val="00F0596B"/>
    <w:rsid w:val="00F066A8"/>
    <w:rsid w:val="00F06C64"/>
    <w:rsid w:val="00F079AD"/>
    <w:rsid w:val="00F07F97"/>
    <w:rsid w:val="00F109C5"/>
    <w:rsid w:val="00F111CE"/>
    <w:rsid w:val="00F1223E"/>
    <w:rsid w:val="00F13304"/>
    <w:rsid w:val="00F13507"/>
    <w:rsid w:val="00F13E2D"/>
    <w:rsid w:val="00F15977"/>
    <w:rsid w:val="00F21030"/>
    <w:rsid w:val="00F2159F"/>
    <w:rsid w:val="00F23DC0"/>
    <w:rsid w:val="00F25BC7"/>
    <w:rsid w:val="00F26156"/>
    <w:rsid w:val="00F30AB5"/>
    <w:rsid w:val="00F34AAD"/>
    <w:rsid w:val="00F4281D"/>
    <w:rsid w:val="00F4336B"/>
    <w:rsid w:val="00F43991"/>
    <w:rsid w:val="00F45046"/>
    <w:rsid w:val="00F46AE8"/>
    <w:rsid w:val="00F47F13"/>
    <w:rsid w:val="00F512F2"/>
    <w:rsid w:val="00F53351"/>
    <w:rsid w:val="00F5410D"/>
    <w:rsid w:val="00F55B8E"/>
    <w:rsid w:val="00F56A7E"/>
    <w:rsid w:val="00F63D35"/>
    <w:rsid w:val="00F63F95"/>
    <w:rsid w:val="00F67E93"/>
    <w:rsid w:val="00F7619D"/>
    <w:rsid w:val="00F76206"/>
    <w:rsid w:val="00F76997"/>
    <w:rsid w:val="00F82389"/>
    <w:rsid w:val="00F831E0"/>
    <w:rsid w:val="00F84C11"/>
    <w:rsid w:val="00F9121B"/>
    <w:rsid w:val="00F926B8"/>
    <w:rsid w:val="00F92AFB"/>
    <w:rsid w:val="00F96754"/>
    <w:rsid w:val="00FA1118"/>
    <w:rsid w:val="00FA1A06"/>
    <w:rsid w:val="00FA25C5"/>
    <w:rsid w:val="00FA476A"/>
    <w:rsid w:val="00FA4A93"/>
    <w:rsid w:val="00FA5482"/>
    <w:rsid w:val="00FA7184"/>
    <w:rsid w:val="00FB021B"/>
    <w:rsid w:val="00FB0C4F"/>
    <w:rsid w:val="00FB139A"/>
    <w:rsid w:val="00FB13DB"/>
    <w:rsid w:val="00FB1A1D"/>
    <w:rsid w:val="00FB2778"/>
    <w:rsid w:val="00FB4A2B"/>
    <w:rsid w:val="00FB7712"/>
    <w:rsid w:val="00FC088D"/>
    <w:rsid w:val="00FC369F"/>
    <w:rsid w:val="00FC5BD9"/>
    <w:rsid w:val="00FC7CEE"/>
    <w:rsid w:val="00FD02DD"/>
    <w:rsid w:val="00FD189A"/>
    <w:rsid w:val="00FD33D4"/>
    <w:rsid w:val="00FD7268"/>
    <w:rsid w:val="00FD73EF"/>
    <w:rsid w:val="00FE1648"/>
    <w:rsid w:val="00FE25BC"/>
    <w:rsid w:val="00FE2AFB"/>
    <w:rsid w:val="00FE3BF7"/>
    <w:rsid w:val="00FE4ACC"/>
    <w:rsid w:val="00FE5B17"/>
    <w:rsid w:val="00FF0296"/>
    <w:rsid w:val="00FF2AA3"/>
    <w:rsid w:val="00FF3724"/>
    <w:rsid w:val="00FF3AC2"/>
    <w:rsid w:val="00FF76EF"/>
    <w:rsid w:val="017D4281"/>
    <w:rsid w:val="03A2514E"/>
    <w:rsid w:val="03B8766A"/>
    <w:rsid w:val="03E508C3"/>
    <w:rsid w:val="04650DC6"/>
    <w:rsid w:val="04E015D6"/>
    <w:rsid w:val="06782CB2"/>
    <w:rsid w:val="06E10432"/>
    <w:rsid w:val="07257757"/>
    <w:rsid w:val="08E35D68"/>
    <w:rsid w:val="097C3D4B"/>
    <w:rsid w:val="0A325A62"/>
    <w:rsid w:val="0BC0637A"/>
    <w:rsid w:val="0DF86DAE"/>
    <w:rsid w:val="0F6E2F82"/>
    <w:rsid w:val="0F906F06"/>
    <w:rsid w:val="0FEC71AF"/>
    <w:rsid w:val="100C4A16"/>
    <w:rsid w:val="12D914F6"/>
    <w:rsid w:val="12FC720D"/>
    <w:rsid w:val="133C113C"/>
    <w:rsid w:val="135D0EE6"/>
    <w:rsid w:val="13896560"/>
    <w:rsid w:val="14591DCB"/>
    <w:rsid w:val="14694611"/>
    <w:rsid w:val="14792610"/>
    <w:rsid w:val="14CC28DF"/>
    <w:rsid w:val="14CE1A70"/>
    <w:rsid w:val="15775F47"/>
    <w:rsid w:val="16AE592B"/>
    <w:rsid w:val="173506A7"/>
    <w:rsid w:val="17E61685"/>
    <w:rsid w:val="180E2B86"/>
    <w:rsid w:val="186E292F"/>
    <w:rsid w:val="18937BEE"/>
    <w:rsid w:val="189A773F"/>
    <w:rsid w:val="19220EC7"/>
    <w:rsid w:val="19D51ED3"/>
    <w:rsid w:val="1A324503"/>
    <w:rsid w:val="1B1A7868"/>
    <w:rsid w:val="1B553576"/>
    <w:rsid w:val="1CA218C3"/>
    <w:rsid w:val="1CA55ACB"/>
    <w:rsid w:val="1E1F0E46"/>
    <w:rsid w:val="202713BD"/>
    <w:rsid w:val="20F30D2B"/>
    <w:rsid w:val="22502B6A"/>
    <w:rsid w:val="225E6602"/>
    <w:rsid w:val="22BA3402"/>
    <w:rsid w:val="23D345D6"/>
    <w:rsid w:val="23D7155C"/>
    <w:rsid w:val="245145C9"/>
    <w:rsid w:val="24DB4C36"/>
    <w:rsid w:val="26C50880"/>
    <w:rsid w:val="275F7CF1"/>
    <w:rsid w:val="27A30DE1"/>
    <w:rsid w:val="27E46204"/>
    <w:rsid w:val="27E75F71"/>
    <w:rsid w:val="289F0EFF"/>
    <w:rsid w:val="2A595DEB"/>
    <w:rsid w:val="2A641D0E"/>
    <w:rsid w:val="2ABA300C"/>
    <w:rsid w:val="2B800A75"/>
    <w:rsid w:val="2BC61AD7"/>
    <w:rsid w:val="2CCD3855"/>
    <w:rsid w:val="2CF85FA9"/>
    <w:rsid w:val="2D357138"/>
    <w:rsid w:val="2E06377C"/>
    <w:rsid w:val="2E821547"/>
    <w:rsid w:val="2FD504B8"/>
    <w:rsid w:val="2FF82F6E"/>
    <w:rsid w:val="30B74818"/>
    <w:rsid w:val="31C53BCD"/>
    <w:rsid w:val="31F72253"/>
    <w:rsid w:val="32371ADA"/>
    <w:rsid w:val="32675E43"/>
    <w:rsid w:val="332241E4"/>
    <w:rsid w:val="332E0496"/>
    <w:rsid w:val="333A2C00"/>
    <w:rsid w:val="33606515"/>
    <w:rsid w:val="336C7D04"/>
    <w:rsid w:val="3534061C"/>
    <w:rsid w:val="35DE5C42"/>
    <w:rsid w:val="35F958B3"/>
    <w:rsid w:val="365B6FB1"/>
    <w:rsid w:val="38386F9A"/>
    <w:rsid w:val="38C84307"/>
    <w:rsid w:val="3A1F7681"/>
    <w:rsid w:val="3BF25543"/>
    <w:rsid w:val="3D070CD1"/>
    <w:rsid w:val="3D92531E"/>
    <w:rsid w:val="3DE86D76"/>
    <w:rsid w:val="3E934663"/>
    <w:rsid w:val="3ECD1433"/>
    <w:rsid w:val="3F580C1C"/>
    <w:rsid w:val="40171818"/>
    <w:rsid w:val="4392494C"/>
    <w:rsid w:val="43AA1F44"/>
    <w:rsid w:val="441C2A62"/>
    <w:rsid w:val="44597C0F"/>
    <w:rsid w:val="447140BE"/>
    <w:rsid w:val="45394259"/>
    <w:rsid w:val="462A2DA8"/>
    <w:rsid w:val="46B2629D"/>
    <w:rsid w:val="47BE645C"/>
    <w:rsid w:val="47F33BD4"/>
    <w:rsid w:val="481B685D"/>
    <w:rsid w:val="482D5B75"/>
    <w:rsid w:val="49017898"/>
    <w:rsid w:val="492879AB"/>
    <w:rsid w:val="4AB7172F"/>
    <w:rsid w:val="4AD00786"/>
    <w:rsid w:val="4B1F5D09"/>
    <w:rsid w:val="4B99374C"/>
    <w:rsid w:val="4C025735"/>
    <w:rsid w:val="4CA14D5B"/>
    <w:rsid w:val="4D1552C5"/>
    <w:rsid w:val="4DC534EF"/>
    <w:rsid w:val="4F0B2933"/>
    <w:rsid w:val="4F0E2468"/>
    <w:rsid w:val="4F3A1A37"/>
    <w:rsid w:val="508A7B08"/>
    <w:rsid w:val="50AC6367"/>
    <w:rsid w:val="51721EEC"/>
    <w:rsid w:val="525A79B1"/>
    <w:rsid w:val="527F38D0"/>
    <w:rsid w:val="532960A9"/>
    <w:rsid w:val="53884A7A"/>
    <w:rsid w:val="55B715A5"/>
    <w:rsid w:val="567F7E34"/>
    <w:rsid w:val="57ED449A"/>
    <w:rsid w:val="58A96250"/>
    <w:rsid w:val="58ED1F4A"/>
    <w:rsid w:val="5C792792"/>
    <w:rsid w:val="5D320A35"/>
    <w:rsid w:val="5D735FC6"/>
    <w:rsid w:val="5E3274BE"/>
    <w:rsid w:val="5EAB221B"/>
    <w:rsid w:val="5FE8382A"/>
    <w:rsid w:val="5FF233C9"/>
    <w:rsid w:val="618D4A8A"/>
    <w:rsid w:val="627F685F"/>
    <w:rsid w:val="628A27D2"/>
    <w:rsid w:val="62A03D11"/>
    <w:rsid w:val="62E9150A"/>
    <w:rsid w:val="646C2364"/>
    <w:rsid w:val="64CD7A12"/>
    <w:rsid w:val="66315049"/>
    <w:rsid w:val="687A0B9D"/>
    <w:rsid w:val="696C19EE"/>
    <w:rsid w:val="69E42512"/>
    <w:rsid w:val="6A652585"/>
    <w:rsid w:val="6A671A84"/>
    <w:rsid w:val="6AE224ED"/>
    <w:rsid w:val="6B072438"/>
    <w:rsid w:val="6C2732AF"/>
    <w:rsid w:val="6C452DB9"/>
    <w:rsid w:val="6CA572F4"/>
    <w:rsid w:val="6D577108"/>
    <w:rsid w:val="6DB24C30"/>
    <w:rsid w:val="6EE96BBA"/>
    <w:rsid w:val="6F266605"/>
    <w:rsid w:val="6F9D08E8"/>
    <w:rsid w:val="704B6ADF"/>
    <w:rsid w:val="70D8007C"/>
    <w:rsid w:val="71D03290"/>
    <w:rsid w:val="733157CF"/>
    <w:rsid w:val="73873137"/>
    <w:rsid w:val="7456514B"/>
    <w:rsid w:val="75847040"/>
    <w:rsid w:val="77D75F2F"/>
    <w:rsid w:val="77EA7DA7"/>
    <w:rsid w:val="780A0E7F"/>
    <w:rsid w:val="78743CFB"/>
    <w:rsid w:val="792045E2"/>
    <w:rsid w:val="7AC82C41"/>
    <w:rsid w:val="7BB56C05"/>
    <w:rsid w:val="7D18549E"/>
    <w:rsid w:val="7D1E6C50"/>
    <w:rsid w:val="7D7B63EE"/>
    <w:rsid w:val="7E7121C8"/>
    <w:rsid w:val="7E9C4590"/>
    <w:rsid w:val="7F3C1F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1" w:lineRule="atLeast"/>
      <w:ind w:firstLine="419"/>
      <w:jc w:val="both"/>
      <w:textAlignment w:val="baseline"/>
    </w:pPr>
    <w:rPr>
      <w:rFonts w:ascii="Times New Roman" w:hAnsi="Times New Roman" w:eastAsia="宋体" w:cs="Times New Roman"/>
      <w:color w:val="000000"/>
      <w:sz w:val="21"/>
      <w:u w:color="000000"/>
      <w:lang w:val="en-US" w:eastAsia="zh-CN" w:bidi="ar-SA"/>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Body Text First Indent 21"/>
    <w:basedOn w:val="3"/>
    <w:qFormat/>
    <w:uiPriority w:val="0"/>
    <w:pPr>
      <w:ind w:firstLine="420"/>
    </w:pPr>
  </w:style>
  <w:style w:type="paragraph" w:customStyle="1" w:styleId="3">
    <w:name w:val="Body Text Indent1"/>
    <w:basedOn w:val="1"/>
    <w:qFormat/>
    <w:uiPriority w:val="0"/>
    <w:pPr>
      <w:spacing w:after="120"/>
      <w:ind w:left="420" w:leftChars="200"/>
    </w:pPr>
  </w:style>
  <w:style w:type="paragraph" w:styleId="4">
    <w:name w:val="Date"/>
    <w:basedOn w:val="1"/>
    <w:next w:val="1"/>
    <w:link w:val="13"/>
    <w:qFormat/>
    <w:uiPriority w:val="99"/>
    <w:pPr>
      <w:ind w:left="100" w:leftChars="2500"/>
    </w:pPr>
    <w:rPr>
      <w:sz w:val="20"/>
    </w:rPr>
  </w:style>
  <w:style w:type="paragraph" w:styleId="5">
    <w:name w:val="Balloon Text"/>
    <w:basedOn w:val="1"/>
    <w:link w:val="14"/>
    <w:semiHidden/>
    <w:qFormat/>
    <w:uiPriority w:val="99"/>
    <w:rPr>
      <w:sz w:val="2"/>
    </w:rPr>
  </w:style>
  <w:style w:type="paragraph" w:styleId="6">
    <w:name w:val="footer"/>
    <w:basedOn w:val="1"/>
    <w:link w:val="15"/>
    <w:qFormat/>
    <w:uiPriority w:val="99"/>
    <w:pPr>
      <w:tabs>
        <w:tab w:val="center" w:pos="4153"/>
        <w:tab w:val="right" w:pos="8306"/>
      </w:tabs>
      <w:snapToGrid w:val="0"/>
      <w:spacing w:line="240" w:lineRule="atLeast"/>
      <w:jc w:val="left"/>
    </w:pPr>
    <w:rPr>
      <w:sz w:val="18"/>
    </w:rPr>
  </w:style>
  <w:style w:type="paragraph" w:styleId="7">
    <w:name w:val="header"/>
    <w:basedOn w:val="1"/>
    <w:link w:val="16"/>
    <w:qFormat/>
    <w:uiPriority w:val="99"/>
    <w:pPr>
      <w:pBdr>
        <w:bottom w:val="single" w:color="auto" w:sz="6" w:space="1"/>
      </w:pBdr>
      <w:tabs>
        <w:tab w:val="center" w:pos="4153"/>
        <w:tab w:val="right" w:pos="8306"/>
      </w:tabs>
      <w:snapToGrid w:val="0"/>
      <w:spacing w:line="240" w:lineRule="atLeast"/>
      <w:jc w:val="center"/>
    </w:pPr>
    <w:rPr>
      <w:sz w:val="18"/>
    </w:rPr>
  </w:style>
  <w:style w:type="paragraph" w:styleId="8">
    <w:name w:val="Normal (Web)"/>
    <w:basedOn w:val="1"/>
    <w:qFormat/>
    <w:uiPriority w:val="99"/>
    <w:pPr>
      <w:spacing w:before="100" w:beforeAutospacing="1" w:after="100" w:afterAutospacing="1" w:line="240" w:lineRule="auto"/>
      <w:ind w:firstLine="0"/>
      <w:jc w:val="left"/>
      <w:textAlignment w:val="auto"/>
    </w:pPr>
    <w:rPr>
      <w:rFonts w:ascii="宋体" w:hAnsi="宋体" w:cs="宋体"/>
      <w:color w:val="auto"/>
      <w:sz w:val="24"/>
      <w:szCs w:val="24"/>
    </w:rPr>
  </w:style>
  <w:style w:type="character" w:styleId="10">
    <w:name w:val="Strong"/>
    <w:qFormat/>
    <w:uiPriority w:val="99"/>
    <w:rPr>
      <w:rFonts w:cs="Times New Roman"/>
      <w:b/>
    </w:rPr>
  </w:style>
  <w:style w:type="character" w:styleId="11">
    <w:name w:val="page number"/>
    <w:qFormat/>
    <w:uiPriority w:val="99"/>
    <w:rPr>
      <w:rFonts w:cs="Times New Roman"/>
    </w:rPr>
  </w:style>
  <w:style w:type="character" w:customStyle="1" w:styleId="13">
    <w:name w:val="日期 Char"/>
    <w:link w:val="4"/>
    <w:semiHidden/>
    <w:qFormat/>
    <w:locked/>
    <w:uiPriority w:val="99"/>
    <w:rPr>
      <w:color w:val="000000"/>
      <w:kern w:val="0"/>
      <w:sz w:val="20"/>
      <w:u w:color="000000"/>
    </w:rPr>
  </w:style>
  <w:style w:type="character" w:customStyle="1" w:styleId="14">
    <w:name w:val="批注框文本 Char"/>
    <w:link w:val="5"/>
    <w:semiHidden/>
    <w:qFormat/>
    <w:locked/>
    <w:uiPriority w:val="99"/>
    <w:rPr>
      <w:color w:val="000000"/>
      <w:kern w:val="0"/>
      <w:sz w:val="2"/>
      <w:u w:color="000000"/>
    </w:rPr>
  </w:style>
  <w:style w:type="character" w:customStyle="1" w:styleId="15">
    <w:name w:val="页脚 Char"/>
    <w:link w:val="6"/>
    <w:qFormat/>
    <w:locked/>
    <w:uiPriority w:val="99"/>
    <w:rPr>
      <w:color w:val="000000"/>
      <w:sz w:val="18"/>
      <w:u w:color="000000"/>
    </w:rPr>
  </w:style>
  <w:style w:type="character" w:customStyle="1" w:styleId="16">
    <w:name w:val="页眉 Char"/>
    <w:link w:val="7"/>
    <w:qFormat/>
    <w:locked/>
    <w:uiPriority w:val="99"/>
    <w:rPr>
      <w:color w:val="000000"/>
      <w:sz w:val="18"/>
      <w:u w:color="000000"/>
    </w:rPr>
  </w:style>
  <w:style w:type="character" w:customStyle="1" w:styleId="17">
    <w:name w:val="链接"/>
    <w:qFormat/>
    <w:uiPriority w:val="99"/>
    <w:rPr>
      <w:rFonts w:ascii="Times New Roman" w:eastAsia="宋体"/>
      <w:color w:val="0000FF"/>
      <w:sz w:val="21"/>
      <w:u w:val="single" w:color="0000FF"/>
      <w:vertAlign w:val="baseline"/>
      <w:lang w:val="en-US" w:eastAsia="zh-CN"/>
    </w:rPr>
  </w:style>
  <w:style w:type="paragraph" w:styleId="18">
    <w:name w:val="List Paragraph"/>
    <w:basedOn w:val="1"/>
    <w:qFormat/>
    <w:uiPriority w:val="99"/>
    <w:pPr>
      <w:ind w:firstLine="420" w:firstLineChars="200"/>
    </w:pPr>
  </w:style>
  <w:style w:type="paragraph" w:customStyle="1" w:styleId="19">
    <w:name w:val="Char"/>
    <w:basedOn w:val="1"/>
    <w:qFormat/>
    <w:uiPriority w:val="99"/>
    <w:pPr>
      <w:widowControl w:val="0"/>
      <w:spacing w:line="240" w:lineRule="auto"/>
      <w:ind w:firstLine="0"/>
      <w:textAlignment w:val="auto"/>
    </w:pPr>
    <w:rPr>
      <w:color w:val="auto"/>
      <w:kern w:val="2"/>
      <w:szCs w:val="24"/>
    </w:rPr>
  </w:style>
  <w:style w:type="paragraph" w:styleId="20">
    <w:name w:val="No Spacing"/>
    <w:link w:val="21"/>
    <w:qFormat/>
    <w:uiPriority w:val="99"/>
    <w:rPr>
      <w:rFonts w:ascii="Calibri" w:hAnsi="Calibri" w:eastAsia="宋体" w:cs="Times New Roman"/>
      <w:sz w:val="22"/>
      <w:lang w:val="en-US" w:eastAsia="zh-CN" w:bidi="ar-SA"/>
    </w:rPr>
  </w:style>
  <w:style w:type="character" w:customStyle="1" w:styleId="21">
    <w:name w:val="无间隔 Char"/>
    <w:link w:val="20"/>
    <w:qFormat/>
    <w:locked/>
    <w:uiPriority w:val="99"/>
    <w:rPr>
      <w:rFonts w:ascii="Calibri" w:hAnsi="Calibri"/>
      <w:sz w:val="22"/>
      <w:lang w:val="en-US" w:eastAsia="zh-CN"/>
    </w:rPr>
  </w:style>
  <w:style w:type="paragraph" w:customStyle="1" w:styleId="22">
    <w:name w:val="p0"/>
    <w:basedOn w:val="1"/>
    <w:qFormat/>
    <w:uiPriority w:val="99"/>
    <w:pPr>
      <w:widowControl/>
      <w:spacing w:line="240" w:lineRule="atLeast"/>
    </w:pPr>
    <w:rPr>
      <w:rFonts w:ascii="仿宋_GB2312" w:hAnsi="仿宋_GB2312"/>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261C5E-A76E-41E0-849C-12913C93D733}">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2595</Words>
  <Characters>3364</Characters>
  <Lines>17</Lines>
  <Paragraphs>4</Paragraphs>
  <TotalTime>82</TotalTime>
  <ScaleCrop>false</ScaleCrop>
  <LinksUpToDate>false</LinksUpToDate>
  <CharactersWithSpaces>3381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2015-11-12T08:49:00Z</dcterms:created>
  <dc:creator>Lenovo User</dc:creator>
  <cp:lastModifiedBy>崋</cp:lastModifiedBy>
  <cp:lastPrinted>2022-12-13T08:54:00Z</cp:lastPrinted>
  <dcterms:modified xsi:type="dcterms:W3CDTF">2023-05-11T14:43:34Z</dcterms:modified>
  <dc:title>1、各业务科应继续督促预算单位对历年经常性和专项的结转和结余资金进行明细核算和逐项分类清查</dc:title>
  <cp:revision>321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271B07E483D548198FFD3EF6873388EB</vt:lpwstr>
  </property>
</Properties>
</file>