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rPr>
          <w:rStyle w:val="15"/>
          <w:rFonts w:hint="eastAsia" w:ascii="宋体" w:hAnsi="宋体" w:eastAsia="宋体" w:cs="宋体"/>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竹岐乡政府财政运行情况综合绩效项目</w:t>
      </w:r>
    </w:p>
    <w:p>
      <w:pPr>
        <w:jc w:val="center"/>
        <w:rPr>
          <w:rFonts w:hint="eastAsia" w:ascii="宋体" w:hAnsi="宋体" w:eastAsia="宋体" w:cs="宋体"/>
          <w:b/>
          <w:bCs/>
          <w:sz w:val="44"/>
          <w:szCs w:val="44"/>
        </w:rPr>
      </w:pPr>
      <w:r>
        <w:rPr>
          <w:rFonts w:hint="eastAsia" w:ascii="宋体" w:hAnsi="宋体" w:eastAsia="宋体" w:cs="宋体"/>
          <w:b/>
          <w:bCs/>
          <w:sz w:val="44"/>
          <w:szCs w:val="44"/>
        </w:rPr>
        <w:t>绩效评价报告</w:t>
      </w:r>
    </w:p>
    <w:p>
      <w:pPr>
        <w:jc w:val="center"/>
        <w:rPr>
          <w:rFonts w:hint="eastAsia" w:ascii="宋体" w:hAnsi="宋体" w:eastAsia="宋体" w:cs="宋体"/>
          <w:b w:val="0"/>
          <w:bCs w:val="0"/>
          <w:sz w:val="28"/>
          <w:szCs w:val="28"/>
          <w:lang w:val="en-US" w:eastAsia="zh-CN"/>
        </w:rPr>
      </w:pPr>
    </w:p>
    <w:p>
      <w:pPr>
        <w:jc w:val="center"/>
        <w:rPr>
          <w:rFonts w:hint="eastAsia" w:ascii="宋体" w:hAnsi="宋体" w:eastAsia="宋体" w:cs="宋体"/>
          <w:sz w:val="44"/>
          <w:szCs w:val="44"/>
        </w:rPr>
      </w:pPr>
      <w:r>
        <w:rPr>
          <w:rFonts w:hint="eastAsia" w:ascii="宋体" w:hAnsi="宋体" w:eastAsia="宋体" w:cs="宋体"/>
          <w:b/>
          <w:bCs/>
          <w:sz w:val="28"/>
          <w:szCs w:val="28"/>
        </w:rPr>
        <w:t>福征安绩〔202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MH07</w:t>
      </w:r>
      <w:r>
        <w:rPr>
          <w:rFonts w:hint="eastAsia" w:ascii="宋体" w:hAnsi="宋体" w:eastAsia="宋体" w:cs="宋体"/>
          <w:b/>
          <w:bCs/>
          <w:sz w:val="28"/>
          <w:szCs w:val="28"/>
        </w:rPr>
        <w:t>-0</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号</w:t>
      </w:r>
    </w:p>
    <w:p>
      <w:pPr>
        <w:spacing w:line="360" w:lineRule="auto"/>
        <w:ind w:firstLine="482"/>
        <w:rPr>
          <w:rFonts w:hint="eastAsia" w:ascii="宋体" w:hAnsi="宋体" w:eastAsia="宋体" w:cs="宋体"/>
          <w:sz w:val="24"/>
        </w:rPr>
      </w:pPr>
    </w:p>
    <w:p>
      <w:pPr>
        <w:spacing w:line="360" w:lineRule="auto"/>
        <w:ind w:firstLine="482"/>
        <w:rPr>
          <w:rFonts w:hint="eastAsia" w:ascii="宋体" w:hAnsi="宋体" w:eastAsia="宋体" w:cs="宋体"/>
          <w:sz w:val="24"/>
        </w:rPr>
      </w:pPr>
    </w:p>
    <w:p>
      <w:pPr>
        <w:spacing w:line="360" w:lineRule="auto"/>
        <w:ind w:firstLine="482"/>
        <w:rPr>
          <w:rFonts w:hint="eastAsia" w:ascii="宋体" w:hAnsi="宋体" w:eastAsia="宋体" w:cs="宋体"/>
          <w:sz w:val="24"/>
        </w:rPr>
      </w:pPr>
    </w:p>
    <w:p>
      <w:pPr>
        <w:spacing w:line="360" w:lineRule="auto"/>
        <w:ind w:firstLine="482"/>
        <w:rPr>
          <w:rFonts w:hint="eastAsia" w:ascii="宋体" w:hAnsi="宋体" w:eastAsia="宋体" w:cs="宋体"/>
          <w:sz w:val="24"/>
        </w:rPr>
      </w:pPr>
    </w:p>
    <w:p>
      <w:pPr>
        <w:spacing w:line="360" w:lineRule="auto"/>
        <w:ind w:firstLine="482"/>
        <w:rPr>
          <w:rFonts w:hint="eastAsia" w:ascii="宋体" w:hAnsi="宋体" w:eastAsia="宋体" w:cs="宋体"/>
          <w:sz w:val="24"/>
        </w:rPr>
      </w:pPr>
    </w:p>
    <w:p>
      <w:pPr>
        <w:spacing w:line="360" w:lineRule="auto"/>
        <w:ind w:firstLine="482"/>
        <w:rPr>
          <w:rFonts w:hint="eastAsia" w:ascii="宋体" w:hAnsi="宋体" w:eastAsia="宋体" w:cs="宋体"/>
          <w:sz w:val="24"/>
        </w:rPr>
      </w:pPr>
    </w:p>
    <w:tbl>
      <w:tblPr>
        <w:tblStyle w:val="10"/>
        <w:tblW w:w="0" w:type="auto"/>
        <w:tblInd w:w="0" w:type="dxa"/>
        <w:tblLayout w:type="fixed"/>
        <w:tblCellMar>
          <w:top w:w="0" w:type="dxa"/>
          <w:left w:w="108" w:type="dxa"/>
          <w:bottom w:w="0" w:type="dxa"/>
          <w:right w:w="108" w:type="dxa"/>
        </w:tblCellMar>
      </w:tblPr>
      <w:tblGrid>
        <w:gridCol w:w="2127"/>
        <w:gridCol w:w="6169"/>
      </w:tblGrid>
      <w:tr>
        <w:tblPrEx>
          <w:tblCellMar>
            <w:top w:w="0" w:type="dxa"/>
            <w:left w:w="108" w:type="dxa"/>
            <w:bottom w:w="0" w:type="dxa"/>
            <w:right w:w="108" w:type="dxa"/>
          </w:tblCellMar>
        </w:tblPrEx>
        <w:tc>
          <w:tcPr>
            <w:tcW w:w="2127" w:type="dxa"/>
            <w:noWrap w:val="0"/>
            <w:vAlign w:val="top"/>
          </w:tcPr>
          <w:p>
            <w:pPr>
              <w:jc w:val="distribute"/>
              <w:rPr>
                <w:rFonts w:hint="eastAsia" w:ascii="宋体" w:hAnsi="宋体" w:eastAsia="宋体" w:cs="宋体"/>
                <w:sz w:val="28"/>
                <w:szCs w:val="28"/>
              </w:rPr>
            </w:pPr>
            <w:r>
              <w:rPr>
                <w:rFonts w:hint="eastAsia" w:ascii="宋体" w:hAnsi="宋体" w:eastAsia="宋体" w:cs="宋体"/>
                <w:sz w:val="28"/>
                <w:szCs w:val="28"/>
              </w:rPr>
              <w:t>单 位 名 称：</w:t>
            </w:r>
          </w:p>
        </w:tc>
        <w:tc>
          <w:tcPr>
            <w:tcW w:w="6169" w:type="dxa"/>
            <w:tcBorders>
              <w:bottom w:val="single" w:color="auto" w:sz="4" w:space="0"/>
            </w:tcBorders>
            <w:noWrap w:val="0"/>
            <w:vAlign w:val="top"/>
          </w:tcPr>
          <w:p>
            <w:pPr>
              <w:jc w:val="center"/>
              <w:rPr>
                <w:rFonts w:hint="eastAsia" w:ascii="宋体" w:hAnsi="宋体" w:eastAsia="宋体" w:cs="宋体"/>
                <w:sz w:val="28"/>
                <w:szCs w:val="28"/>
                <w:lang w:eastAsia="zh-CN"/>
              </w:rPr>
            </w:pPr>
            <w:r>
              <w:rPr>
                <w:rFonts w:hint="eastAsia" w:ascii="宋体" w:hAnsi="宋体" w:eastAsia="宋体" w:cs="宋体"/>
                <w:b w:val="0"/>
                <w:bCs w:val="0"/>
                <w:sz w:val="28"/>
                <w:szCs w:val="28"/>
              </w:rPr>
              <w:t>竹岐乡</w:t>
            </w:r>
            <w:r>
              <w:rPr>
                <w:rFonts w:hint="eastAsia" w:ascii="宋体" w:hAnsi="宋体" w:eastAsia="宋体" w:cs="宋体"/>
                <w:b w:val="0"/>
                <w:bCs w:val="0"/>
                <w:sz w:val="28"/>
                <w:szCs w:val="28"/>
                <w:lang w:val="en-US" w:eastAsia="zh-CN"/>
              </w:rPr>
              <w:t>人民</w:t>
            </w:r>
            <w:r>
              <w:rPr>
                <w:rFonts w:hint="eastAsia" w:ascii="宋体" w:hAnsi="宋体" w:eastAsia="宋体" w:cs="宋体"/>
                <w:b w:val="0"/>
                <w:bCs w:val="0"/>
                <w:sz w:val="28"/>
                <w:szCs w:val="28"/>
              </w:rPr>
              <w:t>政府</w:t>
            </w:r>
          </w:p>
        </w:tc>
      </w:tr>
      <w:tr>
        <w:tblPrEx>
          <w:tblCellMar>
            <w:top w:w="0" w:type="dxa"/>
            <w:left w:w="108" w:type="dxa"/>
            <w:bottom w:w="0" w:type="dxa"/>
            <w:right w:w="108" w:type="dxa"/>
          </w:tblCellMar>
        </w:tblPrEx>
        <w:tc>
          <w:tcPr>
            <w:tcW w:w="2127" w:type="dxa"/>
            <w:noWrap w:val="0"/>
            <w:vAlign w:val="top"/>
          </w:tcPr>
          <w:p>
            <w:pPr>
              <w:jc w:val="distribute"/>
              <w:rPr>
                <w:rFonts w:hint="eastAsia" w:ascii="宋体" w:hAnsi="宋体" w:eastAsia="宋体" w:cs="宋体"/>
                <w:sz w:val="28"/>
                <w:szCs w:val="28"/>
              </w:rPr>
            </w:pPr>
            <w:r>
              <w:rPr>
                <w:rFonts w:hint="eastAsia" w:ascii="宋体" w:hAnsi="宋体" w:eastAsia="宋体" w:cs="宋体"/>
                <w:sz w:val="28"/>
                <w:szCs w:val="28"/>
              </w:rPr>
              <w:t>评 价 年 度：</w:t>
            </w:r>
          </w:p>
        </w:tc>
        <w:tc>
          <w:tcPr>
            <w:tcW w:w="6169" w:type="dxa"/>
            <w:tcBorders>
              <w:top w:val="single" w:color="auto" w:sz="4" w:space="0"/>
              <w:bottom w:val="single" w:color="auto" w:sz="4" w:space="0"/>
            </w:tcBorders>
            <w:noWrap w:val="0"/>
            <w:vAlign w:val="top"/>
          </w:tcPr>
          <w:p>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年度</w:t>
            </w:r>
          </w:p>
        </w:tc>
      </w:tr>
      <w:tr>
        <w:tblPrEx>
          <w:tblCellMar>
            <w:top w:w="0" w:type="dxa"/>
            <w:left w:w="108" w:type="dxa"/>
            <w:bottom w:w="0" w:type="dxa"/>
            <w:right w:w="108" w:type="dxa"/>
          </w:tblCellMar>
        </w:tblPrEx>
        <w:tc>
          <w:tcPr>
            <w:tcW w:w="2127" w:type="dxa"/>
            <w:noWrap w:val="0"/>
            <w:vAlign w:val="top"/>
          </w:tcPr>
          <w:p>
            <w:pPr>
              <w:jc w:val="distribut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评价项目</w:t>
            </w:r>
          </w:p>
        </w:tc>
        <w:tc>
          <w:tcPr>
            <w:tcW w:w="6169" w:type="dxa"/>
            <w:tcBorders>
              <w:top w:val="single" w:color="auto" w:sz="4" w:space="0"/>
              <w:bottom w:val="single" w:color="auto" w:sz="4" w:space="0"/>
            </w:tcBorders>
            <w:noWrap w:val="0"/>
            <w:vAlign w:val="top"/>
          </w:tcPr>
          <w:p>
            <w:pPr>
              <w:jc w:val="center"/>
              <w:rPr>
                <w:rFonts w:hint="eastAsia" w:ascii="宋体" w:hAnsi="宋体" w:eastAsia="宋体" w:cs="宋体"/>
                <w:sz w:val="28"/>
                <w:szCs w:val="28"/>
                <w:lang w:val="en-US" w:eastAsia="zh-CN"/>
              </w:rPr>
            </w:pPr>
            <w:r>
              <w:rPr>
                <w:rFonts w:hint="eastAsia" w:ascii="宋体" w:hAnsi="宋体" w:eastAsia="宋体" w:cs="宋体"/>
                <w:b w:val="0"/>
                <w:bCs w:val="0"/>
                <w:sz w:val="28"/>
                <w:szCs w:val="28"/>
              </w:rPr>
              <w:t>财政运行情况综合绩效项目</w:t>
            </w:r>
          </w:p>
        </w:tc>
      </w:tr>
      <w:tr>
        <w:tblPrEx>
          <w:tblCellMar>
            <w:top w:w="0" w:type="dxa"/>
            <w:left w:w="108" w:type="dxa"/>
            <w:bottom w:w="0" w:type="dxa"/>
            <w:right w:w="108" w:type="dxa"/>
          </w:tblCellMar>
        </w:tblPrEx>
        <w:tc>
          <w:tcPr>
            <w:tcW w:w="2127" w:type="dxa"/>
            <w:noWrap w:val="0"/>
            <w:vAlign w:val="top"/>
          </w:tcPr>
          <w:p>
            <w:pPr>
              <w:jc w:val="distribute"/>
              <w:rPr>
                <w:rFonts w:hint="eastAsia" w:ascii="宋体" w:hAnsi="宋体" w:eastAsia="宋体" w:cs="宋体"/>
                <w:kern w:val="2"/>
                <w:sz w:val="28"/>
                <w:szCs w:val="28"/>
                <w:lang w:val="en-US" w:eastAsia="zh-CN" w:bidi="ar-SA"/>
              </w:rPr>
            </w:pPr>
            <w:r>
              <w:rPr>
                <w:rFonts w:hint="eastAsia" w:ascii="宋体" w:hAnsi="宋体" w:eastAsia="宋体" w:cs="宋体"/>
                <w:sz w:val="28"/>
                <w:szCs w:val="28"/>
              </w:rPr>
              <w:t>评 价 机 构：</w:t>
            </w:r>
          </w:p>
        </w:tc>
        <w:tc>
          <w:tcPr>
            <w:tcW w:w="6169" w:type="dxa"/>
            <w:tcBorders>
              <w:top w:val="single" w:color="auto" w:sz="4" w:space="0"/>
              <w:bottom w:val="single" w:color="auto" w:sz="4" w:space="0"/>
            </w:tcBorders>
            <w:noWrap w:val="0"/>
            <w:vAlign w:val="top"/>
          </w:tcPr>
          <w:p>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福建征安会计师事务所（普通合伙）</w:t>
            </w:r>
          </w:p>
        </w:tc>
      </w:tr>
    </w:tbl>
    <w:p>
      <w:pPr>
        <w:ind w:firstLine="480"/>
        <w:rPr>
          <w:rFonts w:hint="eastAsia" w:ascii="宋体" w:hAnsi="宋体" w:eastAsia="宋体" w:cs="宋体"/>
        </w:rPr>
      </w:pPr>
    </w:p>
    <w:p>
      <w:pPr>
        <w:spacing w:line="360" w:lineRule="auto"/>
        <w:ind w:firstLine="480"/>
        <w:rPr>
          <w:rFonts w:hint="eastAsia" w:ascii="宋体" w:hAnsi="宋体" w:eastAsia="宋体" w:cs="宋体"/>
        </w:rPr>
      </w:pPr>
    </w:p>
    <w:p>
      <w:pPr>
        <w:spacing w:line="360" w:lineRule="auto"/>
        <w:ind w:firstLine="480"/>
        <w:rPr>
          <w:rFonts w:hint="eastAsia" w:ascii="宋体" w:hAnsi="宋体" w:eastAsia="宋体" w:cs="宋体"/>
        </w:rPr>
      </w:pPr>
    </w:p>
    <w:p>
      <w:pPr>
        <w:spacing w:line="360" w:lineRule="auto"/>
        <w:ind w:firstLine="480"/>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24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2023年1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lang w:val="en-US" w:eastAsia="zh-CN"/>
        </w:rPr>
        <w:t>日</w:t>
      </w:r>
    </w:p>
    <w:p>
      <w:pPr>
        <w:jc w:val="both"/>
        <w:rPr>
          <w:rFonts w:hint="eastAsia" w:ascii="宋体" w:hAnsi="宋体" w:eastAsia="宋体" w:cs="宋体"/>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目  录</w:t>
      </w:r>
    </w:p>
    <w:p>
      <w:pPr>
        <w:spacing w:line="360" w:lineRule="auto"/>
        <w:jc w:val="center"/>
        <w:rPr>
          <w:rFonts w:hint="eastAsia" w:ascii="宋体" w:hAnsi="宋体" w:eastAsia="宋体" w:cs="宋体"/>
          <w:b/>
          <w:sz w:val="24"/>
        </w:rPr>
      </w:pPr>
    </w:p>
    <w:p>
      <w:pPr>
        <w:pStyle w:val="7"/>
        <w:tabs>
          <w:tab w:val="right" w:leader="dot" w:pos="8392"/>
          <w:tab w:val="clear" w:pos="8777"/>
        </w:tabs>
        <w:spacing w:line="440" w:lineRule="atLeast"/>
        <w:rPr>
          <w:rFonts w:hint="eastAsia" w:ascii="宋体" w:hAnsi="宋体" w:eastAsia="宋体" w:cs="宋体"/>
          <w:sz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TOC \o "1-2" \h \z \u </w:instrText>
      </w:r>
      <w:r>
        <w:rPr>
          <w:rFonts w:hint="eastAsia" w:ascii="宋体" w:hAnsi="宋体" w:eastAsia="宋体" w:cs="宋体"/>
          <w:b/>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_Toc29721 </w:instrText>
      </w:r>
      <w:r>
        <w:rPr>
          <w:rFonts w:hint="eastAsia" w:ascii="宋体" w:hAnsi="宋体" w:eastAsia="宋体" w:cs="宋体"/>
          <w:sz w:val="24"/>
          <w:szCs w:val="24"/>
        </w:rPr>
        <w:fldChar w:fldCharType="separate"/>
      </w:r>
      <w:r>
        <w:rPr>
          <w:rFonts w:hint="eastAsia" w:ascii="宋体" w:hAnsi="宋体" w:eastAsia="宋体" w:cs="宋体"/>
          <w:sz w:val="24"/>
        </w:rPr>
        <w:t>一、 部门概况</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_Toc29721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_Toc26361 </w:instrText>
      </w:r>
      <w:r>
        <w:rPr>
          <w:rFonts w:hint="eastAsia" w:ascii="宋体" w:hAnsi="宋体" w:eastAsia="宋体" w:cs="宋体"/>
          <w:sz w:val="24"/>
          <w:szCs w:val="24"/>
        </w:rPr>
        <w:fldChar w:fldCharType="separate"/>
      </w:r>
      <w:r>
        <w:rPr>
          <w:rFonts w:hint="eastAsia" w:ascii="宋体" w:hAnsi="宋体" w:eastAsia="宋体" w:cs="宋体"/>
          <w:sz w:val="24"/>
          <w:lang w:val="en-US" w:eastAsia="zh-CN"/>
        </w:rPr>
        <w:t>(一)基本概况</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_Toc26361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_Toc30337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sz w:val="24"/>
          <w:lang w:val="en-US" w:eastAsia="zh-CN"/>
        </w:rPr>
        <w:t>二</w:t>
      </w:r>
      <w:r>
        <w:rPr>
          <w:rFonts w:hint="eastAsia" w:ascii="宋体" w:hAnsi="宋体" w:eastAsia="宋体" w:cs="宋体"/>
          <w:sz w:val="24"/>
          <w:lang w:eastAsia="zh-CN"/>
        </w:rPr>
        <w:t>）中共闽侯县竹岐乡委员会、闽侯县竹岐乡人民政府主要职责</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_Toc30337 \h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_Toc24808 </w:instrText>
      </w:r>
      <w:r>
        <w:rPr>
          <w:rFonts w:hint="eastAsia" w:ascii="宋体" w:hAnsi="宋体" w:eastAsia="宋体" w:cs="宋体"/>
          <w:sz w:val="24"/>
          <w:szCs w:val="24"/>
        </w:rPr>
        <w:fldChar w:fldCharType="separate"/>
      </w: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）党政内设机构：竹岐乡设置6个党政内设机构</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_Toc24808 \h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_Toc8805 </w:instrText>
      </w:r>
      <w:r>
        <w:rPr>
          <w:rFonts w:hint="eastAsia" w:ascii="宋体" w:hAnsi="宋体" w:eastAsia="宋体" w:cs="宋体"/>
          <w:sz w:val="24"/>
          <w:szCs w:val="24"/>
        </w:rPr>
        <w:fldChar w:fldCharType="separate"/>
      </w:r>
      <w:r>
        <w:rPr>
          <w:rFonts w:hint="eastAsia" w:ascii="宋体" w:hAnsi="宋体" w:eastAsia="宋体" w:cs="宋体"/>
          <w:sz w:val="24"/>
          <w:lang w:val="en-US" w:eastAsia="zh-CN"/>
        </w:rPr>
        <w:t>（四）</w:t>
      </w:r>
      <w:r>
        <w:rPr>
          <w:rFonts w:hint="eastAsia" w:ascii="宋体" w:hAnsi="宋体" w:eastAsia="宋体" w:cs="宋体"/>
          <w:sz w:val="24"/>
          <w:lang w:eastAsia="zh-CN"/>
        </w:rPr>
        <w:t>事业机构</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_Toc8805 \h </w:instrText>
      </w:r>
      <w:r>
        <w:rPr>
          <w:rFonts w:hint="eastAsia" w:ascii="宋体" w:hAnsi="宋体" w:eastAsia="宋体" w:cs="宋体"/>
          <w:sz w:val="24"/>
        </w:rPr>
        <w:fldChar w:fldCharType="separate"/>
      </w:r>
      <w:r>
        <w:rPr>
          <w:rFonts w:hint="eastAsia" w:ascii="宋体" w:hAnsi="宋体" w:eastAsia="宋体" w:cs="宋体"/>
          <w:sz w:val="24"/>
        </w:rPr>
        <w:t>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_Toc14534 </w:instrText>
      </w:r>
      <w:r>
        <w:rPr>
          <w:rFonts w:hint="eastAsia" w:ascii="宋体" w:hAnsi="宋体" w:eastAsia="宋体" w:cs="宋体"/>
          <w:sz w:val="24"/>
          <w:szCs w:val="24"/>
        </w:rPr>
        <w:fldChar w:fldCharType="separate"/>
      </w:r>
      <w:r>
        <w:rPr>
          <w:rFonts w:hint="eastAsia" w:ascii="宋体" w:hAnsi="宋体" w:eastAsia="宋体" w:cs="宋体"/>
          <w:sz w:val="24"/>
          <w:lang w:val="en-US" w:eastAsia="zh-CN"/>
        </w:rPr>
        <w:t>（五）</w:t>
      </w:r>
      <w:r>
        <w:rPr>
          <w:rFonts w:hint="eastAsia" w:ascii="宋体" w:hAnsi="宋体" w:eastAsia="宋体" w:cs="宋体"/>
          <w:sz w:val="24"/>
          <w:lang w:eastAsia="zh-CN"/>
        </w:rPr>
        <w:t>其他事项</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_Toc14534 \h </w:instrText>
      </w:r>
      <w:r>
        <w:rPr>
          <w:rFonts w:hint="eastAsia" w:ascii="宋体" w:hAnsi="宋体" w:eastAsia="宋体" w:cs="宋体"/>
          <w:sz w:val="24"/>
        </w:rPr>
        <w:fldChar w:fldCharType="separate"/>
      </w:r>
      <w:r>
        <w:rPr>
          <w:rFonts w:hint="eastAsia" w:ascii="宋体" w:hAnsi="宋体" w:eastAsia="宋体" w:cs="宋体"/>
          <w:sz w:val="24"/>
        </w:rPr>
        <w:t>5</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_Toc3655 </w:instrText>
      </w:r>
      <w:r>
        <w:rPr>
          <w:rFonts w:hint="eastAsia" w:ascii="宋体" w:hAnsi="宋体" w:eastAsia="宋体" w:cs="宋体"/>
          <w:sz w:val="24"/>
          <w:szCs w:val="24"/>
        </w:rPr>
        <w:fldChar w:fldCharType="separate"/>
      </w:r>
      <w:r>
        <w:rPr>
          <w:rFonts w:hint="eastAsia" w:ascii="宋体" w:hAnsi="宋体" w:eastAsia="宋体" w:cs="宋体"/>
          <w:sz w:val="24"/>
        </w:rPr>
        <w:t>（</w:t>
      </w:r>
      <w:r>
        <w:rPr>
          <w:rFonts w:hint="eastAsia" w:ascii="宋体" w:hAnsi="宋体" w:eastAsia="宋体" w:cs="宋体"/>
          <w:sz w:val="24"/>
          <w:lang w:val="en-US" w:eastAsia="zh-CN"/>
        </w:rPr>
        <w:t>六</w:t>
      </w:r>
      <w:r>
        <w:rPr>
          <w:rFonts w:hint="eastAsia" w:ascii="宋体" w:hAnsi="宋体" w:eastAsia="宋体" w:cs="宋体"/>
          <w:sz w:val="24"/>
        </w:rPr>
        <w:t>）</w:t>
      </w:r>
      <w:r>
        <w:rPr>
          <w:rFonts w:hint="eastAsia" w:ascii="宋体" w:hAnsi="宋体" w:eastAsia="宋体" w:cs="宋体"/>
          <w:sz w:val="24"/>
          <w:lang w:eastAsia="zh-CN"/>
        </w:rPr>
        <w:t>2022年</w:t>
      </w:r>
      <w:r>
        <w:rPr>
          <w:rFonts w:hint="eastAsia" w:ascii="宋体" w:hAnsi="宋体" w:eastAsia="宋体" w:cs="宋体"/>
          <w:sz w:val="24"/>
        </w:rPr>
        <w:t>度</w:t>
      </w:r>
      <w:r>
        <w:rPr>
          <w:rFonts w:hint="eastAsia" w:ascii="宋体" w:hAnsi="宋体" w:eastAsia="宋体" w:cs="宋体"/>
          <w:sz w:val="24"/>
          <w:lang w:eastAsia="zh-CN"/>
        </w:rPr>
        <w:t>竹岐乡人民政府</w:t>
      </w:r>
      <w:r>
        <w:rPr>
          <w:rFonts w:hint="eastAsia" w:ascii="宋体" w:hAnsi="宋体" w:eastAsia="宋体" w:cs="宋体"/>
          <w:sz w:val="24"/>
        </w:rPr>
        <w:t>财政</w:t>
      </w:r>
      <w:r>
        <w:rPr>
          <w:rFonts w:hint="eastAsia" w:ascii="宋体" w:hAnsi="宋体" w:eastAsia="宋体" w:cs="宋体"/>
          <w:sz w:val="24"/>
          <w:lang w:val="en-US" w:eastAsia="zh-CN"/>
        </w:rPr>
        <w:t>收支预算执行</w:t>
      </w:r>
      <w:r>
        <w:rPr>
          <w:rFonts w:hint="eastAsia" w:ascii="宋体" w:hAnsi="宋体" w:eastAsia="宋体" w:cs="宋体"/>
          <w:sz w:val="24"/>
        </w:rPr>
        <w:t>情况</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_Toc3655 \h </w:instrText>
      </w:r>
      <w:r>
        <w:rPr>
          <w:rFonts w:hint="eastAsia" w:ascii="宋体" w:hAnsi="宋体" w:eastAsia="宋体" w:cs="宋体"/>
          <w:sz w:val="24"/>
        </w:rPr>
        <w:fldChar w:fldCharType="separate"/>
      </w:r>
      <w:r>
        <w:rPr>
          <w:rFonts w:hint="eastAsia" w:ascii="宋体" w:hAnsi="宋体" w:eastAsia="宋体" w:cs="宋体"/>
          <w:sz w:val="24"/>
        </w:rPr>
        <w:t>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7"/>
        <w:tabs>
          <w:tab w:val="right" w:leader="dot" w:pos="8392"/>
          <w:tab w:val="clear" w:pos="8777"/>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_Toc2114 </w:instrText>
      </w:r>
      <w:r>
        <w:rPr>
          <w:rFonts w:hint="eastAsia" w:ascii="宋体" w:hAnsi="宋体" w:eastAsia="宋体" w:cs="宋体"/>
          <w:sz w:val="24"/>
          <w:szCs w:val="24"/>
        </w:rPr>
        <w:fldChar w:fldCharType="separate"/>
      </w:r>
      <w:r>
        <w:rPr>
          <w:rFonts w:hint="eastAsia" w:ascii="宋体" w:hAnsi="宋体" w:eastAsia="宋体" w:cs="宋体"/>
          <w:sz w:val="24"/>
        </w:rPr>
        <w:t>二、绩效评价的组织实施情况</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_Toc2114 \h </w:instrText>
      </w:r>
      <w:r>
        <w:rPr>
          <w:rFonts w:hint="eastAsia" w:ascii="宋体" w:hAnsi="宋体" w:eastAsia="宋体" w:cs="宋体"/>
          <w:sz w:val="24"/>
        </w:rPr>
        <w:fldChar w:fldCharType="separate"/>
      </w:r>
      <w:r>
        <w:rPr>
          <w:rFonts w:hint="eastAsia" w:ascii="宋体" w:hAnsi="宋体" w:eastAsia="宋体" w:cs="宋体"/>
          <w:sz w:val="24"/>
        </w:rPr>
        <w:t>13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_Toc7563 </w:instrText>
      </w:r>
      <w:r>
        <w:rPr>
          <w:rFonts w:hint="eastAsia" w:ascii="宋体" w:hAnsi="宋体" w:eastAsia="宋体" w:cs="宋体"/>
          <w:sz w:val="24"/>
          <w:szCs w:val="24"/>
        </w:rPr>
        <w:fldChar w:fldCharType="separate"/>
      </w:r>
      <w:r>
        <w:rPr>
          <w:rFonts w:hint="eastAsia" w:ascii="宋体" w:hAnsi="宋体" w:eastAsia="宋体" w:cs="宋体"/>
          <w:sz w:val="24"/>
          <w:highlight w:val="none"/>
        </w:rPr>
        <w:t>（一）前期准备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_Toc7563 \h </w:instrText>
      </w:r>
      <w:r>
        <w:rPr>
          <w:rFonts w:hint="eastAsia" w:ascii="宋体" w:hAnsi="宋体" w:eastAsia="宋体" w:cs="宋体"/>
          <w:sz w:val="24"/>
        </w:rPr>
        <w:fldChar w:fldCharType="separate"/>
      </w:r>
      <w:r>
        <w:rPr>
          <w:rFonts w:hint="eastAsia" w:ascii="宋体" w:hAnsi="宋体" w:eastAsia="宋体" w:cs="宋体"/>
          <w:sz w:val="24"/>
        </w:rPr>
        <w:t>13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_Toc15348 </w:instrText>
      </w:r>
      <w:r>
        <w:rPr>
          <w:rFonts w:hint="eastAsia" w:ascii="宋体" w:hAnsi="宋体" w:eastAsia="宋体" w:cs="宋体"/>
          <w:sz w:val="24"/>
          <w:szCs w:val="24"/>
        </w:rPr>
        <w:fldChar w:fldCharType="separate"/>
      </w:r>
      <w:r>
        <w:rPr>
          <w:rFonts w:hint="eastAsia" w:ascii="宋体" w:hAnsi="宋体" w:eastAsia="宋体" w:cs="宋体"/>
          <w:sz w:val="24"/>
          <w:highlight w:val="none"/>
        </w:rPr>
        <w:t>（二）绩效评价的目标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_Toc15348 \h </w:instrText>
      </w:r>
      <w:r>
        <w:rPr>
          <w:rFonts w:hint="eastAsia" w:ascii="宋体" w:hAnsi="宋体" w:eastAsia="宋体" w:cs="宋体"/>
          <w:sz w:val="24"/>
        </w:rPr>
        <w:fldChar w:fldCharType="separate"/>
      </w:r>
      <w:r>
        <w:rPr>
          <w:rFonts w:hint="eastAsia" w:ascii="宋体" w:hAnsi="宋体" w:eastAsia="宋体" w:cs="宋体"/>
          <w:sz w:val="24"/>
        </w:rPr>
        <w:t>14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_Toc19997 </w:instrText>
      </w:r>
      <w:r>
        <w:rPr>
          <w:rFonts w:hint="eastAsia" w:ascii="宋体" w:hAnsi="宋体" w:eastAsia="宋体" w:cs="宋体"/>
          <w:sz w:val="24"/>
          <w:szCs w:val="24"/>
        </w:rPr>
        <w:fldChar w:fldCharType="separate"/>
      </w:r>
      <w:r>
        <w:rPr>
          <w:rFonts w:hint="eastAsia" w:ascii="宋体" w:hAnsi="宋体" w:eastAsia="宋体" w:cs="宋体"/>
          <w:sz w:val="24"/>
          <w:highlight w:val="none"/>
        </w:rPr>
        <w:t>（三）绩效评价的依据</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_Toc19997 \h </w:instrText>
      </w:r>
      <w:r>
        <w:rPr>
          <w:rFonts w:hint="eastAsia" w:ascii="宋体" w:hAnsi="宋体" w:eastAsia="宋体" w:cs="宋体"/>
          <w:sz w:val="24"/>
        </w:rPr>
        <w:fldChar w:fldCharType="separate"/>
      </w:r>
      <w:r>
        <w:rPr>
          <w:rFonts w:hint="eastAsia" w:ascii="宋体" w:hAnsi="宋体" w:eastAsia="宋体" w:cs="宋体"/>
          <w:sz w:val="24"/>
        </w:rPr>
        <w:t>14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_Toc30438 </w:instrText>
      </w:r>
      <w:r>
        <w:rPr>
          <w:rFonts w:hint="eastAsia" w:ascii="宋体" w:hAnsi="宋体" w:eastAsia="宋体" w:cs="宋体"/>
          <w:sz w:val="24"/>
          <w:szCs w:val="24"/>
        </w:rPr>
        <w:fldChar w:fldCharType="separate"/>
      </w:r>
      <w:r>
        <w:rPr>
          <w:rFonts w:hint="eastAsia" w:ascii="宋体" w:hAnsi="宋体" w:eastAsia="宋体" w:cs="宋体"/>
          <w:sz w:val="24"/>
        </w:rPr>
        <w:t>（四）绩效评价工作的开展情况</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_Toc30438 \h </w:instrText>
      </w:r>
      <w:r>
        <w:rPr>
          <w:rFonts w:hint="eastAsia" w:ascii="宋体" w:hAnsi="宋体" w:eastAsia="宋体" w:cs="宋体"/>
          <w:sz w:val="24"/>
        </w:rPr>
        <w:fldChar w:fldCharType="separate"/>
      </w:r>
      <w:r>
        <w:rPr>
          <w:rFonts w:hint="eastAsia" w:ascii="宋体" w:hAnsi="宋体" w:eastAsia="宋体" w:cs="宋体"/>
          <w:sz w:val="24"/>
        </w:rPr>
        <w:t>14</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7"/>
        <w:tabs>
          <w:tab w:val="right" w:leader="dot" w:pos="8392"/>
          <w:tab w:val="clear" w:pos="8777"/>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_Toc10344 </w:instrText>
      </w:r>
      <w:r>
        <w:rPr>
          <w:rFonts w:hint="eastAsia" w:ascii="宋体" w:hAnsi="宋体" w:eastAsia="宋体" w:cs="宋体"/>
          <w:sz w:val="24"/>
          <w:szCs w:val="24"/>
        </w:rPr>
        <w:fldChar w:fldCharType="separate"/>
      </w:r>
      <w:r>
        <w:rPr>
          <w:rFonts w:hint="eastAsia" w:ascii="宋体" w:hAnsi="宋体" w:eastAsia="宋体" w:cs="宋体"/>
          <w:sz w:val="24"/>
        </w:rPr>
        <w:t>三、绩效评价指标体系及评价标准</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_Toc10344 \h </w:instrText>
      </w:r>
      <w:r>
        <w:rPr>
          <w:rFonts w:hint="eastAsia" w:ascii="宋体" w:hAnsi="宋体" w:eastAsia="宋体" w:cs="宋体"/>
          <w:sz w:val="24"/>
        </w:rPr>
        <w:fldChar w:fldCharType="separate"/>
      </w:r>
      <w:r>
        <w:rPr>
          <w:rFonts w:hint="eastAsia" w:ascii="宋体" w:hAnsi="宋体" w:eastAsia="宋体" w:cs="宋体"/>
          <w:sz w:val="24"/>
        </w:rPr>
        <w:t>15</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7"/>
        <w:tabs>
          <w:tab w:val="right" w:leader="dot" w:pos="8392"/>
          <w:tab w:val="clear" w:pos="8777"/>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_Toc29504 </w:instrText>
      </w:r>
      <w:r>
        <w:rPr>
          <w:rFonts w:hint="eastAsia" w:ascii="宋体" w:hAnsi="宋体" w:eastAsia="宋体" w:cs="宋体"/>
          <w:sz w:val="24"/>
          <w:szCs w:val="24"/>
        </w:rPr>
        <w:fldChar w:fldCharType="separate"/>
      </w:r>
      <w:r>
        <w:rPr>
          <w:rFonts w:hint="eastAsia" w:ascii="宋体" w:hAnsi="宋体" w:eastAsia="宋体" w:cs="宋体"/>
          <w:sz w:val="24"/>
        </w:rPr>
        <w:t>四、</w:t>
      </w:r>
      <w:r>
        <w:rPr>
          <w:rFonts w:hint="eastAsia" w:ascii="宋体" w:hAnsi="宋体" w:eastAsia="宋体" w:cs="宋体"/>
          <w:sz w:val="24"/>
          <w:lang w:val="en-US" w:eastAsia="zh-CN"/>
        </w:rPr>
        <w:t>财政运行情况的综合绩效</w:t>
      </w:r>
      <w:r>
        <w:rPr>
          <w:rFonts w:hint="eastAsia" w:ascii="宋体" w:hAnsi="宋体" w:eastAsia="宋体" w:cs="宋体"/>
          <w:sz w:val="24"/>
        </w:rPr>
        <w:t>评价分析</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_Toc29504 \h </w:instrText>
      </w:r>
      <w:r>
        <w:rPr>
          <w:rFonts w:hint="eastAsia" w:ascii="宋体" w:hAnsi="宋体" w:eastAsia="宋体" w:cs="宋体"/>
          <w:sz w:val="24"/>
        </w:rPr>
        <w:fldChar w:fldCharType="separate"/>
      </w:r>
      <w:r>
        <w:rPr>
          <w:rFonts w:hint="eastAsia" w:ascii="宋体" w:hAnsi="宋体" w:eastAsia="宋体" w:cs="宋体"/>
          <w:sz w:val="24"/>
        </w:rPr>
        <w:t>16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_Toc3026 </w:instrText>
      </w:r>
      <w:r>
        <w:rPr>
          <w:rFonts w:hint="eastAsia" w:ascii="宋体" w:hAnsi="宋体" w:eastAsia="宋体" w:cs="宋体"/>
          <w:sz w:val="24"/>
          <w:szCs w:val="24"/>
        </w:rPr>
        <w:fldChar w:fldCharType="separate"/>
      </w:r>
      <w:r>
        <w:rPr>
          <w:rFonts w:hint="eastAsia" w:ascii="宋体" w:hAnsi="宋体" w:eastAsia="宋体" w:cs="宋体"/>
          <w:sz w:val="24"/>
        </w:rPr>
        <w:t>（一）投入情况（分值</w:t>
      </w:r>
      <w:r>
        <w:rPr>
          <w:rFonts w:hint="eastAsia" w:ascii="宋体" w:hAnsi="宋体" w:eastAsia="宋体" w:cs="宋体"/>
          <w:sz w:val="24"/>
          <w:lang w:val="en-US" w:eastAsia="zh-CN"/>
        </w:rPr>
        <w:t>18</w:t>
      </w:r>
      <w:r>
        <w:rPr>
          <w:rFonts w:hint="eastAsia" w:ascii="宋体" w:hAnsi="宋体" w:eastAsia="宋体" w:cs="宋体"/>
          <w:sz w:val="24"/>
        </w:rPr>
        <w:t>分，得1</w:t>
      </w:r>
      <w:r>
        <w:rPr>
          <w:rFonts w:hint="eastAsia" w:ascii="宋体" w:hAnsi="宋体" w:eastAsia="宋体" w:cs="宋体"/>
          <w:sz w:val="24"/>
          <w:lang w:val="en-US" w:eastAsia="zh-CN"/>
        </w:rPr>
        <w:t>6</w:t>
      </w:r>
      <w:r>
        <w:rPr>
          <w:rFonts w:hint="eastAsia" w:ascii="宋体" w:hAnsi="宋体" w:eastAsia="宋体" w:cs="宋体"/>
          <w:sz w:val="24"/>
        </w:rPr>
        <w:t>分）</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_Toc3026 \h </w:instrText>
      </w:r>
      <w:r>
        <w:rPr>
          <w:rFonts w:hint="eastAsia" w:ascii="宋体" w:hAnsi="宋体" w:eastAsia="宋体" w:cs="宋体"/>
          <w:sz w:val="24"/>
        </w:rPr>
        <w:fldChar w:fldCharType="separate"/>
      </w:r>
      <w:r>
        <w:rPr>
          <w:rFonts w:hint="eastAsia" w:ascii="宋体" w:hAnsi="宋体" w:eastAsia="宋体" w:cs="宋体"/>
          <w:sz w:val="24"/>
        </w:rPr>
        <w:t>16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_Toc20792 </w:instrText>
      </w:r>
      <w:r>
        <w:rPr>
          <w:rFonts w:hint="eastAsia" w:ascii="宋体" w:hAnsi="宋体" w:eastAsia="宋体" w:cs="宋体"/>
          <w:sz w:val="24"/>
          <w:szCs w:val="24"/>
        </w:rPr>
        <w:fldChar w:fldCharType="separate"/>
      </w:r>
      <w:r>
        <w:rPr>
          <w:rFonts w:hint="eastAsia" w:ascii="宋体" w:hAnsi="宋体" w:eastAsia="宋体" w:cs="宋体"/>
          <w:sz w:val="24"/>
        </w:rPr>
        <w:t>（二）过程管理（分值</w:t>
      </w:r>
      <w:r>
        <w:rPr>
          <w:rFonts w:hint="eastAsia" w:ascii="宋体" w:hAnsi="宋体" w:eastAsia="宋体" w:cs="宋体"/>
          <w:sz w:val="24"/>
          <w:lang w:val="en-US" w:eastAsia="zh-CN"/>
        </w:rPr>
        <w:t>20</w:t>
      </w:r>
      <w:r>
        <w:rPr>
          <w:rFonts w:hint="eastAsia" w:ascii="宋体" w:hAnsi="宋体" w:eastAsia="宋体" w:cs="宋体"/>
          <w:sz w:val="24"/>
        </w:rPr>
        <w:t>分，得</w:t>
      </w:r>
      <w:r>
        <w:rPr>
          <w:rFonts w:hint="eastAsia" w:ascii="宋体" w:hAnsi="宋体" w:eastAsia="宋体" w:cs="宋体"/>
          <w:sz w:val="24"/>
          <w:lang w:val="en-US" w:eastAsia="zh-CN"/>
        </w:rPr>
        <w:t>17.5</w:t>
      </w:r>
      <w:r>
        <w:rPr>
          <w:rFonts w:hint="eastAsia" w:ascii="宋体" w:hAnsi="宋体" w:eastAsia="宋体" w:cs="宋体"/>
          <w:sz w:val="24"/>
        </w:rPr>
        <w:t>分）</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_Toc20792 \h </w:instrText>
      </w:r>
      <w:r>
        <w:rPr>
          <w:rFonts w:hint="eastAsia" w:ascii="宋体" w:hAnsi="宋体" w:eastAsia="宋体" w:cs="宋体"/>
          <w:sz w:val="24"/>
        </w:rPr>
        <w:fldChar w:fldCharType="separate"/>
      </w:r>
      <w:r>
        <w:rPr>
          <w:rFonts w:hint="eastAsia" w:ascii="宋体" w:hAnsi="宋体" w:eastAsia="宋体" w:cs="宋体"/>
          <w:sz w:val="24"/>
        </w:rPr>
        <w:t>19</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_Toc9315 </w:instrText>
      </w:r>
      <w:r>
        <w:rPr>
          <w:rFonts w:hint="eastAsia" w:ascii="宋体" w:hAnsi="宋体" w:eastAsia="宋体" w:cs="宋体"/>
          <w:sz w:val="24"/>
          <w:szCs w:val="24"/>
        </w:rPr>
        <w:fldChar w:fldCharType="separate"/>
      </w:r>
      <w:r>
        <w:rPr>
          <w:rFonts w:hint="eastAsia" w:ascii="宋体" w:hAnsi="宋体" w:eastAsia="宋体" w:cs="宋体"/>
          <w:sz w:val="24"/>
        </w:rPr>
        <w:t>（三）产出（分值</w:t>
      </w:r>
      <w:r>
        <w:rPr>
          <w:rFonts w:hint="eastAsia" w:ascii="宋体" w:hAnsi="宋体" w:eastAsia="宋体" w:cs="宋体"/>
          <w:sz w:val="24"/>
          <w:lang w:val="en-US" w:eastAsia="zh-CN"/>
        </w:rPr>
        <w:t>32</w:t>
      </w:r>
      <w:r>
        <w:rPr>
          <w:rFonts w:hint="eastAsia" w:ascii="宋体" w:hAnsi="宋体" w:eastAsia="宋体" w:cs="宋体"/>
          <w:sz w:val="24"/>
        </w:rPr>
        <w:t>分，得分</w:t>
      </w:r>
      <w:r>
        <w:rPr>
          <w:rFonts w:hint="eastAsia" w:ascii="宋体" w:hAnsi="宋体" w:eastAsia="宋体" w:cs="宋体"/>
          <w:sz w:val="24"/>
          <w:lang w:val="en-US" w:eastAsia="zh-CN"/>
        </w:rPr>
        <w:t>29.25分</w:t>
      </w:r>
      <w:r>
        <w:rPr>
          <w:rFonts w:hint="eastAsia" w:ascii="宋体" w:hAnsi="宋体" w:eastAsia="宋体" w:cs="宋体"/>
          <w:sz w:val="24"/>
        </w:rPr>
        <w:t>）</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_Toc9315 \h </w:instrText>
      </w:r>
      <w:r>
        <w:rPr>
          <w:rFonts w:hint="eastAsia" w:ascii="宋体" w:hAnsi="宋体" w:eastAsia="宋体" w:cs="宋体"/>
          <w:sz w:val="24"/>
        </w:rPr>
        <w:fldChar w:fldCharType="separate"/>
      </w:r>
      <w:r>
        <w:rPr>
          <w:rFonts w:hint="eastAsia" w:ascii="宋体" w:hAnsi="宋体" w:eastAsia="宋体" w:cs="宋体"/>
          <w:sz w:val="24"/>
        </w:rPr>
        <w:t>23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_Toc3778 </w:instrText>
      </w:r>
      <w:r>
        <w:rPr>
          <w:rFonts w:hint="eastAsia" w:ascii="宋体" w:hAnsi="宋体" w:eastAsia="宋体" w:cs="宋体"/>
          <w:sz w:val="24"/>
          <w:szCs w:val="24"/>
        </w:rPr>
        <w:fldChar w:fldCharType="separate"/>
      </w:r>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sz w:val="24"/>
        </w:rPr>
        <w:t>履职</w:t>
      </w:r>
      <w:r>
        <w:rPr>
          <w:rFonts w:hint="eastAsia" w:ascii="宋体" w:hAnsi="宋体" w:eastAsia="宋体" w:cs="宋体"/>
          <w:sz w:val="24"/>
          <w:lang w:val="en-US" w:eastAsia="zh-CN"/>
        </w:rPr>
        <w:t>效益</w:t>
      </w:r>
      <w:r>
        <w:rPr>
          <w:rFonts w:hint="eastAsia" w:ascii="宋体" w:hAnsi="宋体" w:eastAsia="宋体" w:cs="宋体"/>
          <w:sz w:val="24"/>
        </w:rPr>
        <w:t>（分值</w:t>
      </w:r>
      <w:r>
        <w:rPr>
          <w:rFonts w:hint="eastAsia" w:ascii="宋体" w:hAnsi="宋体" w:eastAsia="宋体" w:cs="宋体"/>
          <w:sz w:val="24"/>
          <w:lang w:val="en-US" w:eastAsia="zh-CN"/>
        </w:rPr>
        <w:t>30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得分27.8分</w:t>
      </w:r>
      <w:r>
        <w:rPr>
          <w:rFonts w:hint="eastAsia" w:ascii="宋体" w:hAnsi="宋体" w:eastAsia="宋体" w:cs="宋体"/>
          <w:sz w:val="24"/>
        </w:rPr>
        <w:t>）</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_Toc3778 \h </w:instrText>
      </w:r>
      <w:r>
        <w:rPr>
          <w:rFonts w:hint="eastAsia" w:ascii="宋体" w:hAnsi="宋体" w:eastAsia="宋体" w:cs="宋体"/>
          <w:sz w:val="24"/>
        </w:rPr>
        <w:fldChar w:fldCharType="separate"/>
      </w:r>
      <w:r>
        <w:rPr>
          <w:rFonts w:hint="eastAsia" w:ascii="宋体" w:hAnsi="宋体" w:eastAsia="宋体" w:cs="宋体"/>
          <w:sz w:val="24"/>
        </w:rPr>
        <w:t>26</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7"/>
        <w:tabs>
          <w:tab w:val="right" w:leader="dot" w:pos="8392"/>
          <w:tab w:val="clear" w:pos="8777"/>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_Toc31286 </w:instrText>
      </w:r>
      <w:r>
        <w:rPr>
          <w:rFonts w:hint="eastAsia" w:ascii="宋体" w:hAnsi="宋体" w:eastAsia="宋体" w:cs="宋体"/>
          <w:sz w:val="24"/>
          <w:szCs w:val="24"/>
        </w:rPr>
        <w:fldChar w:fldCharType="separate"/>
      </w:r>
      <w:r>
        <w:rPr>
          <w:rFonts w:hint="eastAsia" w:ascii="宋体" w:hAnsi="宋体" w:eastAsia="宋体" w:cs="宋体"/>
          <w:sz w:val="24"/>
          <w:lang w:val="en-US" w:eastAsia="zh-CN"/>
        </w:rPr>
        <w:t>五、主要成效</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_Toc31286 \h </w:instrText>
      </w:r>
      <w:r>
        <w:rPr>
          <w:rFonts w:hint="eastAsia" w:ascii="宋体" w:hAnsi="宋体" w:eastAsia="宋体" w:cs="宋体"/>
          <w:sz w:val="24"/>
        </w:rPr>
        <w:fldChar w:fldCharType="separate"/>
      </w:r>
      <w:r>
        <w:rPr>
          <w:rFonts w:hint="eastAsia" w:ascii="宋体" w:hAnsi="宋体" w:eastAsia="宋体" w:cs="宋体"/>
          <w:sz w:val="24"/>
        </w:rPr>
        <w:t>28</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_Toc30103 </w:instrText>
      </w:r>
      <w:r>
        <w:rPr>
          <w:rFonts w:hint="eastAsia" w:ascii="宋体" w:hAnsi="宋体" w:eastAsia="宋体" w:cs="宋体"/>
          <w:sz w:val="24"/>
          <w:szCs w:val="24"/>
        </w:rPr>
        <w:fldChar w:fldCharType="separate"/>
      </w:r>
      <w:r>
        <w:rPr>
          <w:rFonts w:hint="eastAsia" w:ascii="宋体" w:hAnsi="宋体" w:eastAsia="宋体" w:cs="宋体"/>
          <w:bCs/>
          <w:sz w:val="24"/>
          <w:lang w:val="en-US" w:eastAsia="zh-CN"/>
        </w:rPr>
        <w:t>（一）</w:t>
      </w:r>
      <w:r>
        <w:rPr>
          <w:rFonts w:hint="eastAsia" w:ascii="宋体" w:hAnsi="宋体" w:eastAsia="宋体" w:cs="宋体"/>
          <w:sz w:val="24"/>
          <w:szCs w:val="24"/>
          <w:lang w:val="en-US" w:eastAsia="zh-CN"/>
        </w:rPr>
        <w:t>综合实力稳中有进</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_Toc30103 \h </w:instrText>
      </w:r>
      <w:r>
        <w:rPr>
          <w:rFonts w:hint="eastAsia" w:ascii="宋体" w:hAnsi="宋体" w:eastAsia="宋体" w:cs="宋体"/>
          <w:sz w:val="24"/>
        </w:rPr>
        <w:fldChar w:fldCharType="separate"/>
      </w:r>
      <w:r>
        <w:rPr>
          <w:rFonts w:hint="eastAsia" w:ascii="宋体" w:hAnsi="宋体" w:eastAsia="宋体" w:cs="宋体"/>
          <w:sz w:val="24"/>
        </w:rPr>
        <w:t>28</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_Toc20968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（二）民生保障坚实有力</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_Toc20968 \h </w:instrText>
      </w:r>
      <w:r>
        <w:rPr>
          <w:rFonts w:hint="eastAsia" w:ascii="宋体" w:hAnsi="宋体" w:eastAsia="宋体" w:cs="宋体"/>
          <w:sz w:val="24"/>
        </w:rPr>
        <w:fldChar w:fldCharType="separate"/>
      </w:r>
      <w:r>
        <w:rPr>
          <w:rFonts w:hint="eastAsia" w:ascii="宋体" w:hAnsi="宋体" w:eastAsia="宋体" w:cs="宋体"/>
          <w:sz w:val="24"/>
        </w:rPr>
        <w:t>28</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7"/>
        <w:tabs>
          <w:tab w:val="right" w:leader="dot" w:pos="8392"/>
          <w:tab w:val="clear" w:pos="8777"/>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_Toc31367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存在问题及原因分析</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_Toc31367 \h </w:instrText>
      </w:r>
      <w:r>
        <w:rPr>
          <w:rFonts w:hint="eastAsia" w:ascii="宋体" w:hAnsi="宋体" w:eastAsia="宋体" w:cs="宋体"/>
          <w:sz w:val="24"/>
        </w:rPr>
        <w:fldChar w:fldCharType="separate"/>
      </w:r>
      <w:r>
        <w:rPr>
          <w:rFonts w:hint="eastAsia" w:ascii="宋体" w:hAnsi="宋体" w:eastAsia="宋体" w:cs="宋体"/>
          <w:sz w:val="24"/>
        </w:rPr>
        <w:t>31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7"/>
        <w:tabs>
          <w:tab w:val="right" w:leader="dot" w:pos="8392"/>
          <w:tab w:val="clear" w:pos="8777"/>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_Toc3371 </w:instrText>
      </w:r>
      <w:r>
        <w:rPr>
          <w:rFonts w:hint="eastAsia" w:ascii="宋体" w:hAnsi="宋体" w:eastAsia="宋体" w:cs="宋体"/>
          <w:sz w:val="24"/>
          <w:szCs w:val="24"/>
        </w:rPr>
        <w:fldChar w:fldCharType="separate"/>
      </w:r>
      <w:r>
        <w:rPr>
          <w:rFonts w:hint="eastAsia" w:ascii="宋体" w:hAnsi="宋体" w:eastAsia="宋体" w:cs="宋体"/>
          <w:sz w:val="24"/>
          <w:lang w:val="en-US" w:eastAsia="zh-CN"/>
        </w:rPr>
        <w:t>七</w:t>
      </w:r>
      <w:r>
        <w:rPr>
          <w:rFonts w:hint="eastAsia" w:ascii="宋体" w:hAnsi="宋体" w:eastAsia="宋体" w:cs="宋体"/>
          <w:sz w:val="24"/>
        </w:rPr>
        <w:t>、评价结论及改进建议</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_Toc3371 \h </w:instrText>
      </w:r>
      <w:r>
        <w:rPr>
          <w:rFonts w:hint="eastAsia" w:ascii="宋体" w:hAnsi="宋体" w:eastAsia="宋体" w:cs="宋体"/>
          <w:sz w:val="24"/>
        </w:rPr>
        <w:fldChar w:fldCharType="separate"/>
      </w:r>
      <w:r>
        <w:rPr>
          <w:rFonts w:hint="eastAsia" w:ascii="宋体" w:hAnsi="宋体" w:eastAsia="宋体" w:cs="宋体"/>
          <w:sz w:val="24"/>
        </w:rPr>
        <w:t>31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_Toc8234 </w:instrText>
      </w:r>
      <w:r>
        <w:rPr>
          <w:rFonts w:hint="eastAsia" w:ascii="宋体" w:hAnsi="宋体" w:eastAsia="宋体" w:cs="宋体"/>
          <w:sz w:val="24"/>
          <w:szCs w:val="24"/>
        </w:rPr>
        <w:fldChar w:fldCharType="separate"/>
      </w:r>
      <w:r>
        <w:rPr>
          <w:rFonts w:hint="eastAsia" w:ascii="宋体" w:hAnsi="宋体" w:eastAsia="宋体" w:cs="宋体"/>
          <w:sz w:val="24"/>
        </w:rPr>
        <w:t>（一）评价结论</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_Toc8234 \h </w:instrText>
      </w:r>
      <w:r>
        <w:rPr>
          <w:rFonts w:hint="eastAsia" w:ascii="宋体" w:hAnsi="宋体" w:eastAsia="宋体" w:cs="宋体"/>
          <w:sz w:val="24"/>
        </w:rPr>
        <w:fldChar w:fldCharType="separate"/>
      </w:r>
      <w:r>
        <w:rPr>
          <w:rFonts w:hint="eastAsia" w:ascii="宋体" w:hAnsi="宋体" w:eastAsia="宋体" w:cs="宋体"/>
          <w:sz w:val="24"/>
        </w:rPr>
        <w:t>31</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8"/>
        <w:tabs>
          <w:tab w:val="right" w:leader="dot" w:pos="8392"/>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_Toc29976 </w:instrText>
      </w:r>
      <w:r>
        <w:rPr>
          <w:rFonts w:hint="eastAsia" w:ascii="宋体" w:hAnsi="宋体" w:eastAsia="宋体" w:cs="宋体"/>
          <w:sz w:val="24"/>
          <w:szCs w:val="24"/>
        </w:rPr>
        <w:fldChar w:fldCharType="separate"/>
      </w:r>
      <w:r>
        <w:rPr>
          <w:rFonts w:hint="eastAsia" w:ascii="宋体" w:hAnsi="宋体" w:eastAsia="宋体" w:cs="宋体"/>
          <w:sz w:val="24"/>
        </w:rPr>
        <w:t>（二）改进建议</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_Toc29976 \h </w:instrText>
      </w:r>
      <w:r>
        <w:rPr>
          <w:rFonts w:hint="eastAsia" w:ascii="宋体" w:hAnsi="宋体" w:eastAsia="宋体" w:cs="宋体"/>
          <w:sz w:val="24"/>
        </w:rPr>
        <w:fldChar w:fldCharType="separate"/>
      </w:r>
      <w:r>
        <w:rPr>
          <w:rFonts w:hint="eastAsia" w:ascii="宋体" w:hAnsi="宋体" w:eastAsia="宋体" w:cs="宋体"/>
          <w:sz w:val="24"/>
        </w:rPr>
        <w:t>32</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pStyle w:val="7"/>
        <w:tabs>
          <w:tab w:val="right" w:leader="dot" w:pos="8392"/>
          <w:tab w:val="clear" w:pos="8777"/>
        </w:tabs>
        <w:spacing w:line="440" w:lineRule="atLeast"/>
        <w:rPr>
          <w:rFonts w:hint="eastAsia" w:ascii="宋体" w:hAnsi="宋体" w:eastAsia="宋体" w:cs="宋体"/>
          <w:sz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_Toc16508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、其他需要说明的事项</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_Toc16508 \h </w:instrText>
      </w:r>
      <w:r>
        <w:rPr>
          <w:rFonts w:hint="eastAsia" w:ascii="宋体" w:hAnsi="宋体" w:eastAsia="宋体" w:cs="宋体"/>
          <w:sz w:val="24"/>
        </w:rPr>
        <w:fldChar w:fldCharType="separate"/>
      </w:r>
      <w:r>
        <w:rPr>
          <w:rFonts w:hint="eastAsia" w:ascii="宋体" w:hAnsi="宋体" w:eastAsia="宋体" w:cs="宋体"/>
          <w:sz w:val="24"/>
        </w:rPr>
        <w:t>33</w:t>
      </w:r>
      <w:r>
        <w:rPr>
          <w:rFonts w:hint="eastAsia" w:ascii="宋体" w:hAnsi="宋体" w:eastAsia="宋体" w:cs="宋体"/>
          <w:sz w:val="24"/>
        </w:rPr>
        <w:fldChar w:fldCharType="end"/>
      </w:r>
      <w:r>
        <w:rPr>
          <w:rFonts w:hint="eastAsia" w:ascii="宋体" w:hAnsi="宋体" w:eastAsia="宋体" w:cs="宋体"/>
          <w:sz w:val="24"/>
          <w:szCs w:val="24"/>
        </w:rPr>
        <w:fldChar w:fldCharType="end"/>
      </w:r>
    </w:p>
    <w:p>
      <w:pPr>
        <w:keepNext w:val="0"/>
        <w:keepLines w:val="0"/>
        <w:pageBreakBefore w:val="0"/>
        <w:widowControl w:val="0"/>
        <w:tabs>
          <w:tab w:val="center" w:pos="4393"/>
          <w:tab w:val="left" w:pos="7914"/>
          <w:tab w:val="right" w:pos="8787"/>
        </w:tabs>
        <w:kinsoku/>
        <w:wordWrap/>
        <w:overflowPunct/>
        <w:topLinePunct w:val="0"/>
        <w:autoSpaceDE/>
        <w:autoSpaceDN/>
        <w:bidi w:val="0"/>
        <w:adjustRightInd/>
        <w:snapToGrid/>
        <w:spacing w:line="440" w:lineRule="atLeast"/>
        <w:jc w:val="left"/>
        <w:textAlignment w:val="auto"/>
        <w:rPr>
          <w:rFonts w:hint="eastAsia" w:ascii="宋体" w:hAnsi="宋体" w:eastAsia="宋体" w:cs="宋体"/>
          <w:b/>
          <w:sz w:val="24"/>
          <w:szCs w:val="24"/>
        </w:rPr>
        <w:sectPr>
          <w:footerReference r:id="rId3" w:type="even"/>
          <w:pgSz w:w="11906" w:h="16838"/>
          <w:pgMar w:top="1418" w:right="1757" w:bottom="1418" w:left="1757" w:header="851" w:footer="992" w:gutter="0"/>
          <w:cols w:space="720" w:num="1"/>
          <w:docGrid w:type="lines" w:linePitch="312" w:charSpace="0"/>
        </w:sectPr>
      </w:pPr>
      <w:r>
        <w:rPr>
          <w:rFonts w:hint="eastAsia" w:ascii="宋体" w:hAnsi="宋体" w:eastAsia="宋体" w:cs="宋体"/>
          <w:sz w:val="24"/>
          <w:szCs w:val="24"/>
        </w:rPr>
        <w:fldChar w:fldCharType="end"/>
      </w:r>
    </w:p>
    <w:p>
      <w:pPr>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2022年竹岐乡人民政府</w:t>
      </w:r>
      <w:r>
        <w:rPr>
          <w:rFonts w:hint="eastAsia" w:ascii="宋体" w:hAnsi="宋体" w:eastAsia="宋体" w:cs="宋体"/>
          <w:b/>
          <w:bCs w:val="0"/>
          <w:sz w:val="30"/>
          <w:szCs w:val="30"/>
        </w:rPr>
        <w:t>财政运行情况综合绩效项目</w:t>
      </w:r>
    </w:p>
    <w:p>
      <w:pPr>
        <w:jc w:val="center"/>
        <w:rPr>
          <w:rFonts w:hint="eastAsia" w:ascii="宋体" w:hAnsi="宋体" w:eastAsia="宋体" w:cs="宋体"/>
          <w:b/>
          <w:sz w:val="30"/>
          <w:szCs w:val="30"/>
        </w:rPr>
      </w:pPr>
      <w:r>
        <w:rPr>
          <w:rFonts w:hint="eastAsia" w:ascii="宋体" w:hAnsi="宋体" w:eastAsia="宋体" w:cs="宋体"/>
          <w:b/>
          <w:sz w:val="30"/>
          <w:szCs w:val="30"/>
        </w:rPr>
        <w:t>绩效评价报告</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pacing w:val="0"/>
          <w:kern w:val="0"/>
          <w:sz w:val="24"/>
          <w:szCs w:val="22"/>
        </w:rPr>
        <w:t>为切实加强部门整体支出绩效管理，强化预算单位部门整体支出绩效管理责任，提高</w:t>
      </w:r>
      <w:r>
        <w:rPr>
          <w:rFonts w:hint="eastAsia" w:ascii="宋体" w:hAnsi="宋体" w:eastAsia="宋体" w:cs="宋体"/>
          <w:spacing w:val="0"/>
          <w:kern w:val="0"/>
          <w:sz w:val="24"/>
          <w:szCs w:val="22"/>
          <w:lang w:val="en-US" w:eastAsia="zh-CN"/>
        </w:rPr>
        <w:t>财政</w:t>
      </w:r>
      <w:r>
        <w:rPr>
          <w:rFonts w:hint="eastAsia" w:ascii="宋体" w:hAnsi="宋体" w:eastAsia="宋体" w:cs="宋体"/>
          <w:spacing w:val="0"/>
          <w:kern w:val="0"/>
          <w:sz w:val="24"/>
          <w:szCs w:val="22"/>
        </w:rPr>
        <w:t>预算分配、使用、管理整体绩效，</w:t>
      </w:r>
      <w:r>
        <w:rPr>
          <w:rFonts w:hint="eastAsia" w:ascii="宋体" w:hAnsi="宋体" w:eastAsia="宋体" w:cs="宋体"/>
          <w:kern w:val="0"/>
          <w:sz w:val="24"/>
          <w:szCs w:val="22"/>
        </w:rPr>
        <w:t>建立科学、合理的</w:t>
      </w:r>
      <w:r>
        <w:rPr>
          <w:rFonts w:hint="eastAsia" w:ascii="宋体" w:hAnsi="宋体" w:eastAsia="宋体" w:cs="宋体"/>
          <w:b w:val="0"/>
          <w:kern w:val="0"/>
          <w:sz w:val="24"/>
          <w:szCs w:val="22"/>
          <w:lang w:eastAsia="zh-CN"/>
        </w:rPr>
        <w:t>政府</w:t>
      </w:r>
      <w:r>
        <w:rPr>
          <w:rFonts w:hint="eastAsia" w:ascii="宋体" w:hAnsi="宋体" w:eastAsia="宋体" w:cs="宋体"/>
          <w:b w:val="0"/>
          <w:bCs w:val="0"/>
          <w:kern w:val="0"/>
          <w:sz w:val="24"/>
          <w:szCs w:val="22"/>
        </w:rPr>
        <w:t>财政运行情况综合绩效</w:t>
      </w:r>
      <w:r>
        <w:rPr>
          <w:rFonts w:hint="eastAsia" w:ascii="宋体" w:hAnsi="宋体" w:eastAsia="宋体" w:cs="宋体"/>
          <w:kern w:val="0"/>
          <w:sz w:val="24"/>
          <w:szCs w:val="22"/>
        </w:rPr>
        <w:t>评价管理体系，</w:t>
      </w:r>
      <w:r>
        <w:rPr>
          <w:rFonts w:hint="eastAsia" w:ascii="宋体" w:hAnsi="宋体" w:eastAsia="宋体" w:cs="宋体"/>
          <w:sz w:val="24"/>
          <w:szCs w:val="22"/>
        </w:rPr>
        <w:t>根据</w:t>
      </w:r>
      <w:r>
        <w:rPr>
          <w:rFonts w:hint="eastAsia" w:ascii="宋体" w:hAnsi="宋体" w:eastAsia="宋体" w:cs="宋体"/>
          <w:sz w:val="24"/>
        </w:rPr>
        <w:t>《</w:t>
      </w:r>
      <w:r>
        <w:rPr>
          <w:rFonts w:hint="eastAsia" w:ascii="宋体" w:hAnsi="宋体" w:eastAsia="宋体" w:cs="宋体"/>
          <w:sz w:val="24"/>
          <w:lang w:val="en-US" w:eastAsia="zh-CN"/>
        </w:rPr>
        <w:t>闽侯县</w:t>
      </w:r>
      <w:r>
        <w:rPr>
          <w:rFonts w:hint="eastAsia" w:ascii="宋体" w:hAnsi="宋体" w:eastAsia="宋体" w:cs="宋体"/>
          <w:sz w:val="24"/>
        </w:rPr>
        <w:t>财政局关于开展</w:t>
      </w:r>
      <w:r>
        <w:rPr>
          <w:rFonts w:hint="eastAsia" w:ascii="宋体" w:hAnsi="宋体" w:eastAsia="宋体" w:cs="宋体"/>
          <w:sz w:val="24"/>
          <w:lang w:eastAsia="zh-CN"/>
        </w:rPr>
        <w:t>202</w:t>
      </w:r>
      <w:r>
        <w:rPr>
          <w:rFonts w:hint="eastAsia" w:ascii="宋体" w:hAnsi="宋体" w:eastAsia="宋体" w:cs="宋体"/>
          <w:sz w:val="24"/>
          <w:lang w:val="en-US" w:eastAsia="zh-CN"/>
        </w:rPr>
        <w:t>3</w:t>
      </w:r>
      <w:r>
        <w:rPr>
          <w:rFonts w:hint="eastAsia" w:ascii="宋体" w:hAnsi="宋体" w:eastAsia="宋体" w:cs="宋体"/>
          <w:sz w:val="24"/>
          <w:lang w:eastAsia="zh-CN"/>
        </w:rPr>
        <w:t>年</w:t>
      </w:r>
      <w:r>
        <w:rPr>
          <w:rFonts w:hint="eastAsia" w:ascii="宋体" w:hAnsi="宋体" w:eastAsia="宋体" w:cs="宋体"/>
          <w:sz w:val="24"/>
        </w:rPr>
        <w:t>度</w:t>
      </w:r>
      <w:r>
        <w:rPr>
          <w:rFonts w:hint="eastAsia" w:ascii="宋体" w:hAnsi="宋体" w:eastAsia="宋体" w:cs="宋体"/>
          <w:sz w:val="24"/>
          <w:lang w:val="en-US" w:eastAsia="zh-CN"/>
        </w:rPr>
        <w:t>财政重点</w:t>
      </w:r>
      <w:r>
        <w:rPr>
          <w:rFonts w:hint="eastAsia" w:ascii="宋体" w:hAnsi="宋体" w:eastAsia="宋体" w:cs="宋体"/>
          <w:sz w:val="24"/>
        </w:rPr>
        <w:t>评价工作的通知》</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侯</w:t>
      </w:r>
      <w:r>
        <w:rPr>
          <w:rFonts w:hint="eastAsia" w:ascii="宋体" w:hAnsi="宋体" w:eastAsia="宋体" w:cs="宋体"/>
          <w:sz w:val="24"/>
          <w:highlight w:val="none"/>
        </w:rPr>
        <w:t>财</w:t>
      </w:r>
      <w:r>
        <w:rPr>
          <w:rFonts w:hint="eastAsia" w:ascii="宋体" w:hAnsi="宋体" w:eastAsia="宋体" w:cs="宋体"/>
          <w:sz w:val="24"/>
          <w:highlight w:val="none"/>
          <w:lang w:val="en-US" w:eastAsia="zh-CN"/>
        </w:rPr>
        <w:t>监督</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341</w:t>
      </w:r>
      <w:r>
        <w:rPr>
          <w:rFonts w:hint="eastAsia" w:ascii="宋体" w:hAnsi="宋体" w:eastAsia="宋体" w:cs="宋体"/>
          <w:sz w:val="24"/>
          <w:highlight w:val="none"/>
        </w:rPr>
        <w:t>号）</w:t>
      </w:r>
      <w:r>
        <w:rPr>
          <w:rFonts w:hint="eastAsia" w:ascii="宋体" w:hAnsi="宋体" w:eastAsia="宋体" w:cs="宋体"/>
          <w:sz w:val="24"/>
        </w:rPr>
        <w:t>等文件有关规定，福建征安会计师事务所（普通合伙）接受</w:t>
      </w:r>
      <w:r>
        <w:rPr>
          <w:rFonts w:hint="eastAsia" w:ascii="宋体" w:hAnsi="宋体" w:eastAsia="宋体" w:cs="宋体"/>
          <w:sz w:val="24"/>
          <w:lang w:val="en-US" w:eastAsia="zh-CN"/>
        </w:rPr>
        <w:t>闽侯县</w:t>
      </w:r>
      <w:r>
        <w:rPr>
          <w:rFonts w:hint="eastAsia" w:ascii="宋体" w:hAnsi="宋体" w:eastAsia="宋体" w:cs="宋体"/>
          <w:sz w:val="24"/>
          <w:lang w:eastAsia="zh-CN"/>
        </w:rPr>
        <w:t>财政局</w:t>
      </w:r>
      <w:r>
        <w:rPr>
          <w:rFonts w:hint="eastAsia" w:ascii="宋体" w:hAnsi="宋体" w:eastAsia="宋体" w:cs="宋体"/>
          <w:sz w:val="24"/>
        </w:rPr>
        <w:t>委托</w:t>
      </w:r>
      <w:r>
        <w:rPr>
          <w:rFonts w:hint="eastAsia" w:ascii="宋体" w:hAnsi="宋体" w:eastAsia="宋体" w:cs="宋体"/>
          <w:sz w:val="24"/>
          <w:lang w:eastAsia="zh-CN"/>
        </w:rPr>
        <w:t>，</w:t>
      </w:r>
      <w:r>
        <w:rPr>
          <w:rFonts w:hint="eastAsia" w:ascii="宋体" w:hAnsi="宋体" w:eastAsia="宋体" w:cs="宋体"/>
          <w:sz w:val="24"/>
        </w:rPr>
        <w:t>组建绩效评价工作小组，对</w:t>
      </w:r>
      <w:r>
        <w:rPr>
          <w:rFonts w:hint="eastAsia" w:ascii="宋体" w:hAnsi="宋体" w:eastAsia="宋体" w:cs="宋体"/>
          <w:sz w:val="24"/>
          <w:lang w:eastAsia="zh-CN"/>
        </w:rPr>
        <w:t>闽侯县竹岐乡人民政府（</w:t>
      </w:r>
      <w:r>
        <w:rPr>
          <w:rFonts w:hint="eastAsia" w:ascii="宋体" w:hAnsi="宋体" w:eastAsia="宋体" w:cs="宋体"/>
          <w:sz w:val="24"/>
          <w:lang w:val="en-US" w:eastAsia="zh-CN"/>
        </w:rPr>
        <w:t>以下简称</w:t>
      </w:r>
      <w:r>
        <w:rPr>
          <w:rFonts w:hint="eastAsia" w:ascii="宋体" w:hAnsi="宋体" w:eastAsia="宋体" w:cs="宋体"/>
          <w:sz w:val="24"/>
          <w:lang w:eastAsia="zh-CN"/>
        </w:rPr>
        <w:t>竹岐乡政府）</w:t>
      </w:r>
      <w:r>
        <w:rPr>
          <w:rFonts w:hint="eastAsia" w:ascii="宋体" w:hAnsi="宋体" w:eastAsia="宋体" w:cs="宋体"/>
          <w:b w:val="0"/>
          <w:bCs w:val="0"/>
          <w:sz w:val="24"/>
          <w:szCs w:val="24"/>
        </w:rPr>
        <w:t>财政运行情况综合绩效</w:t>
      </w:r>
      <w:r>
        <w:rPr>
          <w:rFonts w:hint="eastAsia" w:ascii="宋体" w:hAnsi="宋体" w:eastAsia="宋体" w:cs="宋体"/>
          <w:sz w:val="24"/>
          <w:lang w:val="en-US" w:eastAsia="zh-CN"/>
        </w:rPr>
        <w:t>项目</w:t>
      </w:r>
      <w:r>
        <w:rPr>
          <w:rFonts w:hint="eastAsia" w:ascii="宋体" w:hAnsi="宋体" w:eastAsia="宋体" w:cs="宋体"/>
          <w:sz w:val="24"/>
        </w:rPr>
        <w:t>开展绩效评价工作。</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sz w:val="24"/>
        </w:rPr>
        <w:t>本次绩效评价的对象是</w:t>
      </w:r>
      <w:r>
        <w:rPr>
          <w:rFonts w:hint="eastAsia" w:ascii="宋体" w:hAnsi="宋体" w:eastAsia="宋体" w:cs="宋体"/>
          <w:sz w:val="24"/>
          <w:lang w:eastAsia="zh-CN"/>
        </w:rPr>
        <w:t>2022年闽侯县竹岐乡人民政府</w:t>
      </w:r>
      <w:r>
        <w:rPr>
          <w:rFonts w:hint="eastAsia" w:ascii="宋体" w:hAnsi="宋体" w:eastAsia="宋体" w:cs="宋体"/>
          <w:b w:val="0"/>
          <w:bCs w:val="0"/>
          <w:sz w:val="24"/>
          <w:szCs w:val="24"/>
        </w:rPr>
        <w:t>财政运行情况综合绩效</w:t>
      </w:r>
      <w:r>
        <w:rPr>
          <w:rFonts w:hint="eastAsia" w:ascii="宋体" w:hAnsi="宋体" w:eastAsia="宋体" w:cs="宋体"/>
          <w:sz w:val="24"/>
        </w:rPr>
        <w:t>。绩效评价工作小组在收集、整理、汇总、分析相关绩效评价资料的基础上，通过查账、实地调查等方式进行了解核实，并对相关评价指标进行汇总分析，对照评价指标和标准进行评议与打分，形成《</w:t>
      </w:r>
      <w:r>
        <w:rPr>
          <w:rFonts w:hint="eastAsia" w:ascii="宋体" w:hAnsi="宋体" w:eastAsia="宋体" w:cs="宋体"/>
          <w:sz w:val="24"/>
          <w:lang w:eastAsia="zh-CN"/>
        </w:rPr>
        <w:t>2022年</w:t>
      </w:r>
      <w:r>
        <w:rPr>
          <w:rFonts w:hint="eastAsia" w:ascii="宋体" w:hAnsi="宋体" w:eastAsia="宋体" w:cs="宋体"/>
          <w:sz w:val="24"/>
        </w:rPr>
        <w:t>度</w:t>
      </w:r>
      <w:r>
        <w:rPr>
          <w:rFonts w:hint="eastAsia" w:ascii="宋体" w:hAnsi="宋体" w:eastAsia="宋体" w:cs="宋体"/>
          <w:sz w:val="24"/>
          <w:lang w:eastAsia="zh-CN"/>
        </w:rPr>
        <w:t>闽侯县竹岐乡人民政府</w:t>
      </w:r>
      <w:r>
        <w:rPr>
          <w:rFonts w:hint="eastAsia" w:ascii="宋体" w:hAnsi="宋体" w:eastAsia="宋体" w:cs="宋体"/>
          <w:sz w:val="24"/>
          <w:lang w:val="en-US" w:eastAsia="zh-CN"/>
        </w:rPr>
        <w:t>财</w:t>
      </w:r>
      <w:r>
        <w:rPr>
          <w:rFonts w:hint="eastAsia" w:ascii="宋体" w:hAnsi="宋体" w:eastAsia="宋体" w:cs="宋体"/>
          <w:b w:val="0"/>
          <w:bCs w:val="0"/>
          <w:sz w:val="24"/>
          <w:szCs w:val="24"/>
        </w:rPr>
        <w:t>政运行情况综合绩效项目</w:t>
      </w:r>
      <w:r>
        <w:rPr>
          <w:rFonts w:hint="eastAsia" w:ascii="宋体" w:hAnsi="宋体" w:eastAsia="宋体" w:cs="宋体"/>
          <w:b w:val="0"/>
          <w:sz w:val="24"/>
          <w:szCs w:val="24"/>
        </w:rPr>
        <w:t>绩效评价报告</w:t>
      </w:r>
      <w:r>
        <w:rPr>
          <w:rFonts w:hint="eastAsia" w:ascii="宋体" w:hAnsi="宋体" w:eastAsia="宋体" w:cs="宋体"/>
          <w:sz w:val="24"/>
        </w:rPr>
        <w:t>》。</w:t>
      </w:r>
    </w:p>
    <w:p>
      <w:pPr>
        <w:pStyle w:val="2"/>
        <w:numPr>
          <w:ilvl w:val="0"/>
          <w:numId w:val="1"/>
        </w:numPr>
        <w:bidi w:val="0"/>
        <w:rPr>
          <w:rFonts w:hint="eastAsia" w:ascii="宋体" w:hAnsi="宋体" w:cs="宋体"/>
        </w:rPr>
      </w:pPr>
      <w:bookmarkStart w:id="0" w:name="_Toc29721"/>
      <w:bookmarkStart w:id="1" w:name="_Toc29967"/>
      <w:bookmarkStart w:id="2" w:name="_Toc31890"/>
      <w:bookmarkStart w:id="3" w:name="_Toc11742"/>
      <w:bookmarkStart w:id="4" w:name="_Toc13235"/>
      <w:bookmarkStart w:id="5" w:name="_Toc26387"/>
      <w:bookmarkStart w:id="6" w:name="_Toc10614"/>
      <w:bookmarkStart w:id="7" w:name="_Toc31520"/>
      <w:bookmarkStart w:id="8" w:name="_Toc8202"/>
      <w:bookmarkStart w:id="9" w:name="_Toc25196"/>
      <w:bookmarkStart w:id="10" w:name="_Toc30924"/>
      <w:bookmarkStart w:id="11" w:name="_Toc17204"/>
      <w:r>
        <w:rPr>
          <w:rFonts w:hint="eastAsia" w:ascii="宋体" w:hAnsi="宋体" w:cs="宋体"/>
        </w:rPr>
        <w:t>部门概况</w:t>
      </w:r>
      <w:bookmarkEnd w:id="0"/>
      <w:bookmarkEnd w:id="1"/>
      <w:bookmarkEnd w:id="2"/>
      <w:bookmarkEnd w:id="3"/>
      <w:bookmarkEnd w:id="4"/>
      <w:bookmarkEnd w:id="5"/>
      <w:bookmarkEnd w:id="6"/>
      <w:bookmarkEnd w:id="7"/>
      <w:bookmarkEnd w:id="8"/>
      <w:bookmarkEnd w:id="9"/>
      <w:bookmarkEnd w:id="10"/>
      <w:bookmarkEnd w:id="11"/>
    </w:p>
    <w:p>
      <w:pPr>
        <w:pStyle w:val="3"/>
        <w:rPr>
          <w:rFonts w:hint="default"/>
          <w:lang w:val="en-US" w:eastAsia="zh-CN"/>
        </w:rPr>
      </w:pPr>
      <w:bookmarkStart w:id="12" w:name="_Toc5037"/>
      <w:bookmarkStart w:id="13" w:name="_Toc5674"/>
      <w:bookmarkStart w:id="14" w:name="_Toc8249"/>
      <w:bookmarkStart w:id="15" w:name="_Toc11331"/>
      <w:bookmarkStart w:id="16" w:name="_Toc26361"/>
      <w:bookmarkStart w:id="17" w:name="_Toc29794"/>
      <w:r>
        <w:rPr>
          <w:rFonts w:hint="eastAsia"/>
          <w:lang w:val="en-US" w:eastAsia="zh-CN"/>
        </w:rPr>
        <w:t>(一)</w:t>
      </w:r>
      <w:r>
        <w:rPr>
          <w:rFonts w:hint="default" w:ascii="Arial" w:hAnsi="Arial" w:cs="Times New Roman"/>
          <w:lang w:val="en-US" w:eastAsia="zh-CN"/>
        </w:rPr>
        <w:t>基本概况</w:t>
      </w:r>
      <w:bookmarkEnd w:id="12"/>
      <w:bookmarkEnd w:id="13"/>
      <w:bookmarkEnd w:id="14"/>
      <w:bookmarkEnd w:id="15"/>
      <w:bookmarkEnd w:id="16"/>
      <w:bookmarkEnd w:id="17"/>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竹岐乡位于闽侯县中南部，闽江南岸，东接上街镇，西连鸿尾乡，南与永泰县丹云、白云乡接壤，北与甘蔗街道隔江相望。乡域面积224.26平方千米，辖22个行政村，共210个自然村。</w:t>
      </w:r>
      <w:r>
        <w:rPr>
          <w:rFonts w:hint="eastAsia" w:ascii="宋体" w:hAnsi="宋体" w:eastAsia="宋体" w:cs="宋体"/>
          <w:sz w:val="24"/>
          <w:szCs w:val="24"/>
          <w:lang w:val="en-US" w:eastAsia="zh-CN"/>
        </w:rPr>
        <w:t>2022</w:t>
      </w:r>
      <w:r>
        <w:rPr>
          <w:rFonts w:hint="eastAsia" w:ascii="宋体" w:hAnsi="宋体" w:eastAsia="宋体" w:cs="宋体"/>
          <w:sz w:val="24"/>
          <w:szCs w:val="24"/>
        </w:rPr>
        <w:t>年末户籍人口33618人。</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lang w:eastAsia="zh-CN"/>
        </w:rPr>
        <w:t>根据《中共福建省委办公厅、福建省人民政府办公厅印发〈关于深化乡镇(街道)机构改革的意见〉的通知》(闽委办发[2019]64号)和《中共福州市委办公厅、福州市人民政府办公厅印发各县(市)区〈深化乡镇(街道)机构改革总体方案〉的通知》(榕委办发[2020]3号)精神，结合竹岐乡实际，</w:t>
      </w:r>
      <w:r>
        <w:rPr>
          <w:rFonts w:hint="eastAsia" w:ascii="宋体" w:hAnsi="宋体" w:eastAsia="宋体" w:cs="宋体"/>
          <w:sz w:val="24"/>
          <w:szCs w:val="24"/>
        </w:rPr>
        <w:t>内部机构人员设置情况：</w:t>
      </w:r>
    </w:p>
    <w:p>
      <w:pPr>
        <w:numPr>
          <w:ilvl w:val="0"/>
          <w:numId w:val="2"/>
        </w:numPr>
        <w:spacing w:line="360" w:lineRule="auto"/>
        <w:ind w:left="-60" w:firstLine="480"/>
        <w:jc w:val="left"/>
        <w:rPr>
          <w:rFonts w:hint="eastAsia" w:ascii="宋体" w:hAnsi="宋体" w:eastAsia="宋体" w:cs="宋体"/>
          <w:sz w:val="24"/>
          <w:szCs w:val="24"/>
        </w:rPr>
      </w:pPr>
      <w:r>
        <w:rPr>
          <w:rFonts w:hint="eastAsia" w:ascii="宋体" w:hAnsi="宋体" w:eastAsia="宋体" w:cs="宋体"/>
          <w:sz w:val="24"/>
          <w:szCs w:val="24"/>
        </w:rPr>
        <w:t>行政：编制32名，实有34名。设有党政综合办公室（基层党建办公室）、社会事务办公室、社会综合治理办公室（社会维稳办公室、应急管理办公室）、经济发展办公室、规划建设环保办公室、财政所。</w:t>
      </w:r>
    </w:p>
    <w:p>
      <w:pPr>
        <w:numPr>
          <w:ilvl w:val="0"/>
          <w:numId w:val="2"/>
        </w:numPr>
        <w:spacing w:line="360" w:lineRule="auto"/>
        <w:ind w:left="-60" w:firstLine="480"/>
        <w:jc w:val="left"/>
        <w:rPr>
          <w:rFonts w:hint="eastAsia" w:ascii="宋体" w:hAnsi="宋体" w:eastAsia="宋体" w:cs="宋体"/>
          <w:sz w:val="24"/>
          <w:szCs w:val="24"/>
        </w:rPr>
      </w:pPr>
      <w:r>
        <w:rPr>
          <w:rFonts w:hint="eastAsia" w:ascii="宋体" w:hAnsi="宋体" w:eastAsia="宋体" w:cs="宋体"/>
          <w:sz w:val="24"/>
          <w:szCs w:val="24"/>
        </w:rPr>
        <w:t>事业：共有编制数41名，实有人数38人。其中管理人员编制数13名，实有12名、专业技术人员编制数16名，实有12名、工勤技能人员编制数12名，实有14名。内设机构3个，分别为：综合便民服务中心、综合技术保障中心、综合行政执法队。</w:t>
      </w:r>
    </w:p>
    <w:p>
      <w:pPr>
        <w:numPr>
          <w:ilvl w:val="0"/>
          <w:numId w:val="2"/>
        </w:numPr>
        <w:spacing w:line="360" w:lineRule="auto"/>
        <w:ind w:left="-60" w:firstLine="480"/>
        <w:jc w:val="left"/>
        <w:rPr>
          <w:rFonts w:hint="eastAsia" w:ascii="宋体" w:hAnsi="宋体" w:eastAsia="宋体" w:cs="宋体"/>
          <w:sz w:val="24"/>
          <w:lang w:val="en-US" w:eastAsia="zh-CN"/>
        </w:rPr>
      </w:pPr>
      <w:r>
        <w:rPr>
          <w:rFonts w:hint="eastAsia" w:ascii="宋体" w:hAnsi="宋体" w:eastAsia="宋体" w:cs="宋体"/>
          <w:sz w:val="24"/>
          <w:szCs w:val="24"/>
        </w:rPr>
        <w:t>临</w:t>
      </w:r>
      <w:r>
        <w:rPr>
          <w:rFonts w:hint="eastAsia" w:ascii="宋体" w:hAnsi="宋体" w:eastAsia="宋体" w:cs="宋体"/>
          <w:sz w:val="24"/>
          <w:szCs w:val="24"/>
          <w:lang w:val="en-US" w:eastAsia="zh-CN"/>
        </w:rPr>
        <w:t>时</w:t>
      </w:r>
      <w:r>
        <w:rPr>
          <w:rFonts w:hint="eastAsia" w:ascii="宋体" w:hAnsi="宋体" w:eastAsia="宋体" w:cs="宋体"/>
          <w:sz w:val="24"/>
          <w:szCs w:val="24"/>
        </w:rPr>
        <w:t>聘</w:t>
      </w:r>
      <w:r>
        <w:rPr>
          <w:rFonts w:hint="eastAsia" w:ascii="宋体" w:hAnsi="宋体" w:eastAsia="宋体" w:cs="宋体"/>
          <w:sz w:val="24"/>
          <w:szCs w:val="24"/>
          <w:lang w:val="en-US" w:eastAsia="zh-CN"/>
        </w:rPr>
        <w:t>用</w:t>
      </w:r>
      <w:r>
        <w:rPr>
          <w:rFonts w:hint="eastAsia" w:ascii="宋体" w:hAnsi="宋体" w:eastAsia="宋体" w:cs="宋体"/>
          <w:sz w:val="24"/>
          <w:szCs w:val="24"/>
        </w:rPr>
        <w:t>人员共有60人，其中利民公司派遣26人，县聘流</w:t>
      </w:r>
      <w:r>
        <w:rPr>
          <w:rFonts w:hint="eastAsia" w:ascii="宋体" w:hAnsi="宋体" w:eastAsia="宋体" w:cs="宋体"/>
          <w:sz w:val="24"/>
          <w:szCs w:val="24"/>
          <w:lang w:val="en-US" w:eastAsia="zh-CN"/>
        </w:rPr>
        <w:t>动人</w:t>
      </w:r>
      <w:r>
        <w:rPr>
          <w:rFonts w:hint="eastAsia" w:ascii="宋体" w:hAnsi="宋体" w:eastAsia="宋体" w:cs="宋体"/>
          <w:sz w:val="24"/>
          <w:szCs w:val="24"/>
        </w:rPr>
        <w:t>口管理、村级会计代理中心、综治网格、司法、国土、城管等34人。</w:t>
      </w:r>
    </w:p>
    <w:p>
      <w:pPr>
        <w:pStyle w:val="3"/>
        <w:rPr>
          <w:rFonts w:hint="default" w:ascii="Arial" w:hAnsi="Arial" w:eastAsia="宋体" w:cs="Times New Roman"/>
          <w:sz w:val="24"/>
          <w:lang w:eastAsia="zh-CN"/>
        </w:rPr>
      </w:pPr>
      <w:bookmarkStart w:id="18" w:name="_Toc2054"/>
      <w:bookmarkStart w:id="19" w:name="_Toc14853"/>
      <w:bookmarkStart w:id="20" w:name="_Toc32574"/>
      <w:bookmarkStart w:id="21" w:name="_Toc9014"/>
      <w:bookmarkStart w:id="22" w:name="_Toc15657"/>
      <w:bookmarkStart w:id="23" w:name="_Toc30337"/>
      <w:bookmarkStart w:id="24" w:name="_Toc32252"/>
      <w:bookmarkStart w:id="25" w:name="_Toc16687"/>
      <w:bookmarkStart w:id="26" w:name="_Toc119"/>
      <w:bookmarkStart w:id="27" w:name="_Toc20338"/>
      <w:bookmarkStart w:id="28" w:name="_Toc21262"/>
      <w:r>
        <w:rPr>
          <w:rFonts w:hint="eastAsia" w:ascii="Arial" w:hAnsi="Arial" w:eastAsia="宋体" w:cs="Times New Roman"/>
          <w:bCs/>
          <w:szCs w:val="32"/>
          <w:lang w:eastAsia="zh-CN"/>
        </w:rPr>
        <w:t>（</w:t>
      </w:r>
      <w:r>
        <w:rPr>
          <w:rFonts w:hint="eastAsia" w:ascii="Arial" w:hAnsi="Arial" w:eastAsia="宋体" w:cs="Times New Roman"/>
          <w:lang w:val="en-US" w:eastAsia="zh-CN"/>
        </w:rPr>
        <w:t>二</w:t>
      </w:r>
      <w:r>
        <w:rPr>
          <w:rFonts w:hint="eastAsia" w:ascii="Arial" w:hAnsi="Arial" w:eastAsia="宋体" w:cs="Times New Roman"/>
          <w:lang w:eastAsia="zh-CN"/>
        </w:rPr>
        <w:t>）中共闽侯县竹岐乡委员会、闽侯县竹岐乡人民政府主要职责</w:t>
      </w:r>
      <w:bookmarkEnd w:id="18"/>
      <w:bookmarkEnd w:id="19"/>
      <w:bookmarkEnd w:id="20"/>
      <w:bookmarkEnd w:id="21"/>
      <w:bookmarkEnd w:id="22"/>
      <w:bookmarkEnd w:id="23"/>
      <w:bookmarkEnd w:id="24"/>
      <w:bookmarkEnd w:id="25"/>
      <w:bookmarkEnd w:id="26"/>
      <w:bookmarkEnd w:id="27"/>
      <w:bookmarkEnd w:id="28"/>
      <w:bookmarkStart w:id="29" w:name="_Hlk490408397"/>
    </w:p>
    <w:p>
      <w:pPr>
        <w:spacing w:line="360" w:lineRule="auto"/>
        <w:ind w:firstLine="480"/>
        <w:rPr>
          <w:rFonts w:hint="eastAsia" w:ascii="宋体" w:hAnsi="宋体" w:eastAsia="宋体" w:cs="宋体"/>
          <w:sz w:val="24"/>
          <w:lang w:eastAsia="zh-CN"/>
        </w:rPr>
      </w:pPr>
      <w:r>
        <w:rPr>
          <w:rFonts w:hint="eastAsia" w:ascii="宋体" w:hAnsi="宋体" w:eastAsia="宋体" w:cs="宋体"/>
          <w:lang w:eastAsia="zh-CN"/>
        </w:rPr>
        <w:t>1、</w:t>
      </w:r>
      <w:r>
        <w:rPr>
          <w:rFonts w:hint="eastAsia" w:ascii="宋体" w:hAnsi="宋体" w:eastAsia="宋体" w:cs="宋体"/>
          <w:sz w:val="24"/>
          <w:lang w:eastAsia="zh-CN"/>
        </w:rPr>
        <w:t>宣传贯彻落实党的路线方针政策、法律法规及上级机关的决策部署，执行本级人民代表大会的决议。研究决定本区域内政治、经济、文化、社会、生态文明等领域事业发展的重大事项。</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2、)落实基层党建工作责任制，加强党对基层工作的领导和基层政权建设，推进全面从严治党。推进辖区内党建互联互动，统筹抓好辖区内新领域新业态新群体党建工作。</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3、加强党的宣传思想工作，推进精神文明建设。贯彻党的统战工作方针以及民族、宗教、侨务、台港澳等政策。做好人大、纪检监察、群团和人民武装等相关工作。</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4、负责拟订和组织实施本行政区域内国民经济、社会发展规划及年度计划，推进工业化和城镇化发展水平，促进产业结构调整和产业转型升级。优化投资营商环境，推动区域经济发展。</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负责农业农村、林业、水利等工作，服务“三农”发展、指导农村经济发展，推进农业结构调整，促进农民增收。推动实施乡村振兴战略和美丽乡村建设工作，深化完善农业公共服务体系和农民合作经济组织体系，推进农业农村现代化发展。</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按照区域总体规划，负责组织实施本行政区域内村镇建设规划。组织基础设施、公共服务设施和各项公益事业建设。推进环境综合整治，改善生态环境。</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统筹协调社会事务，负责本行政区域内教育、科技、民政、卫生健康、医疗保障、退役军人事务、文化体育和旅游、人力资源和社会保障等工作。推进乡镇综合便民服务体系建设，完善公共服务体系，促进社会事业发展。</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lang w:eastAsia="zh-CN"/>
        </w:rPr>
        <w:t>建立健全财政财务监督管理机制，负责各级财政收支管理、国有资产管理、经济社会统计和村级财务内审监督等相关工作。负责编报和执行财政预算，并向乡人大报告预算和执行情况。</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9、</w:t>
      </w:r>
      <w:r>
        <w:rPr>
          <w:rFonts w:hint="eastAsia" w:ascii="宋体" w:hAnsi="宋体" w:eastAsia="宋体" w:cs="宋体"/>
          <w:sz w:val="24"/>
          <w:lang w:eastAsia="zh-CN"/>
        </w:rPr>
        <w:t>加强基层民主法治建设和自治建设，负责本行政区域内基层组织建设和管理工作。承担辖区平安建设、社会治安综合治理、公共安全等有关工作，强化信访和矛盾纠纷调解，维护社会和谐稳定。</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10、</w:t>
      </w:r>
      <w:r>
        <w:rPr>
          <w:rFonts w:hint="eastAsia" w:ascii="宋体" w:hAnsi="宋体" w:eastAsia="宋体" w:cs="宋体"/>
          <w:sz w:val="24"/>
          <w:lang w:eastAsia="zh-CN"/>
        </w:rPr>
        <w:t>承担辖区内村镇管理、应急管理等相关工作的组织领导、推进实施、综合协调和监督检查职能，统筹协调派驻机构开展综合执法、建立健全联动执法机制，组织开展群众监督和社会监督，实施辖区内相关行政事务的常态化管理，</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11、</w:t>
      </w:r>
      <w:r>
        <w:rPr>
          <w:rFonts w:hint="eastAsia" w:ascii="宋体" w:hAnsi="宋体" w:eastAsia="宋体" w:cs="宋体"/>
          <w:sz w:val="24"/>
          <w:lang w:eastAsia="zh-CN"/>
        </w:rPr>
        <w:t>完成法律、法规、规章规定的其他事项，承办上级党委、政府下达的各项任务。</w:t>
      </w:r>
    </w:p>
    <w:p>
      <w:pPr>
        <w:pStyle w:val="3"/>
        <w:numPr>
          <w:ilvl w:val="0"/>
          <w:numId w:val="0"/>
        </w:numPr>
        <w:ind w:left="0" w:firstLine="240" w:firstLineChars="100"/>
        <w:rPr>
          <w:rFonts w:hint="eastAsia"/>
          <w:lang w:eastAsia="zh-CN"/>
        </w:rPr>
      </w:pPr>
      <w:bookmarkStart w:id="30" w:name="_Toc24808"/>
      <w:bookmarkStart w:id="31" w:name="_Toc17279"/>
      <w:bookmarkStart w:id="32" w:name="_Toc5891"/>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lang w:eastAsia="zh-CN"/>
        </w:rPr>
        <w:t>）</w:t>
      </w:r>
      <w:bookmarkStart w:id="33" w:name="_Toc6014"/>
      <w:bookmarkStart w:id="34" w:name="_Toc15477"/>
      <w:bookmarkStart w:id="35" w:name="_Toc28872"/>
      <w:r>
        <w:rPr>
          <w:rFonts w:hint="eastAsia"/>
          <w:lang w:eastAsia="zh-CN"/>
        </w:rPr>
        <w:t>党政内设机构</w:t>
      </w:r>
      <w:bookmarkEnd w:id="33"/>
      <w:r>
        <w:rPr>
          <w:rFonts w:hint="eastAsia"/>
          <w:lang w:eastAsia="zh-CN"/>
        </w:rPr>
        <w:t>：</w:t>
      </w:r>
      <w:bookmarkEnd w:id="34"/>
      <w:bookmarkEnd w:id="35"/>
      <w:bookmarkStart w:id="36" w:name="_Toc11154"/>
      <w:bookmarkStart w:id="37" w:name="_Toc30973"/>
      <w:bookmarkStart w:id="38" w:name="_Toc16819"/>
      <w:r>
        <w:rPr>
          <w:rFonts w:hint="eastAsia"/>
          <w:lang w:eastAsia="zh-CN"/>
        </w:rPr>
        <w:t>竹岐乡设置6个党政内设机构</w:t>
      </w:r>
      <w:bookmarkEnd w:id="30"/>
      <w:bookmarkEnd w:id="31"/>
      <w:bookmarkEnd w:id="32"/>
      <w:bookmarkEnd w:id="36"/>
      <w:bookmarkEnd w:id="37"/>
      <w:bookmarkEnd w:id="38"/>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党政综合办公室(基层党建办公室)</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负责机关日常事务管理及综合协调工作，督促重大事项的落实;承担会议组织和文电、机要、档案、保密、宣传、电子政务、政务信息、政务公开、绩效评估、安全保卫、后勤保障等工作;起草综合性、政策性文件;组织制定和监督实施机关内部各项规章制度;承担基层党的建设、纪检监察、组织、宣传、统战和人事管理;负责人大、政协、群团等相关工作。</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社会事务办公室</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负责编制社会事业发展规划和年度计划，并组织实施;负责民主法治、精神文明建设、基层政权建设;开展村务公开、村干部培训;负责所辖村和新社会组织的管理;负责民政、残联、教育、科技、卫生健康、医疗保障、退役军人服务、文化体育和旅游、人力资源和社会保障等相关工作。</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社会综合治理办公室(社会维稳办公室，应急管理办公室)</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贯彻执行有关社会治安综合治理、社会维稳、安全生产、应急管理等方面的法律、法规和方针政策;研究制定社会治安综合治理、社会维稳、安全生产、应急管理工作计划，并组织实施;掌握分析辖区内的维稳动态、治安形势等情况;组织开展法律服务、社区戒毒、社区矫正、帮教安置、反邪教、禁毒等工作;负责做好来信来访、矛盾纠纷排查调处等工作;组织安全生产类、自然灾害类等突发事件应急救援工作;开展火灾、水旱灾害、地质灾害等防治工作，做好消防以及应急管理办公室的其他工作;参与安全生产事故的调查、处理;预防和处置突发公共事件。</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经济发展办公室</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负责编制经济中长期发展规划和年度计划，并组织实施;指导各类经济组织发展经济，培育特色产业，促进产业协调发展;负责优化投资营商环境、招商引资、经贸合作等工作;指导企业开展科技创新、技术交流合作;推进重大项目落地;承担辖区经济数据统计;协调与经济发展相关的其他工作。</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规划建设环保办公室</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贯彻执行国家有关城乡建设、工程建设、环境保护等方面的法律、法规、政策;负责编制村镇建设发展规划、年度计划和环境保护规划，并组织实施;负责村镇各项工程项目</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建设管理:配合上级有关部门做好本区域内重点建设项目的规划和其他基础工作:负责生态环境、农业农村、水利、林业等工作;负责乡村振兴的日常工作;负责辖区内环境卫生管理、市政建设管理、物业监督管理等工作。</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财政所</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贯彻执行财经管理政策，负责乡政府财政预决算编制;负责财政收支、预算资金管理;管理政府性债权债务，负责国有资产、政府采购、财政票据、财务会计管理等财政管理相关工作;落实各项财政补贴资金的具体发放、监管和其他财政资金的监管工作;负责本乡财政税收和财源培植建设工作。</w:t>
      </w:r>
    </w:p>
    <w:p>
      <w:pPr>
        <w:pStyle w:val="3"/>
        <w:rPr>
          <w:rFonts w:hint="eastAsia"/>
          <w:lang w:eastAsia="zh-CN"/>
        </w:rPr>
      </w:pPr>
      <w:bookmarkStart w:id="39" w:name="_Toc28508"/>
      <w:bookmarkStart w:id="40" w:name="_Toc734"/>
      <w:bookmarkStart w:id="41" w:name="_Toc22669"/>
      <w:bookmarkStart w:id="42" w:name="_Toc8805"/>
      <w:bookmarkStart w:id="43" w:name="_Toc3654"/>
      <w:bookmarkStart w:id="44" w:name="_Toc2063"/>
      <w:r>
        <w:rPr>
          <w:rFonts w:hint="eastAsia"/>
          <w:lang w:val="en-US" w:eastAsia="zh-CN"/>
        </w:rPr>
        <w:t>（四）</w:t>
      </w:r>
      <w:r>
        <w:rPr>
          <w:rFonts w:hint="eastAsia"/>
          <w:lang w:eastAsia="zh-CN"/>
        </w:rPr>
        <w:t>事业机构</w:t>
      </w:r>
      <w:bookmarkEnd w:id="39"/>
      <w:bookmarkEnd w:id="40"/>
      <w:bookmarkEnd w:id="41"/>
      <w:bookmarkEnd w:id="42"/>
      <w:bookmarkEnd w:id="43"/>
      <w:bookmarkEnd w:id="44"/>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竹岐乡整合文化服务中心、卫生计生服务中心、村镇规划建设服务中心、农业服务中心、乡镇企业服务中心、综合行政执法队等6个事业单位，综合设置综合便民服务中心、综合技术保障中心、综合行政执法队等3个事业单位，经费渠道均为财政核拨，机构规格均为相当副科级。</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综合便民服务中心(党群服务中心、综治中心、退役军人服务站)</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主要承担基层党建、综合治理、村居建设、科技教育、文体旅游、卫生健康、医疗保障、劳动就业、社会保障、民政救济、优抚安置、民族宗教、自然资源、农业农村、生态保护、退役军人服务等领域相关事务性工作;承担综合便民服务中心窗口的日常运行管理，为企业法人、党组织以及党员群众办事提供政策咨询、企业服务、便民生活、投诉受理等服务工作:指导协调进驻(延仲)综合便民服务中心集中办理的行政审批和公共服务事项，具体梳理编制乡镇权责清单;协助做好工会、共青团、妇联、计生协、残联、工商联等群团组织日常事务性工作。</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综合技术保障中心</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主要承担农林水(渔)业、扶贫开发、卫生健康、环境卫生、园林绿化、应急救援、计划生育、经贸发展、金融服务、信息数据等领域提供技术保障工作，指导村委会做好相关工作;负责草拟村镇建设发展规划和年度工作目标，具体组织编制实施村镇规划，加快推广村镇建设适用技术;协助开展农(水)产品质量监管、动植物疫病防控、林业、畜牧等相关工作;承担乡公用设施维护与管理、乡村道路的管理、养护等具体工作;指导企业健全劳动保护、社会保险等制度，协助做好辖区内安全生产相关具体工作。负责乡审计、统计、年报、村会计代理中心等具体工作。</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综合行政执法队</w:t>
      </w:r>
    </w:p>
    <w:p>
      <w:pPr>
        <w:spacing w:line="360" w:lineRule="auto"/>
        <w:ind w:firstLine="480"/>
        <w:rPr>
          <w:rFonts w:hint="default" w:ascii="宋体" w:hAnsi="宋体" w:eastAsia="宋体" w:cs="宋体"/>
          <w:sz w:val="24"/>
          <w:lang w:eastAsia="zh-CN"/>
        </w:rPr>
      </w:pPr>
      <w:r>
        <w:rPr>
          <w:rFonts w:hint="default" w:ascii="宋体" w:hAnsi="宋体" w:eastAsia="宋体" w:cs="宋体"/>
          <w:sz w:val="24"/>
          <w:lang w:eastAsia="zh-CN"/>
        </w:rPr>
        <w:t>统一行使法律、法规、规章等赋予本级人民政府的行政执法职权，承担县级以上人民政府依法赋予或委托本级人民政府的行政执法职权，在辖区内以本级人民政府的名义集中行使行政处罚及与之相关的行政监督检查和行政强制等权力。在职权范围内对农业、水利、建设、人口、计生、教育、卫生、环境保护、交通运输、文体旅游、劳动保障、安全生产等领域实行综合执法，及时向上级相关部门通报辖区内违法行为，并接受业务指导和监督。建立健全与县级以上人民政府派驻机构行政执法协调配合机制，统筹组织协调公安、司法、市场、林业、城市管理、自然资源和规划等派驻机构执法资源和力量开展本辖区相关领域的行政执法工作，规范执法程序、强化监督管理和问责。配合做好县级以上人民政府开展的统一执法工作。</w:t>
      </w:r>
    </w:p>
    <w:p>
      <w:pPr>
        <w:pStyle w:val="3"/>
        <w:rPr>
          <w:rFonts w:hint="eastAsia" w:ascii="Arial" w:hAnsi="Arial" w:eastAsia="宋体" w:cs="Times New Roman"/>
          <w:lang w:eastAsia="zh-CN"/>
        </w:rPr>
      </w:pPr>
      <w:bookmarkStart w:id="45" w:name="_Toc31188"/>
      <w:bookmarkStart w:id="46" w:name="_Toc698"/>
      <w:bookmarkStart w:id="47" w:name="_Toc26902"/>
      <w:bookmarkStart w:id="48" w:name="_Toc17242"/>
      <w:bookmarkStart w:id="49" w:name="_Toc14534"/>
      <w:bookmarkStart w:id="50" w:name="_Toc21459"/>
      <w:r>
        <w:rPr>
          <w:rFonts w:hint="eastAsia" w:ascii="Arial" w:hAnsi="Arial" w:eastAsia="宋体" w:cs="Times New Roman"/>
          <w:lang w:val="en-US" w:eastAsia="zh-CN"/>
        </w:rPr>
        <w:t>（五）</w:t>
      </w:r>
      <w:bookmarkEnd w:id="45"/>
      <w:bookmarkEnd w:id="46"/>
      <w:bookmarkEnd w:id="47"/>
      <w:bookmarkStart w:id="51" w:name="_Toc2466"/>
      <w:bookmarkStart w:id="52" w:name="_Toc14354"/>
      <w:bookmarkStart w:id="53" w:name="_Toc2035"/>
      <w:r>
        <w:rPr>
          <w:rFonts w:hint="eastAsia" w:ascii="Arial" w:hAnsi="Arial" w:eastAsia="宋体" w:cs="Times New Roman"/>
          <w:lang w:eastAsia="zh-CN"/>
        </w:rPr>
        <w:t>其他事项</w:t>
      </w:r>
      <w:bookmarkEnd w:id="48"/>
      <w:bookmarkEnd w:id="49"/>
      <w:bookmarkEnd w:id="50"/>
      <w:bookmarkEnd w:id="51"/>
      <w:bookmarkEnd w:id="52"/>
      <w:bookmarkEnd w:id="53"/>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人大、基层人民武装机构和群团机构等根据法律、法规和群团组织章程设置。</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2、县</w:t>
      </w:r>
      <w:r>
        <w:rPr>
          <w:rFonts w:hint="eastAsia" w:ascii="宋体" w:hAnsi="宋体" w:eastAsia="宋体" w:cs="宋体"/>
          <w:sz w:val="24"/>
          <w:lang w:eastAsia="zh-CN"/>
        </w:rPr>
        <w:t>直部门派驻机构应当按照相关工作机制纳入乡统一组织协调、开展工作。派驻机构工作考核和主要负责同志任免要听取乡党委意见。对于符合条件的县直部门派驻机构负责人，可根据工作需要，使其参与乡班子成员工作分工,县直部门派驻机构承担行政执法职能的人员编制可相应划转到乡，未划转的，人员由乡执法机构统筹使用。</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建立健全县直部门与乡镇干部双向交流机制，优先安排长期在乡镇工作、业绩突出的干部到县直部门工作，严禁挤占乡镇人员编制和领导职数。</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根据《中国共产党农村基层组织工作条例》，配备专职组织员，配强党务工作力量。</w:t>
      </w:r>
    </w:p>
    <w:p>
      <w:pPr>
        <w:pStyle w:val="3"/>
        <w:rPr>
          <w:rFonts w:hint="eastAsia" w:ascii="宋体" w:hAnsi="宋体" w:eastAsia="宋体" w:cs="宋体"/>
          <w:color w:val="auto"/>
          <w:lang w:val="en-US" w:eastAsia="zh-CN"/>
        </w:rPr>
      </w:pPr>
      <w:bookmarkStart w:id="54" w:name="_Toc1166"/>
      <w:bookmarkStart w:id="55" w:name="_Toc1768"/>
      <w:bookmarkStart w:id="56" w:name="_Toc3655"/>
      <w:bookmarkStart w:id="57" w:name="_Toc2735"/>
      <w:bookmarkStart w:id="58" w:name="_Toc16034"/>
      <w:bookmarkStart w:id="59" w:name="_Toc4507"/>
      <w:bookmarkStart w:id="60" w:name="_Toc10812"/>
      <w:bookmarkStart w:id="61" w:name="_Toc17382"/>
      <w:bookmarkStart w:id="62" w:name="_Toc31713"/>
      <w:bookmarkStart w:id="63" w:name="_Toc4550"/>
      <w:bookmarkStart w:id="64" w:name="_Toc4577"/>
      <w:bookmarkStart w:id="65" w:name="_Toc7101"/>
      <w:r>
        <w:rPr>
          <w:rFonts w:hint="eastAsia"/>
        </w:rPr>
        <w:t>（</w:t>
      </w:r>
      <w:r>
        <w:rPr>
          <w:rFonts w:hint="eastAsia"/>
          <w:lang w:val="en-US" w:eastAsia="zh-CN"/>
        </w:rPr>
        <w:t>六</w:t>
      </w:r>
      <w:r>
        <w:rPr>
          <w:rFonts w:hint="eastAsia"/>
        </w:rPr>
        <w:t>）</w:t>
      </w:r>
      <w:r>
        <w:rPr>
          <w:rFonts w:hint="eastAsia"/>
          <w:lang w:eastAsia="zh-CN"/>
        </w:rPr>
        <w:t>2022年</w:t>
      </w:r>
      <w:r>
        <w:rPr>
          <w:rFonts w:hint="eastAsia"/>
        </w:rPr>
        <w:t>度</w:t>
      </w:r>
      <w:r>
        <w:rPr>
          <w:rFonts w:hint="eastAsia"/>
          <w:lang w:eastAsia="zh-CN"/>
        </w:rPr>
        <w:t>竹岐乡人民政府</w:t>
      </w:r>
      <w:r>
        <w:rPr>
          <w:rFonts w:hint="eastAsia"/>
        </w:rPr>
        <w:t>财政</w:t>
      </w:r>
      <w:r>
        <w:rPr>
          <w:rFonts w:hint="eastAsia"/>
          <w:lang w:val="en-US" w:eastAsia="zh-CN"/>
        </w:rPr>
        <w:t>收支预算执行</w:t>
      </w:r>
      <w:r>
        <w:rPr>
          <w:rFonts w:hint="eastAsia"/>
        </w:rPr>
        <w:t>情况</w:t>
      </w:r>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80"/>
        <w:rPr>
          <w:rFonts w:hint="eastAsia" w:ascii="宋体" w:hAnsi="宋体" w:eastAsia="宋体" w:cs="宋体"/>
          <w:sz w:val="24"/>
          <w:lang w:val="en-US" w:eastAsia="zh-CN"/>
        </w:rPr>
      </w:pPr>
      <w:bookmarkStart w:id="66" w:name="_Toc19029"/>
      <w:bookmarkStart w:id="67" w:name="_Toc28562"/>
      <w:r>
        <w:rPr>
          <w:rFonts w:hint="eastAsia" w:ascii="宋体" w:hAnsi="宋体" w:eastAsia="宋体" w:cs="宋体"/>
          <w:sz w:val="24"/>
          <w:lang w:val="en-US" w:eastAsia="zh-CN"/>
        </w:rPr>
        <w:t>1、年初预算批复情况</w:t>
      </w:r>
      <w:bookmarkEnd w:id="66"/>
      <w:bookmarkEnd w:id="67"/>
    </w:p>
    <w:bookmarkEnd w:id="29"/>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lang w:val="en-US" w:eastAsia="zh-CN"/>
        </w:rPr>
        <w:t>根据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lang w:eastAsia="zh-CN"/>
        </w:rPr>
        <w:t>竹岐乡人民政府</w:t>
      </w:r>
      <w:r>
        <w:rPr>
          <w:rFonts w:hint="eastAsia" w:ascii="宋体" w:hAnsi="宋体" w:eastAsia="宋体" w:cs="宋体"/>
          <w:b w:val="0"/>
          <w:bCs w:val="0"/>
          <w:color w:val="auto"/>
          <w:sz w:val="24"/>
          <w:szCs w:val="24"/>
        </w:rPr>
        <w:t>财政</w:t>
      </w:r>
      <w:r>
        <w:rPr>
          <w:rFonts w:hint="eastAsia" w:ascii="宋体" w:hAnsi="宋体" w:eastAsia="宋体" w:cs="宋体"/>
          <w:color w:val="auto"/>
          <w:sz w:val="24"/>
          <w:szCs w:val="24"/>
          <w:highlight w:val="none"/>
          <w:lang w:val="en-US" w:eastAsia="zh-CN"/>
        </w:rPr>
        <w:t>关于2021年财政预算执行情况和2022年财政预算草案的报告》，</w:t>
      </w:r>
      <w:r>
        <w:rPr>
          <w:rFonts w:hint="eastAsia" w:ascii="宋体" w:hAnsi="宋体" w:eastAsia="宋体" w:cs="宋体"/>
          <w:color w:val="auto"/>
          <w:sz w:val="24"/>
          <w:highlight w:val="none"/>
          <w:lang w:eastAsia="zh-CN"/>
        </w:rPr>
        <w:t>2022年</w:t>
      </w:r>
      <w:r>
        <w:rPr>
          <w:rFonts w:hint="eastAsia" w:ascii="宋体" w:hAnsi="宋体" w:eastAsia="宋体" w:cs="宋体"/>
          <w:color w:val="auto"/>
          <w:sz w:val="24"/>
          <w:highlight w:val="none"/>
        </w:rPr>
        <w:t>度</w:t>
      </w:r>
      <w:r>
        <w:rPr>
          <w:rFonts w:hint="eastAsia" w:ascii="宋体" w:hAnsi="宋体" w:eastAsia="宋体" w:cs="宋体"/>
          <w:color w:val="auto"/>
          <w:sz w:val="24"/>
          <w:lang w:eastAsia="zh-CN"/>
        </w:rPr>
        <w:t>竹岐乡人民政府</w:t>
      </w:r>
      <w:r>
        <w:rPr>
          <w:rFonts w:hint="eastAsia" w:ascii="宋体" w:hAnsi="宋体" w:eastAsia="宋体" w:cs="宋体"/>
          <w:color w:val="auto"/>
          <w:sz w:val="24"/>
          <w:szCs w:val="24"/>
          <w:highlight w:val="none"/>
          <w:lang w:val="en-US" w:eastAsia="zh-CN"/>
        </w:rPr>
        <w:t>一般公共财政预算收支计划情况如下：</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A;</w:t>
      </w:r>
      <w:r>
        <w:rPr>
          <w:rFonts w:hint="eastAsia" w:ascii="宋体" w:hAnsi="宋体" w:eastAsia="宋体" w:cs="宋体"/>
          <w:b w:val="0"/>
          <w:bCs w:val="0"/>
          <w:color w:val="auto"/>
          <w:sz w:val="24"/>
          <w:szCs w:val="24"/>
        </w:rPr>
        <w:t>财政</w:t>
      </w:r>
      <w:r>
        <w:rPr>
          <w:rFonts w:hint="eastAsia" w:ascii="宋体" w:hAnsi="宋体" w:eastAsia="宋体" w:cs="宋体"/>
          <w:b w:val="0"/>
          <w:bCs w:val="0"/>
          <w:color w:val="auto"/>
          <w:sz w:val="24"/>
          <w:szCs w:val="24"/>
          <w:lang w:val="en-US" w:eastAsia="zh-CN"/>
        </w:rPr>
        <w:t>收入</w:t>
      </w:r>
      <w:r>
        <w:rPr>
          <w:rFonts w:hint="eastAsia" w:ascii="宋体" w:hAnsi="宋体" w:eastAsia="宋体" w:cs="宋体"/>
          <w:b w:val="0"/>
          <w:bCs w:val="0"/>
          <w:color w:val="auto"/>
          <w:sz w:val="24"/>
          <w:szCs w:val="24"/>
        </w:rPr>
        <w:t>预算计划</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根据上年完成情况及财税部门的税源调查，确保</w:t>
      </w:r>
      <w:r>
        <w:rPr>
          <w:rFonts w:hint="eastAsia" w:ascii="宋体" w:hAnsi="宋体" w:eastAsia="宋体" w:cs="宋体"/>
          <w:color w:val="auto"/>
          <w:sz w:val="24"/>
          <w:lang w:eastAsia="zh-CN"/>
        </w:rPr>
        <w:t>竹岐乡人民政府</w:t>
      </w:r>
      <w:r>
        <w:rPr>
          <w:rFonts w:hint="eastAsia" w:ascii="宋体" w:hAnsi="宋体" w:eastAsia="宋体" w:cs="宋体"/>
          <w:color w:val="auto"/>
          <w:sz w:val="24"/>
          <w:szCs w:val="24"/>
        </w:rPr>
        <w:t>2022年一般公共预算收入（体制口径）28688万元，比上年增长10%。</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B:</w:t>
      </w:r>
      <w:r>
        <w:rPr>
          <w:rFonts w:hint="eastAsia" w:ascii="宋体" w:hAnsi="宋体" w:eastAsia="宋体" w:cs="宋体"/>
          <w:b w:val="0"/>
          <w:bCs w:val="0"/>
          <w:color w:val="auto"/>
          <w:sz w:val="24"/>
          <w:szCs w:val="24"/>
        </w:rPr>
        <w:t>财政支出情况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一般公共预算支出安排8645万元。其中：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⑴一般公共服务支出2750万元（其中人大经费20万元；党务经费400万元；政府机关等2330万元，含综合治理、平安创建、农村普法宣传（依照法治宣传教育第七个五年规划要求，每年投入确保比上年递增10%以上）、人民调解、人民武装、维护安定稳定以及工业企业扶持、人才工作、交通、安全生产监督等经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⑵国防支出5万元；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⑶社会保障与就业支出90万元。主要用于民政定补、慈善救助、对困难群体的慰问、社会救济、低保及重残人员生活补助、失地农民保障等支出；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⑷卫生健康支出150万元。主要用于新冠疫情防控、乡卫生院、计生协会建设、新农合医疗配套、食品安全支出等；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⑸城乡社区支出2650万元。主要用于包括公共设施、</w:t>
      </w:r>
      <w:r>
        <w:rPr>
          <w:rFonts w:hint="eastAsia" w:ascii="宋体" w:hAnsi="宋体" w:eastAsia="宋体" w:cs="宋体"/>
          <w:color w:val="auto"/>
          <w:sz w:val="24"/>
          <w:szCs w:val="24"/>
          <w:lang w:val="en-US" w:eastAsia="zh-CN"/>
        </w:rPr>
        <w:t>文物安全、</w:t>
      </w:r>
      <w:r>
        <w:rPr>
          <w:rFonts w:hint="eastAsia" w:ascii="宋体" w:hAnsi="宋体" w:eastAsia="宋体" w:cs="宋体"/>
          <w:color w:val="auto"/>
          <w:sz w:val="24"/>
          <w:szCs w:val="24"/>
        </w:rPr>
        <w:t>环境卫生及城乡社区服务和住房保障、危房改造、人居环境整治、聘请保安、清理违章建筑等；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⑹农林水支出800万元。主要用于农业事业经费、村级经济补助、科技事业费、水利工程建设与维护、小农水、农村饮用水及抗旱防涝等支出；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⑺自然资源海洋气象等支出600万元；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⑻节能环保支出50万元；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⑼其他支出1550万元。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一般公共预算“三公”经费预算支出</w:t>
      </w:r>
    </w:p>
    <w:p>
      <w:pPr>
        <w:spacing w:line="360" w:lineRule="auto"/>
        <w:ind w:firstLine="48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4"/>
        </w:rPr>
        <w:t>2022年度“三公”经费预算支出9.87万元，其中公务用车运行维护费5.45万元，公务接待费4.42万元。</w:t>
      </w:r>
    </w:p>
    <w:p>
      <w:pPr>
        <w:numPr>
          <w:ilvl w:val="0"/>
          <w:numId w:val="3"/>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部门预算调整情况</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lang w:eastAsia="zh-CN"/>
        </w:rPr>
        <w:t>竹岐乡人民政府</w:t>
      </w:r>
      <w:r>
        <w:rPr>
          <w:rFonts w:hint="eastAsia" w:ascii="宋体" w:hAnsi="宋体" w:eastAsia="宋体" w:cs="宋体"/>
          <w:b w:val="0"/>
          <w:bCs w:val="0"/>
          <w:color w:val="auto"/>
          <w:sz w:val="24"/>
          <w:szCs w:val="24"/>
        </w:rPr>
        <w:t>财政</w:t>
      </w:r>
      <w:r>
        <w:rPr>
          <w:rFonts w:hint="eastAsia" w:ascii="宋体" w:hAnsi="宋体" w:eastAsia="宋体" w:cs="宋体"/>
          <w:color w:val="auto"/>
          <w:sz w:val="24"/>
          <w:szCs w:val="24"/>
          <w:highlight w:val="none"/>
          <w:lang w:val="en-US" w:eastAsia="zh-CN"/>
        </w:rPr>
        <w:t>关于2021年财政预算执行情况和2022年财政预算草案的报告》</w:t>
      </w:r>
      <w:r>
        <w:rPr>
          <w:rFonts w:hint="eastAsia" w:ascii="宋体" w:hAnsi="宋体" w:eastAsia="宋体" w:cs="宋体"/>
          <w:color w:val="auto"/>
          <w:sz w:val="24"/>
          <w:lang w:val="en-US" w:eastAsia="zh-CN"/>
        </w:rPr>
        <w:t>，本年</w:t>
      </w:r>
      <w:r>
        <w:rPr>
          <w:rFonts w:hint="eastAsia" w:ascii="宋体" w:hAnsi="宋体" w:eastAsia="宋体" w:cs="宋体"/>
          <w:color w:val="auto"/>
          <w:sz w:val="24"/>
        </w:rPr>
        <w:t>支出</w:t>
      </w:r>
      <w:r>
        <w:rPr>
          <w:rFonts w:hint="eastAsia" w:ascii="宋体" w:hAnsi="宋体" w:eastAsia="宋体" w:cs="宋体"/>
          <w:color w:val="auto"/>
          <w:sz w:val="24"/>
          <w:lang w:val="en-US" w:eastAsia="zh-CN"/>
        </w:rPr>
        <w:t>预算</w:t>
      </w:r>
      <w:r>
        <w:rPr>
          <w:rFonts w:hint="eastAsia" w:ascii="宋体" w:hAnsi="宋体" w:eastAsia="宋体" w:cs="宋体"/>
          <w:color w:val="auto"/>
          <w:sz w:val="24"/>
          <w:highlight w:val="none"/>
          <w:lang w:val="en-US" w:eastAsia="zh-CN"/>
        </w:rPr>
        <w:t>为8645万元；根据</w:t>
      </w:r>
      <w:r>
        <w:rPr>
          <w:rFonts w:hint="eastAsia" w:ascii="宋体" w:hAnsi="宋体" w:eastAsia="宋体" w:cs="宋体"/>
          <w:color w:val="auto"/>
          <w:sz w:val="24"/>
          <w:lang w:eastAsia="zh-CN"/>
        </w:rPr>
        <w:t>竹岐乡人民政府《</w:t>
      </w:r>
      <w:r>
        <w:rPr>
          <w:rFonts w:hint="eastAsia" w:ascii="宋体" w:hAnsi="宋体" w:eastAsia="宋体" w:cs="宋体"/>
          <w:color w:val="auto"/>
          <w:sz w:val="24"/>
          <w:lang w:val="en-US" w:eastAsia="zh-CN"/>
        </w:rPr>
        <w:t>财政收入支出决算总表》，一般公共预算</w:t>
      </w:r>
      <w:r>
        <w:rPr>
          <w:rFonts w:hint="eastAsia" w:ascii="宋体" w:hAnsi="宋体" w:eastAsia="宋体" w:cs="宋体"/>
          <w:color w:val="auto"/>
          <w:sz w:val="24"/>
          <w:highlight w:val="none"/>
          <w:lang w:val="en-US" w:eastAsia="zh-CN"/>
        </w:rPr>
        <w:t>支出决算数为4770.15万元，政府基金预算支出决算数为12169.58万元，支出决算数合计为16939.72万元，剔除上级补助支出13000.3万元，</w:t>
      </w:r>
      <w:r>
        <w:rPr>
          <w:rFonts w:hint="eastAsia" w:ascii="宋体" w:hAnsi="宋体" w:eastAsia="宋体" w:cs="宋体"/>
          <w:color w:val="auto"/>
          <w:sz w:val="24"/>
          <w:lang w:val="en-US" w:eastAsia="zh-CN"/>
        </w:rPr>
        <w:t>一般公共预算</w:t>
      </w:r>
      <w:r>
        <w:rPr>
          <w:rFonts w:hint="eastAsia" w:ascii="宋体" w:hAnsi="宋体" w:eastAsia="宋体" w:cs="宋体"/>
          <w:color w:val="auto"/>
          <w:sz w:val="24"/>
          <w:highlight w:val="none"/>
          <w:lang w:val="en-US" w:eastAsia="zh-CN"/>
        </w:rPr>
        <w:t>支出调减3939.42万元，</w:t>
      </w:r>
      <w:r>
        <w:rPr>
          <w:rFonts w:hint="eastAsia" w:ascii="宋体" w:hAnsi="宋体" w:eastAsia="宋体" w:cs="宋体"/>
          <w:color w:val="auto"/>
          <w:sz w:val="24"/>
          <w:lang w:val="en-US" w:eastAsia="zh-CN"/>
        </w:rPr>
        <w:t>调整率</w:t>
      </w:r>
      <w:r>
        <w:rPr>
          <w:rFonts w:hint="eastAsia" w:ascii="宋体" w:hAnsi="宋体" w:eastAsia="宋体" w:cs="宋体"/>
          <w:color w:val="auto"/>
          <w:sz w:val="24"/>
          <w:highlight w:val="none"/>
          <w:lang w:val="en-US" w:eastAsia="zh-CN"/>
        </w:rPr>
        <w:t>-45.57</w:t>
      </w:r>
      <w:r>
        <w:rPr>
          <w:rFonts w:hint="eastAsia" w:ascii="宋体" w:hAnsi="宋体" w:eastAsia="宋体" w:cs="宋体"/>
          <w:color w:val="auto"/>
          <w:sz w:val="24"/>
          <w:lang w:val="en-US" w:eastAsia="zh-CN"/>
        </w:rPr>
        <w:t>%；</w:t>
      </w:r>
      <w:r>
        <w:rPr>
          <w:rFonts w:hint="eastAsia" w:ascii="宋体" w:hAnsi="宋体" w:eastAsia="宋体" w:cs="宋体"/>
          <w:color w:val="auto"/>
          <w:sz w:val="24"/>
          <w:highlight w:val="none"/>
          <w:lang w:val="en-US" w:eastAsia="zh-CN"/>
        </w:rPr>
        <w:t>因</w:t>
      </w:r>
      <w:r>
        <w:rPr>
          <w:rFonts w:hint="eastAsia" w:ascii="宋体" w:hAnsi="宋体" w:eastAsia="宋体" w:cs="宋体"/>
          <w:color w:val="auto"/>
          <w:sz w:val="24"/>
        </w:rPr>
        <w:t>特殊事项影响预算调整</w:t>
      </w:r>
      <w:r>
        <w:rPr>
          <w:rFonts w:hint="eastAsia" w:ascii="宋体" w:hAnsi="宋体" w:eastAsia="宋体" w:cs="宋体"/>
          <w:color w:val="auto"/>
          <w:sz w:val="24"/>
          <w:lang w:val="en-US" w:eastAsia="zh-CN"/>
        </w:rPr>
        <w:t>已</w:t>
      </w:r>
      <w:r>
        <w:rPr>
          <w:rFonts w:hint="eastAsia" w:ascii="宋体" w:hAnsi="宋体" w:eastAsia="宋体" w:cs="宋体"/>
          <w:color w:val="auto"/>
          <w:sz w:val="24"/>
        </w:rPr>
        <w:t>提前向</w:t>
      </w:r>
      <w:r>
        <w:rPr>
          <w:rFonts w:hint="eastAsia" w:ascii="宋体" w:hAnsi="宋体" w:eastAsia="宋体" w:cs="宋体"/>
          <w:color w:val="auto"/>
          <w:sz w:val="24"/>
          <w:lang w:eastAsia="zh-CN"/>
        </w:rPr>
        <w:t>竹岐乡人民政府</w:t>
      </w:r>
      <w:r>
        <w:rPr>
          <w:rFonts w:hint="eastAsia" w:ascii="宋体" w:hAnsi="宋体" w:eastAsia="宋体" w:cs="宋体"/>
          <w:color w:val="auto"/>
          <w:sz w:val="24"/>
        </w:rPr>
        <w:t>报批，取得了</w:t>
      </w:r>
      <w:r>
        <w:rPr>
          <w:rFonts w:hint="eastAsia" w:ascii="宋体" w:hAnsi="宋体" w:eastAsia="宋体" w:cs="宋体"/>
          <w:color w:val="auto"/>
          <w:sz w:val="24"/>
          <w:lang w:eastAsia="zh-CN"/>
        </w:rPr>
        <w:t>竹岐乡人民政府</w:t>
      </w:r>
      <w:r>
        <w:rPr>
          <w:rFonts w:hint="eastAsia" w:ascii="宋体" w:hAnsi="宋体" w:eastAsia="宋体" w:cs="宋体"/>
          <w:color w:val="auto"/>
          <w:sz w:val="24"/>
        </w:rPr>
        <w:t>追加通知单</w:t>
      </w:r>
      <w:r>
        <w:rPr>
          <w:rFonts w:hint="eastAsia" w:ascii="宋体" w:hAnsi="宋体" w:eastAsia="宋体" w:cs="宋体"/>
          <w:color w:val="auto"/>
          <w:sz w:val="24"/>
          <w:lang w:val="en-US" w:eastAsia="zh-CN"/>
        </w:rPr>
        <w:t>和上级专项指标下达文件。</w:t>
      </w:r>
    </w:p>
    <w:p>
      <w:pPr>
        <w:numPr>
          <w:ilvl w:val="0"/>
          <w:numId w:val="3"/>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收支决算情况（根据</w:t>
      </w:r>
      <w:r>
        <w:rPr>
          <w:rFonts w:hint="eastAsia" w:ascii="宋体" w:hAnsi="宋体" w:eastAsia="宋体" w:cs="宋体"/>
          <w:color w:val="auto"/>
          <w:sz w:val="24"/>
          <w:lang w:eastAsia="zh-CN"/>
        </w:rPr>
        <w:t>竹岐乡人民政府</w:t>
      </w:r>
      <w:r>
        <w:rPr>
          <w:rFonts w:hint="eastAsia" w:ascii="宋体" w:hAnsi="宋体" w:eastAsia="宋体" w:cs="宋体"/>
          <w:color w:val="auto"/>
          <w:sz w:val="24"/>
          <w:lang w:val="en-US" w:eastAsia="zh-CN"/>
        </w:rPr>
        <w:t>2022年汇总决算表）</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本年收入合计：16939.72</w:t>
      </w:r>
      <w:r>
        <w:rPr>
          <w:rFonts w:hint="eastAsia" w:ascii="宋体" w:hAnsi="宋体" w:eastAsia="宋体" w:cs="宋体"/>
          <w:color w:val="auto"/>
          <w:sz w:val="24"/>
        </w:rPr>
        <w:t>万元</w:t>
      </w:r>
      <w:r>
        <w:rPr>
          <w:rFonts w:hint="eastAsia" w:ascii="宋体" w:hAnsi="宋体" w:eastAsia="宋体" w:cs="宋体"/>
          <w:color w:val="auto"/>
          <w:sz w:val="24"/>
          <w:lang w:val="en-US" w:eastAsia="zh-CN"/>
        </w:rPr>
        <w:t>:其中：一般公共预算财政拨款收入4770.14万元、政府性基金预算财政拨款收入12169.58万元。</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本年</w:t>
      </w:r>
      <w:r>
        <w:rPr>
          <w:rFonts w:hint="eastAsia" w:ascii="宋体" w:hAnsi="宋体" w:eastAsia="宋体" w:cs="宋体"/>
          <w:color w:val="auto"/>
          <w:sz w:val="24"/>
        </w:rPr>
        <w:t>支出</w:t>
      </w:r>
      <w:r>
        <w:rPr>
          <w:rFonts w:hint="eastAsia" w:ascii="宋体" w:hAnsi="宋体" w:eastAsia="宋体" w:cs="宋体"/>
          <w:color w:val="auto"/>
          <w:sz w:val="24"/>
          <w:lang w:val="en-US" w:eastAsia="zh-CN"/>
        </w:rPr>
        <w:t>合计：16939.72</w:t>
      </w:r>
      <w:r>
        <w:rPr>
          <w:rFonts w:hint="eastAsia" w:ascii="宋体" w:hAnsi="宋体" w:eastAsia="宋体" w:cs="宋体"/>
          <w:color w:val="auto"/>
          <w:sz w:val="24"/>
        </w:rPr>
        <w:t>万元</w:t>
      </w:r>
      <w:r>
        <w:rPr>
          <w:rFonts w:hint="eastAsia" w:ascii="宋体" w:hAnsi="宋体" w:eastAsia="宋体" w:cs="宋体"/>
          <w:color w:val="auto"/>
          <w:sz w:val="24"/>
          <w:lang w:val="en-US" w:eastAsia="zh-CN"/>
        </w:rPr>
        <w:t>；</w:t>
      </w:r>
    </w:p>
    <w:p>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按支出性质分类，基本支出1989.86万元，其中：人员经费1275.18万元，公用经费714.68万元；项目支出14949.86万元；</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按经济用途分类，工资福利支出1228.37万元、商品和服务支出714.68万元、对个人和家庭的补助支出46.81万元；其他资本性支出14949.86万元。</w:t>
      </w:r>
    </w:p>
    <w:p>
      <w:pPr>
        <w:numPr>
          <w:ilvl w:val="0"/>
          <w:numId w:val="3"/>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贯彻落实“八项规定”情况</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根据竹岐乡政府《贯彻落实中央八项规定统计月报表 》“三公经费”年初预算为12.7万元(预算安排9.87万元，其他资金2.83万元），其中公务用车运行维护费8.7万元，公务接待4.万元)，2022年度实际支出11.83万元，其中公务用车运行维护费5.27万元，公务接待6.56万元)比年初预算减少0.87万元,下降6.85%。</w:t>
      </w:r>
    </w:p>
    <w:p>
      <w:pPr>
        <w:numPr>
          <w:ilvl w:val="0"/>
          <w:numId w:val="3"/>
        </w:numPr>
        <w:tabs>
          <w:tab w:val="left" w:pos="312"/>
        </w:tabs>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2022年一般公共预算收入构成情况</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竹岐乡人民政府</w:t>
      </w:r>
      <w:r>
        <w:rPr>
          <w:rFonts w:hint="eastAsia" w:ascii="宋体" w:hAnsi="宋体" w:eastAsia="宋体" w:cs="宋体"/>
          <w:color w:val="auto"/>
          <w:sz w:val="24"/>
          <w:lang w:val="en-US" w:eastAsia="zh-CN"/>
        </w:rPr>
        <w:t>2022年一般公共预算收入</w:t>
      </w:r>
      <w:r>
        <w:rPr>
          <w:rFonts w:hint="eastAsia" w:ascii="宋体" w:hAnsi="宋体" w:eastAsia="宋体" w:cs="宋体"/>
          <w:color w:val="auto"/>
          <w:sz w:val="24"/>
          <w:vertAlign w:val="baseline"/>
          <w:lang w:val="en-US" w:eastAsia="zh-CN"/>
        </w:rPr>
        <w:t>6150万元，全部为税收收入，其中主要为企业所得税、</w:t>
      </w:r>
      <w:r>
        <w:rPr>
          <w:rFonts w:hint="eastAsia" w:ascii="宋体" w:hAnsi="宋体" w:eastAsia="宋体" w:cs="宋体"/>
          <w:b w:val="0"/>
          <w:bCs w:val="0"/>
          <w:i w:val="0"/>
          <w:iCs w:val="0"/>
          <w:color w:val="auto"/>
          <w:kern w:val="2"/>
          <w:sz w:val="24"/>
          <w:szCs w:val="24"/>
          <w:u w:val="none"/>
          <w:lang w:val="en-US" w:eastAsia="zh-CN" w:bidi="ar"/>
        </w:rPr>
        <w:t>土地增值税、增值税、个人所得税(款)、印花税，分别占比为</w:t>
      </w:r>
      <w:r>
        <w:rPr>
          <w:rFonts w:hint="eastAsia" w:ascii="宋体" w:hAnsi="宋体" w:eastAsia="宋体" w:cs="宋体"/>
          <w:color w:val="auto"/>
          <w:sz w:val="24"/>
          <w:vertAlign w:val="baseline"/>
          <w:lang w:val="en-US" w:eastAsia="zh-CN"/>
        </w:rPr>
        <w:t>49.4%、29.51%、9.37%、5.4%、3.51%。详见如下表：</w:t>
      </w:r>
    </w:p>
    <w:p>
      <w:pPr>
        <w:numPr>
          <w:ilvl w:val="0"/>
          <w:numId w:val="0"/>
        </w:numPr>
        <w:tabs>
          <w:tab w:val="left" w:pos="312"/>
        </w:tabs>
        <w:spacing w:line="360" w:lineRule="auto"/>
        <w:ind w:left="718" w:leftChars="342" w:firstLine="240" w:firstLineChars="100"/>
        <w:rPr>
          <w:rFonts w:hint="default" w:ascii="宋体" w:hAnsi="宋体" w:eastAsia="宋体" w:cs="宋体"/>
          <w:color w:val="auto"/>
          <w:sz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lang w:val="en-US" w:eastAsia="zh-CN"/>
        </w:rPr>
        <w:t xml:space="preserve">2022年一般公共预算收入构成情况                  </w:t>
      </w:r>
      <w:r>
        <w:rPr>
          <w:rFonts w:hint="eastAsia" w:ascii="宋体" w:hAnsi="宋体" w:eastAsia="宋体" w:cs="宋体"/>
          <w:color w:val="auto"/>
          <w:sz w:val="24"/>
          <w:szCs w:val="24"/>
          <w:lang w:val="en-US" w:eastAsia="zh-CN"/>
        </w:rPr>
        <w:t>金额单位：万元</w:t>
      </w:r>
    </w:p>
    <w:tbl>
      <w:tblPr>
        <w:tblStyle w:val="11"/>
        <w:tblW w:w="7893"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876"/>
        <w:gridCol w:w="209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科目名称</w:t>
            </w:r>
          </w:p>
        </w:tc>
        <w:tc>
          <w:tcPr>
            <w:tcW w:w="1876" w:type="dxa"/>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i w:val="0"/>
                <w:iCs w:val="0"/>
                <w:color w:val="auto"/>
                <w:kern w:val="0"/>
                <w:sz w:val="21"/>
                <w:szCs w:val="21"/>
                <w:u w:val="none"/>
                <w:lang w:val="en-US" w:eastAsia="zh-CN" w:bidi="ar"/>
              </w:rPr>
              <w:t>决算数</w:t>
            </w:r>
          </w:p>
        </w:tc>
        <w:tc>
          <w:tcPr>
            <w:tcW w:w="2095" w:type="dxa"/>
            <w:noWrap w:val="0"/>
            <w:vAlign w:val="center"/>
          </w:tcPr>
          <w:p>
            <w:pPr>
              <w:pStyle w:val="4"/>
              <w:jc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比重%</w:t>
            </w:r>
          </w:p>
        </w:tc>
        <w:tc>
          <w:tcPr>
            <w:tcW w:w="2006" w:type="dxa"/>
            <w:noWrap w:val="0"/>
            <w:vAlign w:val="center"/>
          </w:tcPr>
          <w:p>
            <w:pPr>
              <w:pStyle w:val="4"/>
              <w:jc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916" w:type="dxa"/>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一般公共预算收入</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6150</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税收收入</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6150</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 xml:space="preserve">  增值税</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576</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9.37</w:t>
            </w: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 xml:space="preserve">  企业所得税</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3038</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49.4</w:t>
            </w: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 xml:space="preserve">  个人所得税(款)</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332</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5.4</w:t>
            </w: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 xml:space="preserve">  城市维护建设税</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160</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2.6</w:t>
            </w: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 xml:space="preserve">  房产税</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3</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 xml:space="preserve">  印花税</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216</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3.51</w:t>
            </w: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 xml:space="preserve">  土地增值税</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1815</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29.51</w:t>
            </w: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 xml:space="preserve">  环境保护税(款)</w:t>
            </w:r>
          </w:p>
        </w:tc>
        <w:tc>
          <w:tcPr>
            <w:tcW w:w="1876" w:type="dxa"/>
            <w:noWrap w:val="0"/>
            <w:vAlign w:val="center"/>
          </w:tcPr>
          <w:p>
            <w:pPr>
              <w:pStyle w:val="4"/>
              <w:ind w:firstLine="420" w:firstLineChars="20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10</w:t>
            </w:r>
          </w:p>
        </w:tc>
        <w:tc>
          <w:tcPr>
            <w:tcW w:w="2095" w:type="dxa"/>
            <w:noWrap w:val="0"/>
            <w:vAlign w:val="center"/>
          </w:tcPr>
          <w:p>
            <w:pPr>
              <w:pStyle w:val="4"/>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0.16</w:t>
            </w:r>
          </w:p>
        </w:tc>
        <w:tc>
          <w:tcPr>
            <w:tcW w:w="2006" w:type="dxa"/>
            <w:noWrap w:val="0"/>
            <w:vAlign w:val="top"/>
          </w:tcPr>
          <w:p>
            <w:pPr>
              <w:pStyle w:val="4"/>
              <w:rPr>
                <w:rFonts w:hint="eastAsia" w:ascii="宋体" w:hAnsi="宋体" w:eastAsia="宋体" w:cs="宋体"/>
                <w:color w:val="auto"/>
                <w:sz w:val="21"/>
                <w:szCs w:val="21"/>
                <w:vertAlign w:val="baseline"/>
                <w:lang w:val="en-US" w:eastAsia="zh-CN"/>
              </w:rPr>
            </w:pPr>
          </w:p>
        </w:tc>
      </w:tr>
    </w:tbl>
    <w:p>
      <w:pPr>
        <w:pStyle w:val="4"/>
        <w:ind w:firstLine="240" w:firstLineChars="100"/>
        <w:rPr>
          <w:rFonts w:hint="default" w:ascii="宋体" w:hAnsi="宋体" w:eastAsia="宋体" w:cs="宋体"/>
          <w:color w:val="auto"/>
          <w:sz w:val="24"/>
          <w:lang w:val="en-US" w:eastAsia="zh-CN"/>
        </w:rPr>
      </w:pPr>
    </w:p>
    <w:p>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6.竹岐乡财政体制结算情况</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根据中共闽侯县委办公室闽侯县人民政府办公室印发《关于调整县对乡镇(街道)财政管理体制的方案》的通知（侯委办发明电[2020]33号侯机发号）按照“核定基数、定额缴补、增收分成、自求平衡、分级管理”的预算管理体制，本方案从2018年起执行,一定五年不变。</w:t>
      </w:r>
    </w:p>
    <w:p>
      <w:pPr>
        <w:numPr>
          <w:ilvl w:val="0"/>
          <w:numId w:val="0"/>
        </w:num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A:收入范围</w:t>
      </w:r>
    </w:p>
    <w:p>
      <w:pPr>
        <w:numPr>
          <w:ilvl w:val="0"/>
          <w:numId w:val="0"/>
        </w:numPr>
        <w:spacing w:line="360" w:lineRule="auto"/>
        <w:ind w:firstLine="48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(1)收入划分</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公共预算财政收入除划分为中央和省级收入外，全部划分为县级收入和乡镇收入。</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县级收入包括:耕地占用税、契税，专项收入、行政性收费收入、罚没收入,县级国有资产经营收入、国有资源(资产)有偿使用收入和其他收入。</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乡镇收入:剔除县固定收入后的各项收入。具体包括:增值税、营业税地方留成部分，所得税地方留成部分(包含个人所得税、企业所得税)，城建税，土地使用税，土地增值税，资源税，房产税，印花税，车船使用和牌照税，环境保护税等;乡镇财政性存款利息、租金、乡镇级国有资产经营收入、国有资源(资产)有偿使用收入和乡</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政府性基金按有关文件执行。根据《省推进新型城镇化工作联席会议办公室关于印发小城市培育试点考核办法和指标体系的通知》(闽发改规划[2017]763号)。</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其他收入(乡镇应先上缴县金库，再全额返还乡镇使用，不列入体制基数)。</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(2)收入基数</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2018年乡镇财政收入基数以2017年地方财政收入决算数(同口径)按8%(市委下达2018年地方财政收入任务增幅)增长为基数，以后年度每年以上年基数按当年市委下达地方财政收入任务增幅环比增长。</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(3)分成办法</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固定分成。分类分档按当年乡镇地方财政收入决算数(体制口径)一定比例给予固定分成，其中:平原区乡镇按 3%比例分成，山区半山区乡镇(竹岐）按5%比例分成。</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增收分成。按上述财政收入范围核算，当年实际地方财政收入超上年收入部分按实给予分成,最高不超过500万元，短收不扣减。</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超收分成。按上述财政收入范围核算，青口等当年实际地方财政收入超基数部分按县与乡镇3:7分成，竹岐等按县与乡镇 2:8分成，洋里等超收部分全留，短收不扣减。</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B、支出范围</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根据县与乡镇事权划分，乡镇财政应承担维持乡镇级机关运转所必需的正常经费和本地区经济、社会和各项事业发展所需的支出。省、市、县政府投资重点项目资金由县级以上财政负担，文件明确由乡镇财政负担的继续按原文件规定执行。</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(2)支出基数</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按基期(2017年12月)全额拨款人员经费、自收自支人员、临聘人员经费及定额公用经费、车辆经费核定乡镇财政支出基数，体制周期内不变。</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全额拨款人员经费和定额公用经费:2018年按照2017年12月乡镇财政全额拨款人数和县级的人员经费及公用经费标准计算。人员经费主要有人员工资(国库工资、事业绩效工资、离休费，退休费已由社保统一发放)、工会经费、职工教育经费、基本养老保险缴费、职业年金、行政事业基本医疗经费、工伤、生育保险、公务员医疗补助、住房公积金等。</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车辆经费:按乡镇车辆定编数和县级标准每部车辆3.5万元标准补助车辆经费。(其中青口等按每个乡镇3部，竹岐等其他乡镇按2部给予补助)</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（3）临聘人员经费:按乡镇余编数每人每年3万元标准核定临聘人员补助数。</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自收自支人员经费:按照2017年12月实有人数每人每年8万元给予补助(不涉及改变人员编制性质及工资发放渠道)。补助经费乡镇须优先用于为上述自收自支人员办理社保、医保、住房公积金等，不足部分由乡镇自行统筹解决，县财政不再另行补助。</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除以上核定支出外，其他支出由乡镇负担。如遇政策性增(减)资县财政给予相应补助(核减)。全额拨款人员年终工资发放项目按实际金额给予专项补助。省、市、县下达的各项专款不列入乡镇财政支出基数。</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C、定额缴补数</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按照上述核定的财政收支基数，收入基数大于支出基数的给予定额上缴;收入基数小于支出基数的给予定额补助。乡镇财政缴补基数确定后，体制期内增人不增资、减人不减资。</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Ｄ、激励机制</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拓宽税源、提高闽侯县税收收入，对乡镇招商引资引进的相关企业参照“一企一策”办法，对企业1年内缴纳的税收县级地方留成全额返还给乡镇(税收实行单列考核、不纳入体制结算),以上需由乡镇另行报县委、县政府研定。</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Ｅ、其他事项</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扶持山区半山区乡镇发展。为缓解山区半山区乡镇财政困难，县财政每年安排每个山区半山区乡镇转移支付定额补助300万元。</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乡镇财政收支基数确定后，如果省、市财政对县财政体制作重大调整，也相应调整县对乡镇财政预算体制。</w:t>
      </w:r>
    </w:p>
    <w:p>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F:竹岐乡2022年财政体制财力和上下级财政结算情况</w:t>
      </w:r>
    </w:p>
    <w:p>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color w:val="auto"/>
          <w:sz w:val="24"/>
          <w:lang w:val="en-US" w:eastAsia="zh-CN"/>
        </w:rPr>
        <w:t>2022年一般公共预算体制财力构成情况</w:t>
      </w: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val="en-US" w:eastAsia="zh-CN"/>
        </w:rPr>
        <w:t>本年</w:t>
      </w:r>
      <w:r>
        <w:rPr>
          <w:rFonts w:hint="eastAsia" w:ascii="宋体" w:hAnsi="宋体" w:eastAsia="宋体" w:cs="宋体"/>
          <w:b w:val="0"/>
          <w:bCs w:val="0"/>
          <w:i w:val="0"/>
          <w:iCs w:val="0"/>
          <w:color w:val="000000"/>
          <w:kern w:val="0"/>
          <w:sz w:val="21"/>
          <w:szCs w:val="21"/>
          <w:u w:val="none"/>
          <w:lang w:val="en-US" w:eastAsia="zh-CN" w:bidi="ar"/>
        </w:rPr>
        <w:t>一般公共预算收入6150万元，上级补助收入830.72万元，上解上级支出4718万元，本年</w:t>
      </w:r>
      <w:r>
        <w:rPr>
          <w:rFonts w:hint="eastAsia" w:ascii="宋体" w:hAnsi="宋体" w:eastAsia="宋体" w:cs="宋体"/>
          <w:b w:val="0"/>
          <w:bCs w:val="0"/>
          <w:color w:val="auto"/>
          <w:sz w:val="24"/>
          <w:lang w:val="en-US" w:eastAsia="zh-CN"/>
        </w:rPr>
        <w:t>一般公共预算财力2262.72万元；</w:t>
      </w:r>
    </w:p>
    <w:p>
      <w:pPr>
        <w:spacing w:line="360" w:lineRule="auto"/>
        <w:ind w:firstLine="48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2022年政府基金预算体制财力构成：</w:t>
      </w:r>
      <w:r>
        <w:rPr>
          <w:rFonts w:hint="eastAsia" w:ascii="宋体" w:hAnsi="宋体" w:eastAsia="宋体" w:cs="宋体"/>
          <w:b w:val="0"/>
          <w:bCs w:val="0"/>
          <w:i w:val="0"/>
          <w:iCs w:val="0"/>
          <w:color w:val="000000"/>
          <w:kern w:val="0"/>
          <w:sz w:val="21"/>
          <w:szCs w:val="21"/>
          <w:u w:val="none"/>
          <w:lang w:val="en-US" w:eastAsia="zh-CN" w:bidi="ar"/>
        </w:rPr>
        <w:t>政府性基金预算上级补助收入12169.58万元，无上解支出，本年政府性基金预算财力为12169.58万元。</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2022年与上级财政往来结算情况：上年结转-5238.381251万元（上级欠本级），本年借方发生1450.185168万元，本年贷方发生2597.3795万元，年末余额</w:t>
      </w:r>
      <w:r>
        <w:rPr>
          <w:rFonts w:hint="eastAsia" w:ascii="宋体" w:hAnsi="宋体" w:eastAsia="宋体" w:cs="宋体"/>
          <w:color w:val="auto"/>
          <w:sz w:val="24"/>
          <w:highlight w:val="none"/>
          <w:lang w:val="en-US" w:eastAsia="zh-CN"/>
        </w:rPr>
        <w:t>-4091.186919万元（上级欠本级）</w:t>
      </w:r>
      <w:r>
        <w:rPr>
          <w:rFonts w:hint="eastAsia" w:ascii="宋体" w:hAnsi="宋体" w:eastAsia="宋体" w:cs="宋体"/>
          <w:color w:val="auto"/>
          <w:sz w:val="24"/>
          <w:lang w:val="en-US" w:eastAsia="zh-CN"/>
        </w:rPr>
        <w:t>。</w:t>
      </w:r>
    </w:p>
    <w:p>
      <w:pPr>
        <w:pStyle w:val="4"/>
        <w:ind w:firstLine="240" w:firstLineChars="100"/>
        <w:rPr>
          <w:rFonts w:hint="eastAsia" w:ascii="宋体" w:hAnsi="宋体" w:eastAsia="宋体" w:cs="宋体"/>
          <w:color w:val="auto"/>
          <w:sz w:val="24"/>
          <w:lang w:val="en-US" w:eastAsia="zh-CN"/>
        </w:rPr>
      </w:pPr>
    </w:p>
    <w:p>
      <w:pPr>
        <w:pStyle w:val="4"/>
        <w:ind w:firstLine="720" w:firstLineChars="30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2022年一般公共预算财力构成情况表</w:t>
      </w:r>
    </w:p>
    <w:p>
      <w:pPr>
        <w:pStyle w:val="4"/>
        <w:ind w:firstLine="630" w:firstLineChars="300"/>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金额单位：万元</w:t>
      </w:r>
    </w:p>
    <w:tbl>
      <w:tblPr>
        <w:tblStyle w:val="11"/>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1375"/>
        <w:gridCol w:w="2181"/>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noWrap w:val="0"/>
            <w:vAlign w:val="top"/>
          </w:tcPr>
          <w:p>
            <w:pPr>
              <w:pStyle w:val="4"/>
              <w:ind w:firstLine="211" w:firstLineChars="100"/>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收入名称</w:t>
            </w:r>
          </w:p>
        </w:tc>
        <w:tc>
          <w:tcPr>
            <w:tcW w:w="1375" w:type="dxa"/>
            <w:noWrap w:val="0"/>
            <w:vAlign w:val="top"/>
          </w:tcPr>
          <w:p>
            <w:pPr>
              <w:pStyle w:val="4"/>
              <w:ind w:firstLine="211" w:firstLineChars="100"/>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收入金额</w:t>
            </w:r>
          </w:p>
        </w:tc>
        <w:tc>
          <w:tcPr>
            <w:tcW w:w="2181" w:type="dxa"/>
            <w:noWrap w:val="0"/>
            <w:vAlign w:val="top"/>
          </w:tcPr>
          <w:p>
            <w:pPr>
              <w:pStyle w:val="4"/>
              <w:ind w:firstLine="211" w:firstLineChars="100"/>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支出名称</w:t>
            </w:r>
          </w:p>
        </w:tc>
        <w:tc>
          <w:tcPr>
            <w:tcW w:w="2271" w:type="dxa"/>
            <w:noWrap w:val="0"/>
            <w:vAlign w:val="top"/>
          </w:tcPr>
          <w:p>
            <w:pPr>
              <w:pStyle w:val="4"/>
              <w:ind w:firstLine="211" w:firstLineChars="100"/>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noWrap w:val="0"/>
            <w:vAlign w:val="top"/>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一般公共预算收入</w:t>
            </w:r>
          </w:p>
        </w:tc>
        <w:tc>
          <w:tcPr>
            <w:tcW w:w="1375" w:type="dxa"/>
            <w:noWrap w:val="0"/>
            <w:vAlign w:val="center"/>
          </w:tcPr>
          <w:p>
            <w:pPr>
              <w:pStyle w:val="4"/>
              <w:ind w:firstLine="210" w:firstLineChars="100"/>
              <w:jc w:val="righ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6150</w:t>
            </w:r>
          </w:p>
        </w:tc>
        <w:tc>
          <w:tcPr>
            <w:tcW w:w="2181" w:type="dxa"/>
            <w:noWrap w:val="0"/>
            <w:vAlign w:val="center"/>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一般公共预算支出</w:t>
            </w:r>
          </w:p>
        </w:tc>
        <w:tc>
          <w:tcPr>
            <w:tcW w:w="2271" w:type="dxa"/>
            <w:noWrap w:val="0"/>
            <w:vAlign w:val="center"/>
          </w:tcPr>
          <w:p>
            <w:pPr>
              <w:pStyle w:val="4"/>
              <w:ind w:firstLine="210" w:firstLineChars="100"/>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4770.15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noWrap w:val="0"/>
            <w:vAlign w:val="top"/>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上级补助收入</w:t>
            </w:r>
          </w:p>
        </w:tc>
        <w:tc>
          <w:tcPr>
            <w:tcW w:w="1375" w:type="dxa"/>
            <w:noWrap w:val="0"/>
            <w:vAlign w:val="center"/>
          </w:tcPr>
          <w:p>
            <w:pPr>
              <w:pStyle w:val="4"/>
              <w:ind w:firstLine="210" w:firstLineChars="100"/>
              <w:jc w:val="righ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830.72</w:t>
            </w:r>
          </w:p>
        </w:tc>
        <w:tc>
          <w:tcPr>
            <w:tcW w:w="2181" w:type="dxa"/>
            <w:noWrap w:val="0"/>
            <w:vAlign w:val="center"/>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上解上级支出</w:t>
            </w:r>
          </w:p>
        </w:tc>
        <w:tc>
          <w:tcPr>
            <w:tcW w:w="2271" w:type="dxa"/>
            <w:noWrap w:val="0"/>
            <w:vAlign w:val="center"/>
          </w:tcPr>
          <w:p>
            <w:pPr>
              <w:pStyle w:val="4"/>
              <w:ind w:firstLine="210" w:firstLineChars="100"/>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4718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noWrap w:val="0"/>
            <w:vAlign w:val="top"/>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一般性转移支付收入</w:t>
            </w:r>
          </w:p>
        </w:tc>
        <w:tc>
          <w:tcPr>
            <w:tcW w:w="1375" w:type="dxa"/>
            <w:noWrap w:val="0"/>
            <w:vAlign w:val="center"/>
          </w:tcPr>
          <w:p>
            <w:pPr>
              <w:pStyle w:val="4"/>
              <w:ind w:firstLine="210" w:firstLineChars="100"/>
              <w:jc w:val="righ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488.76</w:t>
            </w:r>
          </w:p>
        </w:tc>
        <w:tc>
          <w:tcPr>
            <w:tcW w:w="2181" w:type="dxa"/>
            <w:noWrap w:val="0"/>
            <w:vAlign w:val="center"/>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体制上解上级支出</w:t>
            </w:r>
          </w:p>
        </w:tc>
        <w:tc>
          <w:tcPr>
            <w:tcW w:w="2271" w:type="dxa"/>
            <w:noWrap w:val="0"/>
            <w:vAlign w:val="top"/>
          </w:tcPr>
          <w:p>
            <w:pPr>
              <w:pStyle w:val="4"/>
              <w:ind w:firstLine="210" w:firstLineChars="100"/>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4718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noWrap w:val="0"/>
            <w:vAlign w:val="top"/>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专项转移支付收入</w:t>
            </w:r>
          </w:p>
        </w:tc>
        <w:tc>
          <w:tcPr>
            <w:tcW w:w="1375" w:type="dxa"/>
            <w:noWrap w:val="0"/>
            <w:vAlign w:val="center"/>
          </w:tcPr>
          <w:p>
            <w:pPr>
              <w:pStyle w:val="4"/>
              <w:ind w:firstLine="210" w:firstLineChars="100"/>
              <w:jc w:val="righ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341.96</w:t>
            </w:r>
          </w:p>
        </w:tc>
        <w:tc>
          <w:tcPr>
            <w:tcW w:w="2181" w:type="dxa"/>
            <w:noWrap w:val="0"/>
            <w:vAlign w:val="center"/>
          </w:tcPr>
          <w:p>
            <w:pPr>
              <w:pStyle w:val="4"/>
              <w:ind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年终结余</w:t>
            </w:r>
          </w:p>
        </w:tc>
        <w:tc>
          <w:tcPr>
            <w:tcW w:w="2271" w:type="dxa"/>
            <w:noWrap w:val="0"/>
            <w:vAlign w:val="center"/>
          </w:tcPr>
          <w:p>
            <w:pPr>
              <w:pStyle w:val="4"/>
              <w:ind w:firstLine="210" w:firstLineChars="100"/>
              <w:jc w:val="righ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noWrap w:val="0"/>
            <w:vAlign w:val="center"/>
          </w:tcPr>
          <w:p>
            <w:pPr>
              <w:pStyle w:val="4"/>
              <w:ind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上年结余收入</w:t>
            </w:r>
          </w:p>
        </w:tc>
        <w:tc>
          <w:tcPr>
            <w:tcW w:w="1375" w:type="dxa"/>
            <w:noWrap w:val="0"/>
            <w:vAlign w:val="center"/>
          </w:tcPr>
          <w:p>
            <w:pPr>
              <w:pStyle w:val="4"/>
              <w:ind w:firstLine="210" w:firstLineChars="100"/>
              <w:jc w:val="righ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1454.25</w:t>
            </w:r>
          </w:p>
        </w:tc>
        <w:tc>
          <w:tcPr>
            <w:tcW w:w="2181" w:type="dxa"/>
            <w:noWrap w:val="0"/>
            <w:vAlign w:val="center"/>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减:结转下年的支出</w:t>
            </w:r>
          </w:p>
        </w:tc>
        <w:tc>
          <w:tcPr>
            <w:tcW w:w="2271" w:type="dxa"/>
            <w:noWrap w:val="0"/>
            <w:vAlign w:val="center"/>
          </w:tcPr>
          <w:p>
            <w:pPr>
              <w:pStyle w:val="4"/>
              <w:ind w:firstLine="210" w:firstLineChars="100"/>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1446.82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noWrap w:val="0"/>
            <w:vAlign w:val="center"/>
          </w:tcPr>
          <w:p>
            <w:pPr>
              <w:pStyle w:val="4"/>
              <w:ind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动用预算稳定调节基金</w:t>
            </w:r>
          </w:p>
        </w:tc>
        <w:tc>
          <w:tcPr>
            <w:tcW w:w="1375" w:type="dxa"/>
            <w:noWrap w:val="0"/>
            <w:vAlign w:val="top"/>
          </w:tcPr>
          <w:p>
            <w:pPr>
              <w:pStyle w:val="4"/>
              <w:ind w:firstLine="210" w:firstLineChars="100"/>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2500</w:t>
            </w:r>
          </w:p>
        </w:tc>
        <w:tc>
          <w:tcPr>
            <w:tcW w:w="2181" w:type="dxa"/>
            <w:noWrap w:val="0"/>
            <w:vAlign w:val="top"/>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净结余</w:t>
            </w:r>
          </w:p>
        </w:tc>
        <w:tc>
          <w:tcPr>
            <w:tcW w:w="2271" w:type="dxa"/>
            <w:noWrap w:val="0"/>
            <w:vAlign w:val="top"/>
          </w:tcPr>
          <w:p>
            <w:pPr>
              <w:pStyle w:val="4"/>
              <w:ind w:firstLine="210" w:firstLineChars="100"/>
              <w:jc w:val="righ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noWrap w:val="0"/>
            <w:vAlign w:val="top"/>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收入总计</w:t>
            </w:r>
          </w:p>
        </w:tc>
        <w:tc>
          <w:tcPr>
            <w:tcW w:w="1375" w:type="dxa"/>
            <w:noWrap w:val="0"/>
            <w:vAlign w:val="center"/>
          </w:tcPr>
          <w:p>
            <w:pPr>
              <w:pStyle w:val="4"/>
              <w:ind w:firstLine="210" w:firstLineChars="100"/>
              <w:jc w:val="righ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10934.97</w:t>
            </w:r>
          </w:p>
        </w:tc>
        <w:tc>
          <w:tcPr>
            <w:tcW w:w="2181" w:type="dxa"/>
            <w:noWrap w:val="0"/>
            <w:vAlign w:val="center"/>
          </w:tcPr>
          <w:p>
            <w:pPr>
              <w:pStyle w:val="4"/>
              <w:ind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支出总计</w:t>
            </w:r>
          </w:p>
        </w:tc>
        <w:tc>
          <w:tcPr>
            <w:tcW w:w="2271" w:type="dxa"/>
            <w:noWrap w:val="0"/>
            <w:vAlign w:val="top"/>
          </w:tcPr>
          <w:p>
            <w:pPr>
              <w:pStyle w:val="4"/>
              <w:ind w:firstLine="210" w:firstLineChars="100"/>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10934.97</w:t>
            </w:r>
          </w:p>
        </w:tc>
      </w:tr>
    </w:tbl>
    <w:p>
      <w:pPr>
        <w:pStyle w:val="4"/>
        <w:ind w:firstLine="0" w:firstLineChars="0"/>
        <w:rPr>
          <w:rFonts w:hint="eastAsia" w:ascii="宋体" w:hAnsi="宋体" w:eastAsia="宋体" w:cs="宋体"/>
          <w:color w:val="auto"/>
          <w:sz w:val="18"/>
          <w:szCs w:val="18"/>
          <w:lang w:val="en-US" w:eastAsia="zh-CN"/>
        </w:rPr>
      </w:pPr>
    </w:p>
    <w:p>
      <w:pPr>
        <w:pStyle w:val="4"/>
        <w:ind w:firstLine="0" w:firstLine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2022年政府基金预算财力构成表</w:t>
      </w:r>
    </w:p>
    <w:p>
      <w:pPr>
        <w:pStyle w:val="4"/>
        <w:ind w:firstLine="0" w:firstLineChars="0"/>
        <w:jc w:val="righ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金额单位：万元   </w:t>
      </w:r>
    </w:p>
    <w:tbl>
      <w:tblPr>
        <w:tblStyle w:val="11"/>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1218"/>
        <w:gridCol w:w="267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noWrap w:val="0"/>
            <w:vAlign w:val="top"/>
          </w:tcPr>
          <w:p>
            <w:pPr>
              <w:pStyle w:val="4"/>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收入名称</w:t>
            </w:r>
          </w:p>
        </w:tc>
        <w:tc>
          <w:tcPr>
            <w:tcW w:w="1218" w:type="dxa"/>
            <w:noWrap w:val="0"/>
            <w:vAlign w:val="top"/>
          </w:tcPr>
          <w:p>
            <w:pPr>
              <w:pStyle w:val="4"/>
              <w:ind w:firstLine="0" w:firstLineChars="0"/>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收入金额</w:t>
            </w:r>
          </w:p>
        </w:tc>
        <w:tc>
          <w:tcPr>
            <w:tcW w:w="2678" w:type="dxa"/>
            <w:noWrap w:val="0"/>
            <w:vAlign w:val="top"/>
          </w:tcPr>
          <w:p>
            <w:pPr>
              <w:pStyle w:val="4"/>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支出名称</w:t>
            </w:r>
          </w:p>
        </w:tc>
        <w:tc>
          <w:tcPr>
            <w:tcW w:w="1753" w:type="dxa"/>
            <w:noWrap w:val="0"/>
            <w:vAlign w:val="top"/>
          </w:tcPr>
          <w:p>
            <w:pPr>
              <w:pStyle w:val="4"/>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noWrap w:val="0"/>
            <w:vAlign w:val="top"/>
          </w:tcPr>
          <w:p>
            <w:pPr>
              <w:pStyle w:val="4"/>
              <w:ind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政府性基金预算收入</w:t>
            </w:r>
          </w:p>
        </w:tc>
        <w:tc>
          <w:tcPr>
            <w:tcW w:w="1218" w:type="dxa"/>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1"/>
                <w:szCs w:val="21"/>
                <w:u w:val="none"/>
                <w:lang w:val="en-US" w:eastAsia="zh-CN" w:bidi="ar-SA"/>
              </w:rPr>
            </w:pPr>
          </w:p>
        </w:tc>
        <w:tc>
          <w:tcPr>
            <w:tcW w:w="267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1"/>
                <w:szCs w:val="21"/>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政府性基金预算支出</w:t>
            </w:r>
          </w:p>
        </w:tc>
        <w:tc>
          <w:tcPr>
            <w:tcW w:w="1753" w:type="dxa"/>
            <w:noWrap w:val="0"/>
            <w:vAlign w:val="center"/>
          </w:tcPr>
          <w:p>
            <w:pPr>
              <w:keepNext w:val="0"/>
              <w:keepLines w:val="0"/>
              <w:widowControl/>
              <w:suppressLineNumbers w:val="0"/>
              <w:jc w:val="right"/>
              <w:textAlignment w:val="center"/>
              <w:rPr>
                <w:rFonts w:hint="eastAsia" w:ascii="宋体" w:hAnsi="宋体" w:eastAsia="宋体" w:cs="宋体"/>
                <w:b w:val="0"/>
                <w:bCs w:val="0"/>
                <w:color w:val="000000"/>
                <w:sz w:val="21"/>
                <w:szCs w:val="21"/>
                <w:u w:val="none"/>
                <w:vertAlign w:val="baseline"/>
                <w:lang w:val="en-US" w:eastAsia="zh-CN"/>
              </w:rPr>
            </w:pPr>
            <w:r>
              <w:rPr>
                <w:rFonts w:hint="eastAsia" w:ascii="宋体" w:hAnsi="宋体" w:eastAsia="宋体" w:cs="宋体"/>
                <w:b w:val="0"/>
                <w:bCs w:val="0"/>
                <w:color w:val="000000"/>
                <w:sz w:val="21"/>
                <w:szCs w:val="21"/>
                <w:u w:val="none"/>
                <w:vertAlign w:val="baseline"/>
                <w:lang w:val="en-US" w:eastAsia="zh-CN"/>
              </w:rPr>
              <w:t>12169.58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noWrap w:val="0"/>
            <w:vAlign w:val="top"/>
          </w:tcPr>
          <w:p>
            <w:pPr>
              <w:pStyle w:val="4"/>
              <w:ind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政府性基金预算上级补助收入</w:t>
            </w:r>
          </w:p>
        </w:tc>
        <w:tc>
          <w:tcPr>
            <w:tcW w:w="1218" w:type="dxa"/>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12169.58</w:t>
            </w:r>
          </w:p>
        </w:tc>
        <w:tc>
          <w:tcPr>
            <w:tcW w:w="267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1"/>
                <w:szCs w:val="21"/>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政府性基金预算上解上级支出</w:t>
            </w:r>
          </w:p>
        </w:tc>
        <w:tc>
          <w:tcPr>
            <w:tcW w:w="1753" w:type="dxa"/>
            <w:noWrap w:val="0"/>
            <w:vAlign w:val="center"/>
          </w:tcPr>
          <w:p>
            <w:pPr>
              <w:keepNext w:val="0"/>
              <w:keepLines w:val="0"/>
              <w:widowControl/>
              <w:suppressLineNumbers w:val="0"/>
              <w:jc w:val="right"/>
              <w:textAlignment w:val="center"/>
              <w:rPr>
                <w:rFonts w:hint="eastAsia" w:ascii="宋体" w:hAnsi="宋体" w:eastAsia="宋体" w:cs="宋体"/>
                <w:b w:val="0"/>
                <w:bCs w:val="0"/>
                <w:color w:val="00000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42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政府性基金转移支付收入</w:t>
            </w:r>
          </w:p>
        </w:tc>
        <w:tc>
          <w:tcPr>
            <w:tcW w:w="1218" w:type="dxa"/>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12169.58</w:t>
            </w:r>
          </w:p>
        </w:tc>
        <w:tc>
          <w:tcPr>
            <w:tcW w:w="267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1"/>
                <w:szCs w:val="21"/>
                <w:u w:val="none"/>
                <w:vertAlign w:val="baseline"/>
                <w:lang w:val="en-US" w:eastAsia="zh-CN"/>
              </w:rPr>
            </w:pPr>
          </w:p>
        </w:tc>
        <w:tc>
          <w:tcPr>
            <w:tcW w:w="1753" w:type="dxa"/>
            <w:noWrap w:val="0"/>
            <w:vAlign w:val="top"/>
          </w:tcPr>
          <w:p>
            <w:pPr>
              <w:pStyle w:val="4"/>
              <w:ind w:firstLine="2100" w:firstLineChars="1000"/>
              <w:jc w:val="right"/>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27" w:type="dxa"/>
            <w:noWrap w:val="0"/>
            <w:vAlign w:val="top"/>
          </w:tcPr>
          <w:p>
            <w:pPr>
              <w:pStyle w:val="4"/>
              <w:ind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城乡社区</w:t>
            </w:r>
          </w:p>
        </w:tc>
        <w:tc>
          <w:tcPr>
            <w:tcW w:w="1218" w:type="dxa"/>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12169.58</w:t>
            </w:r>
          </w:p>
        </w:tc>
        <w:tc>
          <w:tcPr>
            <w:tcW w:w="26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政府性基金预算年终结余</w:t>
            </w:r>
          </w:p>
        </w:tc>
        <w:tc>
          <w:tcPr>
            <w:tcW w:w="1753" w:type="dxa"/>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政府性基金预算上年结余收入</w:t>
            </w:r>
          </w:p>
        </w:tc>
        <w:tc>
          <w:tcPr>
            <w:tcW w:w="121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247.40</w:t>
            </w:r>
          </w:p>
        </w:tc>
        <w:tc>
          <w:tcPr>
            <w:tcW w:w="2678"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u w:val="none"/>
                <w:vertAlign w:val="baseline"/>
                <w:lang w:val="en-US" w:eastAsia="zh-CN"/>
              </w:rPr>
            </w:pPr>
          </w:p>
        </w:tc>
        <w:tc>
          <w:tcPr>
            <w:tcW w:w="1753" w:type="dxa"/>
            <w:noWrap w:val="0"/>
            <w:vAlign w:val="center"/>
          </w:tcPr>
          <w:p>
            <w:pPr>
              <w:keepNext w:val="0"/>
              <w:keepLines w:val="0"/>
              <w:widowControl/>
              <w:suppressLineNumbers w:val="0"/>
              <w:jc w:val="right"/>
              <w:textAlignment w:val="center"/>
              <w:rPr>
                <w:rFonts w:hint="eastAsia" w:ascii="宋体" w:hAnsi="宋体" w:eastAsia="宋体" w:cs="宋体"/>
                <w:color w:val="00000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noWrap w:val="0"/>
            <w:vAlign w:val="top"/>
          </w:tcPr>
          <w:p>
            <w:pPr>
              <w:pStyle w:val="4"/>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收入总计</w:t>
            </w:r>
          </w:p>
        </w:tc>
        <w:tc>
          <w:tcPr>
            <w:tcW w:w="121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12416.98</w:t>
            </w:r>
          </w:p>
        </w:tc>
        <w:tc>
          <w:tcPr>
            <w:tcW w:w="2678" w:type="dxa"/>
            <w:noWrap w:val="0"/>
            <w:vAlign w:val="center"/>
          </w:tcPr>
          <w:p>
            <w:pPr>
              <w:keepNext w:val="0"/>
              <w:keepLines w:val="0"/>
              <w:widowControl/>
              <w:suppressLineNumbers w:val="0"/>
              <w:wordWrap w:val="0"/>
              <w:jc w:val="center"/>
              <w:textAlignment w:val="center"/>
              <w:rPr>
                <w:rFonts w:hint="eastAsia" w:ascii="宋体" w:hAnsi="宋体" w:eastAsia="宋体"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支出总计</w:t>
            </w:r>
          </w:p>
        </w:tc>
        <w:tc>
          <w:tcPr>
            <w:tcW w:w="1753" w:type="dxa"/>
            <w:noWrap w:val="0"/>
            <w:vAlign w:val="top"/>
          </w:tcPr>
          <w:p>
            <w:pPr>
              <w:pStyle w:val="4"/>
              <w:jc w:val="right"/>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12416.98</w:t>
            </w:r>
          </w:p>
        </w:tc>
      </w:tr>
    </w:tbl>
    <w:p>
      <w:pPr>
        <w:pStyle w:val="4"/>
        <w:ind w:firstLine="0" w:firstLineChars="0"/>
        <w:rPr>
          <w:rFonts w:hint="eastAsia" w:ascii="宋体" w:hAnsi="宋体" w:eastAsia="宋体" w:cs="宋体"/>
          <w:color w:val="auto"/>
          <w:sz w:val="24"/>
          <w:lang w:val="en-US" w:eastAsia="zh-CN"/>
        </w:rPr>
      </w:pPr>
    </w:p>
    <w:p>
      <w:pPr>
        <w:pStyle w:val="4"/>
        <w:numPr>
          <w:ilvl w:val="0"/>
          <w:numId w:val="0"/>
        </w:numPr>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8.支出预算执行情况</w:t>
      </w:r>
    </w:p>
    <w:p>
      <w:pPr>
        <w:pStyle w:val="4"/>
        <w:numPr>
          <w:ilvl w:val="0"/>
          <w:numId w:val="0"/>
        </w:numPr>
        <w:ind w:firstLine="0" w:firstLineChars="0"/>
        <w:rPr>
          <w:rFonts w:hint="eastAsia" w:ascii="宋体" w:hAnsi="宋体" w:eastAsia="宋体" w:cs="宋体"/>
          <w:color w:val="auto"/>
          <w:sz w:val="18"/>
          <w:szCs w:val="18"/>
          <w:lang w:val="en-US" w:eastAsia="zh-CN"/>
        </w:rPr>
      </w:pPr>
    </w:p>
    <w:p>
      <w:pPr>
        <w:pStyle w:val="4"/>
        <w:numPr>
          <w:ilvl w:val="0"/>
          <w:numId w:val="0"/>
        </w:num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竹岐乡基本支出预算执行情况表                         </w:t>
      </w:r>
    </w:p>
    <w:p>
      <w:pPr>
        <w:pStyle w:val="4"/>
        <w:numPr>
          <w:ilvl w:val="0"/>
          <w:numId w:val="0"/>
        </w:numPr>
        <w:ind w:firstLine="0" w:firstLineChars="0"/>
        <w:jc w:val="righ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金额单位：万元   </w:t>
      </w:r>
    </w:p>
    <w:tbl>
      <w:tblPr>
        <w:tblStyle w:val="10"/>
        <w:tblW w:w="8103" w:type="dxa"/>
        <w:tblInd w:w="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579"/>
        <w:gridCol w:w="2542"/>
        <w:gridCol w:w="1305"/>
        <w:gridCol w:w="990"/>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项目类别</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项目总金额（预算数）</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2022年决算金额</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基本工资</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追加基本工资（行政）2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131.42</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131.42</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其他人员支出</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乡镇财政体制支出基数核销1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45.51</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45.51</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其他人员支出</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乡镇财政体制支出基数核销</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184.03</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184.03</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离退休津补贴</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基础绩效奖（行政退休）</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离退休津补贴</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基础绩效奖（事业退休）</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津贴补贴</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基础绩效奖（事业）</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改革性补贴</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提租补贴（事业）</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改革性补贴</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提租补贴（行政）</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其他人员支出</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乡镇财政体制支出基数（事业）</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224.40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224.40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基本工资</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追加基本工资（事业）1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13.14</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13.14</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基本工资</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追加基本工资（行政）1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事业单位绩效工资</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追加事业单位绩效工资</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基本工资</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追加基本工资（事业）</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13.14</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13.14</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基本工资</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追加基本工资（行政）</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奖励性项目</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事业年终绩效奖金</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62.82</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62.82</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奖金</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追加年终一次性奖金</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19.13</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19.13</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奖励性项目</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未休年休假报酬</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22.17</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22.17</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在职人员定额公用经费</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153.78</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其他人员支出</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乡镇财政体制支出基数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824.00</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1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2441.08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1989.86 </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81.52</w:t>
            </w:r>
          </w:p>
        </w:tc>
      </w:tr>
    </w:tbl>
    <w:p>
      <w:pPr>
        <w:pStyle w:val="4"/>
        <w:ind w:firstLine="0" w:firstLineChars="0"/>
        <w:rPr>
          <w:rFonts w:hint="eastAsia" w:ascii="宋体" w:hAnsi="宋体" w:eastAsia="宋体" w:cs="宋体"/>
          <w:color w:val="auto"/>
          <w:sz w:val="18"/>
          <w:szCs w:val="18"/>
          <w:lang w:val="en-US" w:eastAsia="zh-CN"/>
        </w:rPr>
      </w:pPr>
    </w:p>
    <w:p>
      <w:pPr>
        <w:pStyle w:val="4"/>
        <w:numPr>
          <w:ilvl w:val="0"/>
          <w:numId w:val="0"/>
        </w:numPr>
        <w:ind w:firstLine="0" w:firstLineChars="0"/>
        <w:rPr>
          <w:rFonts w:hint="eastAsia" w:ascii="宋体" w:hAnsi="宋体" w:eastAsia="宋体" w:cs="宋体"/>
          <w:color w:val="auto"/>
          <w:sz w:val="18"/>
          <w:szCs w:val="18"/>
          <w:lang w:val="en-US" w:eastAsia="zh-CN"/>
        </w:rPr>
      </w:pPr>
      <w:bookmarkStart w:id="350" w:name="_GoBack"/>
      <w:bookmarkEnd w:id="350"/>
    </w:p>
    <w:p>
      <w:pPr>
        <w:pStyle w:val="4"/>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2022年政府投资重点建设项目资金预算执行情况表</w:t>
      </w:r>
    </w:p>
    <w:p>
      <w:pPr>
        <w:pStyle w:val="4"/>
        <w:ind w:firstLine="420" w:firstLineChars="200"/>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金额单位：万元       </w:t>
      </w:r>
    </w:p>
    <w:tbl>
      <w:tblPr>
        <w:tblStyle w:val="10"/>
        <w:tblW w:w="8558" w:type="dxa"/>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1421"/>
        <w:gridCol w:w="1063"/>
        <w:gridCol w:w="837"/>
        <w:gridCol w:w="900"/>
        <w:gridCol w:w="978"/>
        <w:gridCol w:w="1022"/>
        <w:gridCol w:w="800"/>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项目名称 </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项目单位 </w:t>
            </w:r>
          </w:p>
        </w:tc>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建设类型（新建/续建） </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立项总投资额</w:t>
            </w:r>
          </w:p>
        </w:tc>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2022年预算需求</w:t>
            </w:r>
          </w:p>
        </w:tc>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2022年预算安排</w:t>
            </w:r>
          </w:p>
        </w:tc>
        <w:tc>
          <w:tcPr>
            <w:tcW w:w="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2022年决算</w:t>
            </w:r>
          </w:p>
        </w:tc>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预算执行率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23,558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6,643 </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3,715 </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3,715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2021年裸房整治县级财政奖励资金</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150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120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120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白龙村排水管网及路面恢复改建工程</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890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250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垃圾压缩中转站项目资金</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2,960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230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180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180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竹岐乡门前河整治工程</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3,500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700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420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420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316国道竹岐乡路段交通设施完善项目</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6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竹岐乡污水支管铺设项目</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8,720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1,650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800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800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7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竹岐乡自来水旧管网改造工程项目</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780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260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8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闽侯县重要景观线路环境提升竹岐段项目</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5,100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2,800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1,500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1,500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9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竹岐榕山工业区道路改造工程</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620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100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80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80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国宾馆路沿线城市品质提升工程（绕城高速竹岐段）</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138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138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100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100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11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竹岐乡竹岐村闽江沿线住宅污水管道接驳工程项目</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竹岐乡人民政府</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350 </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350 </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100 </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100 </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r>
    </w:tbl>
    <w:p>
      <w:pPr>
        <w:pStyle w:val="4"/>
        <w:numPr>
          <w:ilvl w:val="0"/>
          <w:numId w:val="0"/>
        </w:numPr>
        <w:ind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竹岐乡</w:t>
      </w:r>
      <w:r>
        <w:rPr>
          <w:rFonts w:hint="eastAsia" w:ascii="宋体" w:hAnsi="宋体" w:eastAsia="宋体" w:cs="宋体"/>
          <w:color w:val="auto"/>
          <w:sz w:val="24"/>
          <w:highlight w:val="none"/>
          <w:lang w:val="en-US" w:eastAsia="zh-CN"/>
        </w:rPr>
        <w:t>上划中央税收情况</w:t>
      </w:r>
    </w:p>
    <w:p>
      <w:pPr>
        <w:widowControl/>
        <w:numPr>
          <w:ilvl w:val="0"/>
          <w:numId w:val="0"/>
        </w:num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2022年上划中央税收收入39.98万元，其中：上划中央国内增值税14.35万元、上划中央国内消费税6.99万元、上划中央企业所得税14.64万元、上划中央个人所得税4万元。</w:t>
      </w:r>
    </w:p>
    <w:p>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10、2022年末竹岐乡财政预算资金年终资产、负债及净资产情况</w:t>
      </w:r>
    </w:p>
    <w:p>
      <w:pPr>
        <w:widowControl/>
        <w:spacing w:line="360" w:lineRule="auto"/>
        <w:ind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（1）本年年末资产3143.08万元，比上年减少1380.82万元，下降31.52%，其中：其他财政存款16.72 万元，预拨经费1500.02万元，其他应收款1609.50万元，这三项比上年均有不同程度下降；应收地方政府债券转贷款16.84万元，基本维持上年水平；</w:t>
      </w:r>
    </w:p>
    <w:p>
      <w:pPr>
        <w:widowControl/>
        <w:spacing w:line="360" w:lineRule="auto"/>
        <w:ind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（2）本年年末负债-51.14万元，比上年增加1126.61万元，增长95.66%，其中：与上级往来-4091.19万元，比上年增加1147.19万元，增长21.90%；其他应付款3952.04万元，借入款项88万元，基本维持上年水平。</w:t>
      </w:r>
    </w:p>
    <w:p>
      <w:pPr>
        <w:widowControl/>
        <w:spacing w:line="360" w:lineRule="auto"/>
        <w:ind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（3）本年年末净资产3194.22万元，比上年减少2507.43万元，下降43.98%，其中：一般公共预算结余2946.82万元，比上年减少2507.41万元，下降45.97%；政府性基金预算结余247.40万元，基本维持上年水平。</w:t>
      </w:r>
    </w:p>
    <w:p>
      <w:pPr>
        <w:pStyle w:val="4"/>
        <w:numPr>
          <w:ilvl w:val="0"/>
          <w:numId w:val="0"/>
        </w:numPr>
        <w:ind w:firstLine="0" w:firstLineChars="0"/>
        <w:rPr>
          <w:rFonts w:hint="default" w:ascii="宋体" w:hAnsi="宋体" w:eastAsia="宋体" w:cs="宋体"/>
          <w:color w:val="auto"/>
          <w:sz w:val="24"/>
          <w:lang w:val="en-US" w:eastAsia="zh-CN"/>
        </w:rPr>
      </w:pPr>
    </w:p>
    <w:p>
      <w:pPr>
        <w:pStyle w:val="2"/>
        <w:bidi w:val="0"/>
        <w:rPr>
          <w:rFonts w:hint="eastAsia" w:ascii="宋体" w:hAnsi="宋体" w:cs="宋体"/>
        </w:rPr>
      </w:pPr>
      <w:bookmarkStart w:id="68" w:name="_Toc14531"/>
      <w:bookmarkStart w:id="69" w:name="_Toc6709"/>
      <w:bookmarkStart w:id="70" w:name="_Toc4510"/>
      <w:bookmarkStart w:id="71" w:name="_Toc25831"/>
      <w:bookmarkStart w:id="72" w:name="_Toc6809"/>
      <w:bookmarkStart w:id="73" w:name="_Toc15134"/>
      <w:bookmarkStart w:id="74" w:name="_Toc3760"/>
      <w:bookmarkStart w:id="75" w:name="_Toc9441"/>
      <w:bookmarkStart w:id="76" w:name="_Toc2114"/>
      <w:bookmarkStart w:id="77" w:name="_Toc14580"/>
      <w:bookmarkStart w:id="78" w:name="_Toc15119"/>
      <w:bookmarkStart w:id="79" w:name="_Toc20955"/>
      <w:r>
        <w:rPr>
          <w:rFonts w:hint="eastAsia" w:ascii="宋体" w:hAnsi="宋体" w:cs="宋体"/>
        </w:rPr>
        <w:t>二、绩效评价的组织实施情况</w:t>
      </w:r>
      <w:bookmarkEnd w:id="68"/>
      <w:bookmarkEnd w:id="69"/>
      <w:bookmarkEnd w:id="70"/>
      <w:bookmarkEnd w:id="71"/>
      <w:bookmarkEnd w:id="72"/>
      <w:bookmarkEnd w:id="73"/>
      <w:bookmarkEnd w:id="74"/>
      <w:bookmarkEnd w:id="75"/>
      <w:bookmarkEnd w:id="76"/>
      <w:bookmarkEnd w:id="77"/>
      <w:bookmarkEnd w:id="78"/>
      <w:bookmarkEnd w:id="79"/>
    </w:p>
    <w:p>
      <w:pPr>
        <w:pStyle w:val="3"/>
        <w:bidi w:val="0"/>
        <w:rPr>
          <w:rFonts w:hint="eastAsia" w:ascii="宋体" w:hAnsi="宋体" w:eastAsia="宋体" w:cs="宋体"/>
          <w:highlight w:val="none"/>
        </w:rPr>
      </w:pPr>
      <w:bookmarkStart w:id="80" w:name="_Toc230"/>
      <w:bookmarkStart w:id="81" w:name="_Toc30169"/>
      <w:bookmarkStart w:id="82" w:name="_Toc17250"/>
      <w:bookmarkStart w:id="83" w:name="_Toc8380"/>
      <w:bookmarkStart w:id="84" w:name="_Toc4829"/>
      <w:bookmarkStart w:id="85" w:name="_Toc25040"/>
      <w:bookmarkStart w:id="86" w:name="_Toc7937"/>
      <w:bookmarkStart w:id="87" w:name="_Toc17962"/>
      <w:bookmarkStart w:id="88" w:name="_Toc6876"/>
      <w:bookmarkStart w:id="89" w:name="_Toc3830"/>
      <w:bookmarkStart w:id="90" w:name="_Toc7563"/>
      <w:bookmarkStart w:id="91" w:name="_Toc16861"/>
      <w:r>
        <w:rPr>
          <w:rFonts w:hint="eastAsia" w:ascii="宋体" w:hAnsi="宋体" w:eastAsia="宋体" w:cs="宋体"/>
          <w:highlight w:val="none"/>
        </w:rPr>
        <w:t>（一）前期准备</w:t>
      </w:r>
      <w:bookmarkEnd w:id="80"/>
      <w:bookmarkEnd w:id="81"/>
      <w:bookmarkEnd w:id="82"/>
      <w:bookmarkEnd w:id="83"/>
      <w:bookmarkEnd w:id="84"/>
      <w:bookmarkEnd w:id="85"/>
      <w:bookmarkEnd w:id="86"/>
      <w:bookmarkEnd w:id="87"/>
      <w:bookmarkEnd w:id="88"/>
      <w:bookmarkEnd w:id="89"/>
      <w:bookmarkEnd w:id="90"/>
      <w:bookmarkEnd w:id="91"/>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福建征安会计师事务所（普通合伙）组织专业人员，成立</w:t>
      </w:r>
      <w:r>
        <w:rPr>
          <w:rFonts w:hint="eastAsia" w:ascii="宋体" w:hAnsi="宋体" w:eastAsia="宋体" w:cs="宋体"/>
          <w:sz w:val="24"/>
          <w:lang w:eastAsia="zh-CN"/>
        </w:rPr>
        <w:t>莆田市涵江区人社局</w:t>
      </w:r>
      <w:r>
        <w:rPr>
          <w:rFonts w:hint="eastAsia" w:ascii="宋体" w:hAnsi="宋体" w:eastAsia="宋体" w:cs="宋体"/>
          <w:sz w:val="24"/>
        </w:rPr>
        <w:t>部门整体支出绩效评价工作小组。绩效评价工作小组按照《预算绩效评价共性指标体系框架》（财预〔2013〕53号）、《财政支出（项目支出）绩效评价操作指引（试行）》的框架体系、以及《</w:t>
      </w:r>
      <w:r>
        <w:rPr>
          <w:rFonts w:hint="eastAsia" w:ascii="宋体" w:hAnsi="宋体" w:eastAsia="宋体" w:cs="宋体"/>
          <w:sz w:val="24"/>
          <w:lang w:val="en-US" w:eastAsia="zh-CN"/>
        </w:rPr>
        <w:t>闽侯县</w:t>
      </w:r>
      <w:r>
        <w:rPr>
          <w:rFonts w:hint="eastAsia" w:ascii="宋体" w:hAnsi="宋体" w:eastAsia="宋体" w:cs="宋体"/>
          <w:sz w:val="24"/>
        </w:rPr>
        <w:t>财政局关于开展</w:t>
      </w:r>
      <w:r>
        <w:rPr>
          <w:rFonts w:hint="eastAsia" w:ascii="宋体" w:hAnsi="宋体" w:eastAsia="宋体" w:cs="宋体"/>
          <w:sz w:val="24"/>
          <w:lang w:eastAsia="zh-CN"/>
        </w:rPr>
        <w:t>202</w:t>
      </w:r>
      <w:r>
        <w:rPr>
          <w:rFonts w:hint="eastAsia" w:ascii="宋体" w:hAnsi="宋体" w:eastAsia="宋体" w:cs="宋体"/>
          <w:sz w:val="24"/>
          <w:lang w:val="en-US" w:eastAsia="zh-CN"/>
        </w:rPr>
        <w:t>3</w:t>
      </w:r>
      <w:r>
        <w:rPr>
          <w:rFonts w:hint="eastAsia" w:ascii="宋体" w:hAnsi="宋体" w:eastAsia="宋体" w:cs="宋体"/>
          <w:sz w:val="24"/>
          <w:lang w:eastAsia="zh-CN"/>
        </w:rPr>
        <w:t>年</w:t>
      </w:r>
      <w:r>
        <w:rPr>
          <w:rFonts w:hint="eastAsia" w:ascii="宋体" w:hAnsi="宋体" w:eastAsia="宋体" w:cs="宋体"/>
          <w:sz w:val="24"/>
        </w:rPr>
        <w:t>度</w:t>
      </w:r>
      <w:r>
        <w:rPr>
          <w:rFonts w:hint="eastAsia" w:ascii="宋体" w:hAnsi="宋体" w:eastAsia="宋体" w:cs="宋体"/>
          <w:sz w:val="24"/>
          <w:lang w:val="en-US" w:eastAsia="zh-CN"/>
        </w:rPr>
        <w:t>财政重点</w:t>
      </w:r>
      <w:r>
        <w:rPr>
          <w:rFonts w:hint="eastAsia" w:ascii="宋体" w:hAnsi="宋体" w:eastAsia="宋体" w:cs="宋体"/>
          <w:sz w:val="24"/>
        </w:rPr>
        <w:t>评价工作的通知》</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侯</w:t>
      </w:r>
      <w:r>
        <w:rPr>
          <w:rFonts w:hint="eastAsia" w:ascii="宋体" w:hAnsi="宋体" w:eastAsia="宋体" w:cs="宋体"/>
          <w:sz w:val="24"/>
          <w:highlight w:val="none"/>
        </w:rPr>
        <w:t>财</w:t>
      </w:r>
      <w:r>
        <w:rPr>
          <w:rFonts w:hint="eastAsia" w:ascii="宋体" w:hAnsi="宋体" w:eastAsia="宋体" w:cs="宋体"/>
          <w:sz w:val="24"/>
          <w:highlight w:val="none"/>
          <w:lang w:val="en-US" w:eastAsia="zh-CN"/>
        </w:rPr>
        <w:t>监督</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341</w:t>
      </w:r>
      <w:r>
        <w:rPr>
          <w:rFonts w:hint="eastAsia" w:ascii="宋体" w:hAnsi="宋体" w:eastAsia="宋体" w:cs="宋体"/>
          <w:sz w:val="24"/>
          <w:highlight w:val="none"/>
        </w:rPr>
        <w:t>号）等文件要求，</w:t>
      </w:r>
      <w:r>
        <w:rPr>
          <w:rFonts w:hint="eastAsia" w:ascii="宋体" w:hAnsi="宋体" w:eastAsia="宋体" w:cs="宋体"/>
          <w:sz w:val="24"/>
        </w:rPr>
        <w:t>结合</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财政运行情况的综合绩效</w:t>
      </w:r>
      <w:r>
        <w:rPr>
          <w:rFonts w:hint="eastAsia" w:ascii="宋体" w:hAnsi="宋体" w:eastAsia="宋体" w:cs="宋体"/>
          <w:sz w:val="24"/>
        </w:rPr>
        <w:t>具体情况制定绩效评价工作计划，拟定绩效评价指标体系。</w:t>
      </w:r>
    </w:p>
    <w:p>
      <w:pPr>
        <w:pStyle w:val="3"/>
        <w:bidi w:val="0"/>
        <w:rPr>
          <w:rFonts w:hint="eastAsia" w:ascii="宋体" w:hAnsi="宋体" w:eastAsia="宋体" w:cs="宋体"/>
          <w:highlight w:val="none"/>
        </w:rPr>
      </w:pPr>
      <w:bookmarkStart w:id="92" w:name="_Toc2599"/>
      <w:bookmarkStart w:id="93" w:name="_Toc16576"/>
      <w:bookmarkStart w:id="94" w:name="_Toc15348"/>
      <w:bookmarkStart w:id="95" w:name="_Toc13903"/>
      <w:bookmarkStart w:id="96" w:name="_Toc31049"/>
      <w:bookmarkStart w:id="97" w:name="_Toc25312"/>
      <w:bookmarkStart w:id="98" w:name="_Toc5222"/>
      <w:bookmarkStart w:id="99" w:name="_Toc7493"/>
      <w:bookmarkStart w:id="100" w:name="_Toc9165"/>
      <w:bookmarkStart w:id="101" w:name="_Toc14229"/>
      <w:bookmarkStart w:id="102" w:name="_Toc9378"/>
      <w:bookmarkStart w:id="103" w:name="_Toc31726"/>
      <w:r>
        <w:rPr>
          <w:rFonts w:hint="eastAsia" w:ascii="宋体" w:hAnsi="宋体" w:eastAsia="宋体" w:cs="宋体"/>
          <w:highlight w:val="none"/>
        </w:rPr>
        <w:t>（二）绩效评价的目标</w:t>
      </w:r>
      <w:bookmarkEnd w:id="92"/>
      <w:bookmarkEnd w:id="93"/>
      <w:bookmarkEnd w:id="94"/>
      <w:bookmarkEnd w:id="95"/>
      <w:bookmarkEnd w:id="96"/>
      <w:bookmarkEnd w:id="97"/>
      <w:bookmarkEnd w:id="98"/>
      <w:bookmarkEnd w:id="99"/>
      <w:bookmarkEnd w:id="100"/>
      <w:bookmarkEnd w:id="101"/>
      <w:bookmarkEnd w:id="102"/>
      <w:bookmarkEnd w:id="103"/>
    </w:p>
    <w:p>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pacing w:val="0"/>
          <w:sz w:val="24"/>
          <w:szCs w:val="24"/>
        </w:rPr>
        <w:t>围绕</w:t>
      </w:r>
      <w:r>
        <w:rPr>
          <w:rFonts w:hint="eastAsia" w:ascii="宋体" w:hAnsi="宋体" w:eastAsia="宋体" w:cs="宋体"/>
          <w:color w:val="auto"/>
          <w:sz w:val="24"/>
          <w:lang w:eastAsia="zh-CN"/>
        </w:rPr>
        <w:t>竹岐乡</w:t>
      </w:r>
      <w:r>
        <w:rPr>
          <w:rFonts w:hint="eastAsia" w:ascii="宋体" w:hAnsi="宋体" w:eastAsia="宋体" w:cs="宋体"/>
          <w:color w:val="auto"/>
          <w:spacing w:val="0"/>
          <w:sz w:val="24"/>
          <w:szCs w:val="24"/>
        </w:rPr>
        <w:t>重点工作目标，以经济建设为中心，持续推进区域经济转型，努力提高民生事业投入，不断提升</w:t>
      </w:r>
      <w:r>
        <w:rPr>
          <w:rFonts w:hint="eastAsia" w:ascii="宋体" w:hAnsi="宋体" w:eastAsia="宋体" w:cs="宋体"/>
          <w:color w:val="auto"/>
          <w:spacing w:val="0"/>
          <w:sz w:val="24"/>
          <w:szCs w:val="24"/>
          <w:lang w:val="en-US" w:eastAsia="zh-CN"/>
        </w:rPr>
        <w:t>乡村</w:t>
      </w:r>
      <w:r>
        <w:rPr>
          <w:rFonts w:hint="eastAsia" w:ascii="宋体" w:hAnsi="宋体" w:eastAsia="宋体" w:cs="宋体"/>
          <w:color w:val="auto"/>
          <w:spacing w:val="0"/>
          <w:sz w:val="24"/>
          <w:szCs w:val="24"/>
        </w:rPr>
        <w:t>建管水平，全力推进财政管理改革，为全</w:t>
      </w:r>
      <w:r>
        <w:rPr>
          <w:rFonts w:hint="eastAsia" w:ascii="宋体" w:hAnsi="宋体" w:eastAsia="宋体" w:cs="宋体"/>
          <w:color w:val="auto"/>
          <w:spacing w:val="0"/>
          <w:sz w:val="24"/>
          <w:szCs w:val="24"/>
          <w:lang w:val="en-US" w:eastAsia="zh-CN"/>
        </w:rPr>
        <w:t>乡</w:t>
      </w:r>
      <w:r>
        <w:rPr>
          <w:rFonts w:hint="eastAsia" w:ascii="宋体" w:hAnsi="宋体" w:eastAsia="宋体" w:cs="宋体"/>
          <w:color w:val="auto"/>
          <w:spacing w:val="0"/>
          <w:sz w:val="24"/>
          <w:szCs w:val="24"/>
        </w:rPr>
        <w:t>经济社会协调发展做好财力保障。</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color w:val="auto"/>
          <w:sz w:val="24"/>
          <w:lang w:eastAsia="zh-CN"/>
        </w:rPr>
        <w:t>政府</w:t>
      </w:r>
      <w:r>
        <w:rPr>
          <w:rFonts w:hint="eastAsia" w:ascii="宋体" w:hAnsi="宋体" w:eastAsia="宋体" w:cs="宋体"/>
          <w:sz w:val="24"/>
          <w:lang w:val="en-US" w:eastAsia="zh-CN"/>
        </w:rPr>
        <w:t>财政运行情况的综合绩效</w:t>
      </w:r>
      <w:r>
        <w:rPr>
          <w:rFonts w:hint="eastAsia" w:ascii="宋体" w:hAnsi="宋体" w:eastAsia="宋体" w:cs="宋体"/>
          <w:kern w:val="0"/>
          <w:sz w:val="24"/>
          <w:lang w:val="en-US" w:eastAsia="zh-CN"/>
        </w:rPr>
        <w:t>评价</w:t>
      </w:r>
      <w:r>
        <w:rPr>
          <w:rFonts w:hint="eastAsia" w:ascii="宋体" w:hAnsi="宋体" w:eastAsia="宋体" w:cs="宋体"/>
          <w:kern w:val="0"/>
          <w:sz w:val="24"/>
        </w:rPr>
        <w:t>主要目的是</w:t>
      </w:r>
      <w:r>
        <w:rPr>
          <w:rFonts w:hint="eastAsia" w:ascii="宋体" w:hAnsi="宋体" w:eastAsia="宋体" w:cs="宋体"/>
          <w:spacing w:val="0"/>
          <w:kern w:val="0"/>
          <w:sz w:val="24"/>
          <w:szCs w:val="22"/>
        </w:rPr>
        <w:t>为切实加强部门整体支出绩效管理，强化预算单位部门整体支出绩效管理责任，提高</w:t>
      </w:r>
      <w:r>
        <w:rPr>
          <w:rFonts w:hint="eastAsia" w:ascii="宋体" w:hAnsi="宋体" w:eastAsia="宋体" w:cs="宋体"/>
          <w:spacing w:val="0"/>
          <w:kern w:val="0"/>
          <w:sz w:val="24"/>
          <w:szCs w:val="22"/>
          <w:lang w:val="en-US" w:eastAsia="zh-CN"/>
        </w:rPr>
        <w:t>财政</w:t>
      </w:r>
      <w:r>
        <w:rPr>
          <w:rFonts w:hint="eastAsia" w:ascii="宋体" w:hAnsi="宋体" w:eastAsia="宋体" w:cs="宋体"/>
          <w:spacing w:val="0"/>
          <w:kern w:val="0"/>
          <w:sz w:val="24"/>
          <w:szCs w:val="22"/>
        </w:rPr>
        <w:t>预算分配、使用、管理整体绩效，</w:t>
      </w:r>
      <w:r>
        <w:rPr>
          <w:rFonts w:hint="eastAsia" w:ascii="宋体" w:hAnsi="宋体" w:eastAsia="宋体" w:cs="宋体"/>
          <w:kern w:val="0"/>
          <w:sz w:val="24"/>
          <w:szCs w:val="22"/>
        </w:rPr>
        <w:t>建立科学、合理的</w:t>
      </w:r>
      <w:r>
        <w:rPr>
          <w:rFonts w:hint="eastAsia" w:ascii="宋体" w:hAnsi="宋体" w:eastAsia="宋体" w:cs="宋体"/>
          <w:b w:val="0"/>
          <w:kern w:val="0"/>
          <w:sz w:val="24"/>
          <w:szCs w:val="22"/>
          <w:lang w:eastAsia="zh-CN"/>
        </w:rPr>
        <w:t>政府</w:t>
      </w:r>
      <w:r>
        <w:rPr>
          <w:rFonts w:hint="eastAsia" w:ascii="宋体" w:hAnsi="宋体" w:eastAsia="宋体" w:cs="宋体"/>
          <w:b w:val="0"/>
          <w:bCs w:val="0"/>
          <w:kern w:val="0"/>
          <w:sz w:val="24"/>
          <w:szCs w:val="22"/>
        </w:rPr>
        <w:t>财政运行情况综合绩效</w:t>
      </w:r>
      <w:r>
        <w:rPr>
          <w:rFonts w:hint="eastAsia" w:ascii="宋体" w:hAnsi="宋体" w:eastAsia="宋体" w:cs="宋体"/>
          <w:kern w:val="0"/>
          <w:sz w:val="24"/>
          <w:szCs w:val="22"/>
        </w:rPr>
        <w:t>评价管理体系</w:t>
      </w:r>
      <w:r>
        <w:rPr>
          <w:rFonts w:hint="eastAsia" w:ascii="宋体" w:hAnsi="宋体" w:eastAsia="宋体" w:cs="宋体"/>
          <w:kern w:val="0"/>
          <w:sz w:val="24"/>
          <w:szCs w:val="22"/>
          <w:lang w:eastAsia="zh-CN"/>
        </w:rPr>
        <w:t>。</w:t>
      </w:r>
      <w:r>
        <w:rPr>
          <w:rFonts w:hint="eastAsia" w:ascii="宋体" w:hAnsi="宋体" w:eastAsia="宋体" w:cs="宋体"/>
          <w:sz w:val="24"/>
          <w:highlight w:val="none"/>
        </w:rPr>
        <w:t>绩效评价工作小组</w:t>
      </w:r>
      <w:r>
        <w:rPr>
          <w:rFonts w:hint="eastAsia" w:ascii="宋体" w:hAnsi="宋体" w:eastAsia="宋体" w:cs="宋体"/>
          <w:kern w:val="0"/>
          <w:sz w:val="24"/>
          <w:highlight w:val="none"/>
        </w:rPr>
        <w:t>通过绩效评价全面分析</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w:t>
      </w:r>
      <w:r>
        <w:rPr>
          <w:rFonts w:hint="eastAsia" w:ascii="宋体" w:hAnsi="宋体" w:eastAsia="宋体" w:cs="宋体"/>
          <w:kern w:val="0"/>
          <w:sz w:val="24"/>
          <w:highlight w:val="none"/>
          <w:lang w:eastAsia="zh-CN"/>
        </w:rPr>
        <w:t>，</w:t>
      </w:r>
      <w:r>
        <w:rPr>
          <w:rFonts w:hint="eastAsia" w:ascii="宋体" w:hAnsi="宋体" w:eastAsia="宋体" w:cs="宋体"/>
          <w:kern w:val="0"/>
          <w:sz w:val="24"/>
        </w:rPr>
        <w:t>督促相关单位进一步规范项目立项、审批、实施、验收、运营等程序，完善资金使用及管理制度，为今后提</w:t>
      </w:r>
      <w:r>
        <w:rPr>
          <w:rFonts w:hint="eastAsia" w:ascii="宋体" w:hAnsi="宋体" w:eastAsia="宋体" w:cs="宋体"/>
          <w:kern w:val="0"/>
          <w:sz w:val="24"/>
          <w:highlight w:val="none"/>
        </w:rPr>
        <w:t>高</w:t>
      </w:r>
      <w:r>
        <w:rPr>
          <w:rFonts w:hint="eastAsia" w:ascii="宋体" w:hAnsi="宋体" w:eastAsia="宋体" w:cs="宋体"/>
          <w:kern w:val="0"/>
          <w:sz w:val="24"/>
          <w:highlight w:val="none"/>
          <w:lang w:val="en-US" w:eastAsia="zh-CN"/>
        </w:rPr>
        <w:t>县级</w:t>
      </w:r>
      <w:r>
        <w:rPr>
          <w:rFonts w:hint="eastAsia" w:ascii="宋体" w:hAnsi="宋体" w:eastAsia="宋体" w:cs="宋体"/>
          <w:color w:val="auto"/>
          <w:sz w:val="24"/>
          <w:lang w:eastAsia="zh-CN"/>
        </w:rPr>
        <w:t>政府</w:t>
      </w:r>
      <w:r>
        <w:rPr>
          <w:rFonts w:hint="eastAsia" w:ascii="宋体" w:hAnsi="宋体" w:eastAsia="宋体" w:cs="宋体"/>
          <w:sz w:val="24"/>
          <w:lang w:val="en-US" w:eastAsia="zh-CN"/>
        </w:rPr>
        <w:t>财政运行情况的综合绩效</w:t>
      </w:r>
      <w:r>
        <w:rPr>
          <w:rFonts w:hint="eastAsia" w:ascii="宋体" w:hAnsi="宋体" w:eastAsia="宋体" w:cs="宋体"/>
          <w:kern w:val="0"/>
          <w:sz w:val="24"/>
        </w:rPr>
        <w:t>提供借鉴。</w:t>
      </w:r>
    </w:p>
    <w:p>
      <w:pPr>
        <w:pStyle w:val="3"/>
        <w:bidi w:val="0"/>
        <w:rPr>
          <w:rFonts w:hint="eastAsia" w:ascii="宋体" w:hAnsi="宋体" w:eastAsia="宋体" w:cs="宋体"/>
          <w:highlight w:val="none"/>
        </w:rPr>
      </w:pPr>
      <w:bookmarkStart w:id="104" w:name="_Toc11198"/>
      <w:bookmarkStart w:id="105" w:name="_Toc6687"/>
      <w:bookmarkStart w:id="106" w:name="_Toc28768"/>
      <w:bookmarkStart w:id="107" w:name="_Toc20868"/>
      <w:bookmarkStart w:id="108" w:name="_Toc30351"/>
      <w:bookmarkStart w:id="109" w:name="_Toc1316"/>
      <w:bookmarkStart w:id="110" w:name="_Toc19997"/>
      <w:bookmarkStart w:id="111" w:name="_Toc22695"/>
      <w:bookmarkStart w:id="112" w:name="_Toc15729"/>
      <w:bookmarkStart w:id="113" w:name="_Toc3514"/>
      <w:bookmarkStart w:id="114" w:name="_Toc2870"/>
      <w:bookmarkStart w:id="115" w:name="_Toc19512"/>
      <w:r>
        <w:rPr>
          <w:rFonts w:hint="eastAsia" w:ascii="宋体" w:hAnsi="宋体" w:eastAsia="宋体" w:cs="宋体"/>
          <w:highlight w:val="none"/>
        </w:rPr>
        <w:t>（三）绩效评价的依据</w:t>
      </w:r>
      <w:bookmarkEnd w:id="104"/>
      <w:bookmarkEnd w:id="105"/>
      <w:bookmarkEnd w:id="106"/>
      <w:bookmarkEnd w:id="107"/>
      <w:bookmarkEnd w:id="108"/>
      <w:bookmarkEnd w:id="109"/>
      <w:bookmarkEnd w:id="110"/>
      <w:bookmarkEnd w:id="111"/>
      <w:bookmarkEnd w:id="112"/>
      <w:bookmarkEnd w:id="113"/>
      <w:bookmarkEnd w:id="114"/>
      <w:bookmarkEnd w:id="115"/>
    </w:p>
    <w:p>
      <w:pPr>
        <w:adjustRightInd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1.《项目支出绩效管理办法》（财预〔2020〕10号）</w:t>
      </w:r>
      <w:r>
        <w:rPr>
          <w:rFonts w:hint="eastAsia" w:ascii="宋体" w:hAnsi="宋体" w:eastAsia="宋体" w:cs="宋体"/>
          <w:sz w:val="24"/>
          <w:lang w:eastAsia="zh-CN"/>
        </w:rPr>
        <w:t>；</w:t>
      </w:r>
    </w:p>
    <w:p>
      <w:pPr>
        <w:adjustRightInd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2.《关于全面实施预算绩效管理的实施意见》（闽委发〔2019〕5号）</w:t>
      </w:r>
      <w:r>
        <w:rPr>
          <w:rFonts w:hint="eastAsia" w:ascii="宋体" w:hAnsi="宋体" w:eastAsia="宋体" w:cs="宋体"/>
          <w:sz w:val="24"/>
          <w:lang w:eastAsia="zh-CN"/>
        </w:rPr>
        <w:t>；</w:t>
      </w:r>
    </w:p>
    <w:p>
      <w:pPr>
        <w:adjustRightInd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3.《财政支出绩效评价管理办法》（闽财绩〔2015〕4号）</w:t>
      </w:r>
      <w:r>
        <w:rPr>
          <w:rFonts w:hint="eastAsia" w:ascii="宋体" w:hAnsi="宋体" w:eastAsia="宋体" w:cs="宋体"/>
          <w:sz w:val="24"/>
          <w:lang w:eastAsia="zh-CN"/>
        </w:rPr>
        <w:t>；</w:t>
      </w:r>
    </w:p>
    <w:p>
      <w:pPr>
        <w:adjustRightInd w:val="0"/>
        <w:snapToGrid w:val="0"/>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sz w:val="24"/>
        </w:rPr>
        <w:t>《</w:t>
      </w:r>
      <w:r>
        <w:rPr>
          <w:rFonts w:hint="eastAsia" w:ascii="宋体" w:hAnsi="宋体" w:eastAsia="宋体" w:cs="宋体"/>
          <w:sz w:val="24"/>
          <w:lang w:val="en-US" w:eastAsia="zh-CN"/>
        </w:rPr>
        <w:t>闽侯县</w:t>
      </w:r>
      <w:r>
        <w:rPr>
          <w:rFonts w:hint="eastAsia" w:ascii="宋体" w:hAnsi="宋体" w:eastAsia="宋体" w:cs="宋体"/>
          <w:sz w:val="24"/>
        </w:rPr>
        <w:t>财政局关于开展</w:t>
      </w:r>
      <w:r>
        <w:rPr>
          <w:rFonts w:hint="eastAsia" w:ascii="宋体" w:hAnsi="宋体" w:eastAsia="宋体" w:cs="宋体"/>
          <w:sz w:val="24"/>
          <w:lang w:eastAsia="zh-CN"/>
        </w:rPr>
        <w:t>202</w:t>
      </w:r>
      <w:r>
        <w:rPr>
          <w:rFonts w:hint="eastAsia" w:ascii="宋体" w:hAnsi="宋体" w:eastAsia="宋体" w:cs="宋体"/>
          <w:sz w:val="24"/>
          <w:lang w:val="en-US" w:eastAsia="zh-CN"/>
        </w:rPr>
        <w:t>3</w:t>
      </w:r>
      <w:r>
        <w:rPr>
          <w:rFonts w:hint="eastAsia" w:ascii="宋体" w:hAnsi="宋体" w:eastAsia="宋体" w:cs="宋体"/>
          <w:sz w:val="24"/>
          <w:lang w:eastAsia="zh-CN"/>
        </w:rPr>
        <w:t>年</w:t>
      </w:r>
      <w:r>
        <w:rPr>
          <w:rFonts w:hint="eastAsia" w:ascii="宋体" w:hAnsi="宋体" w:eastAsia="宋体" w:cs="宋体"/>
          <w:sz w:val="24"/>
        </w:rPr>
        <w:t>度</w:t>
      </w:r>
      <w:r>
        <w:rPr>
          <w:rFonts w:hint="eastAsia" w:ascii="宋体" w:hAnsi="宋体" w:eastAsia="宋体" w:cs="宋体"/>
          <w:sz w:val="24"/>
          <w:lang w:val="en-US" w:eastAsia="zh-CN"/>
        </w:rPr>
        <w:t>财政重点</w:t>
      </w:r>
      <w:r>
        <w:rPr>
          <w:rFonts w:hint="eastAsia" w:ascii="宋体" w:hAnsi="宋体" w:eastAsia="宋体" w:cs="宋体"/>
          <w:sz w:val="24"/>
        </w:rPr>
        <w:t>评价工作的通知》</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侯</w:t>
      </w:r>
      <w:r>
        <w:rPr>
          <w:rFonts w:hint="eastAsia" w:ascii="宋体" w:hAnsi="宋体" w:eastAsia="宋体" w:cs="宋体"/>
          <w:sz w:val="24"/>
          <w:highlight w:val="none"/>
        </w:rPr>
        <w:t>财</w:t>
      </w:r>
      <w:r>
        <w:rPr>
          <w:rFonts w:hint="eastAsia" w:ascii="宋体" w:hAnsi="宋体" w:eastAsia="宋体" w:cs="宋体"/>
          <w:sz w:val="24"/>
          <w:highlight w:val="none"/>
          <w:lang w:val="en-US" w:eastAsia="zh-CN"/>
        </w:rPr>
        <w:t>监督</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341</w:t>
      </w:r>
      <w:r>
        <w:rPr>
          <w:rFonts w:hint="eastAsia" w:ascii="宋体" w:hAnsi="宋体" w:eastAsia="宋体" w:cs="宋体"/>
          <w:sz w:val="24"/>
          <w:highlight w:val="none"/>
        </w:rPr>
        <w:t>号）</w:t>
      </w:r>
      <w:r>
        <w:rPr>
          <w:rFonts w:hint="eastAsia" w:ascii="宋体" w:hAnsi="宋体" w:eastAsia="宋体" w:cs="宋体"/>
          <w:color w:val="auto"/>
          <w:sz w:val="24"/>
          <w:szCs w:val="22"/>
          <w:highlight w:val="none"/>
          <w:lang w:eastAsia="zh-CN"/>
        </w:rPr>
        <w:t>。</w:t>
      </w:r>
    </w:p>
    <w:p>
      <w:pPr>
        <w:pStyle w:val="3"/>
        <w:bidi w:val="0"/>
        <w:rPr>
          <w:rFonts w:hint="eastAsia" w:ascii="宋体" w:hAnsi="宋体" w:cs="宋体"/>
        </w:rPr>
      </w:pPr>
      <w:bookmarkStart w:id="116" w:name="_Toc20767"/>
      <w:bookmarkStart w:id="117" w:name="_Toc17127"/>
      <w:bookmarkStart w:id="118" w:name="_Toc20762"/>
      <w:bookmarkStart w:id="119" w:name="_Toc13784"/>
      <w:bookmarkStart w:id="120" w:name="_Toc30450"/>
      <w:bookmarkStart w:id="121" w:name="_Toc7572"/>
      <w:bookmarkStart w:id="122" w:name="_Toc5406"/>
      <w:bookmarkStart w:id="123" w:name="_Toc30438"/>
      <w:bookmarkStart w:id="124" w:name="_Toc10831"/>
      <w:bookmarkStart w:id="125" w:name="_Toc8088"/>
      <w:bookmarkStart w:id="126" w:name="_Toc14676"/>
      <w:bookmarkStart w:id="127" w:name="_Toc22026"/>
      <w:r>
        <w:rPr>
          <w:rFonts w:hint="eastAsia" w:ascii="宋体" w:hAnsi="宋体" w:cs="宋体"/>
        </w:rPr>
        <w:t>（四）绩效评价工作的开展情况</w:t>
      </w:r>
      <w:bookmarkEnd w:id="116"/>
      <w:bookmarkEnd w:id="117"/>
      <w:bookmarkEnd w:id="118"/>
      <w:bookmarkEnd w:id="119"/>
      <w:bookmarkEnd w:id="120"/>
      <w:bookmarkEnd w:id="121"/>
      <w:bookmarkEnd w:id="122"/>
      <w:bookmarkEnd w:id="123"/>
      <w:bookmarkEnd w:id="124"/>
      <w:bookmarkEnd w:id="125"/>
      <w:bookmarkEnd w:id="126"/>
      <w:bookmarkEnd w:id="12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1.按计划与要求对</w:t>
      </w:r>
      <w:r>
        <w:rPr>
          <w:rFonts w:hint="eastAsia" w:ascii="宋体" w:hAnsi="宋体" w:eastAsia="宋体" w:cs="宋体"/>
          <w:sz w:val="24"/>
          <w:lang w:eastAsia="zh-CN"/>
        </w:rPr>
        <w:t>2022年</w:t>
      </w:r>
      <w:r>
        <w:rPr>
          <w:rFonts w:hint="eastAsia" w:ascii="宋体" w:hAnsi="宋体" w:eastAsia="宋体" w:cs="宋体"/>
          <w:sz w:val="24"/>
          <w:highlight w:val="none"/>
        </w:rPr>
        <w:t>度</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财政运行情况的综合绩效</w:t>
      </w:r>
      <w:r>
        <w:rPr>
          <w:rFonts w:hint="eastAsia" w:ascii="宋体" w:hAnsi="宋体" w:eastAsia="宋体" w:cs="宋体"/>
          <w:sz w:val="24"/>
        </w:rPr>
        <w:t>评价工作进行调研方案设计；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2.绩效评价工作小组成员开展</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财政运行情况的综合绩效</w:t>
      </w:r>
      <w:r>
        <w:rPr>
          <w:rFonts w:hint="eastAsia" w:ascii="宋体" w:hAnsi="宋体" w:eastAsia="宋体" w:cs="宋体"/>
          <w:sz w:val="24"/>
        </w:rPr>
        <w:t>有关资料收集，</w:t>
      </w:r>
      <w:r>
        <w:rPr>
          <w:rFonts w:hint="eastAsia" w:ascii="宋体" w:hAnsi="宋体" w:eastAsia="宋体" w:cs="宋体"/>
          <w:kern w:val="0"/>
          <w:sz w:val="24"/>
        </w:rPr>
        <w:t>收集项目相关政策文件和制度等资料，审查核实项目申报、评审、批复及实施等情况，资金拨付、使用及管理情况，相关制度建设执行情况，绩效目标实现程度等</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3.拟定</w:t>
      </w:r>
      <w:r>
        <w:rPr>
          <w:rFonts w:hint="eastAsia" w:ascii="宋体" w:hAnsi="宋体" w:eastAsia="宋体" w:cs="宋体"/>
          <w:sz w:val="24"/>
          <w:lang w:eastAsia="zh-CN"/>
        </w:rPr>
        <w:t>2022年</w:t>
      </w:r>
      <w:r>
        <w:rPr>
          <w:rFonts w:hint="eastAsia" w:ascii="宋体" w:hAnsi="宋体" w:eastAsia="宋体" w:cs="宋体"/>
          <w:sz w:val="24"/>
        </w:rPr>
        <w:t>度</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财政运行情况的综合绩效</w:t>
      </w:r>
      <w:r>
        <w:rPr>
          <w:rFonts w:hint="eastAsia" w:ascii="宋体" w:hAnsi="宋体" w:eastAsia="宋体" w:cs="宋体"/>
          <w:sz w:val="24"/>
        </w:rPr>
        <w:t>评价指标体系，与</w:t>
      </w:r>
      <w:r>
        <w:rPr>
          <w:rFonts w:hint="eastAsia" w:ascii="宋体" w:hAnsi="宋体" w:eastAsia="宋体" w:cs="宋体"/>
          <w:sz w:val="24"/>
          <w:lang w:val="en-US" w:eastAsia="zh-CN"/>
        </w:rPr>
        <w:t>闽侯县</w:t>
      </w:r>
      <w:r>
        <w:rPr>
          <w:rFonts w:hint="eastAsia" w:ascii="宋体" w:hAnsi="宋体" w:eastAsia="宋体" w:cs="宋体"/>
          <w:sz w:val="24"/>
          <w:lang w:eastAsia="zh-CN"/>
        </w:rPr>
        <w:t>财政局</w:t>
      </w:r>
      <w:r>
        <w:rPr>
          <w:rFonts w:hint="eastAsia" w:ascii="宋体" w:hAnsi="宋体" w:eastAsia="宋体" w:cs="宋体"/>
          <w:sz w:val="24"/>
        </w:rPr>
        <w:t>、</w:t>
      </w:r>
      <w:r>
        <w:rPr>
          <w:rFonts w:hint="eastAsia" w:ascii="宋体" w:hAnsi="宋体" w:eastAsia="宋体" w:cs="宋体"/>
          <w:color w:val="auto"/>
          <w:sz w:val="24"/>
          <w:lang w:eastAsia="zh-CN"/>
        </w:rPr>
        <w:t>竹岐乡人民政府、竹岐乡</w:t>
      </w:r>
      <w:r>
        <w:rPr>
          <w:rFonts w:hint="eastAsia" w:ascii="宋体" w:hAnsi="宋体" w:eastAsia="宋体" w:cs="宋体"/>
          <w:color w:val="auto"/>
          <w:sz w:val="24"/>
          <w:lang w:val="en-US" w:eastAsia="zh-CN"/>
        </w:rPr>
        <w:t>财政所</w:t>
      </w:r>
      <w:r>
        <w:rPr>
          <w:rFonts w:hint="eastAsia" w:ascii="宋体" w:hAnsi="宋体" w:eastAsia="宋体" w:cs="宋体"/>
          <w:sz w:val="24"/>
        </w:rPr>
        <w:t>等相关部门探讨、修订绩效评价指标体系；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4.根据修订后的指标体系以及绩效评价过程中出现的问题，绩效评价工作小组进一步搜集绩效评价所需的数据、资料；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5.归纳、分析、综合数据与资料，对</w:t>
      </w:r>
      <w:r>
        <w:rPr>
          <w:rFonts w:hint="eastAsia" w:ascii="宋体" w:hAnsi="宋体" w:eastAsia="宋体" w:cs="宋体"/>
          <w:sz w:val="24"/>
          <w:lang w:eastAsia="zh-CN"/>
        </w:rPr>
        <w:t>2022年</w:t>
      </w:r>
      <w:r>
        <w:rPr>
          <w:rFonts w:hint="eastAsia" w:ascii="宋体" w:hAnsi="宋体" w:eastAsia="宋体" w:cs="宋体"/>
          <w:sz w:val="24"/>
        </w:rPr>
        <w:t>度</w:t>
      </w:r>
      <w:r>
        <w:rPr>
          <w:rFonts w:hint="eastAsia" w:ascii="宋体" w:hAnsi="宋体" w:eastAsia="宋体" w:cs="宋体"/>
          <w:color w:val="auto"/>
          <w:sz w:val="24"/>
          <w:lang w:eastAsia="zh-CN"/>
        </w:rPr>
        <w:t>岐乡人民政府</w:t>
      </w:r>
      <w:r>
        <w:rPr>
          <w:rFonts w:hint="eastAsia" w:ascii="宋体" w:hAnsi="宋体" w:eastAsia="宋体" w:cs="宋体"/>
          <w:sz w:val="24"/>
          <w:lang w:val="en-US" w:eastAsia="zh-CN"/>
        </w:rPr>
        <w:t>财政运行情况的综合绩效项目</w:t>
      </w:r>
      <w:r>
        <w:rPr>
          <w:rFonts w:hint="eastAsia" w:ascii="宋体" w:hAnsi="宋体" w:eastAsia="宋体" w:cs="宋体"/>
          <w:sz w:val="24"/>
          <w:highlight w:val="none"/>
        </w:rPr>
        <w:t>进行分析，完成</w:t>
      </w:r>
      <w:r>
        <w:rPr>
          <w:rFonts w:hint="eastAsia" w:ascii="宋体" w:hAnsi="宋体" w:eastAsia="宋体" w:cs="宋体"/>
          <w:sz w:val="24"/>
        </w:rPr>
        <w:t>《</w:t>
      </w:r>
      <w:r>
        <w:rPr>
          <w:rFonts w:hint="eastAsia" w:ascii="宋体" w:hAnsi="宋体" w:eastAsia="宋体" w:cs="宋体"/>
          <w:sz w:val="24"/>
          <w:highlight w:val="none"/>
          <w:lang w:eastAsia="zh-CN"/>
        </w:rPr>
        <w:t>2022年</w:t>
      </w:r>
      <w:r>
        <w:rPr>
          <w:rFonts w:hint="eastAsia" w:ascii="宋体" w:hAnsi="宋体" w:eastAsia="宋体" w:cs="宋体"/>
          <w:sz w:val="24"/>
          <w:highlight w:val="none"/>
        </w:rPr>
        <w:t>度</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财政运行情况的综合绩效项目</w:t>
      </w:r>
      <w:r>
        <w:rPr>
          <w:rFonts w:hint="eastAsia" w:ascii="宋体" w:hAnsi="宋体" w:eastAsia="宋体" w:cs="宋体"/>
          <w:sz w:val="24"/>
        </w:rPr>
        <w:t>绩效评价报告》征求意见稿；</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6.征询</w:t>
      </w:r>
      <w:r>
        <w:rPr>
          <w:rFonts w:hint="eastAsia" w:ascii="宋体" w:hAnsi="宋体" w:eastAsia="宋体" w:cs="宋体"/>
          <w:sz w:val="24"/>
          <w:lang w:val="en-US" w:eastAsia="zh-CN"/>
        </w:rPr>
        <w:t>闽侯县</w:t>
      </w:r>
      <w:r>
        <w:rPr>
          <w:rFonts w:hint="eastAsia" w:ascii="宋体" w:hAnsi="宋体" w:eastAsia="宋体" w:cs="宋体"/>
          <w:sz w:val="24"/>
          <w:lang w:eastAsia="zh-CN"/>
        </w:rPr>
        <w:t>财政局</w:t>
      </w:r>
      <w:r>
        <w:rPr>
          <w:rFonts w:hint="eastAsia" w:ascii="宋体" w:hAnsi="宋体" w:eastAsia="宋体" w:cs="宋体"/>
          <w:sz w:val="24"/>
        </w:rPr>
        <w:t>、</w:t>
      </w:r>
      <w:r>
        <w:rPr>
          <w:rFonts w:hint="eastAsia" w:ascii="宋体" w:hAnsi="宋体" w:eastAsia="宋体" w:cs="宋体"/>
          <w:color w:val="auto"/>
          <w:sz w:val="24"/>
          <w:lang w:eastAsia="zh-CN"/>
        </w:rPr>
        <w:t>竹岐乡人民政府、竹岐乡</w:t>
      </w:r>
      <w:r>
        <w:rPr>
          <w:rFonts w:hint="eastAsia" w:ascii="宋体" w:hAnsi="宋体" w:eastAsia="宋体" w:cs="宋体"/>
          <w:color w:val="auto"/>
          <w:sz w:val="24"/>
          <w:lang w:val="en-US" w:eastAsia="zh-CN"/>
        </w:rPr>
        <w:t>财政所</w:t>
      </w:r>
      <w:r>
        <w:rPr>
          <w:rFonts w:hint="eastAsia" w:ascii="宋体" w:hAnsi="宋体" w:eastAsia="宋体" w:cs="宋体"/>
          <w:sz w:val="24"/>
        </w:rPr>
        <w:t>的意见，对征求意见稿进行修改，完成《</w:t>
      </w:r>
      <w:r>
        <w:rPr>
          <w:rFonts w:hint="eastAsia" w:ascii="宋体" w:hAnsi="宋体" w:eastAsia="宋体" w:cs="宋体"/>
          <w:sz w:val="24"/>
          <w:lang w:eastAsia="zh-CN"/>
        </w:rPr>
        <w:t>2022年</w:t>
      </w:r>
      <w:r>
        <w:rPr>
          <w:rFonts w:hint="eastAsia" w:ascii="宋体" w:hAnsi="宋体" w:eastAsia="宋体" w:cs="宋体"/>
          <w:sz w:val="24"/>
        </w:rPr>
        <w:t>度</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财政运行情况的综合绩效项目的</w:t>
      </w:r>
      <w:r>
        <w:rPr>
          <w:rFonts w:hint="eastAsia" w:ascii="宋体" w:hAnsi="宋体" w:eastAsia="宋体" w:cs="宋体"/>
          <w:sz w:val="24"/>
        </w:rPr>
        <w:t>绩效评价报告》。</w:t>
      </w:r>
    </w:p>
    <w:p>
      <w:pPr>
        <w:pStyle w:val="2"/>
        <w:bidi w:val="0"/>
        <w:rPr>
          <w:rFonts w:hint="eastAsia" w:ascii="宋体" w:hAnsi="宋体" w:cs="宋体"/>
        </w:rPr>
      </w:pPr>
      <w:bookmarkStart w:id="128" w:name="_Toc20105"/>
      <w:bookmarkStart w:id="129" w:name="_Toc23296"/>
      <w:bookmarkStart w:id="130" w:name="_Toc11314"/>
      <w:bookmarkStart w:id="131" w:name="_Toc17081"/>
      <w:bookmarkStart w:id="132" w:name="_Toc22794"/>
      <w:bookmarkStart w:id="133" w:name="_Toc21209"/>
      <w:bookmarkStart w:id="134" w:name="_Toc14174"/>
      <w:bookmarkStart w:id="135" w:name="_Toc12126"/>
      <w:bookmarkStart w:id="136" w:name="_Toc5487"/>
      <w:bookmarkStart w:id="137" w:name="_Toc9381"/>
      <w:bookmarkStart w:id="138" w:name="_Toc10344"/>
      <w:bookmarkStart w:id="139" w:name="_Toc28106"/>
      <w:r>
        <w:rPr>
          <w:rFonts w:hint="eastAsia" w:ascii="宋体" w:hAnsi="宋体" w:cs="宋体"/>
        </w:rPr>
        <w:t>三、</w:t>
      </w:r>
      <w:bookmarkStart w:id="140" w:name="_Hlk495161109"/>
      <w:r>
        <w:rPr>
          <w:rFonts w:hint="eastAsia" w:ascii="宋体" w:hAnsi="宋体" w:cs="宋体"/>
        </w:rPr>
        <w:t>绩效评价指标体系及评价标准</w:t>
      </w:r>
      <w:bookmarkEnd w:id="128"/>
      <w:bookmarkEnd w:id="129"/>
      <w:bookmarkEnd w:id="130"/>
      <w:bookmarkEnd w:id="131"/>
      <w:bookmarkEnd w:id="132"/>
      <w:bookmarkEnd w:id="133"/>
      <w:bookmarkEnd w:id="134"/>
      <w:bookmarkEnd w:id="135"/>
      <w:bookmarkEnd w:id="136"/>
      <w:bookmarkEnd w:id="137"/>
      <w:bookmarkEnd w:id="138"/>
      <w:bookmarkEnd w:id="139"/>
      <w:bookmarkEnd w:id="140"/>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绩效评价工作小组根据财政部、福建省和</w:t>
      </w:r>
      <w:r>
        <w:rPr>
          <w:rFonts w:hint="eastAsia" w:ascii="宋体" w:hAnsi="宋体" w:eastAsia="宋体" w:cs="宋体"/>
          <w:color w:val="auto"/>
          <w:sz w:val="24"/>
          <w:lang w:val="en-US" w:eastAsia="zh-CN"/>
        </w:rPr>
        <w:t>闽侯县</w:t>
      </w:r>
      <w:r>
        <w:rPr>
          <w:rFonts w:hint="eastAsia" w:ascii="宋体" w:hAnsi="宋体" w:eastAsia="宋体" w:cs="宋体"/>
          <w:color w:val="auto"/>
          <w:sz w:val="24"/>
        </w:rPr>
        <w:t>财政支出绩效评价管理办法的要求，依据相关性、重要性、可比性、系统性及经济性原则，围绕投入、过程管理、产出</w:t>
      </w:r>
      <w:r>
        <w:rPr>
          <w:rFonts w:hint="eastAsia" w:ascii="宋体" w:hAnsi="宋体" w:eastAsia="宋体" w:cs="宋体"/>
          <w:color w:val="auto"/>
          <w:sz w:val="24"/>
          <w:lang w:eastAsia="zh-CN"/>
        </w:rPr>
        <w:t>、</w:t>
      </w:r>
      <w:r>
        <w:rPr>
          <w:rFonts w:hint="eastAsia" w:ascii="宋体" w:hAnsi="宋体" w:eastAsia="宋体" w:cs="宋体"/>
          <w:color w:val="auto"/>
          <w:sz w:val="24"/>
        </w:rPr>
        <w:t>效益</w:t>
      </w:r>
      <w:r>
        <w:rPr>
          <w:rFonts w:hint="eastAsia" w:ascii="宋体" w:hAnsi="宋体" w:eastAsia="宋体" w:cs="宋体"/>
          <w:color w:val="auto"/>
          <w:sz w:val="24"/>
          <w:lang w:val="en-US" w:eastAsia="zh-CN"/>
        </w:rPr>
        <w:t>四</w:t>
      </w:r>
      <w:r>
        <w:rPr>
          <w:rFonts w:hint="eastAsia" w:ascii="宋体" w:hAnsi="宋体" w:eastAsia="宋体" w:cs="宋体"/>
          <w:color w:val="auto"/>
          <w:sz w:val="24"/>
        </w:rPr>
        <w:t>个方面设计绩效评价指标以及评分标准和分值。指标体系共设置</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个一级指标、1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个二级指标、3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个三级指标</w:t>
      </w:r>
      <w:r>
        <w:rPr>
          <w:rFonts w:hint="eastAsia" w:ascii="宋体" w:hAnsi="宋体" w:eastAsia="宋体" w:cs="宋体"/>
          <w:color w:val="auto"/>
          <w:sz w:val="24"/>
        </w:rPr>
        <w:t>。指标体系设定满分100分，其中：“投入”</w:t>
      </w:r>
      <w:r>
        <w:rPr>
          <w:rFonts w:hint="eastAsia" w:ascii="宋体" w:hAnsi="宋体" w:eastAsia="宋体" w:cs="宋体"/>
          <w:color w:val="auto"/>
          <w:sz w:val="24"/>
          <w:lang w:val="en-US" w:eastAsia="zh-CN"/>
        </w:rPr>
        <w:t>18</w:t>
      </w:r>
      <w:r>
        <w:rPr>
          <w:rFonts w:hint="eastAsia" w:ascii="宋体" w:hAnsi="宋体" w:eastAsia="宋体" w:cs="宋体"/>
          <w:color w:val="auto"/>
          <w:sz w:val="24"/>
        </w:rPr>
        <w:t>分，主要体现目标设置、预算编制与配置、制度保障情况；“过程管理”</w:t>
      </w:r>
      <w:r>
        <w:rPr>
          <w:rFonts w:hint="eastAsia" w:ascii="宋体" w:hAnsi="宋体" w:eastAsia="宋体" w:cs="宋体"/>
          <w:color w:val="auto"/>
          <w:sz w:val="24"/>
          <w:lang w:val="en-US" w:eastAsia="zh-CN"/>
        </w:rPr>
        <w:t>20</w:t>
      </w:r>
      <w:r>
        <w:rPr>
          <w:rFonts w:hint="eastAsia" w:ascii="宋体" w:hAnsi="宋体" w:eastAsia="宋体" w:cs="宋体"/>
          <w:color w:val="auto"/>
          <w:sz w:val="24"/>
        </w:rPr>
        <w:t>分，主要体现预算执行、预算管理、资产管理等方面的情况；“产出”</w:t>
      </w:r>
      <w:r>
        <w:rPr>
          <w:rFonts w:hint="eastAsia" w:ascii="宋体" w:hAnsi="宋体" w:eastAsia="宋体" w:cs="宋体"/>
          <w:color w:val="auto"/>
          <w:sz w:val="24"/>
          <w:lang w:val="en-US" w:eastAsia="zh-CN"/>
        </w:rPr>
        <w:t>32</w:t>
      </w:r>
      <w:r>
        <w:rPr>
          <w:rFonts w:hint="eastAsia" w:ascii="宋体" w:hAnsi="宋体" w:eastAsia="宋体" w:cs="宋体"/>
          <w:color w:val="auto"/>
          <w:sz w:val="24"/>
        </w:rPr>
        <w:t>分，主要体现</w:t>
      </w:r>
      <w:r>
        <w:rPr>
          <w:rFonts w:hint="eastAsia" w:ascii="宋体" w:hAnsi="宋体" w:eastAsia="宋体" w:cs="宋体"/>
          <w:color w:val="auto"/>
          <w:sz w:val="24"/>
          <w:lang w:val="en-US" w:eastAsia="zh-CN"/>
        </w:rPr>
        <w:t>职责履行（数量指标）、职责履行（质量指标）、职责履行（时效指标）及职责履行（成本指标）；</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效益</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30分，</w:t>
      </w:r>
      <w:r>
        <w:rPr>
          <w:rFonts w:hint="eastAsia" w:ascii="宋体" w:hAnsi="宋体" w:eastAsia="宋体" w:cs="宋体"/>
          <w:color w:val="auto"/>
          <w:sz w:val="24"/>
        </w:rPr>
        <w:t>主要体现</w:t>
      </w:r>
      <w:r>
        <w:rPr>
          <w:rFonts w:hint="eastAsia" w:ascii="宋体" w:hAnsi="宋体" w:eastAsia="宋体" w:cs="宋体"/>
          <w:color w:val="auto"/>
          <w:sz w:val="24"/>
          <w:lang w:val="en-US" w:eastAsia="zh-CN"/>
        </w:rPr>
        <w:t>履约效益及服务对象满意度</w:t>
      </w:r>
      <w:r>
        <w:rPr>
          <w:rFonts w:hint="eastAsia" w:ascii="宋体" w:hAnsi="宋体" w:eastAsia="宋体" w:cs="宋体"/>
          <w:color w:val="auto"/>
          <w:sz w:val="24"/>
        </w:rPr>
        <w:t>等。绩效评价指标体系及评价标准具体参见《</w:t>
      </w:r>
      <w:r>
        <w:rPr>
          <w:rFonts w:hint="eastAsia" w:ascii="宋体" w:hAnsi="宋体" w:eastAsia="宋体" w:cs="宋体"/>
          <w:sz w:val="24"/>
          <w:lang w:eastAsia="zh-CN"/>
        </w:rPr>
        <w:t>2022年</w:t>
      </w:r>
      <w:r>
        <w:rPr>
          <w:rFonts w:hint="eastAsia" w:ascii="宋体" w:hAnsi="宋体" w:eastAsia="宋体" w:cs="宋体"/>
          <w:sz w:val="24"/>
        </w:rPr>
        <w:t>度</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财政运行情况的综合绩效项目</w:t>
      </w:r>
      <w:r>
        <w:rPr>
          <w:rFonts w:hint="eastAsia" w:ascii="宋体" w:hAnsi="宋体" w:eastAsia="宋体" w:cs="宋体"/>
          <w:color w:val="auto"/>
          <w:sz w:val="24"/>
        </w:rPr>
        <w:t>绩效评价指标体系</w:t>
      </w:r>
      <w:r>
        <w:rPr>
          <w:rFonts w:hint="eastAsia" w:ascii="宋体" w:hAnsi="宋体" w:eastAsia="宋体" w:cs="宋体"/>
          <w:color w:val="auto"/>
          <w:sz w:val="24"/>
          <w:lang w:val="en-US" w:eastAsia="zh-CN"/>
        </w:rPr>
        <w:t>及分值表</w:t>
      </w:r>
      <w:r>
        <w:rPr>
          <w:rFonts w:hint="eastAsia" w:ascii="宋体" w:hAnsi="宋体" w:eastAsia="宋体" w:cs="宋体"/>
          <w:color w:val="auto"/>
          <w:sz w:val="24"/>
        </w:rPr>
        <w:t>》。</w:t>
      </w:r>
    </w:p>
    <w:p>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绩效评价方法是指在绩效评价实施过程中为了取得被评价的预算支出项目、单位基础数据和资金使用绩效情况，完成绩效评价任务而采取的各种手段。根据省财政厅有关财政支出绩效评价的有关规定，参照财预〔2013〕53号文中预算绩效评价共性指标体系，结合</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w:t>
      </w:r>
      <w:r>
        <w:rPr>
          <w:rFonts w:hint="eastAsia" w:ascii="宋体" w:hAnsi="宋体" w:eastAsia="宋体" w:cs="宋体"/>
          <w:sz w:val="24"/>
        </w:rPr>
        <w:t>实际情况，绩效评价方法采用因素分析法、目标预定与实施效果比较法等。</w:t>
      </w:r>
    </w:p>
    <w:p>
      <w:pPr>
        <w:pStyle w:val="2"/>
        <w:bidi w:val="0"/>
        <w:rPr>
          <w:rFonts w:hint="eastAsia" w:ascii="宋体" w:hAnsi="宋体" w:cs="宋体"/>
        </w:rPr>
      </w:pPr>
      <w:bookmarkStart w:id="141" w:name="_Toc10395"/>
      <w:bookmarkStart w:id="142" w:name="_Toc17110"/>
      <w:bookmarkStart w:id="143" w:name="_Toc1445"/>
      <w:bookmarkStart w:id="144" w:name="_Toc20446"/>
      <w:bookmarkStart w:id="145" w:name="_Toc16292"/>
      <w:bookmarkStart w:id="146" w:name="_Toc16606"/>
      <w:bookmarkStart w:id="147" w:name="_Toc20456"/>
      <w:bookmarkStart w:id="148" w:name="_Toc29504"/>
      <w:bookmarkStart w:id="149" w:name="_Toc15626"/>
      <w:bookmarkStart w:id="150" w:name="_Toc7424"/>
      <w:bookmarkStart w:id="151" w:name="_Toc3906"/>
      <w:bookmarkStart w:id="152" w:name="_Toc15520"/>
      <w:r>
        <w:rPr>
          <w:rFonts w:hint="eastAsia" w:ascii="宋体" w:hAnsi="宋体" w:cs="宋体"/>
        </w:rPr>
        <w:t>四、</w:t>
      </w:r>
      <w:bookmarkStart w:id="153" w:name="_Hlk495161152"/>
      <w:r>
        <w:rPr>
          <w:rFonts w:hint="eastAsia" w:ascii="宋体" w:hAnsi="宋体" w:eastAsia="宋体" w:cs="宋体"/>
          <w:sz w:val="28"/>
          <w:lang w:val="en-US" w:eastAsia="zh-CN"/>
        </w:rPr>
        <w:t>财政运行情况的综合绩效</w:t>
      </w:r>
      <w:r>
        <w:rPr>
          <w:rFonts w:hint="eastAsia" w:ascii="宋体" w:hAnsi="宋体" w:cs="宋体"/>
        </w:rPr>
        <w:t>评价分析</w:t>
      </w:r>
      <w:bookmarkEnd w:id="141"/>
      <w:bookmarkEnd w:id="142"/>
      <w:bookmarkEnd w:id="143"/>
      <w:bookmarkEnd w:id="144"/>
      <w:bookmarkEnd w:id="145"/>
      <w:bookmarkEnd w:id="146"/>
      <w:bookmarkEnd w:id="147"/>
      <w:bookmarkEnd w:id="148"/>
      <w:bookmarkEnd w:id="149"/>
      <w:bookmarkEnd w:id="150"/>
      <w:bookmarkEnd w:id="151"/>
      <w:bookmarkEnd w:id="152"/>
      <w:bookmarkEnd w:id="153"/>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为了全面、客观、有效地进行绩效评价，评价工作组审阅了</w:t>
      </w:r>
      <w:r>
        <w:rPr>
          <w:rFonts w:hint="eastAsia" w:ascii="宋体" w:hAnsi="宋体" w:eastAsia="宋体" w:cs="宋体"/>
          <w:sz w:val="24"/>
          <w:lang w:eastAsia="zh-CN"/>
        </w:rPr>
        <w:t>2022年</w:t>
      </w:r>
      <w:r>
        <w:rPr>
          <w:rFonts w:hint="eastAsia" w:ascii="宋体" w:hAnsi="宋体" w:eastAsia="宋体" w:cs="宋体"/>
          <w:sz w:val="24"/>
        </w:rPr>
        <w:t>度</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w:t>
      </w:r>
      <w:r>
        <w:rPr>
          <w:rFonts w:hint="eastAsia" w:ascii="宋体" w:hAnsi="宋体" w:eastAsia="宋体" w:cs="宋体"/>
          <w:sz w:val="24"/>
        </w:rPr>
        <w:t>相关资料，与</w:t>
      </w:r>
      <w:r>
        <w:rPr>
          <w:rFonts w:hint="eastAsia" w:ascii="宋体" w:hAnsi="宋体" w:eastAsia="宋体" w:cs="宋体"/>
          <w:color w:val="auto"/>
          <w:sz w:val="24"/>
          <w:lang w:eastAsia="zh-CN"/>
        </w:rPr>
        <w:t>竹岐乡人民政府、竹岐乡</w:t>
      </w:r>
      <w:r>
        <w:rPr>
          <w:rFonts w:hint="eastAsia" w:ascii="宋体" w:hAnsi="宋体" w:eastAsia="宋体" w:cs="宋体"/>
          <w:color w:val="auto"/>
          <w:sz w:val="24"/>
          <w:lang w:val="en-US" w:eastAsia="zh-CN"/>
        </w:rPr>
        <w:t>财政所</w:t>
      </w:r>
      <w:r>
        <w:rPr>
          <w:rFonts w:hint="eastAsia" w:ascii="宋体" w:hAnsi="宋体" w:eastAsia="宋体" w:cs="宋体"/>
          <w:sz w:val="24"/>
        </w:rPr>
        <w:t>的工作人员进行座谈和征求意见，查阅档案，收集资金使用和成果的相关信息资料，采取定性和定量分析方法，对</w:t>
      </w:r>
      <w:r>
        <w:rPr>
          <w:rFonts w:hint="eastAsia" w:ascii="宋体" w:hAnsi="宋体" w:eastAsia="宋体" w:cs="宋体"/>
          <w:sz w:val="24"/>
          <w:lang w:eastAsia="zh-CN"/>
        </w:rPr>
        <w:t>2022年</w:t>
      </w:r>
      <w:r>
        <w:rPr>
          <w:rFonts w:hint="eastAsia" w:ascii="宋体" w:hAnsi="宋体" w:eastAsia="宋体" w:cs="宋体"/>
          <w:sz w:val="24"/>
        </w:rPr>
        <w:t>度</w:t>
      </w:r>
      <w:r>
        <w:rPr>
          <w:rFonts w:hint="eastAsia" w:ascii="宋体" w:hAnsi="宋体" w:eastAsia="宋体" w:cs="宋体"/>
          <w:color w:val="auto"/>
          <w:sz w:val="24"/>
          <w:lang w:eastAsia="zh-CN"/>
        </w:rPr>
        <w:t>竹岐乡人民政府</w:t>
      </w:r>
      <w:r>
        <w:rPr>
          <w:rFonts w:hint="eastAsia" w:ascii="宋体" w:hAnsi="宋体" w:eastAsia="宋体" w:cs="宋体"/>
          <w:sz w:val="24"/>
          <w:lang w:val="en-US" w:eastAsia="zh-CN"/>
        </w:rPr>
        <w:t>财政运行情况</w:t>
      </w:r>
      <w:r>
        <w:rPr>
          <w:rFonts w:hint="eastAsia" w:ascii="宋体" w:hAnsi="宋体" w:eastAsia="宋体" w:cs="宋体"/>
          <w:sz w:val="24"/>
        </w:rPr>
        <w:t>投入、过程管理、产出</w:t>
      </w:r>
      <w:r>
        <w:rPr>
          <w:rFonts w:hint="eastAsia" w:ascii="宋体" w:hAnsi="宋体" w:eastAsia="宋体" w:cs="宋体"/>
          <w:sz w:val="24"/>
          <w:lang w:eastAsia="zh-CN"/>
        </w:rPr>
        <w:t>、</w:t>
      </w:r>
      <w:r>
        <w:rPr>
          <w:rFonts w:hint="eastAsia" w:ascii="宋体" w:hAnsi="宋体" w:eastAsia="宋体" w:cs="宋体"/>
          <w:sz w:val="24"/>
        </w:rPr>
        <w:t>效益等方面进行综合评价。</w:t>
      </w:r>
    </w:p>
    <w:p>
      <w:pPr>
        <w:pStyle w:val="3"/>
        <w:bidi w:val="0"/>
        <w:rPr>
          <w:rFonts w:hint="eastAsia" w:ascii="宋体" w:hAnsi="宋体" w:cs="宋体"/>
        </w:rPr>
      </w:pPr>
      <w:bookmarkStart w:id="154" w:name="_Toc11831"/>
      <w:bookmarkStart w:id="155" w:name="_Toc31046"/>
      <w:bookmarkStart w:id="156" w:name="_Toc12296"/>
      <w:bookmarkStart w:id="157" w:name="_Toc10098"/>
      <w:bookmarkStart w:id="158" w:name="_Toc7758"/>
      <w:bookmarkStart w:id="159" w:name="_Toc19128"/>
      <w:bookmarkStart w:id="160" w:name="_Toc7319"/>
      <w:bookmarkStart w:id="161" w:name="_Toc31293"/>
      <w:bookmarkStart w:id="162" w:name="_Toc13123"/>
      <w:bookmarkStart w:id="163" w:name="_Toc17310"/>
      <w:bookmarkStart w:id="164" w:name="_Toc3026"/>
      <w:bookmarkStart w:id="165" w:name="_Toc6139"/>
      <w:r>
        <w:rPr>
          <w:rFonts w:hint="eastAsia" w:ascii="宋体" w:hAnsi="宋体" w:cs="宋体"/>
        </w:rPr>
        <w:t>（一）投入情况（分值</w:t>
      </w:r>
      <w:r>
        <w:rPr>
          <w:rFonts w:hint="eastAsia" w:ascii="宋体" w:hAnsi="宋体" w:cs="宋体"/>
          <w:lang w:val="en-US" w:eastAsia="zh-CN"/>
        </w:rPr>
        <w:t>18</w:t>
      </w:r>
      <w:r>
        <w:rPr>
          <w:rFonts w:hint="eastAsia" w:ascii="宋体" w:hAnsi="宋体" w:cs="宋体"/>
        </w:rPr>
        <w:t>分，得1</w:t>
      </w:r>
      <w:r>
        <w:rPr>
          <w:rFonts w:hint="eastAsia" w:ascii="宋体" w:hAnsi="宋体" w:cs="宋体"/>
          <w:lang w:val="en-US" w:eastAsia="zh-CN"/>
        </w:rPr>
        <w:t>6</w:t>
      </w:r>
      <w:r>
        <w:rPr>
          <w:rFonts w:hint="eastAsia" w:ascii="宋体" w:hAnsi="宋体" w:cs="宋体"/>
        </w:rPr>
        <w:t>分）</w:t>
      </w:r>
      <w:bookmarkEnd w:id="154"/>
      <w:bookmarkEnd w:id="155"/>
      <w:bookmarkEnd w:id="156"/>
      <w:bookmarkEnd w:id="157"/>
      <w:bookmarkEnd w:id="158"/>
      <w:bookmarkEnd w:id="159"/>
      <w:bookmarkEnd w:id="160"/>
      <w:bookmarkEnd w:id="161"/>
      <w:bookmarkEnd w:id="162"/>
      <w:bookmarkEnd w:id="163"/>
      <w:bookmarkEnd w:id="164"/>
      <w:bookmarkEnd w:id="16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投入设置目标设置、预算编制与配置、制度保障三个二级指标。其中目标设置权重为</w:t>
      </w:r>
      <w:r>
        <w:rPr>
          <w:rFonts w:hint="eastAsia" w:ascii="宋体" w:hAnsi="宋体" w:eastAsia="宋体" w:cs="宋体"/>
          <w:sz w:val="24"/>
          <w:lang w:val="en-US" w:eastAsia="zh-CN"/>
        </w:rPr>
        <w:t>6</w:t>
      </w:r>
      <w:r>
        <w:rPr>
          <w:rFonts w:hint="eastAsia" w:ascii="宋体" w:hAnsi="宋体" w:eastAsia="宋体" w:cs="宋体"/>
          <w:sz w:val="24"/>
        </w:rPr>
        <w:t>%，从绩效目标合理性、绩效指标明确性两方面进行评价；预算编制与配置指标权重为1</w:t>
      </w:r>
      <w:r>
        <w:rPr>
          <w:rFonts w:hint="eastAsia" w:ascii="宋体" w:hAnsi="宋体" w:eastAsia="宋体" w:cs="宋体"/>
          <w:sz w:val="24"/>
          <w:lang w:val="en-US" w:eastAsia="zh-CN"/>
        </w:rPr>
        <w:t>0</w:t>
      </w:r>
      <w:r>
        <w:rPr>
          <w:rFonts w:hint="eastAsia" w:ascii="宋体" w:hAnsi="宋体" w:eastAsia="宋体" w:cs="宋体"/>
          <w:sz w:val="24"/>
        </w:rPr>
        <w:t>%，从部门预算编制情况、在职人员控制率、职责明确三方面进行评价；制度保障指标权重为2%，从管理制度健全性进行评价。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1.绩效目标合理性（分值3分）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“绩效目标合理性”主要评价部门（单位）所设立的整体支出绩效目标（政府绩效考核的年度目标）是否符合客观实际，部门设立的专项资金绩效目标是否依据充分、明确、细化和量化。</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评分标准: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①与部门年度的任务数或计划数相对应；</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②与本年度部门预算资金相匹配；</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③专项资金绩效目标是否细化量化和明确。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一项不符扣1分。</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检查闽侯县竹岐乡政府提供的闽侯县竹岐乡政府专项支出绩效目标表，闽侯县竹岐乡政府根据专项资金用途设立了专项资金部分绩效目标，没有设置</w:t>
      </w:r>
      <w:r>
        <w:rPr>
          <w:rFonts w:hint="eastAsia" w:ascii="宋体" w:hAnsi="宋体" w:eastAsia="宋体" w:cs="宋体"/>
          <w:color w:val="auto"/>
          <w:sz w:val="24"/>
          <w:lang w:val="en-US" w:eastAsia="zh-CN"/>
        </w:rPr>
        <w:t>投入</w:t>
      </w:r>
      <w:r>
        <w:rPr>
          <w:rFonts w:hint="eastAsia" w:ascii="宋体" w:hAnsi="宋体" w:eastAsia="宋体" w:cs="宋体"/>
          <w:color w:val="auto"/>
          <w:sz w:val="24"/>
        </w:rPr>
        <w:t>和过程管理目标等；闽侯县竹岐乡政府财政运行情况综合绩效目标和专项支出绩效目标与部门年度的任务数或计划数相对应，但专项资金绩效目标不够细化、量化和明确。</w:t>
      </w:r>
      <w:r>
        <w:rPr>
          <w:rFonts w:hint="eastAsia" w:ascii="宋体" w:hAnsi="宋体" w:eastAsia="宋体" w:cs="宋体"/>
          <w:sz w:val="24"/>
        </w:rPr>
        <w:t>本项</w:t>
      </w:r>
      <w:r>
        <w:rPr>
          <w:rFonts w:hint="eastAsia" w:ascii="宋体" w:hAnsi="宋体" w:eastAsia="宋体" w:cs="宋体"/>
          <w:sz w:val="24"/>
          <w:lang w:val="en-US" w:eastAsia="zh-CN"/>
        </w:rPr>
        <w:t>扣0.5分,</w:t>
      </w:r>
      <w:r>
        <w:rPr>
          <w:rFonts w:hint="eastAsia" w:ascii="宋体" w:hAnsi="宋体" w:eastAsia="宋体" w:cs="宋体"/>
          <w:sz w:val="24"/>
        </w:rPr>
        <w:t>得</w:t>
      </w:r>
      <w:r>
        <w:rPr>
          <w:rFonts w:hint="eastAsia" w:ascii="宋体" w:hAnsi="宋体" w:eastAsia="宋体" w:cs="宋体"/>
          <w:sz w:val="24"/>
          <w:lang w:val="en-US" w:eastAsia="zh-CN"/>
        </w:rPr>
        <w:t>2.5</w:t>
      </w:r>
      <w:r>
        <w:rPr>
          <w:rFonts w:hint="eastAsia" w:ascii="宋体" w:hAnsi="宋体" w:eastAsia="宋体" w:cs="宋体"/>
          <w:color w:val="auto"/>
          <w:sz w:val="24"/>
        </w:rPr>
        <w:t>分</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2.绩效目标明确性（分值</w:t>
      </w:r>
      <w:r>
        <w:rPr>
          <w:rFonts w:hint="eastAsia" w:ascii="宋体" w:hAnsi="宋体" w:eastAsia="宋体" w:cs="宋体"/>
          <w:sz w:val="24"/>
          <w:lang w:val="en-US" w:eastAsia="zh-CN"/>
        </w:rPr>
        <w:t>3</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“绩效指标明确性”主要评价部门（单位）依据整体绩效目标（政府绩效考核的年度目标）所设定的绩效指标是否清晰、细化、可衡量，用以反映和评价部门（单位）整体绩效目标的明细化情况。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①将部门整体的绩效目标细化分解为具体的工作任务；</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②通过清晰、可衡量的指标值予以体现。</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完成一项，各得1.5分。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检查闽侯县竹岐乡政府提供的专项支出绩效自评表及专项支出绩效监控表，个别绩效指标不够细化，如效益指标中没有设置经济效益指标，没有设置</w:t>
      </w:r>
      <w:r>
        <w:rPr>
          <w:rFonts w:hint="eastAsia" w:ascii="宋体" w:hAnsi="宋体" w:eastAsia="宋体" w:cs="宋体"/>
          <w:sz w:val="24"/>
          <w:lang w:val="en-US" w:eastAsia="zh-CN"/>
        </w:rPr>
        <w:t>投入</w:t>
      </w:r>
      <w:r>
        <w:rPr>
          <w:rFonts w:hint="eastAsia" w:ascii="宋体" w:hAnsi="宋体" w:eastAsia="宋体" w:cs="宋体"/>
          <w:sz w:val="24"/>
        </w:rPr>
        <w:t>和过程管理指标等。本项扣</w:t>
      </w:r>
      <w:r>
        <w:rPr>
          <w:rFonts w:hint="eastAsia" w:ascii="宋体" w:hAnsi="宋体" w:eastAsia="宋体" w:cs="宋体"/>
          <w:sz w:val="24"/>
          <w:lang w:val="en-US" w:eastAsia="zh-CN"/>
        </w:rPr>
        <w:t>0.5</w:t>
      </w:r>
      <w:r>
        <w:rPr>
          <w:rFonts w:hint="eastAsia" w:ascii="宋体" w:hAnsi="宋体" w:eastAsia="宋体" w:cs="宋体"/>
          <w:sz w:val="24"/>
        </w:rPr>
        <w:t>分</w:t>
      </w:r>
      <w:r>
        <w:rPr>
          <w:rFonts w:hint="eastAsia" w:ascii="宋体" w:hAnsi="宋体" w:eastAsia="宋体" w:cs="宋体"/>
          <w:sz w:val="24"/>
          <w:lang w:val="en-US" w:eastAsia="zh-CN"/>
        </w:rPr>
        <w:t>,</w:t>
      </w:r>
      <w:r>
        <w:rPr>
          <w:rFonts w:hint="eastAsia" w:ascii="宋体" w:hAnsi="宋体" w:eastAsia="宋体" w:cs="宋体"/>
          <w:sz w:val="24"/>
        </w:rPr>
        <w:t>得</w:t>
      </w:r>
      <w:r>
        <w:rPr>
          <w:rFonts w:hint="eastAsia" w:ascii="宋体" w:hAnsi="宋体" w:eastAsia="宋体" w:cs="宋体"/>
          <w:sz w:val="24"/>
          <w:lang w:val="en-US" w:eastAsia="zh-CN"/>
        </w:rPr>
        <w:t>2.5</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3.部门预算编制情况（分值</w:t>
      </w:r>
      <w:r>
        <w:rPr>
          <w:rFonts w:hint="eastAsia" w:ascii="宋体" w:hAnsi="宋体" w:eastAsia="宋体" w:cs="宋体"/>
          <w:sz w:val="24"/>
          <w:lang w:val="en-US" w:eastAsia="zh-CN"/>
        </w:rPr>
        <w:t>4</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“部门预算编制情况”主要评价部门（单位）在编制年初部门预算时候是否按照区财政局的要求进行编制，用以反映部门编制预算的科学性、合理性情况。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①部门是否按照市财政局规定的时间要求报送预算；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②部门专项资金分类编制是否达到省财政厅所要求的细化比例；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③专项支出绩效目标编报比例是否达到要求；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④纳入政府预算管理的各类预算是否完整。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一项不符扣1分，扣完为止。</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检查闽侯县竹岐乡政府提供的2022年度部门预算，按照上级财政局规定的时间和标准要求报送预算，闽侯县竹岐乡政府按基本支出和项目支出进行预算，在2022年度支出预算总表中详细列出各项目的预算金额、并对预算支出进行经济分类，但基本支出未按部门进行细化分类，预算编制不够规范。</w:t>
      </w:r>
      <w:r>
        <w:rPr>
          <w:rFonts w:hint="eastAsia" w:ascii="宋体" w:hAnsi="宋体" w:eastAsia="宋体" w:cs="宋体"/>
          <w:sz w:val="24"/>
          <w:lang w:val="en-US" w:eastAsia="zh-CN"/>
        </w:rPr>
        <w:t>本项扣1分,得3分。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4.在职人员控制率（分值3分）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“在职人员控制率”主要评价部门（单位）本年度实际在职人员数与编制数的比率，用以反映和评价部门（单位）对人员成本的控制程度。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①在职人员控制率小等于100%的，得满分；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②在职人员控制率大等于115%的，得0分；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③在职人员控制率在100%-115%之间的，得分=（115%－某部门在职人员控制率）/15%×指标分值。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闽侯县竹岐乡政府职能配置、内设机构和人员编制规定，以及单位基本情况表，2022年末闽侯县竹岐乡政府在职人员数72人，其中：行政34人，事业人员38人。闽侯县竹岐乡政府在职人员编制数73人，其中：行政32人，事业人员41人在职人员控制率=（在职人员数/编制数）×100%=72人/73人×100%=98.63%。本项得分</w:t>
      </w:r>
      <w:r>
        <w:rPr>
          <w:rFonts w:hint="eastAsia" w:ascii="宋体" w:hAnsi="宋体" w:eastAsia="宋体" w:cs="宋体"/>
          <w:sz w:val="24"/>
          <w:lang w:val="en-US" w:eastAsia="zh-CN"/>
        </w:rPr>
        <w:t>3</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5.职责明确（分值3分）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“职责明确”主要评价部门（单位）在整体支出绩效目标（政府绩效考核的年度目标）中的职责设定是否符合“三定”方案中所赋予的职责，用以反映和评价部门（单位）工作的目的性与计划性。</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①部门（单位）在整体支出绩效目标（政府绩效考核的年度目标）中的职责设定完全符合“三定”方案中所赋予的职责，得3分；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②基本符合，得2分；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③符合程度一般，得1分；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④符合程度较低，不得分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检查专项支出绩效目标职责履行指标，比对闽侯县竹岐乡政府职能配置、内设机构和人员编制规定，绩效考核的年度目标中的职责设定符合“三定”方案中所赋予的职责。本项得</w:t>
      </w:r>
      <w:r>
        <w:rPr>
          <w:rFonts w:hint="eastAsia" w:ascii="宋体" w:hAnsi="宋体" w:eastAsia="宋体" w:cs="宋体"/>
          <w:sz w:val="24"/>
          <w:lang w:val="en-US" w:eastAsia="zh-CN"/>
        </w:rPr>
        <w:t>3</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6.管理制度健全性（分值2分）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“管理制度健全性”主要评价部门（单位）为加强预算管理、规范财务行为而制定的管理制度是否健全完整，用以反映和评价部门（单位）预算管理制度对完成主要职责或促进事业发展的保障情况。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①已制定预算资金管理办法、内部财务管理制度、会计核算制度等管理制度；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②相关管理制度健全。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完成1项，各得1分。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闽侯县竹岐乡政府制定了《闽侯县竹岐乡政府财务管理制度》、《闽侯县竹岐乡政府政府采购制度》《闽侯县竹岐乡政府固定资产管理办法》等制度，并对行政事业单位内控制度执行情况进行了检查和报告，但在制度建设方面还有待完善。</w:t>
      </w:r>
      <w:r>
        <w:rPr>
          <w:rFonts w:hint="eastAsia" w:ascii="宋体" w:hAnsi="宋体" w:eastAsia="宋体" w:cs="宋体"/>
          <w:sz w:val="24"/>
          <w:lang w:val="en-US" w:eastAsia="zh-CN"/>
        </w:rPr>
        <w:t>本项</w:t>
      </w:r>
      <w:r>
        <w:rPr>
          <w:rFonts w:hint="eastAsia" w:ascii="宋体" w:hAnsi="宋体" w:eastAsia="宋体" w:cs="宋体"/>
          <w:sz w:val="24"/>
        </w:rPr>
        <w:t>得</w:t>
      </w:r>
      <w:r>
        <w:rPr>
          <w:rFonts w:hint="eastAsia" w:ascii="宋体" w:hAnsi="宋体" w:eastAsia="宋体" w:cs="宋体"/>
          <w:sz w:val="24"/>
          <w:lang w:val="en-US" w:eastAsia="zh-CN"/>
        </w:rPr>
        <w:t>分2</w:t>
      </w:r>
      <w:r>
        <w:rPr>
          <w:rFonts w:hint="eastAsia" w:ascii="宋体" w:hAnsi="宋体" w:eastAsia="宋体" w:cs="宋体"/>
          <w:sz w:val="24"/>
        </w:rPr>
        <w:t>分。</w:t>
      </w:r>
    </w:p>
    <w:p>
      <w:pPr>
        <w:pStyle w:val="3"/>
        <w:bidi w:val="0"/>
        <w:rPr>
          <w:rFonts w:hint="eastAsia" w:ascii="宋体" w:hAnsi="宋体" w:cs="宋体"/>
        </w:rPr>
      </w:pPr>
      <w:bookmarkStart w:id="166" w:name="_Toc11693"/>
      <w:bookmarkStart w:id="167" w:name="_Toc16021"/>
      <w:bookmarkStart w:id="168" w:name="_Toc25843"/>
      <w:bookmarkStart w:id="169" w:name="_Toc850"/>
      <w:bookmarkStart w:id="170" w:name="_Toc4694"/>
      <w:bookmarkStart w:id="171" w:name="_Toc25186"/>
      <w:bookmarkStart w:id="172" w:name="_Toc20792"/>
      <w:bookmarkStart w:id="173" w:name="_Toc26435"/>
      <w:bookmarkStart w:id="174" w:name="_Toc28896"/>
      <w:bookmarkStart w:id="175" w:name="_Toc15222"/>
      <w:bookmarkStart w:id="176" w:name="_Toc670"/>
      <w:bookmarkStart w:id="177" w:name="_Toc13983"/>
      <w:r>
        <w:rPr>
          <w:rFonts w:hint="eastAsia" w:ascii="宋体" w:hAnsi="宋体" w:cs="宋体"/>
        </w:rPr>
        <w:t>（二）过程管理（分值</w:t>
      </w:r>
      <w:r>
        <w:rPr>
          <w:rFonts w:hint="eastAsia" w:ascii="宋体" w:hAnsi="宋体" w:cs="宋体"/>
          <w:lang w:val="en-US" w:eastAsia="zh-CN"/>
        </w:rPr>
        <w:t>20</w:t>
      </w:r>
      <w:r>
        <w:rPr>
          <w:rFonts w:hint="eastAsia" w:ascii="宋体" w:hAnsi="宋体" w:cs="宋体"/>
        </w:rPr>
        <w:t>分，得</w:t>
      </w:r>
      <w:r>
        <w:rPr>
          <w:rFonts w:hint="eastAsia" w:ascii="宋体" w:hAnsi="宋体" w:cs="宋体"/>
          <w:lang w:val="en-US" w:eastAsia="zh-CN"/>
        </w:rPr>
        <w:t>17.5</w:t>
      </w:r>
      <w:r>
        <w:rPr>
          <w:rFonts w:hint="eastAsia" w:ascii="宋体" w:hAnsi="宋体" w:cs="宋体"/>
        </w:rPr>
        <w:t>分）</w:t>
      </w:r>
      <w:bookmarkEnd w:id="166"/>
      <w:bookmarkEnd w:id="167"/>
      <w:bookmarkEnd w:id="168"/>
      <w:bookmarkEnd w:id="169"/>
      <w:bookmarkEnd w:id="170"/>
      <w:bookmarkEnd w:id="171"/>
      <w:bookmarkEnd w:id="172"/>
      <w:bookmarkEnd w:id="173"/>
      <w:bookmarkEnd w:id="174"/>
      <w:bookmarkEnd w:id="175"/>
      <w:bookmarkEnd w:id="176"/>
      <w:bookmarkEnd w:id="17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过程设置预算执行、预算管理、资产管理三个二级指标。其中预算执行权重为6%，从支出预算完成率、支出预算调整率、结转结余率三方面进行评价；预算管理指标权重为1</w:t>
      </w:r>
      <w:r>
        <w:rPr>
          <w:rFonts w:hint="eastAsia" w:ascii="宋体" w:hAnsi="宋体" w:eastAsia="宋体" w:cs="宋体"/>
          <w:sz w:val="24"/>
          <w:lang w:val="en-US" w:eastAsia="zh-CN"/>
        </w:rPr>
        <w:t>0</w:t>
      </w:r>
      <w:r>
        <w:rPr>
          <w:rFonts w:hint="eastAsia" w:ascii="宋体" w:hAnsi="宋体" w:eastAsia="宋体" w:cs="宋体"/>
          <w:sz w:val="24"/>
        </w:rPr>
        <w:t>%，从公用经费控制率、“三公经费”控制率、资金使用合规性、基础信息完善性、预决算信息公开性等五方面进行评价；资产管理指标权重为</w:t>
      </w:r>
      <w:r>
        <w:rPr>
          <w:rFonts w:hint="eastAsia" w:ascii="宋体" w:hAnsi="宋体" w:eastAsia="宋体" w:cs="宋体"/>
          <w:sz w:val="24"/>
          <w:lang w:val="en-US" w:eastAsia="zh-CN"/>
        </w:rPr>
        <w:t>4</w:t>
      </w:r>
      <w:r>
        <w:rPr>
          <w:rFonts w:hint="eastAsia" w:ascii="宋体" w:hAnsi="宋体" w:eastAsia="宋体" w:cs="宋体"/>
          <w:sz w:val="24"/>
        </w:rPr>
        <w:t>%，从政府采购合规性、资产管理完整性、固定资产利用率三方面进行评价。</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1.预算完成率（分值2分）</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rPr>
        <w:t>“预算完成率”指标通过对部门（单位）本年度支出预算完成数与支出预算数的</w:t>
      </w:r>
      <w:r>
        <w:rPr>
          <w:rFonts w:hint="eastAsia" w:ascii="宋体" w:hAnsi="宋体" w:eastAsia="宋体" w:cs="宋体"/>
          <w:sz w:val="24"/>
        </w:rPr>
        <w:t>比较，反映和评价部门（单位）支出预算的完成程度。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①完成率大于或等于85%的，得2分；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②完成率小于或等于75%的，得0分；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③完成率在75%-85%之间的，得分=（某部门预算完成率-75%）/10%×该指标分值。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根据闽侯县竹岐乡政府2022年决算表，预算完成率=（预算完成数/预算数）×100%=16939.7233万元/16939.7233万元×100%=100%。本项得2分。</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2.预算调整率（分值2</w:t>
      </w:r>
      <w:r>
        <w:rPr>
          <w:rFonts w:hint="eastAsia" w:ascii="宋体" w:hAnsi="宋体" w:eastAsia="宋体" w:cs="宋体"/>
          <w:sz w:val="24"/>
          <w:lang w:val="en-US" w:eastAsia="zh-CN"/>
        </w:rPr>
        <w:t>分</w:t>
      </w:r>
      <w:r>
        <w:rPr>
          <w:rFonts w:hint="eastAsia" w:ascii="宋体" w:hAnsi="宋体" w:eastAsia="宋体" w:cs="宋体"/>
          <w:sz w:val="24"/>
        </w:rPr>
        <w:t>）</w:t>
      </w:r>
    </w:p>
    <w:p>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“预算调整率”指标用于评价部门（单位）本年度支出预算调整数与支出预算数的比率，用以反映和评价部门（单位）预算的调整程度。</w:t>
      </w:r>
    </w:p>
    <w:p>
      <w:pPr>
        <w:widowControl/>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①调整率等于0的，得满分；</w:t>
      </w:r>
    </w:p>
    <w:p>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②调整率大于或等于10%的，得0分；</w:t>
      </w:r>
    </w:p>
    <w:p>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③调整率在0-10%之间的，得分=（10%-某部门预算调整率）/10%×该指标分值；特殊事项影响预算调整经提前报批可不予扣分。</w:t>
      </w:r>
    </w:p>
    <w:p>
      <w:pPr>
        <w:widowControl/>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lang w:val="en-US" w:eastAsia="zh-CN"/>
        </w:rPr>
        <w:t>根据</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lang w:eastAsia="zh-CN"/>
        </w:rPr>
        <w:t>竹岐乡人民政府</w:t>
      </w:r>
      <w:r>
        <w:rPr>
          <w:rFonts w:hint="eastAsia" w:ascii="宋体" w:hAnsi="宋体" w:eastAsia="宋体" w:cs="宋体"/>
          <w:b w:val="0"/>
          <w:bCs w:val="0"/>
          <w:color w:val="auto"/>
          <w:sz w:val="24"/>
          <w:szCs w:val="24"/>
        </w:rPr>
        <w:t>财政</w:t>
      </w:r>
      <w:r>
        <w:rPr>
          <w:rFonts w:hint="eastAsia" w:ascii="宋体" w:hAnsi="宋体" w:eastAsia="宋体" w:cs="宋体"/>
          <w:color w:val="auto"/>
          <w:sz w:val="24"/>
          <w:szCs w:val="24"/>
          <w:lang w:val="en-US" w:eastAsia="zh-CN"/>
        </w:rPr>
        <w:t>关于2021年财政预算执行情况和2022年财政预算草案的报告》</w:t>
      </w:r>
      <w:r>
        <w:rPr>
          <w:rFonts w:hint="eastAsia" w:ascii="宋体" w:hAnsi="宋体" w:eastAsia="宋体" w:cs="宋体"/>
          <w:color w:val="auto"/>
          <w:sz w:val="24"/>
          <w:lang w:val="en-US" w:eastAsia="zh-CN"/>
        </w:rPr>
        <w:t>，本年</w:t>
      </w:r>
      <w:r>
        <w:rPr>
          <w:rFonts w:hint="eastAsia" w:ascii="宋体" w:hAnsi="宋体" w:eastAsia="宋体" w:cs="宋体"/>
          <w:color w:val="auto"/>
          <w:sz w:val="24"/>
        </w:rPr>
        <w:t>支出</w:t>
      </w:r>
      <w:r>
        <w:rPr>
          <w:rFonts w:hint="eastAsia" w:ascii="宋体" w:hAnsi="宋体" w:eastAsia="宋体" w:cs="宋体"/>
          <w:color w:val="auto"/>
          <w:sz w:val="24"/>
          <w:lang w:val="en-US" w:eastAsia="zh-CN"/>
        </w:rPr>
        <w:t>预算为8645万元；根据</w:t>
      </w:r>
      <w:r>
        <w:rPr>
          <w:rFonts w:hint="eastAsia" w:ascii="宋体" w:hAnsi="宋体" w:eastAsia="宋体" w:cs="宋体"/>
          <w:color w:val="auto"/>
          <w:sz w:val="24"/>
          <w:lang w:eastAsia="zh-CN"/>
        </w:rPr>
        <w:t>竹岐乡人民政府《</w:t>
      </w:r>
      <w:r>
        <w:rPr>
          <w:rFonts w:hint="eastAsia" w:ascii="宋体" w:hAnsi="宋体" w:eastAsia="宋体" w:cs="宋体"/>
          <w:color w:val="auto"/>
          <w:sz w:val="24"/>
          <w:lang w:val="en-US" w:eastAsia="zh-CN"/>
        </w:rPr>
        <w:t>财政收入支出决算总表》，一般公共预算支出为4770.15万元，政府基金预算支出12169.58万元，支出合计为16939.73万元，剔除上级补助支出13000.31万元，调减3939.42万元，调整率-45.57%。</w:t>
      </w:r>
      <w:r>
        <w:rPr>
          <w:rFonts w:hint="eastAsia" w:ascii="宋体" w:hAnsi="宋体" w:eastAsia="宋体" w:cs="宋体"/>
          <w:sz w:val="24"/>
          <w:lang w:eastAsia="zh-CN"/>
        </w:rPr>
        <w:t>本项</w:t>
      </w:r>
      <w:r>
        <w:rPr>
          <w:rFonts w:hint="eastAsia" w:ascii="宋体" w:hAnsi="宋体" w:eastAsia="宋体" w:cs="宋体"/>
          <w:sz w:val="24"/>
          <w:lang w:val="en-US" w:eastAsia="zh-CN"/>
        </w:rPr>
        <w:t>扣2分，本项不得分</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3.结转结余率（分值2分）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“结转结余率”指标用于衡量部门（单位）本年度结转结余总额（含留在二级单位账上的资金）与支出预算数的比率，反映和评价部门（单位）对本年度结转结余资金的实际控制程度。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评价标准</w:t>
      </w:r>
      <w:r>
        <w:rPr>
          <w:rFonts w:hint="eastAsia" w:ascii="宋体" w:hAnsi="宋体" w:eastAsia="宋体" w:cs="宋体"/>
          <w:sz w:val="24"/>
          <w:lang w:val="en-US"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①结转结余率等于0的，得满分；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②结转结余率大于或等于50%的，得0分；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③结转结余率在0-50%之间的，得分=（50%-某部门结转结余率）/50%×该指标分值。</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根据闽侯县竹岐乡政府2022年经费指标情况表和2022年收入支出决算总表,本年无结余。本项得</w:t>
      </w:r>
      <w:r>
        <w:rPr>
          <w:rFonts w:hint="eastAsia" w:ascii="宋体" w:hAnsi="宋体" w:eastAsia="宋体" w:cs="宋体"/>
          <w:sz w:val="24"/>
          <w:lang w:val="en-US" w:eastAsia="zh-CN"/>
        </w:rPr>
        <w:t>分2</w:t>
      </w:r>
      <w:r>
        <w:rPr>
          <w:rFonts w:hint="eastAsia" w:ascii="宋体" w:hAnsi="宋体" w:eastAsia="宋体" w:cs="宋体"/>
          <w:sz w:val="24"/>
        </w:rPr>
        <w:t>分</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4.公用经费控制率（分值</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公用经费控制率指部门（单位）本年度实际支出的公用经费总额与预算安排的公用经费总额的比率，反映和评价部门（单位）对机构运转成本的实际控制程度。</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评分标准为</w:t>
      </w:r>
      <w:r>
        <w:rPr>
          <w:rFonts w:hint="eastAsia" w:ascii="宋体" w:hAnsi="宋体" w:eastAsia="宋体" w:cs="宋体"/>
          <w:color w:val="auto"/>
          <w:sz w:val="24"/>
          <w:lang w:eastAsia="zh-CN"/>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①公用经费控制率小于等于100%的，得满分；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②公用经费控制率大于等于105%的，得0分；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③公用经费控制率在100%-105%之间的，得分=（105%-某部门公用经费控制率）/5%×该指标分值。</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根据竹岐乡政府2022年收入支出决算总表，闽侯县竹岐乡政府本级2022年调整预算安排公用经费总额714.68万元，实际支出公用经费总额714.68万元，公用经费控制率=（实际支出公用经费总额/预算安排公用经费总额）×100%=（714.68万元/714.6万元）×100%=100%。</w:t>
      </w:r>
      <w:r>
        <w:rPr>
          <w:rFonts w:hint="eastAsia" w:ascii="宋体" w:hAnsi="宋体" w:eastAsia="宋体" w:cs="宋体"/>
          <w:color w:val="auto"/>
          <w:sz w:val="24"/>
        </w:rPr>
        <w:t>本项得分</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5.“三公经费”控制率（分值</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“三公经费”控制率指部门（单位）本年度“三公经费”实际支出数与预算安排数的比率，用以反映和评价部门（单位）对“三公”经费的实际控制程度。</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评分标准</w:t>
      </w:r>
      <w:r>
        <w:rPr>
          <w:rFonts w:hint="eastAsia" w:ascii="宋体" w:hAnsi="宋体" w:eastAsia="宋体" w:cs="宋体"/>
          <w:color w:val="auto"/>
          <w:sz w:val="24"/>
          <w:lang w:val="en-US" w:eastAsia="zh-CN"/>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“三公经费”控制率小于或等于100%的，得满分；公用经费控制率大于或等于100%的，得0分”。</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根据竹岐乡政府《贯彻落实中央八项规定统计月报表 》“三公经费”年初预算为12.7万元(预算安排9.87万元，其他资金2.83万元），其中公务用车运行维护费8.7万元，公务接待4.万元)，2022年度实际支出11.83万元，其中公务用车运行维护费5.27万元，公务接待6.56万元)比年初预算减少0.87万元,下降6.85%。</w:t>
      </w:r>
      <w:r>
        <w:rPr>
          <w:rFonts w:hint="eastAsia" w:ascii="宋体" w:hAnsi="宋体" w:eastAsia="宋体" w:cs="宋体"/>
          <w:sz w:val="24"/>
        </w:rPr>
        <w:t>本项得分2分。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6.资金使用合规性（分值</w:t>
      </w:r>
      <w:r>
        <w:rPr>
          <w:rFonts w:hint="eastAsia" w:ascii="宋体" w:hAnsi="宋体" w:eastAsia="宋体" w:cs="宋体"/>
          <w:sz w:val="24"/>
          <w:lang w:val="en-US" w:eastAsia="zh-CN"/>
        </w:rPr>
        <w:t>2</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“资金使用合规性”主要评价部门（单位）使用预算资金是否符合相关的预算财务管理制度的规定，反映和评价部门（单位）预算资金的规范运行情况。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①符合国家财经法规和财务管理制度规定以及有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②关部门资金管理办法的规定；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③有无按照审计等部门提出的整改意见完善管理等情况；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④资金的拨付有完整的审批过程和手续，对下补助资金是否有专门的资金分配办法或方案（包含测算过程）；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⑤项目的重大开支经过评估论证；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⑥符合部门预算批复的用途；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⑦不存在截留、挤占、挪用、虚列支出的情况。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一项不符扣1分，扣完为止。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通过与闽侯县竹岐乡政府相关人员沟通及抽查会计凭证，资金拨付审批过程和手续较完整，没有发现资金截留、挤占、挪用、虚列支出的情况。</w:t>
      </w:r>
      <w:r>
        <w:rPr>
          <w:rFonts w:hint="eastAsia" w:ascii="宋体" w:hAnsi="宋体" w:eastAsia="宋体" w:cs="宋体"/>
          <w:color w:val="auto"/>
          <w:sz w:val="24"/>
        </w:rPr>
        <w:t>本项得分</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7.基础信息完善性（分值</w:t>
      </w:r>
      <w:r>
        <w:rPr>
          <w:rFonts w:hint="eastAsia" w:ascii="宋体" w:hAnsi="宋体" w:eastAsia="宋体" w:cs="宋体"/>
          <w:sz w:val="24"/>
          <w:lang w:val="en-US" w:eastAsia="zh-CN"/>
        </w:rPr>
        <w:t>2</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“基础信息完善性”主要衡量部门（单位）基础信息是否完善，用以反映和评价基础信息对预算管理工作的支撑情况。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①基础数据信息和会计信息资料真实；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②基础数据信息和会计信息资料完整；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③基础数据信息和会计信息资料准确；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一项不符扣1分，扣完为止。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抽查闽侯县竹岐乡政府提供的基础数据信息和会计信息资料，数据及信息资料真实、准确，较完整，如：成本核算时附增值税发票、合同、审批手续完整。本项得分</w:t>
      </w:r>
      <w:r>
        <w:rPr>
          <w:rFonts w:hint="eastAsia" w:ascii="宋体" w:hAnsi="宋体" w:eastAsia="宋体" w:cs="宋体"/>
          <w:sz w:val="24"/>
          <w:lang w:val="en-US" w:eastAsia="zh-CN"/>
        </w:rPr>
        <w:t>2</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8.预决算信息公开性（分值2分）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“预决算信息公开性”主要评价部门（单位）是否按照政府信息公开有关规定及预决算批复文件中要求的格式、时限公开相关预决算信息，用以反映和评价部门（单位）预决算管理的公开透明情况。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①按规定格式公开预决算信息（1分）；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②按规定时限公开预决算信息（1分）；</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完成1项，各得1分</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检查财政预决算公开情况，闽侯县竹岐乡政府已经按照政府信息公开有关规定及预决算批复文件中要求的格式、时限公开闽侯县竹岐乡政府2022年度预算和2021年决算信息</w:t>
      </w:r>
      <w:r>
        <w:rPr>
          <w:rFonts w:hint="eastAsia" w:ascii="宋体" w:hAnsi="宋体" w:eastAsia="宋体" w:cs="宋体"/>
          <w:sz w:val="24"/>
          <w:lang w:eastAsia="zh-CN"/>
        </w:rPr>
        <w:t>。</w:t>
      </w:r>
      <w:r>
        <w:rPr>
          <w:rFonts w:hint="eastAsia" w:ascii="宋体" w:hAnsi="宋体" w:eastAsia="宋体" w:cs="宋体"/>
          <w:sz w:val="24"/>
        </w:rPr>
        <w:t>本项得</w:t>
      </w:r>
      <w:r>
        <w:rPr>
          <w:rFonts w:hint="eastAsia" w:ascii="宋体" w:hAnsi="宋体" w:eastAsia="宋体" w:cs="宋体"/>
          <w:sz w:val="24"/>
          <w:lang w:val="en-US" w:eastAsia="zh-CN"/>
        </w:rPr>
        <w:t>分2</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9.政府采购合规性（分值</w:t>
      </w:r>
      <w:r>
        <w:rPr>
          <w:rFonts w:hint="eastAsia" w:ascii="宋体" w:hAnsi="宋体" w:eastAsia="宋体" w:cs="宋体"/>
          <w:sz w:val="24"/>
          <w:lang w:val="en-US" w:eastAsia="zh-CN"/>
        </w:rPr>
        <w:t>2</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“政府采购合规性”主要评价部门（单位）本年度政府采购是否执行政府采购相关规定和要求。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①是否按规定编制政府采购预算；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②政府采购是否提供了资金来源说明；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③是否编制了政府采购计划表；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④是否按规定编制资产购置预算；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⑤是否有采购办的正式批复；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⑥是否存在政府采购未按照规定公开招标、违规采购等违规行为；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⑦是否存在采购物品流程不完整等问题。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一项不符扣1分，扣完为止。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抽查闽侯县竹岐乡政府采购相关资料，按规定编制政府采购预算，按规定流程进行政府采购行为。本项得</w:t>
      </w:r>
      <w:r>
        <w:rPr>
          <w:rFonts w:hint="eastAsia" w:ascii="宋体" w:hAnsi="宋体" w:eastAsia="宋体" w:cs="宋体"/>
          <w:color w:val="auto"/>
          <w:sz w:val="24"/>
          <w:lang w:val="en-US" w:eastAsia="zh-CN"/>
        </w:rPr>
        <w:t>分2</w:t>
      </w:r>
      <w:r>
        <w:rPr>
          <w:rFonts w:hint="eastAsia" w:ascii="宋体" w:hAnsi="宋体" w:eastAsia="宋体" w:cs="宋体"/>
          <w:color w:val="auto"/>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10.资产管理完整性（分值</w:t>
      </w:r>
      <w:r>
        <w:rPr>
          <w:rFonts w:hint="eastAsia" w:ascii="宋体" w:hAnsi="宋体" w:eastAsia="宋体" w:cs="宋体"/>
          <w:sz w:val="24"/>
          <w:lang w:val="en-US" w:eastAsia="zh-CN"/>
        </w:rPr>
        <w:t>1</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“资产管理完整性”主要评价部门（单位）的资产是否保存完整、使用合规、收入及时足额上缴，用以反映和评价部门（单位）资产运行情况。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①</w:t>
      </w:r>
      <w:r>
        <w:rPr>
          <w:rFonts w:hint="eastAsia" w:ascii="宋体" w:hAnsi="宋体" w:eastAsia="宋体" w:cs="宋体"/>
          <w:sz w:val="24"/>
          <w:lang w:val="en-US" w:eastAsia="zh-CN"/>
        </w:rPr>
        <w:t>资产保存完整，有专人保管；</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②</w:t>
      </w:r>
      <w:r>
        <w:rPr>
          <w:rFonts w:hint="eastAsia" w:ascii="宋体" w:hAnsi="宋体" w:eastAsia="宋体" w:cs="宋体"/>
          <w:sz w:val="24"/>
          <w:lang w:val="en-US" w:eastAsia="zh-CN"/>
        </w:rPr>
        <w:t>资产账务管理合规，帐实相符；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③</w:t>
      </w:r>
      <w:r>
        <w:rPr>
          <w:rFonts w:hint="eastAsia" w:ascii="宋体" w:hAnsi="宋体" w:eastAsia="宋体" w:cs="宋体"/>
          <w:sz w:val="24"/>
          <w:lang w:val="en-US" w:eastAsia="zh-CN"/>
        </w:rPr>
        <w:t>通用办公设备和办公家具等资产实物量合标</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④</w:t>
      </w:r>
      <w:r>
        <w:rPr>
          <w:rFonts w:hint="eastAsia" w:ascii="宋体" w:hAnsi="宋体" w:eastAsia="宋体" w:cs="宋体"/>
          <w:sz w:val="24"/>
          <w:lang w:val="en-US" w:eastAsia="zh-CN"/>
        </w:rPr>
        <w:t>资产有偿使用及处置收入及时足额上缴；</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⑤</w:t>
      </w:r>
      <w:r>
        <w:rPr>
          <w:rFonts w:hint="eastAsia" w:ascii="宋体" w:hAnsi="宋体" w:eastAsia="宋体" w:cs="宋体"/>
          <w:sz w:val="24"/>
          <w:lang w:val="en-US" w:eastAsia="zh-CN"/>
        </w:rPr>
        <w:t>固定资产报废是否有完善的制度；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⑥</w:t>
      </w:r>
      <w:r>
        <w:rPr>
          <w:rFonts w:hint="eastAsia" w:ascii="宋体" w:hAnsi="宋体" w:eastAsia="宋体" w:cs="宋体"/>
          <w:sz w:val="24"/>
          <w:lang w:val="en-US" w:eastAsia="zh-CN"/>
        </w:rPr>
        <w:t>单位资产管理制度是否健全、完整、合法；</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一项不符扣1分，扣完为止。</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lang w:val="en-US" w:eastAsia="zh-CN"/>
        </w:rPr>
        <w:t>闽侯县竹岐乡政府按照行政事业单位国有资产管理规定对资产进行管理，建立了固定资产台账，各项分类清晰。但缺少固定资产年末没有盘点表。本项扣0.5分,</w:t>
      </w:r>
      <w:r>
        <w:rPr>
          <w:rFonts w:hint="eastAsia" w:ascii="宋体" w:hAnsi="宋体" w:eastAsia="宋体" w:cs="宋体"/>
          <w:color w:val="auto"/>
          <w:sz w:val="24"/>
        </w:rPr>
        <w:t>得</w:t>
      </w:r>
      <w:r>
        <w:rPr>
          <w:rFonts w:hint="eastAsia" w:ascii="宋体" w:hAnsi="宋体" w:eastAsia="宋体" w:cs="宋体"/>
          <w:color w:val="auto"/>
          <w:sz w:val="24"/>
          <w:lang w:val="en-US" w:eastAsia="zh-CN"/>
        </w:rPr>
        <w:t>0.5</w:t>
      </w:r>
      <w:r>
        <w:rPr>
          <w:rFonts w:hint="eastAsia" w:ascii="宋体" w:hAnsi="宋体" w:eastAsia="宋体" w:cs="宋体"/>
          <w:color w:val="auto"/>
          <w:sz w:val="24"/>
        </w:rPr>
        <w:t>分</w:t>
      </w:r>
      <w:r>
        <w:rPr>
          <w:rFonts w:hint="eastAsia" w:ascii="宋体" w:hAnsi="宋体" w:eastAsia="宋体" w:cs="宋体"/>
          <w:color w:val="auto"/>
          <w:sz w:val="24"/>
          <w:lang w:val="en-US"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11.固定资产利用率（分值</w:t>
      </w:r>
      <w:r>
        <w:rPr>
          <w:rFonts w:hint="eastAsia" w:ascii="宋体" w:hAnsi="宋体" w:eastAsia="宋体" w:cs="宋体"/>
          <w:sz w:val="24"/>
          <w:lang w:val="en-US" w:eastAsia="zh-CN"/>
        </w:rPr>
        <w:t>1</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固定资产利用率系通过抽查盘点，确定部门（单位）实际在用固定资产总额与实际固定资产总额的比率，用以反映和评价部门（单位）固定资产使用效率。</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评价标准</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①固定资产利用率大于或等于95%的，得满分；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②固定资产利用率小等于85%的，不得分；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③固定资产利用率在85%-95%之间的，得分=（某部门固定资产利用率-85%）/10%×该指标分值。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检查闽侯县竹岐乡政府固定资产明细表，截至2022年12月31日，闽侯县竹岐乡政府固定资产原值共计1026.2003元，其中：在用固定资产1026.2003元。固定资产利用率=（实际在用固定资产总额/实际固定资产总额）×100%=（1026.2003元万元/1026.2003元万元）×100%=100%。</w:t>
      </w:r>
      <w:r>
        <w:rPr>
          <w:rFonts w:hint="eastAsia" w:ascii="宋体" w:hAnsi="宋体" w:eastAsia="宋体" w:cs="宋体"/>
          <w:color w:val="auto"/>
          <w:sz w:val="24"/>
          <w:highlight w:val="none"/>
          <w:lang w:val="en-US" w:eastAsia="zh-CN"/>
        </w:rPr>
        <w:t>本项</w:t>
      </w:r>
      <w:r>
        <w:rPr>
          <w:rFonts w:hint="eastAsia" w:ascii="宋体" w:hAnsi="宋体" w:eastAsia="宋体" w:cs="宋体"/>
          <w:color w:val="auto"/>
          <w:sz w:val="24"/>
          <w:highlight w:val="none"/>
        </w:rPr>
        <w:t>得分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pPr>
        <w:pStyle w:val="3"/>
        <w:bidi w:val="0"/>
        <w:rPr>
          <w:rFonts w:hint="eastAsia" w:ascii="宋体" w:hAnsi="宋体" w:cs="宋体"/>
        </w:rPr>
      </w:pPr>
      <w:bookmarkStart w:id="178" w:name="_Toc27498"/>
      <w:bookmarkStart w:id="179" w:name="_Toc2333"/>
      <w:bookmarkStart w:id="180" w:name="_Toc1943"/>
      <w:bookmarkStart w:id="181" w:name="_Toc4594"/>
      <w:bookmarkStart w:id="182" w:name="_Toc9315"/>
      <w:bookmarkStart w:id="183" w:name="_Toc14153"/>
      <w:bookmarkStart w:id="184" w:name="_Toc3663"/>
      <w:bookmarkStart w:id="185" w:name="_Toc17535"/>
      <w:bookmarkStart w:id="186" w:name="_Toc2689"/>
      <w:bookmarkStart w:id="187" w:name="_Toc491"/>
      <w:bookmarkStart w:id="188" w:name="_Toc18527"/>
      <w:bookmarkStart w:id="189" w:name="_Toc27599"/>
      <w:r>
        <w:rPr>
          <w:rFonts w:hint="eastAsia" w:ascii="宋体" w:hAnsi="宋体" w:cs="宋体"/>
        </w:rPr>
        <w:t>（三）产出（分值</w:t>
      </w:r>
      <w:r>
        <w:rPr>
          <w:rFonts w:hint="eastAsia" w:ascii="宋体" w:hAnsi="宋体" w:cs="宋体"/>
          <w:lang w:val="en-US" w:eastAsia="zh-CN"/>
        </w:rPr>
        <w:t>32</w:t>
      </w:r>
      <w:r>
        <w:rPr>
          <w:rFonts w:hint="eastAsia" w:ascii="宋体" w:hAnsi="宋体" w:cs="宋体"/>
        </w:rPr>
        <w:t>分，得分</w:t>
      </w:r>
      <w:r>
        <w:rPr>
          <w:rFonts w:hint="eastAsia" w:ascii="宋体" w:hAnsi="宋体" w:cs="宋体"/>
          <w:lang w:val="en-US" w:eastAsia="zh-CN"/>
        </w:rPr>
        <w:t>29.25分</w:t>
      </w:r>
      <w:r>
        <w:rPr>
          <w:rFonts w:hint="eastAsia" w:ascii="宋体" w:hAnsi="宋体" w:cs="宋体"/>
        </w:rPr>
        <w:t>）</w:t>
      </w:r>
      <w:bookmarkEnd w:id="178"/>
      <w:bookmarkEnd w:id="179"/>
      <w:bookmarkEnd w:id="180"/>
      <w:bookmarkEnd w:id="181"/>
      <w:bookmarkEnd w:id="182"/>
      <w:bookmarkEnd w:id="183"/>
      <w:bookmarkEnd w:id="184"/>
      <w:bookmarkEnd w:id="185"/>
      <w:bookmarkEnd w:id="186"/>
      <w:bookmarkEnd w:id="187"/>
      <w:bookmarkEnd w:id="188"/>
      <w:bookmarkEnd w:id="189"/>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产出设置</w:t>
      </w:r>
      <w:r>
        <w:rPr>
          <w:rFonts w:hint="eastAsia" w:ascii="宋体" w:hAnsi="宋体" w:eastAsia="宋体" w:cs="宋体"/>
          <w:color w:val="auto"/>
          <w:sz w:val="24"/>
          <w:lang w:val="en-US" w:eastAsia="zh-CN"/>
        </w:rPr>
        <w:t>职责履行（数量指标）、职责履行（质量指标）、职责履行（时效指标）及职责履行（成本指标）</w:t>
      </w:r>
      <w:r>
        <w:rPr>
          <w:rFonts w:hint="eastAsia" w:ascii="宋体" w:hAnsi="宋体" w:eastAsia="宋体" w:cs="宋体"/>
          <w:color w:val="auto"/>
          <w:sz w:val="24"/>
        </w:rPr>
        <w:t>等</w:t>
      </w:r>
      <w:r>
        <w:rPr>
          <w:rFonts w:hint="eastAsia" w:ascii="宋体" w:hAnsi="宋体" w:eastAsia="宋体" w:cs="宋体"/>
          <w:color w:val="auto"/>
          <w:sz w:val="24"/>
          <w:lang w:val="en-US" w:eastAsia="zh-CN"/>
        </w:rPr>
        <w:t>四</w:t>
      </w:r>
      <w:r>
        <w:rPr>
          <w:rFonts w:hint="eastAsia" w:ascii="宋体" w:hAnsi="宋体" w:eastAsia="宋体" w:cs="宋体"/>
          <w:color w:val="auto"/>
          <w:sz w:val="24"/>
        </w:rPr>
        <w:t>个二级指标。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职责的履行（</w:t>
      </w:r>
      <w:r>
        <w:rPr>
          <w:rFonts w:hint="eastAsia" w:ascii="宋体" w:hAnsi="宋体" w:eastAsia="宋体" w:cs="宋体"/>
          <w:color w:val="auto"/>
          <w:sz w:val="24"/>
        </w:rPr>
        <w:t>数量</w:t>
      </w:r>
      <w:r>
        <w:rPr>
          <w:rFonts w:hint="eastAsia" w:ascii="宋体" w:hAnsi="宋体" w:eastAsia="宋体" w:cs="宋体"/>
          <w:color w:val="auto"/>
          <w:sz w:val="24"/>
          <w:lang w:val="en-US" w:eastAsia="zh-CN"/>
        </w:rPr>
        <w:t>目标</w:t>
      </w:r>
      <w:r>
        <w:rPr>
          <w:rFonts w:hint="eastAsia" w:ascii="宋体" w:hAnsi="宋体" w:eastAsia="宋体" w:cs="宋体"/>
          <w:color w:val="auto"/>
          <w:sz w:val="24"/>
          <w:lang w:eastAsia="zh-CN"/>
        </w:rPr>
        <w:t>）</w:t>
      </w:r>
      <w:r>
        <w:rPr>
          <w:rFonts w:hint="eastAsia" w:ascii="宋体" w:hAnsi="宋体" w:eastAsia="宋体" w:cs="宋体"/>
          <w:color w:val="auto"/>
          <w:sz w:val="24"/>
        </w:rPr>
        <w:t>（分值</w:t>
      </w:r>
      <w:r>
        <w:rPr>
          <w:rFonts w:hint="eastAsia" w:ascii="宋体" w:hAnsi="宋体" w:eastAsia="宋体" w:cs="宋体"/>
          <w:color w:val="auto"/>
          <w:sz w:val="24"/>
          <w:lang w:val="en-US" w:eastAsia="zh-CN"/>
        </w:rPr>
        <w:t>15</w:t>
      </w:r>
      <w:r>
        <w:rPr>
          <w:rFonts w:hint="eastAsia" w:ascii="宋体" w:hAnsi="宋体" w:eastAsia="宋体" w:cs="宋体"/>
          <w:color w:val="auto"/>
          <w:sz w:val="24"/>
        </w:rPr>
        <w:t>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产出数量指标权重为</w:t>
      </w:r>
      <w:r>
        <w:rPr>
          <w:rFonts w:hint="eastAsia" w:ascii="宋体" w:hAnsi="宋体" w:eastAsia="宋体" w:cs="宋体"/>
          <w:color w:val="auto"/>
          <w:sz w:val="24"/>
          <w:lang w:val="en-US" w:eastAsia="zh-CN"/>
        </w:rPr>
        <w:t>15</w:t>
      </w:r>
      <w:r>
        <w:rPr>
          <w:rFonts w:hint="eastAsia" w:ascii="宋体" w:hAnsi="宋体" w:eastAsia="宋体" w:cs="宋体"/>
          <w:color w:val="auto"/>
          <w:sz w:val="24"/>
        </w:rPr>
        <w:t>%，从一般公共预算收入财力、政府基金预算收入财力</w:t>
      </w:r>
      <w:r>
        <w:rPr>
          <w:rFonts w:hint="eastAsia" w:ascii="宋体" w:hAnsi="宋体" w:eastAsia="宋体" w:cs="宋体"/>
          <w:color w:val="auto"/>
          <w:sz w:val="24"/>
          <w:lang w:eastAsia="zh-CN"/>
        </w:rPr>
        <w:t>、</w:t>
      </w:r>
      <w:r>
        <w:rPr>
          <w:rFonts w:hint="eastAsia" w:ascii="宋体" w:hAnsi="宋体" w:eastAsia="宋体" w:cs="宋体"/>
          <w:color w:val="auto"/>
          <w:sz w:val="24"/>
        </w:rPr>
        <w:t>一般公共服务支出</w:t>
      </w:r>
      <w:r>
        <w:rPr>
          <w:rFonts w:hint="eastAsia" w:ascii="宋体" w:hAnsi="宋体" w:eastAsia="宋体" w:cs="宋体"/>
          <w:color w:val="auto"/>
          <w:sz w:val="24"/>
          <w:lang w:eastAsia="zh-CN"/>
        </w:rPr>
        <w:t>、</w:t>
      </w:r>
      <w:r>
        <w:rPr>
          <w:rFonts w:hint="eastAsia" w:ascii="宋体" w:hAnsi="宋体" w:eastAsia="宋体" w:cs="宋体"/>
          <w:color w:val="auto"/>
          <w:sz w:val="24"/>
        </w:rPr>
        <w:t>城乡社区支出</w:t>
      </w:r>
      <w:r>
        <w:rPr>
          <w:rFonts w:hint="eastAsia" w:ascii="宋体" w:hAnsi="宋体" w:eastAsia="宋体" w:cs="宋体"/>
          <w:color w:val="auto"/>
          <w:sz w:val="24"/>
          <w:lang w:eastAsia="zh-CN"/>
        </w:rPr>
        <w:t>、</w:t>
      </w:r>
      <w:r>
        <w:rPr>
          <w:rFonts w:hint="eastAsia" w:ascii="宋体" w:hAnsi="宋体" w:eastAsia="宋体" w:cs="宋体"/>
          <w:color w:val="auto"/>
          <w:sz w:val="24"/>
        </w:rPr>
        <w:t>农林水支出</w:t>
      </w:r>
      <w:r>
        <w:rPr>
          <w:rFonts w:hint="eastAsia" w:ascii="宋体" w:hAnsi="宋体" w:eastAsia="宋体" w:cs="宋体"/>
          <w:color w:val="auto"/>
          <w:sz w:val="24"/>
          <w:lang w:val="en-US" w:eastAsia="zh-CN"/>
        </w:rPr>
        <w:t>五个</w:t>
      </w:r>
      <w:r>
        <w:rPr>
          <w:rFonts w:hint="eastAsia" w:ascii="宋体" w:hAnsi="宋体" w:eastAsia="宋体" w:cs="宋体"/>
          <w:color w:val="auto"/>
          <w:sz w:val="24"/>
        </w:rPr>
        <w:t>方面进行评价。</w:t>
      </w:r>
    </w:p>
    <w:p>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一般公共预算收入财力（分值</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本项</w:t>
      </w:r>
      <w:r>
        <w:rPr>
          <w:rFonts w:hint="eastAsia" w:ascii="宋体" w:hAnsi="宋体" w:eastAsia="宋体" w:cs="宋体"/>
          <w:color w:val="auto"/>
          <w:sz w:val="24"/>
        </w:rPr>
        <w:t>反映和考核一般公共预算收入财力构成和规模。</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评分标准“收入符合各项政策规定；得满分，每发现一项不符合政策规定的，扣0.5分，扣完为止</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根据财政体制结算有关规定和上下级财政结算资料，2022年一般公共预算体制财力构成情况 ：本年一般公共预算收入6150万元，上级补助收入830.72万元，上解上级支出4718万元，本年一般公共预算财力2262.72万元，收入和上解符合各项政策规定。</w:t>
      </w:r>
      <w:r>
        <w:rPr>
          <w:rFonts w:hint="eastAsia" w:ascii="宋体" w:hAnsi="宋体" w:eastAsia="宋体" w:cs="宋体"/>
          <w:color w:val="auto"/>
          <w:sz w:val="24"/>
          <w:lang w:val="en-US" w:eastAsia="zh-CN"/>
        </w:rPr>
        <w:t>本项</w:t>
      </w:r>
      <w:r>
        <w:rPr>
          <w:rFonts w:hint="eastAsia" w:ascii="宋体" w:hAnsi="宋体" w:eastAsia="宋体" w:cs="宋体"/>
          <w:color w:val="auto"/>
          <w:sz w:val="24"/>
        </w:rPr>
        <w:t>得分</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p>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政府基金预算收入财力（分值</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p>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本项反映和考核政府基金预算收入财力财力构成和规模。</w:t>
      </w:r>
    </w:p>
    <w:p>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评分标准“收入符合各项政策规定；得满分，每发现一项不符合政策规定的，扣0.6分，扣完为止”。</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根据财政体制结算有关规定2022年政府基金预算体制财力构成：政府性基金预算上级补助收入12169.58万元，无上解支出，本年政府性基金预算财力为12169.58万元，收入和上解符合各项政策规定。本项</w:t>
      </w:r>
      <w:r>
        <w:rPr>
          <w:rFonts w:hint="eastAsia" w:ascii="宋体" w:hAnsi="宋体" w:eastAsia="宋体" w:cs="宋体"/>
          <w:color w:val="auto"/>
          <w:sz w:val="24"/>
        </w:rPr>
        <w:t>得分</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p>
      <w:pPr>
        <w:numPr>
          <w:ilvl w:val="0"/>
          <w:numId w:val="6"/>
        </w:numPr>
        <w:spacing w:line="360" w:lineRule="auto"/>
        <w:ind w:left="-60" w:leftChars="0" w:firstLine="480" w:firstLineChars="0"/>
        <w:rPr>
          <w:rFonts w:hint="eastAsia" w:ascii="宋体" w:hAnsi="宋体" w:eastAsia="宋体" w:cs="宋体"/>
          <w:color w:val="auto"/>
          <w:sz w:val="24"/>
        </w:rPr>
      </w:pPr>
      <w:r>
        <w:rPr>
          <w:rFonts w:hint="eastAsia" w:ascii="宋体" w:hAnsi="宋体" w:eastAsia="宋体" w:cs="宋体"/>
          <w:color w:val="auto"/>
          <w:sz w:val="24"/>
        </w:rPr>
        <w:t>一般公共服务支出（分值</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p>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本项反映和考核一般公共预算用于一般公共服务实际支出占比年初预算执行情况。</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评分标准“①年初预算执行率大于或等于95%的，得3分；②年初预算执行率小于或等于85%的，得0分；③年初预算执行率在85%-95%之间的，得分=（年初预算执行率-85%）/10%×该指标分值。”</w:t>
      </w:r>
    </w:p>
    <w:p>
      <w:pPr>
        <w:numPr>
          <w:ilvl w:val="0"/>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根据竹岐乡政府2022年收入支出决算总表和2022年财政预算草案，闽侯县竹岐乡2022年年初人大预算安排一般公共服务支出2750万元，实际支出2451.69万元，支出完成率=（实际支出总额/预算安排支出总额）×100%=（2451.69万元/2750万元）×100%=89.15%，得分=（89.15%-85%）*3分=1.25分。本项</w:t>
      </w:r>
      <w:r>
        <w:rPr>
          <w:rFonts w:hint="eastAsia" w:ascii="宋体" w:hAnsi="宋体" w:eastAsia="宋体" w:cs="宋体"/>
          <w:color w:val="auto"/>
          <w:sz w:val="24"/>
          <w:lang w:val="en-US" w:eastAsia="zh-CN"/>
        </w:rPr>
        <w:t>扣1.75</w:t>
      </w:r>
      <w:r>
        <w:rPr>
          <w:rFonts w:hint="eastAsia" w:ascii="宋体" w:hAnsi="宋体" w:eastAsia="宋体" w:cs="宋体"/>
          <w:color w:val="auto"/>
          <w:sz w:val="24"/>
        </w:rPr>
        <w:t>分</w:t>
      </w:r>
      <w:r>
        <w:rPr>
          <w:rFonts w:hint="eastAsia" w:ascii="宋体" w:hAnsi="宋体" w:eastAsia="宋体" w:cs="宋体"/>
          <w:color w:val="auto"/>
          <w:sz w:val="24"/>
          <w:lang w:eastAsia="zh-CN"/>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）城乡社区支出（分值</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本项反映和考核一般公共预算用于城乡社区实际支出占比年初预算执行情况。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评分标准“①年初预算执行率大于或等于95%的，得3分；②年初预算执行率或小于等于85%的，得0分；③年初预算执行率在85%-95%之间的，得分=（年初预算执行率-85%）/10%×该指标分值。”</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根据竹岐乡政府2022年收入支出决算总表和2022年财政预算草案，闽侯县竹岐乡2022年年初人大预算一般公共预算用于城乡社区支出2650万元，一般公共预算实际支出1266.69万元，基金预算实际支出为12169.58万元，但年初没有基金预算安排。本项扣1分。本项得分2分。</w:t>
      </w:r>
    </w:p>
    <w:p>
      <w:pPr>
        <w:numPr>
          <w:ilvl w:val="0"/>
          <w:numId w:val="0"/>
        </w:numPr>
        <w:spacing w:line="360" w:lineRule="auto"/>
        <w:ind w:left="420" w:leftChars="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农林水支出（分值</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本项反映和考核一般公共预算用农林水支出实际支出占比年初预算执行情况。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评分标准“①年初预算执行率大于或等于95%的，得2分；②年初预算执行率小于或等于85%的，得0分；③年初预算执行率在85%-95%之间的，得分=（年初预算执行率-85%）/10%×该指标分值。”</w:t>
      </w:r>
    </w:p>
    <w:p>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竹岐乡政府2022年收入支出决算总表和2022年财政预算草案，闽侯县竹岐乡2022年年初人大预算安排农林水支出800万元，实际支出865万元，支出完成率=（实际支出公用经费总额/预算安排公用经费总额）×100%=（865万元/800万元）×100%=108.13%。</w:t>
      </w:r>
      <w:r>
        <w:rPr>
          <w:rFonts w:hint="eastAsia" w:ascii="宋体" w:hAnsi="宋体" w:eastAsia="宋体" w:cs="宋体"/>
          <w:color w:val="auto"/>
          <w:sz w:val="24"/>
        </w:rPr>
        <w:t>本项得分3分。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2.职责履行（质量目标）（分值</w:t>
      </w:r>
      <w:r>
        <w:rPr>
          <w:rFonts w:hint="eastAsia" w:ascii="宋体" w:hAnsi="宋体" w:eastAsia="宋体" w:cs="宋体"/>
          <w:sz w:val="24"/>
          <w:lang w:val="en-US" w:eastAsia="zh-CN"/>
        </w:rPr>
        <w:t>9</w:t>
      </w:r>
      <w:r>
        <w:rPr>
          <w:rFonts w:hint="eastAsia" w:ascii="宋体" w:hAnsi="宋体" w:eastAsia="宋体" w:cs="宋体"/>
          <w:sz w:val="24"/>
        </w:rPr>
        <w:t>分）</w:t>
      </w:r>
    </w:p>
    <w:p>
      <w:pPr>
        <w:spacing w:line="360" w:lineRule="auto"/>
        <w:ind w:firstLine="480" w:firstLineChars="200"/>
        <w:rPr>
          <w:rFonts w:hint="eastAsia" w:ascii="宋体" w:hAnsi="宋体" w:eastAsia="宋体" w:cs="宋体"/>
          <w:color w:val="FF0000"/>
          <w:sz w:val="24"/>
        </w:rPr>
      </w:pPr>
      <w:r>
        <w:rPr>
          <w:rFonts w:hint="eastAsia" w:ascii="宋体" w:hAnsi="宋体" w:eastAsia="宋体" w:cs="宋体"/>
          <w:sz w:val="24"/>
        </w:rPr>
        <w:t>产出质量指标权重为</w:t>
      </w:r>
      <w:r>
        <w:rPr>
          <w:rFonts w:hint="eastAsia" w:ascii="宋体" w:hAnsi="宋体" w:eastAsia="宋体" w:cs="宋体"/>
          <w:sz w:val="24"/>
          <w:lang w:val="en-US" w:eastAsia="zh-CN"/>
        </w:rPr>
        <w:t>9</w:t>
      </w:r>
      <w:r>
        <w:rPr>
          <w:rFonts w:hint="eastAsia" w:ascii="宋体" w:hAnsi="宋体" w:eastAsia="宋体" w:cs="宋体"/>
          <w:sz w:val="24"/>
        </w:rPr>
        <w:t>%，从</w:t>
      </w:r>
      <w:r>
        <w:rPr>
          <w:rFonts w:hint="eastAsia" w:ascii="宋体" w:hAnsi="宋体" w:eastAsia="宋体" w:cs="宋体"/>
          <w:sz w:val="24"/>
          <w:lang w:eastAsia="zh-CN"/>
        </w:rPr>
        <w:t>常住人员和社会保险支出规横、</w:t>
      </w:r>
      <w:r>
        <w:rPr>
          <w:rFonts w:hint="eastAsia" w:ascii="宋体" w:hAnsi="宋体" w:eastAsia="宋体" w:cs="宋体"/>
          <w:color w:val="auto"/>
          <w:sz w:val="24"/>
        </w:rPr>
        <w:t>税收收入占一般公共预算收入的比重</w:t>
      </w:r>
      <w:r>
        <w:rPr>
          <w:rFonts w:hint="eastAsia" w:ascii="宋体" w:hAnsi="宋体" w:eastAsia="宋体" w:cs="宋体"/>
          <w:color w:val="auto"/>
          <w:sz w:val="24"/>
          <w:lang w:eastAsia="zh-CN"/>
        </w:rPr>
        <w:t>、</w:t>
      </w:r>
      <w:r>
        <w:rPr>
          <w:rFonts w:hint="eastAsia" w:ascii="宋体" w:hAnsi="宋体" w:eastAsia="宋体" w:cs="宋体"/>
          <w:b w:val="0"/>
          <w:bCs w:val="0"/>
          <w:sz w:val="24"/>
          <w:lang w:eastAsia="zh-CN"/>
        </w:rPr>
        <w:t>投诉案件处理完成率</w:t>
      </w:r>
      <w:r>
        <w:rPr>
          <w:rFonts w:hint="eastAsia" w:ascii="宋体" w:hAnsi="宋体" w:eastAsia="宋体" w:cs="宋体"/>
          <w:sz w:val="24"/>
          <w:lang w:val="en-US" w:eastAsia="zh-CN"/>
        </w:rPr>
        <w:t>三</w:t>
      </w:r>
      <w:r>
        <w:rPr>
          <w:rFonts w:hint="eastAsia" w:ascii="宋体" w:hAnsi="宋体" w:eastAsia="宋体" w:cs="宋体"/>
          <w:sz w:val="24"/>
        </w:rPr>
        <w:t>方面进行评价。</w:t>
      </w:r>
    </w:p>
    <w:p>
      <w:pPr>
        <w:numPr>
          <w:ilvl w:val="0"/>
          <w:numId w:val="7"/>
        </w:num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常住人员和社会保险支出规横（</w:t>
      </w:r>
      <w:r>
        <w:rPr>
          <w:rFonts w:hint="eastAsia" w:ascii="宋体" w:hAnsi="宋体" w:eastAsia="宋体" w:cs="宋体"/>
          <w:color w:val="auto"/>
          <w:sz w:val="24"/>
          <w:lang w:val="en-US" w:eastAsia="zh-CN"/>
        </w:rPr>
        <w:t>分值3分</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本项反映和考核竹岐乡常住人员和社会保险支出规横与上年对比情况。</w:t>
      </w:r>
    </w:p>
    <w:p>
      <w:pPr>
        <w:numPr>
          <w:ilvl w:val="0"/>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评分标准“</w:t>
      </w:r>
      <w:r>
        <w:rPr>
          <w:rFonts w:hint="eastAsia" w:ascii="宋体" w:hAnsi="宋体" w:eastAsia="宋体" w:cs="宋体"/>
          <w:color w:val="auto"/>
          <w:sz w:val="24"/>
          <w:lang w:eastAsia="zh-CN"/>
        </w:rPr>
        <w:t>常住人员和社会保险支出规横≥上年水平，得满分；反之，不得分。”</w:t>
      </w:r>
    </w:p>
    <w:p>
      <w:pPr>
        <w:numPr>
          <w:ilvl w:val="0"/>
          <w:numId w:val="0"/>
        </w:num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根据闽侯县竹岐乡政府2022年工作总结和有关信息资料，2022年竹岐乡常住人员为33618人，社会保险支出为109.78万元，略高于上年水平。</w:t>
      </w:r>
      <w:r>
        <w:rPr>
          <w:rFonts w:hint="eastAsia" w:ascii="宋体" w:hAnsi="宋体" w:eastAsia="宋体" w:cs="宋体"/>
          <w:sz w:val="24"/>
        </w:rPr>
        <w:t>本项得</w:t>
      </w:r>
      <w:r>
        <w:rPr>
          <w:rFonts w:hint="eastAsia" w:ascii="宋体" w:hAnsi="宋体" w:eastAsia="宋体" w:cs="宋体"/>
          <w:sz w:val="24"/>
          <w:lang w:val="en-US" w:eastAsia="zh-CN"/>
        </w:rPr>
        <w:t>分3</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rPr>
        <w:t>（2）税收收入占一般公共预算收入的比重（</w:t>
      </w:r>
      <w:r>
        <w:rPr>
          <w:rFonts w:hint="eastAsia" w:ascii="宋体" w:hAnsi="宋体" w:eastAsia="宋体" w:cs="宋体"/>
          <w:color w:val="auto"/>
          <w:sz w:val="24"/>
          <w:lang w:val="en-US" w:eastAsia="zh-CN"/>
        </w:rPr>
        <w:t>分值3分</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本项反映和考核一般公共预算收入构成质量。</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lang w:val="en-US" w:eastAsia="zh-CN"/>
        </w:rPr>
        <w:t>评分标准“</w:t>
      </w:r>
      <w:r>
        <w:rPr>
          <w:rFonts w:hint="eastAsia" w:ascii="宋体" w:hAnsi="宋体" w:eastAsia="宋体" w:cs="宋体"/>
          <w:sz w:val="24"/>
        </w:rPr>
        <w:t>税收收入占一般公共预算收入的比重≥上年水平，得满分；反之，不得分。</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竹岐乡人民政府2022年决算表》一般公共预算收入6150万元，全部为税收收入，税性占比100%。其中主要为企业所得税、土地增值税、增值税、个人所得税(款)、印花税，分别占比为49.4%、29.51%、9.37%、5.4%、3.51%。本项得分</w:t>
      </w:r>
      <w:r>
        <w:rPr>
          <w:rFonts w:hint="eastAsia" w:ascii="宋体" w:hAnsi="宋体" w:eastAsia="宋体" w:cs="宋体"/>
          <w:sz w:val="24"/>
          <w:lang w:val="en-US" w:eastAsia="zh-CN"/>
        </w:rPr>
        <w:t>3</w:t>
      </w:r>
      <w:r>
        <w:rPr>
          <w:rFonts w:hint="eastAsia" w:ascii="宋体" w:hAnsi="宋体" w:eastAsia="宋体" w:cs="宋体"/>
          <w:sz w:val="24"/>
        </w:rPr>
        <w:t>分。</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3</w:t>
      </w:r>
      <w:r>
        <w:rPr>
          <w:rFonts w:hint="eastAsia" w:ascii="宋体" w:hAnsi="宋体" w:eastAsia="宋体" w:cs="宋体"/>
          <w:b w:val="0"/>
          <w:bCs w:val="0"/>
          <w:sz w:val="24"/>
          <w:lang w:eastAsia="zh-CN"/>
        </w:rPr>
        <w:t>）投诉案件处理完成率</w:t>
      </w:r>
      <w:r>
        <w:rPr>
          <w:rFonts w:hint="eastAsia" w:ascii="宋体" w:hAnsi="宋体" w:eastAsia="宋体" w:cs="宋体"/>
          <w:b w:val="0"/>
          <w:bCs w:val="0"/>
          <w:sz w:val="24"/>
        </w:rPr>
        <w:t>（分值</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本项反映和考核竹岐乡政府对诉求件的回复率，满意率。</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color w:val="auto"/>
          <w:sz w:val="24"/>
          <w:lang w:val="en-US" w:eastAsia="zh-CN"/>
        </w:rPr>
        <w:t>评分标准“</w:t>
      </w:r>
      <w:r>
        <w:rPr>
          <w:rFonts w:hint="eastAsia" w:ascii="宋体" w:hAnsi="宋体" w:eastAsia="宋体" w:cs="宋体"/>
          <w:sz w:val="24"/>
        </w:rPr>
        <w:t>诉求件回复率100%，满意率95%以上。得满分;反之,不得分。</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根据闽侯县竹岐乡政府2022年工作总结和有关信息资料，政务公开和“12345”便民惠企系统等平台充分发挥作用，做到回复率100%，满意率100%，城乡管理工作日臻改善。</w:t>
      </w:r>
      <w:r>
        <w:rPr>
          <w:rFonts w:hint="eastAsia" w:ascii="宋体" w:hAnsi="宋体" w:eastAsia="宋体" w:cs="宋体"/>
          <w:sz w:val="24"/>
        </w:rPr>
        <w:t>本项得分</w:t>
      </w:r>
      <w:r>
        <w:rPr>
          <w:rFonts w:hint="eastAsia" w:ascii="宋体" w:hAnsi="宋体" w:eastAsia="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3.职责履行（时效目标）（分值</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产出时效指标权重为</w:t>
      </w:r>
      <w:r>
        <w:rPr>
          <w:rFonts w:hint="eastAsia" w:ascii="宋体" w:hAnsi="宋体" w:eastAsia="宋体" w:cs="宋体"/>
          <w:sz w:val="24"/>
          <w:lang w:val="en-US" w:eastAsia="zh-CN"/>
        </w:rPr>
        <w:t>2</w:t>
      </w:r>
      <w:r>
        <w:rPr>
          <w:rFonts w:hint="eastAsia" w:ascii="宋体" w:hAnsi="宋体" w:eastAsia="宋体" w:cs="宋体"/>
          <w:sz w:val="24"/>
        </w:rPr>
        <w:t>%，从项目</w:t>
      </w:r>
      <w:r>
        <w:rPr>
          <w:rFonts w:hint="eastAsia" w:ascii="宋体" w:hAnsi="宋体" w:eastAsia="宋体" w:cs="宋体"/>
          <w:sz w:val="24"/>
          <w:lang w:val="en-US" w:eastAsia="zh-CN"/>
        </w:rPr>
        <w:t>完成及时性</w:t>
      </w:r>
      <w:r>
        <w:rPr>
          <w:rFonts w:hint="eastAsia" w:ascii="宋体" w:hAnsi="宋体" w:eastAsia="宋体" w:cs="宋体"/>
          <w:sz w:val="24"/>
        </w:rPr>
        <w:t>进行评价。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主要</w:t>
      </w:r>
      <w:r>
        <w:rPr>
          <w:rFonts w:hint="eastAsia" w:ascii="宋体" w:hAnsi="宋体" w:eastAsia="宋体" w:cs="宋体"/>
          <w:sz w:val="24"/>
        </w:rPr>
        <w:t>衡量项目进度情况。项目进度达成率=项目实际进度/项目计划进度×100%</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评分标准：</w:t>
      </w:r>
      <w:r>
        <w:rPr>
          <w:rFonts w:hint="eastAsia" w:ascii="宋体" w:hAnsi="宋体" w:eastAsia="宋体" w:cs="宋体"/>
          <w:sz w:val="24"/>
          <w:lang w:eastAsia="zh-CN"/>
        </w:rPr>
        <w:t>“</w:t>
      </w:r>
      <w:r>
        <w:rPr>
          <w:rFonts w:hint="eastAsia" w:ascii="宋体" w:hAnsi="宋体" w:eastAsia="宋体" w:cs="宋体"/>
          <w:sz w:val="24"/>
        </w:rPr>
        <w:t>①项目进度达成率100%，得2分；②90%≤项目进度达成率&lt;100%，得1分；③80%≤项目进度达成率&lt;90%，得0.5分；④项目进度达成率&lt;80%，不得分。</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r>
        <w:rPr>
          <w:rFonts w:hint="eastAsia" w:ascii="宋体" w:hAnsi="宋体" w:eastAsia="宋体" w:cs="宋体"/>
          <w:sz w:val="24"/>
        </w:rPr>
        <w:t>根据闽侯县竹岐乡政府2022年工作总结和有关信息资料，2022年度计划完成11项目，实际完成11个项目。项目进度达成率=（11×100%）/（11×100%）×100%=100%。2022年度“项目攻坚落实年”专项行动建设项目提速攻坚项目11项，总投资101.64亿元，年计划投资40.4亿元，1-11月累计申报完成投资43.3669亿元，占年计划的107%，计划开工项目2项，已开工2项，开工率100%；计划竣工项目3项，已竣工项，竣工率100%。本项得分</w:t>
      </w:r>
      <w:r>
        <w:rPr>
          <w:rFonts w:hint="eastAsia" w:ascii="宋体" w:hAnsi="宋体" w:eastAsia="宋体" w:cs="宋体"/>
          <w:sz w:val="24"/>
          <w:lang w:val="en-US" w:eastAsia="zh-CN"/>
        </w:rPr>
        <w:t>2</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4.职责履行（成本目标）（分值</w:t>
      </w:r>
      <w:r>
        <w:rPr>
          <w:rFonts w:hint="eastAsia" w:ascii="宋体" w:hAnsi="宋体" w:eastAsia="宋体" w:cs="宋体"/>
          <w:sz w:val="24"/>
          <w:lang w:val="en-US" w:eastAsia="zh-CN"/>
        </w:rPr>
        <w:t>6</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产出成本指标权重为</w:t>
      </w:r>
      <w:r>
        <w:rPr>
          <w:rFonts w:hint="eastAsia" w:ascii="宋体" w:hAnsi="宋体" w:eastAsia="宋体" w:cs="宋体"/>
          <w:sz w:val="24"/>
          <w:lang w:val="en-US" w:eastAsia="zh-CN"/>
        </w:rPr>
        <w:t>6</w:t>
      </w:r>
      <w:r>
        <w:rPr>
          <w:rFonts w:hint="eastAsia" w:ascii="宋体" w:hAnsi="宋体" w:eastAsia="宋体" w:cs="宋体"/>
          <w:sz w:val="24"/>
        </w:rPr>
        <w:t>%，从基本支出控制率</w:t>
      </w:r>
      <w:r>
        <w:rPr>
          <w:rFonts w:hint="eastAsia" w:ascii="宋体" w:hAnsi="宋体" w:eastAsia="宋体" w:cs="宋体"/>
          <w:sz w:val="24"/>
          <w:lang w:val="en-US" w:eastAsia="zh-CN"/>
        </w:rPr>
        <w:t>和项目支出执行率</w:t>
      </w:r>
      <w:r>
        <w:rPr>
          <w:rFonts w:hint="eastAsia" w:ascii="宋体" w:hAnsi="宋体" w:eastAsia="宋体" w:cs="宋体"/>
          <w:sz w:val="24"/>
        </w:rPr>
        <w:t>进行评价。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（1）基本支出控制率</w:t>
      </w:r>
      <w:r>
        <w:rPr>
          <w:rFonts w:hint="eastAsia" w:ascii="宋体" w:hAnsi="宋体" w:eastAsia="宋体" w:cs="宋体"/>
          <w:sz w:val="24"/>
          <w:lang w:eastAsia="zh-CN"/>
        </w:rPr>
        <w:t>（</w:t>
      </w:r>
      <w:r>
        <w:rPr>
          <w:rFonts w:hint="eastAsia" w:ascii="宋体" w:hAnsi="宋体" w:eastAsia="宋体" w:cs="宋体"/>
          <w:sz w:val="24"/>
        </w:rPr>
        <w:t>分值</w:t>
      </w:r>
      <w:r>
        <w:rPr>
          <w:rFonts w:hint="eastAsia" w:ascii="宋体" w:hAnsi="宋体" w:eastAsia="宋体" w:cs="宋体"/>
          <w:sz w:val="24"/>
          <w:lang w:val="en-US" w:eastAsia="zh-CN"/>
        </w:rPr>
        <w:t>3</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得分</w:t>
      </w:r>
      <w:r>
        <w:rPr>
          <w:rFonts w:hint="eastAsia" w:ascii="宋体" w:hAnsi="宋体" w:eastAsia="宋体" w:cs="宋体"/>
          <w:sz w:val="24"/>
          <w:lang w:val="en-US" w:eastAsia="zh-CN"/>
        </w:rPr>
        <w:t>3</w:t>
      </w:r>
      <w:r>
        <w:rPr>
          <w:rFonts w:hint="eastAsia" w:ascii="宋体" w:hAnsi="宋体" w:eastAsia="宋体" w:cs="宋体"/>
          <w:color w:val="auto"/>
          <w:sz w:val="24"/>
        </w:rPr>
        <w:t>分</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主要</w:t>
      </w:r>
      <w:r>
        <w:rPr>
          <w:rFonts w:hint="eastAsia" w:ascii="宋体" w:hAnsi="宋体" w:eastAsia="宋体" w:cs="宋体"/>
          <w:sz w:val="24"/>
        </w:rPr>
        <w:t>用于衡量</w:t>
      </w:r>
      <w:r>
        <w:rPr>
          <w:rFonts w:hint="eastAsia" w:ascii="宋体" w:hAnsi="宋体" w:eastAsia="宋体" w:cs="宋体"/>
          <w:sz w:val="24"/>
          <w:lang w:val="en-US" w:eastAsia="zh-CN"/>
        </w:rPr>
        <w:t>莆田市涵江区人社局</w:t>
      </w:r>
      <w:r>
        <w:rPr>
          <w:rFonts w:hint="eastAsia" w:ascii="宋体" w:hAnsi="宋体" w:eastAsia="宋体" w:cs="宋体"/>
          <w:sz w:val="24"/>
        </w:rPr>
        <w:t>基本支出成本控制情况</w:t>
      </w:r>
      <w:r>
        <w:rPr>
          <w:rFonts w:hint="eastAsia" w:ascii="宋体" w:hAnsi="宋体" w:eastAsia="宋体" w:cs="宋体"/>
          <w:sz w:val="24"/>
          <w:lang w:eastAsia="zh-CN"/>
        </w:rPr>
        <w:t>。</w:t>
      </w:r>
      <w:r>
        <w:rPr>
          <w:rFonts w:hint="eastAsia" w:ascii="宋体" w:hAnsi="宋体" w:eastAsia="宋体" w:cs="宋体"/>
          <w:color w:val="auto"/>
          <w:sz w:val="24"/>
        </w:rPr>
        <w:t>基本支出控制率＝截至年末累计基本支出数/当年度预算×100%</w:t>
      </w:r>
      <w:r>
        <w:rPr>
          <w:rFonts w:hint="eastAsia" w:ascii="宋体" w:hAnsi="宋体" w:eastAsia="宋体" w:cs="宋体"/>
          <w:color w:val="auto"/>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评分标准为“基本支出控制率≤100得满分，每超10%扣1分，扣完为止”。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根据2022年收入支出决算总表，基本支出控制率＝截至2022年末累计基本支出数/当年度预算×100%=1989.86万元/1989.86万元×100%=%。本项得分3分。</w:t>
      </w:r>
    </w:p>
    <w:p>
      <w:pPr>
        <w:numPr>
          <w:ilvl w:val="0"/>
          <w:numId w:val="7"/>
        </w:num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项目支出执行率</w:t>
      </w:r>
      <w:r>
        <w:rPr>
          <w:rFonts w:hint="eastAsia" w:ascii="宋体" w:hAnsi="宋体" w:eastAsia="宋体" w:cs="宋体"/>
          <w:sz w:val="24"/>
          <w:lang w:eastAsia="zh-CN"/>
        </w:rPr>
        <w:t>（</w:t>
      </w:r>
      <w:r>
        <w:rPr>
          <w:rFonts w:hint="eastAsia" w:ascii="宋体" w:hAnsi="宋体" w:eastAsia="宋体" w:cs="宋体"/>
          <w:sz w:val="24"/>
        </w:rPr>
        <w:t>分值</w:t>
      </w:r>
      <w:r>
        <w:rPr>
          <w:rFonts w:hint="eastAsia" w:ascii="宋体" w:hAnsi="宋体" w:eastAsia="宋体" w:cs="宋体"/>
          <w:sz w:val="24"/>
          <w:lang w:val="en-US" w:eastAsia="zh-CN"/>
        </w:rPr>
        <w:t>3</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得分</w:t>
      </w:r>
      <w:r>
        <w:rPr>
          <w:rFonts w:hint="eastAsia" w:ascii="宋体" w:hAnsi="宋体" w:eastAsia="宋体" w:cs="宋体"/>
          <w:sz w:val="24"/>
          <w:lang w:val="en-US" w:eastAsia="zh-CN"/>
        </w:rPr>
        <w:t>3</w:t>
      </w:r>
      <w:r>
        <w:rPr>
          <w:rFonts w:hint="eastAsia" w:ascii="宋体" w:hAnsi="宋体" w:eastAsia="宋体" w:cs="宋体"/>
          <w:color w:val="auto"/>
          <w:sz w:val="24"/>
        </w:rPr>
        <w:t>分</w:t>
      </w:r>
      <w:r>
        <w:rPr>
          <w:rFonts w:hint="eastAsia" w:ascii="宋体" w:hAnsi="宋体" w:eastAsia="宋体" w:cs="宋体"/>
          <w:sz w:val="24"/>
        </w:rPr>
        <w:t>）</w:t>
      </w:r>
    </w:p>
    <w:p>
      <w:pPr>
        <w:numPr>
          <w:ilvl w:val="0"/>
          <w:numId w:val="0"/>
        </w:numPr>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主要</w:t>
      </w:r>
      <w:r>
        <w:rPr>
          <w:rFonts w:hint="eastAsia" w:ascii="宋体" w:hAnsi="宋体" w:eastAsia="宋体" w:cs="宋体"/>
          <w:b w:val="0"/>
          <w:bCs w:val="0"/>
          <w:sz w:val="24"/>
        </w:rPr>
        <w:t>衡量</w:t>
      </w:r>
      <w:r>
        <w:rPr>
          <w:rFonts w:hint="eastAsia" w:ascii="宋体" w:hAnsi="宋体" w:eastAsia="宋体" w:cs="宋体"/>
          <w:sz w:val="24"/>
          <w:lang w:val="en-US" w:eastAsia="zh-CN"/>
        </w:rPr>
        <w:t>莆田市涵江区人社局</w:t>
      </w:r>
      <w:r>
        <w:rPr>
          <w:rFonts w:hint="eastAsia" w:ascii="宋体" w:hAnsi="宋体" w:eastAsia="宋体" w:cs="宋体"/>
          <w:b w:val="0"/>
          <w:bCs w:val="0"/>
          <w:sz w:val="24"/>
          <w:lang w:val="en-US" w:eastAsia="zh-CN"/>
        </w:rPr>
        <w:t>项目</w:t>
      </w:r>
      <w:r>
        <w:rPr>
          <w:rFonts w:hint="eastAsia" w:ascii="宋体" w:hAnsi="宋体" w:eastAsia="宋体" w:cs="宋体"/>
          <w:b w:val="0"/>
          <w:bCs w:val="0"/>
          <w:sz w:val="24"/>
        </w:rPr>
        <w:t>成本控制情况。项目支出执行率=项目支出实际执行数/当年度预算</w:t>
      </w:r>
      <w:r>
        <w:rPr>
          <w:rFonts w:hint="eastAsia" w:ascii="宋体" w:hAnsi="宋体" w:eastAsia="宋体" w:cs="宋体"/>
          <w:color w:val="auto"/>
          <w:sz w:val="24"/>
        </w:rPr>
        <w:t>×100%</w:t>
      </w:r>
      <w:r>
        <w:rPr>
          <w:rFonts w:hint="eastAsia" w:ascii="宋体" w:hAnsi="宋体" w:eastAsia="宋体" w:cs="宋体"/>
          <w:color w:val="auto"/>
          <w:sz w:val="24"/>
          <w:lang w:eastAsia="zh-CN"/>
        </w:rPr>
        <w:t>。</w:t>
      </w:r>
    </w:p>
    <w:p>
      <w:pPr>
        <w:numPr>
          <w:ilvl w:val="0"/>
          <w:numId w:val="0"/>
        </w:numPr>
        <w:spacing w:line="360" w:lineRule="auto"/>
        <w:ind w:leftChars="200"/>
        <w:rPr>
          <w:rFonts w:hint="eastAsia" w:ascii="宋体" w:hAnsi="宋体" w:eastAsia="宋体" w:cs="宋体"/>
          <w:sz w:val="24"/>
          <w:lang w:eastAsia="zh-CN"/>
        </w:rPr>
      </w:pPr>
      <w:r>
        <w:rPr>
          <w:rFonts w:hint="eastAsia" w:ascii="宋体" w:hAnsi="宋体" w:eastAsia="宋体" w:cs="宋体"/>
          <w:sz w:val="24"/>
        </w:rPr>
        <w:t>评分标准为“项目支出执行率≤100%,得满分，反之不得分</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lang w:eastAsia="zh-CN"/>
        </w:rPr>
        <w:t>根据2022年收入支出决算总表，项目支出执行率＝截至2022年末累计项目支出数/当年度预算×100%=14949.86万元/14949.86万元×100%=100%。</w:t>
      </w:r>
      <w:r>
        <w:rPr>
          <w:rFonts w:hint="eastAsia" w:ascii="宋体" w:hAnsi="宋体" w:eastAsia="宋体" w:cs="宋体"/>
          <w:color w:val="auto"/>
          <w:sz w:val="24"/>
        </w:rPr>
        <w:t>本项得分3分</w:t>
      </w:r>
      <w:r>
        <w:rPr>
          <w:rFonts w:hint="eastAsia" w:ascii="宋体" w:hAnsi="宋体" w:eastAsia="宋体" w:cs="宋体"/>
          <w:color w:val="auto"/>
          <w:sz w:val="24"/>
          <w:lang w:eastAsia="zh-CN"/>
        </w:rPr>
        <w:t>。</w:t>
      </w:r>
    </w:p>
    <w:p>
      <w:pPr>
        <w:pStyle w:val="3"/>
        <w:bidi w:val="0"/>
        <w:rPr>
          <w:rFonts w:hint="eastAsia" w:ascii="宋体" w:hAnsi="宋体" w:cs="宋体"/>
        </w:rPr>
      </w:pPr>
      <w:bookmarkStart w:id="190" w:name="_Toc18153"/>
      <w:bookmarkStart w:id="191" w:name="_Toc21764"/>
      <w:bookmarkStart w:id="192" w:name="_Toc14219"/>
      <w:bookmarkStart w:id="193" w:name="_Toc30163"/>
      <w:bookmarkStart w:id="194" w:name="_Toc15910"/>
      <w:bookmarkStart w:id="195" w:name="_Toc28645"/>
      <w:bookmarkStart w:id="196" w:name="_Toc9471"/>
      <w:bookmarkStart w:id="197" w:name="_Toc30031"/>
      <w:bookmarkStart w:id="198" w:name="_Toc22766"/>
      <w:bookmarkStart w:id="199" w:name="_Toc18538"/>
      <w:bookmarkStart w:id="200" w:name="_Toc3680"/>
      <w:bookmarkStart w:id="201" w:name="_Toc3778"/>
      <w:r>
        <w:rPr>
          <w:rFonts w:hint="eastAsia" w:ascii="宋体" w:hAnsi="宋体" w:cs="宋体"/>
          <w:lang w:eastAsia="zh-CN"/>
        </w:rPr>
        <w:t>（</w:t>
      </w:r>
      <w:r>
        <w:rPr>
          <w:rFonts w:hint="eastAsia" w:ascii="宋体" w:hAnsi="宋体" w:cs="宋体"/>
          <w:lang w:val="en-US" w:eastAsia="zh-CN"/>
        </w:rPr>
        <w:t>四</w:t>
      </w:r>
      <w:r>
        <w:rPr>
          <w:rFonts w:hint="eastAsia" w:ascii="宋体" w:hAnsi="宋体" w:cs="宋体"/>
          <w:lang w:eastAsia="zh-CN"/>
        </w:rPr>
        <w:t>）</w:t>
      </w:r>
      <w:r>
        <w:rPr>
          <w:rFonts w:hint="eastAsia" w:ascii="宋体" w:hAnsi="宋体" w:cs="宋体"/>
        </w:rPr>
        <w:t>履职</w:t>
      </w:r>
      <w:r>
        <w:rPr>
          <w:rFonts w:hint="eastAsia" w:ascii="宋体" w:hAnsi="宋体" w:cs="宋体"/>
          <w:lang w:val="en-US" w:eastAsia="zh-CN"/>
        </w:rPr>
        <w:t>效益</w:t>
      </w:r>
      <w:r>
        <w:rPr>
          <w:rFonts w:hint="eastAsia" w:ascii="宋体" w:hAnsi="宋体" w:cs="宋体"/>
        </w:rPr>
        <w:t>（分值</w:t>
      </w:r>
      <w:r>
        <w:rPr>
          <w:rFonts w:hint="eastAsia" w:ascii="宋体" w:hAnsi="宋体" w:cs="宋体"/>
          <w:lang w:val="en-US" w:eastAsia="zh-CN"/>
        </w:rPr>
        <w:t>30</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得分27.8分</w:t>
      </w:r>
      <w:r>
        <w:rPr>
          <w:rFonts w:hint="eastAsia" w:ascii="宋体" w:hAnsi="宋体" w:cs="宋体"/>
        </w:rPr>
        <w:t>）</w:t>
      </w:r>
      <w:bookmarkEnd w:id="190"/>
      <w:bookmarkEnd w:id="191"/>
      <w:bookmarkEnd w:id="192"/>
      <w:bookmarkEnd w:id="193"/>
      <w:bookmarkEnd w:id="194"/>
      <w:bookmarkEnd w:id="195"/>
      <w:bookmarkEnd w:id="196"/>
      <w:bookmarkEnd w:id="197"/>
      <w:bookmarkEnd w:id="198"/>
      <w:bookmarkEnd w:id="199"/>
      <w:bookmarkEnd w:id="200"/>
      <w:bookmarkEnd w:id="201"/>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履职</w:t>
      </w:r>
      <w:r>
        <w:rPr>
          <w:rFonts w:hint="eastAsia" w:ascii="宋体" w:hAnsi="宋体" w:eastAsia="宋体" w:cs="宋体"/>
          <w:sz w:val="24"/>
          <w:lang w:val="en-US" w:eastAsia="zh-CN"/>
        </w:rPr>
        <w:t>效益</w:t>
      </w:r>
      <w:r>
        <w:rPr>
          <w:rFonts w:hint="eastAsia" w:ascii="宋体" w:hAnsi="宋体" w:eastAsia="宋体" w:cs="宋体"/>
          <w:sz w:val="24"/>
        </w:rPr>
        <w:t>指标权重为</w:t>
      </w:r>
      <w:r>
        <w:rPr>
          <w:rFonts w:hint="eastAsia" w:ascii="宋体" w:hAnsi="宋体" w:eastAsia="宋体" w:cs="宋体"/>
          <w:sz w:val="24"/>
          <w:lang w:val="en-US" w:eastAsia="zh-CN"/>
        </w:rPr>
        <w:t>30</w:t>
      </w:r>
      <w:r>
        <w:rPr>
          <w:rFonts w:hint="eastAsia" w:ascii="宋体" w:hAnsi="宋体" w:eastAsia="宋体" w:cs="宋体"/>
          <w:sz w:val="24"/>
        </w:rPr>
        <w:t>%，从</w:t>
      </w:r>
      <w:r>
        <w:rPr>
          <w:rFonts w:hint="eastAsia" w:ascii="宋体" w:hAnsi="宋体" w:eastAsia="宋体" w:cs="宋体"/>
          <w:sz w:val="24"/>
          <w:lang w:val="en-US" w:eastAsia="zh-CN"/>
        </w:rPr>
        <w:t>规模以上工业产值</w:t>
      </w:r>
      <w:r>
        <w:rPr>
          <w:rFonts w:hint="eastAsia" w:ascii="宋体" w:hAnsi="宋体" w:eastAsia="宋体" w:cs="宋体"/>
          <w:sz w:val="24"/>
          <w:lang w:eastAsia="zh-CN"/>
        </w:rPr>
        <w:t>、</w:t>
      </w:r>
      <w:r>
        <w:rPr>
          <w:rFonts w:hint="eastAsia" w:ascii="宋体" w:hAnsi="宋体" w:eastAsia="宋体" w:cs="宋体"/>
          <w:sz w:val="24"/>
        </w:rPr>
        <w:t>社会保险参保人数和保险收入规模</w:t>
      </w:r>
      <w:r>
        <w:rPr>
          <w:rFonts w:hint="eastAsia" w:ascii="宋体" w:hAnsi="宋体" w:eastAsia="宋体" w:cs="宋体"/>
          <w:sz w:val="24"/>
          <w:lang w:eastAsia="zh-CN"/>
        </w:rPr>
        <w:t>、社会保险发放人数和支出规模、失地农民保障人数和补贴支出、行政村村财收入目标、</w:t>
      </w:r>
      <w:r>
        <w:rPr>
          <w:rFonts w:hint="eastAsia" w:ascii="宋体" w:hAnsi="宋体" w:eastAsia="宋体" w:cs="宋体"/>
          <w:sz w:val="24"/>
          <w:lang w:val="en-US" w:eastAsia="zh-CN"/>
        </w:rPr>
        <w:t>服务对象满意度六</w:t>
      </w:r>
      <w:r>
        <w:rPr>
          <w:rFonts w:hint="eastAsia" w:ascii="宋体" w:hAnsi="宋体" w:eastAsia="宋体" w:cs="宋体"/>
          <w:sz w:val="24"/>
        </w:rPr>
        <w:t>方面进行评价。</w:t>
      </w:r>
    </w:p>
    <w:p>
      <w:pPr>
        <w:numPr>
          <w:ilvl w:val="0"/>
          <w:numId w:val="8"/>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规模以上工业产值</w:t>
      </w:r>
      <w:r>
        <w:rPr>
          <w:rFonts w:hint="eastAsia" w:ascii="宋体" w:hAnsi="宋体" w:eastAsia="宋体" w:cs="宋体"/>
          <w:sz w:val="24"/>
        </w:rPr>
        <w:t>（分值</w:t>
      </w:r>
      <w:r>
        <w:rPr>
          <w:rFonts w:hint="eastAsia" w:ascii="宋体" w:hAnsi="宋体" w:eastAsia="宋体" w:cs="宋体"/>
          <w:sz w:val="24"/>
          <w:lang w:val="en-US" w:eastAsia="zh-CN"/>
        </w:rPr>
        <w:t>4</w:t>
      </w:r>
      <w:r>
        <w:rPr>
          <w:rFonts w:hint="eastAsia" w:ascii="宋体" w:hAnsi="宋体" w:eastAsia="宋体" w:cs="宋体"/>
          <w:sz w:val="24"/>
        </w:rPr>
        <w:t>分）</w:t>
      </w:r>
    </w:p>
    <w:p>
      <w:pPr>
        <w:numPr>
          <w:ilvl w:val="0"/>
          <w:numId w:val="0"/>
        </w:numPr>
        <w:spacing w:line="360" w:lineRule="auto"/>
        <w:ind w:firstLine="720" w:firstLineChars="300"/>
        <w:rPr>
          <w:rFonts w:hint="eastAsia" w:ascii="宋体" w:hAnsi="宋体" w:eastAsia="宋体" w:cs="宋体"/>
          <w:sz w:val="24"/>
        </w:rPr>
      </w:pPr>
      <w:r>
        <w:rPr>
          <w:rFonts w:hint="eastAsia" w:ascii="宋体" w:hAnsi="宋体" w:eastAsia="宋体" w:cs="宋体"/>
          <w:sz w:val="24"/>
          <w:lang w:val="en-US" w:eastAsia="zh-CN"/>
        </w:rPr>
        <w:t>本项反映和考核竹岐乡政府规模以上工业产值完成情况。</w:t>
      </w:r>
    </w:p>
    <w:p>
      <w:pPr>
        <w:numPr>
          <w:ilvl w:val="0"/>
          <w:numId w:val="0"/>
        </w:numPr>
        <w:spacing w:line="360" w:lineRule="auto"/>
        <w:ind w:firstLine="720" w:firstLineChars="300"/>
        <w:rPr>
          <w:rFonts w:hint="eastAsia" w:ascii="宋体" w:hAnsi="宋体" w:eastAsia="宋体" w:cs="宋体"/>
          <w:sz w:val="24"/>
        </w:rPr>
      </w:pPr>
      <w:r>
        <w:rPr>
          <w:rFonts w:hint="eastAsia" w:ascii="宋体" w:hAnsi="宋体" w:eastAsia="宋体" w:cs="宋体"/>
          <w:sz w:val="24"/>
        </w:rPr>
        <w:t>评分标准</w:t>
      </w:r>
      <w:r>
        <w:rPr>
          <w:rFonts w:hint="eastAsia" w:ascii="宋体" w:hAnsi="宋体" w:eastAsia="宋体" w:cs="宋体"/>
          <w:sz w:val="24"/>
          <w:lang w:val="en-US" w:eastAsia="zh-CN"/>
        </w:rPr>
        <w:t>为</w:t>
      </w:r>
      <w:r>
        <w:rPr>
          <w:rFonts w:hint="eastAsia" w:ascii="宋体" w:hAnsi="宋体" w:eastAsia="宋体" w:cs="宋体"/>
          <w:sz w:val="24"/>
          <w:lang w:eastAsia="zh-CN"/>
        </w:rPr>
        <w:t>“</w:t>
      </w:r>
      <w:r>
        <w:rPr>
          <w:rFonts w:hint="eastAsia" w:ascii="宋体" w:hAnsi="宋体" w:eastAsia="宋体" w:cs="宋体"/>
          <w:sz w:val="24"/>
        </w:rPr>
        <w:t>统计标准符合各项政策规定；得满分，每发现一项不符合政策规定的，扣0.5分，扣完为止</w:t>
      </w:r>
      <w:r>
        <w:rPr>
          <w:rFonts w:hint="eastAsia" w:ascii="宋体" w:hAnsi="宋体" w:eastAsia="宋体" w:cs="宋体"/>
          <w:sz w:val="24"/>
          <w:lang w:eastAsia="zh-CN"/>
        </w:rPr>
        <w:t>”</w:t>
      </w:r>
      <w:r>
        <w:rPr>
          <w:rFonts w:hint="eastAsia" w:ascii="宋体" w:hAnsi="宋体" w:eastAsia="宋体" w:cs="宋体"/>
          <w:sz w:val="24"/>
        </w:rPr>
        <w:t>。</w:t>
      </w:r>
    </w:p>
    <w:p>
      <w:pPr>
        <w:numPr>
          <w:ilvl w:val="0"/>
          <w:numId w:val="0"/>
        </w:numPr>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根据闽侯县竹岐乡政府2022年工作总结和有关信息资料，2022年1-11月，规模以上工业产值完成39.9325亿元，全年预计完成44.4325亿元；统计标准符合各项政策规定。</w:t>
      </w:r>
      <w:r>
        <w:rPr>
          <w:rFonts w:hint="eastAsia" w:ascii="宋体" w:hAnsi="宋体" w:eastAsia="宋体" w:cs="宋体"/>
          <w:color w:val="auto"/>
          <w:sz w:val="24"/>
        </w:rPr>
        <w:t>本项得分</w:t>
      </w:r>
      <w:r>
        <w:rPr>
          <w:rFonts w:hint="eastAsia" w:ascii="宋体" w:hAnsi="宋体" w:eastAsia="宋体" w:cs="宋体"/>
          <w:color w:val="auto"/>
          <w:sz w:val="24"/>
          <w:lang w:val="en-US" w:eastAsia="zh-CN"/>
        </w:rPr>
        <w:t>4</w:t>
      </w:r>
      <w:r>
        <w:rPr>
          <w:rFonts w:hint="eastAsia" w:ascii="宋体" w:hAnsi="宋体" w:eastAsia="宋体" w:cs="宋体"/>
          <w:color w:val="auto"/>
          <w:sz w:val="24"/>
        </w:rPr>
        <w:t>分</w:t>
      </w:r>
      <w:r>
        <w:rPr>
          <w:rFonts w:hint="eastAsia" w:ascii="宋体" w:hAnsi="宋体" w:eastAsia="宋体" w:cs="宋体"/>
          <w:color w:val="auto"/>
          <w:sz w:val="24"/>
          <w:lang w:eastAsia="zh-CN"/>
        </w:rPr>
        <w:t>。</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2022年年末净资产增长率（（分值</w:t>
      </w:r>
      <w:r>
        <w:rPr>
          <w:rFonts w:hint="eastAsia" w:ascii="宋体" w:hAnsi="宋体" w:eastAsia="宋体" w:cs="宋体"/>
          <w:sz w:val="24"/>
          <w:lang w:val="en-US" w:eastAsia="zh-CN"/>
        </w:rPr>
        <w:t>4</w:t>
      </w:r>
      <w:r>
        <w:rPr>
          <w:rFonts w:hint="eastAsia" w:ascii="宋体" w:hAnsi="宋体" w:eastAsia="宋体" w:cs="宋体"/>
          <w:sz w:val="24"/>
        </w:rPr>
        <w:t>分）</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本项反映和考核竹岐乡政府2022年年末净资产变动情况。</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评分标准</w:t>
      </w:r>
      <w:r>
        <w:rPr>
          <w:rFonts w:hint="eastAsia" w:ascii="宋体" w:hAnsi="宋体" w:eastAsia="宋体" w:cs="宋体"/>
          <w:sz w:val="24"/>
          <w:lang w:eastAsia="zh-CN"/>
        </w:rPr>
        <w:t>“增长率大于或等于零；得满分，每下降10%扣0.5分，扣完为止”。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根据闽侯县竹岐乡政府2022年工作总结和有关信息资料，2022年年末净资产3194.22万元；2021年年末净资产5701.65万元，增长率=3194.22万元/5701.65万元-1=-44%,得分=4-44%/10%*0.5=4-</w:t>
      </w:r>
      <w:r>
        <w:rPr>
          <w:rFonts w:hint="eastAsia" w:ascii="宋体" w:hAnsi="宋体" w:eastAsia="宋体" w:cs="宋体"/>
          <w:sz w:val="24"/>
          <w:lang w:val="en-US" w:eastAsia="zh-CN"/>
        </w:rPr>
        <w:t>2.2</w:t>
      </w:r>
      <w:r>
        <w:rPr>
          <w:rFonts w:hint="eastAsia" w:ascii="宋体" w:hAnsi="宋体" w:eastAsia="宋体" w:cs="宋体"/>
          <w:sz w:val="24"/>
        </w:rPr>
        <w:t>=</w:t>
      </w:r>
      <w:r>
        <w:rPr>
          <w:rFonts w:hint="eastAsia" w:ascii="宋体" w:hAnsi="宋体" w:eastAsia="宋体" w:cs="宋体"/>
          <w:sz w:val="24"/>
          <w:lang w:val="en-US" w:eastAsia="zh-CN"/>
        </w:rPr>
        <w:t>1.8</w:t>
      </w:r>
      <w:r>
        <w:rPr>
          <w:rFonts w:hint="eastAsia" w:ascii="宋体" w:hAnsi="宋体" w:eastAsia="宋体" w:cs="宋体"/>
          <w:sz w:val="24"/>
        </w:rPr>
        <w:t>分.本项</w:t>
      </w:r>
      <w:r>
        <w:rPr>
          <w:rFonts w:hint="eastAsia" w:ascii="宋体" w:hAnsi="宋体" w:eastAsia="宋体" w:cs="宋体"/>
          <w:sz w:val="24"/>
          <w:lang w:val="en-US" w:eastAsia="zh-CN"/>
        </w:rPr>
        <w:t>扣2.2</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color w:val="auto"/>
          <w:sz w:val="24"/>
        </w:rPr>
        <w:t>本项得分</w:t>
      </w:r>
      <w:r>
        <w:rPr>
          <w:rFonts w:hint="eastAsia" w:ascii="宋体" w:hAnsi="宋体" w:eastAsia="宋体" w:cs="宋体"/>
          <w:color w:val="auto"/>
          <w:sz w:val="24"/>
          <w:lang w:val="en-US" w:eastAsia="zh-CN"/>
        </w:rPr>
        <w:t>1.8</w:t>
      </w:r>
      <w:r>
        <w:rPr>
          <w:rFonts w:hint="eastAsia" w:ascii="宋体" w:hAnsi="宋体" w:eastAsia="宋体" w:cs="宋体"/>
          <w:color w:val="auto"/>
          <w:sz w:val="24"/>
        </w:rPr>
        <w:t>分</w:t>
      </w:r>
      <w:r>
        <w:rPr>
          <w:rFonts w:hint="eastAsia" w:ascii="宋体" w:hAnsi="宋体" w:eastAsia="宋体" w:cs="宋体"/>
          <w:sz w:val="24"/>
        </w:rPr>
        <w:t>。</w:t>
      </w:r>
    </w:p>
    <w:p>
      <w:pPr>
        <w:numPr>
          <w:ilvl w:val="0"/>
          <w:numId w:val="0"/>
        </w:numPr>
        <w:spacing w:line="360" w:lineRule="auto"/>
        <w:ind w:left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用于新冠疫情支出（</w:t>
      </w:r>
      <w:r>
        <w:rPr>
          <w:rFonts w:hint="eastAsia" w:ascii="宋体" w:hAnsi="宋体" w:eastAsia="宋体" w:cs="宋体"/>
          <w:sz w:val="24"/>
        </w:rPr>
        <w:t>（分值</w:t>
      </w:r>
      <w:r>
        <w:rPr>
          <w:rFonts w:hint="eastAsia" w:ascii="宋体" w:hAnsi="宋体" w:eastAsia="宋体" w:cs="宋体"/>
          <w:sz w:val="24"/>
          <w:lang w:val="en-US" w:eastAsia="zh-CN"/>
        </w:rPr>
        <w:t>4</w:t>
      </w:r>
      <w:r>
        <w:rPr>
          <w:rFonts w:hint="eastAsia" w:ascii="宋体" w:hAnsi="宋体" w:eastAsia="宋体" w:cs="宋体"/>
          <w:sz w:val="24"/>
        </w:rPr>
        <w:t>分）</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本项反映和考核岐乡政府用于新冠疫情支出。</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评分标准为“符合各项政策规定；得满分，每发现100人不符合政策规定的，扣1分，扣完为止”。</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根据闽侯县竹岐乡政2022年工作总结和有关信息资料，2022年用于新冠疫情支出663.9765万元；符合各项政策规定.</w:t>
      </w:r>
      <w:r>
        <w:rPr>
          <w:rFonts w:hint="eastAsia" w:ascii="宋体" w:hAnsi="宋体" w:eastAsia="宋体" w:cs="宋体"/>
          <w:sz w:val="24"/>
        </w:rPr>
        <w:t>本项得分</w:t>
      </w:r>
      <w:r>
        <w:rPr>
          <w:rFonts w:hint="eastAsia" w:ascii="宋体" w:hAnsi="宋体" w:eastAsia="宋体" w:cs="宋体"/>
          <w:sz w:val="24"/>
          <w:lang w:val="en-US" w:eastAsia="zh-CN"/>
        </w:rPr>
        <w:t>4</w:t>
      </w:r>
      <w:r>
        <w:rPr>
          <w:rFonts w:hint="eastAsia" w:ascii="宋体" w:hAnsi="宋体" w:eastAsia="宋体" w:cs="宋体"/>
          <w:sz w:val="24"/>
        </w:rPr>
        <w:t>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）失地农民保障人数和补贴支出</w:t>
      </w:r>
      <w:r>
        <w:rPr>
          <w:rFonts w:hint="eastAsia" w:ascii="宋体" w:hAnsi="宋体" w:eastAsia="宋体" w:cs="宋体"/>
          <w:sz w:val="24"/>
        </w:rPr>
        <w:t>（分值</w:t>
      </w:r>
      <w:r>
        <w:rPr>
          <w:rFonts w:hint="eastAsia" w:ascii="宋体" w:hAnsi="宋体" w:eastAsia="宋体" w:cs="宋体"/>
          <w:sz w:val="24"/>
          <w:lang w:val="en-US" w:eastAsia="zh-CN"/>
        </w:rPr>
        <w:t>4</w:t>
      </w:r>
      <w:r>
        <w:rPr>
          <w:rFonts w:hint="eastAsia" w:ascii="宋体" w:hAnsi="宋体" w:eastAsia="宋体" w:cs="宋体"/>
          <w:sz w:val="24"/>
        </w:rPr>
        <w:t>分）</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本项反映和考核竹岐乡政府对失地农民保障情况。</w:t>
      </w:r>
    </w:p>
    <w:p>
      <w:pPr>
        <w:numPr>
          <w:ilvl w:val="0"/>
          <w:numId w:val="0"/>
        </w:num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评分标准“符合各项政策规定；得满分，每发现100人不符合政策规定的，扣1分，扣完为止”。</w:t>
      </w:r>
    </w:p>
    <w:p>
      <w:pPr>
        <w:numPr>
          <w:ilvl w:val="0"/>
          <w:numId w:val="0"/>
        </w:num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根据2022年工作总结和有关信息资料，2022年享受失地农民保障人数为2713，共发放失地农民保障支出金额493.9743万元,符合失地农民保障政策规定.</w:t>
      </w:r>
      <w:r>
        <w:rPr>
          <w:rFonts w:hint="eastAsia" w:ascii="宋体" w:hAnsi="宋体" w:eastAsia="宋体" w:cs="宋体"/>
          <w:sz w:val="24"/>
        </w:rPr>
        <w:t>本项得分</w:t>
      </w:r>
      <w:r>
        <w:rPr>
          <w:rFonts w:hint="eastAsia" w:ascii="宋体" w:hAnsi="宋体" w:eastAsia="宋体" w:cs="宋体"/>
          <w:sz w:val="24"/>
          <w:lang w:val="en-US" w:eastAsia="zh-CN"/>
        </w:rPr>
        <w:t>4</w:t>
      </w:r>
      <w:r>
        <w:rPr>
          <w:rFonts w:hint="eastAsia" w:ascii="宋体" w:hAnsi="宋体" w:eastAsia="宋体" w:cs="宋体"/>
          <w:sz w:val="24"/>
        </w:rPr>
        <w:t>分。</w:t>
      </w:r>
    </w:p>
    <w:p>
      <w:pPr>
        <w:numPr>
          <w:ilvl w:val="0"/>
          <w:numId w:val="0"/>
        </w:numPr>
        <w:spacing w:line="360" w:lineRule="auto"/>
        <w:ind w:left="420" w:leftChars="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行政村村财收入目标</w:t>
      </w:r>
      <w:r>
        <w:rPr>
          <w:rFonts w:hint="eastAsia" w:ascii="宋体" w:hAnsi="宋体" w:eastAsia="宋体" w:cs="宋体"/>
          <w:sz w:val="24"/>
        </w:rPr>
        <w:t>（分值</w:t>
      </w:r>
      <w:r>
        <w:rPr>
          <w:rFonts w:hint="eastAsia" w:ascii="宋体" w:hAnsi="宋体" w:eastAsia="宋体" w:cs="宋体"/>
          <w:sz w:val="24"/>
          <w:lang w:val="en-US" w:eastAsia="zh-CN"/>
        </w:rPr>
        <w:t>4</w:t>
      </w:r>
      <w:r>
        <w:rPr>
          <w:rFonts w:hint="eastAsia" w:ascii="宋体" w:hAnsi="宋体" w:eastAsia="宋体" w:cs="宋体"/>
          <w:sz w:val="24"/>
        </w:rPr>
        <w:t>分）</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本项反映和考核竹岐乡政府</w:t>
      </w:r>
      <w:r>
        <w:rPr>
          <w:rFonts w:hint="eastAsia" w:ascii="宋体" w:hAnsi="宋体" w:eastAsia="宋体" w:cs="宋体"/>
          <w:sz w:val="24"/>
          <w:lang w:eastAsia="zh-CN"/>
        </w:rPr>
        <w:t>行政村村财收入目标</w:t>
      </w:r>
      <w:r>
        <w:rPr>
          <w:rFonts w:hint="eastAsia" w:ascii="宋体" w:hAnsi="宋体" w:eastAsia="宋体" w:cs="宋体"/>
          <w:sz w:val="24"/>
          <w:lang w:val="en-US" w:eastAsia="zh-CN"/>
        </w:rPr>
        <w:t>实现情况</w:t>
      </w:r>
    </w:p>
    <w:p>
      <w:pPr>
        <w:numPr>
          <w:ilvl w:val="0"/>
          <w:numId w:val="0"/>
        </w:num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评分标准“每个行政村村财收入目标大于等于10万元，得满分；每发现一个行政村不达标的，扣0.5分，扣完为止”。</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eastAsia="zh-CN"/>
        </w:rPr>
        <w:t>根据闽侯县竹岐乡政府2022年工作总结和有关信息资料，2022年扎实推进乡村振兴建设，辖区内22个行政村均达成村财收入10万元目标。</w:t>
      </w:r>
      <w:r>
        <w:rPr>
          <w:rFonts w:hint="eastAsia" w:ascii="宋体" w:hAnsi="宋体" w:eastAsia="宋体" w:cs="宋体"/>
          <w:sz w:val="24"/>
        </w:rPr>
        <w:t>本项得分</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lang w:val="en-US" w:eastAsia="zh-CN"/>
        </w:rPr>
        <w:t>服务对象</w:t>
      </w:r>
      <w:r>
        <w:rPr>
          <w:rFonts w:hint="eastAsia" w:ascii="宋体" w:hAnsi="宋体" w:eastAsia="宋体" w:cs="宋体"/>
          <w:sz w:val="24"/>
        </w:rPr>
        <w:t>满意度（分值</w:t>
      </w:r>
      <w:r>
        <w:rPr>
          <w:rFonts w:hint="eastAsia" w:ascii="宋体" w:hAnsi="宋体" w:eastAsia="宋体" w:cs="宋体"/>
          <w:sz w:val="24"/>
          <w:lang w:val="en-US" w:eastAsia="zh-CN"/>
        </w:rPr>
        <w:t>10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得分10分</w:t>
      </w:r>
      <w:r>
        <w:rPr>
          <w:rFonts w:hint="eastAsia" w:ascii="宋体" w:hAnsi="宋体" w:eastAsia="宋体" w:cs="宋体"/>
          <w:sz w:val="24"/>
        </w:rPr>
        <w:t>）</w:t>
      </w:r>
    </w:p>
    <w:p>
      <w:pPr>
        <w:numPr>
          <w:ilvl w:val="0"/>
          <w:numId w:val="0"/>
        </w:num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服务</w:t>
      </w:r>
      <w:r>
        <w:rPr>
          <w:rFonts w:hint="eastAsia" w:ascii="宋体" w:hAnsi="宋体" w:eastAsia="宋体" w:cs="宋体"/>
          <w:sz w:val="24"/>
          <w:lang w:eastAsia="zh-CN"/>
        </w:rPr>
        <w:t>满意度主要评价机关、企业、事业在职、退休人员、社会上再就业人员等对政府财政运行综合绩效工作满意程度。</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评价标准</w:t>
      </w:r>
      <w:r>
        <w:rPr>
          <w:rFonts w:hint="eastAsia" w:ascii="宋体" w:hAnsi="宋体" w:eastAsia="宋体" w:cs="宋体"/>
          <w:sz w:val="24"/>
          <w:lang w:eastAsia="zh-CN"/>
        </w:rPr>
        <w:t>：“</w:t>
      </w:r>
      <w:r>
        <w:rPr>
          <w:rFonts w:hint="eastAsia" w:ascii="宋体" w:hAnsi="宋体" w:eastAsia="宋体" w:cs="宋体"/>
          <w:sz w:val="24"/>
        </w:rPr>
        <w:t>①满意度≥95%，得10分；②85%≤满意度＜95%，得8分；③75%≤满意度＜85%，得6分；④65%≤满意度＜75%，得4分</w:t>
      </w:r>
      <w:r>
        <w:rPr>
          <w:rFonts w:hint="eastAsia" w:ascii="宋体" w:hAnsi="宋体" w:eastAsia="宋体" w:cs="宋体"/>
          <w:sz w:val="24"/>
          <w:lang w:eastAsia="zh-CN"/>
        </w:rPr>
        <w:t>；</w:t>
      </w:r>
      <w:r>
        <w:rPr>
          <w:rFonts w:hint="eastAsia" w:ascii="宋体" w:hAnsi="宋体" w:eastAsia="宋体" w:cs="宋体"/>
          <w:sz w:val="24"/>
        </w:rPr>
        <w:t>⑤满意度＜65%，不得分</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统计收回的50份调查问卷，问卷调查结果显示，机关、企业、事业在职、退休人员、社会上再就业人员等对政府财政运行综合绩效工作满意程度较高，平均满意度为99.42%。本项得分</w:t>
      </w:r>
      <w:r>
        <w:rPr>
          <w:rFonts w:hint="eastAsia" w:ascii="宋体" w:hAnsi="宋体" w:eastAsia="宋体" w:cs="宋体"/>
          <w:sz w:val="24"/>
          <w:lang w:val="en-US" w:eastAsia="zh-CN"/>
        </w:rPr>
        <w:t>10</w:t>
      </w:r>
      <w:r>
        <w:rPr>
          <w:rFonts w:hint="eastAsia" w:ascii="宋体" w:hAnsi="宋体" w:eastAsia="宋体" w:cs="宋体"/>
          <w:sz w:val="24"/>
        </w:rPr>
        <w:t>分。</w:t>
      </w:r>
    </w:p>
    <w:p>
      <w:pPr>
        <w:pStyle w:val="2"/>
        <w:numPr>
          <w:ilvl w:val="0"/>
          <w:numId w:val="0"/>
        </w:numPr>
        <w:ind w:left="630" w:firstLine="0" w:firstLineChars="0"/>
        <w:rPr>
          <w:rFonts w:hint="eastAsia" w:ascii="宋体" w:hAnsi="宋体" w:eastAsia="宋体" w:cs="宋体"/>
          <w:b w:val="0"/>
          <w:bCs/>
          <w:lang w:val="en-US" w:eastAsia="zh-CN"/>
        </w:rPr>
      </w:pPr>
      <w:bookmarkStart w:id="202" w:name="_Toc23125"/>
      <w:bookmarkStart w:id="203" w:name="_Toc7420"/>
      <w:bookmarkStart w:id="204" w:name="_Toc14576"/>
      <w:bookmarkStart w:id="205" w:name="_Toc4021"/>
      <w:bookmarkStart w:id="206" w:name="_Toc25785"/>
      <w:bookmarkStart w:id="207" w:name="_Toc10499"/>
      <w:bookmarkStart w:id="208" w:name="_Toc691"/>
      <w:bookmarkStart w:id="209" w:name="_Toc31286"/>
      <w:bookmarkStart w:id="210" w:name="_Toc30254"/>
      <w:bookmarkStart w:id="211" w:name="_Toc6199"/>
      <w:bookmarkStart w:id="212" w:name="_Toc3028"/>
      <w:bookmarkStart w:id="213" w:name="_Toc32283"/>
      <w:r>
        <w:rPr>
          <w:rFonts w:hint="eastAsia" w:ascii="宋体" w:hAnsi="宋体" w:cs="宋体"/>
          <w:lang w:val="en-US" w:eastAsia="zh-CN"/>
        </w:rPr>
        <w:t>五、主要成效</w:t>
      </w:r>
      <w:bookmarkEnd w:id="202"/>
      <w:bookmarkEnd w:id="203"/>
      <w:bookmarkEnd w:id="204"/>
      <w:bookmarkEnd w:id="205"/>
      <w:bookmarkEnd w:id="206"/>
      <w:bookmarkEnd w:id="207"/>
      <w:bookmarkEnd w:id="208"/>
      <w:bookmarkEnd w:id="209"/>
      <w:bookmarkEnd w:id="210"/>
      <w:bookmarkEnd w:id="211"/>
      <w:bookmarkEnd w:id="212"/>
      <w:bookmarkEnd w:id="213"/>
      <w:bookmarkStart w:id="214" w:name="_Hlk495161375"/>
    </w:p>
    <w:p>
      <w:pPr>
        <w:pStyle w:val="3"/>
        <w:rPr>
          <w:rFonts w:hint="eastAsia" w:ascii="宋体" w:hAnsi="宋体" w:eastAsia="宋体" w:cs="宋体"/>
          <w:sz w:val="24"/>
          <w:szCs w:val="32"/>
          <w:lang w:val="en-US" w:eastAsia="zh-CN"/>
        </w:rPr>
      </w:pPr>
      <w:bookmarkStart w:id="215" w:name="_Toc30286"/>
      <w:bookmarkStart w:id="216" w:name="_Toc30103"/>
      <w:bookmarkStart w:id="217" w:name="_Toc13949"/>
      <w:bookmarkStart w:id="218" w:name="_Toc22960"/>
      <w:bookmarkStart w:id="219" w:name="_Toc32562"/>
      <w:bookmarkStart w:id="220" w:name="_Toc9688"/>
      <w:bookmarkStart w:id="221" w:name="_Toc7277"/>
      <w:r>
        <w:rPr>
          <w:rFonts w:hint="eastAsia" w:ascii="宋体" w:hAnsi="宋体" w:eastAsia="宋体" w:cs="宋体"/>
          <w:b w:val="0"/>
          <w:bCs/>
          <w:lang w:val="en-US" w:eastAsia="zh-CN"/>
        </w:rPr>
        <w:t>（一）</w:t>
      </w:r>
      <w:r>
        <w:rPr>
          <w:rFonts w:hint="eastAsia" w:ascii="宋体" w:hAnsi="宋体" w:eastAsia="宋体" w:cs="宋体"/>
          <w:sz w:val="24"/>
          <w:szCs w:val="32"/>
          <w:lang w:val="en-US" w:eastAsia="zh-CN"/>
        </w:rPr>
        <w:t>综合实力稳中有进</w:t>
      </w:r>
      <w:bookmarkEnd w:id="215"/>
      <w:bookmarkEnd w:id="216"/>
      <w:bookmarkEnd w:id="217"/>
      <w:bookmarkEnd w:id="218"/>
      <w:bookmarkEnd w:id="219"/>
      <w:bookmarkEnd w:id="220"/>
      <w:bookmarkEnd w:id="221"/>
    </w:p>
    <w:p>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color w:val="000000"/>
          <w:sz w:val="24"/>
          <w:szCs w:val="24"/>
          <w:lang w:bidi="ar"/>
        </w:rPr>
        <w:t>经济指标</w:t>
      </w:r>
      <w:r>
        <w:rPr>
          <w:rFonts w:hint="eastAsia" w:ascii="宋体" w:hAnsi="宋体" w:eastAsia="宋体" w:cs="宋体"/>
          <w:b w:val="0"/>
          <w:color w:val="000000"/>
          <w:sz w:val="24"/>
          <w:szCs w:val="24"/>
          <w:lang w:val="en-US" w:eastAsia="zh-CN" w:bidi="ar"/>
        </w:rPr>
        <w:t>平稳向好</w:t>
      </w:r>
      <w:r>
        <w:rPr>
          <w:rFonts w:hint="eastAsia" w:ascii="宋体" w:hAnsi="宋体" w:eastAsia="宋体" w:cs="宋体"/>
          <w:b w:val="0"/>
          <w:color w:val="000000"/>
          <w:sz w:val="24"/>
          <w:szCs w:val="24"/>
          <w:lang w:bidi="ar"/>
        </w:rPr>
        <w:t>。</w:t>
      </w:r>
      <w:r>
        <w:rPr>
          <w:rFonts w:hint="eastAsia" w:ascii="宋体" w:hAnsi="宋体" w:eastAsia="宋体" w:cs="宋体"/>
          <w:bCs w:val="0"/>
          <w:color w:val="000000"/>
          <w:sz w:val="24"/>
          <w:szCs w:val="24"/>
          <w:u w:val="none"/>
          <w:lang w:bidi="ar"/>
        </w:rPr>
        <w:t>202</w:t>
      </w:r>
      <w:r>
        <w:rPr>
          <w:rFonts w:hint="eastAsia" w:ascii="宋体" w:hAnsi="宋体" w:eastAsia="宋体" w:cs="宋体"/>
          <w:bCs w:val="0"/>
          <w:color w:val="000000"/>
          <w:sz w:val="24"/>
          <w:szCs w:val="24"/>
          <w:u w:val="none"/>
          <w:lang w:val="en-US" w:eastAsia="zh-CN" w:bidi="ar"/>
        </w:rPr>
        <w:t>2</w:t>
      </w:r>
      <w:r>
        <w:rPr>
          <w:rFonts w:hint="eastAsia" w:ascii="宋体" w:hAnsi="宋体" w:eastAsia="宋体" w:cs="宋体"/>
          <w:bCs w:val="0"/>
          <w:color w:val="000000"/>
          <w:sz w:val="24"/>
          <w:szCs w:val="24"/>
          <w:u w:val="none"/>
          <w:lang w:bidi="ar"/>
        </w:rPr>
        <w:t>年1-11月，规模以上工业产值完成</w:t>
      </w:r>
      <w:r>
        <w:rPr>
          <w:rFonts w:hint="eastAsia" w:ascii="宋体" w:hAnsi="宋体" w:eastAsia="宋体" w:cs="宋体"/>
          <w:sz w:val="24"/>
          <w:szCs w:val="24"/>
          <w:lang w:val="en-US" w:eastAsia="zh-CN"/>
        </w:rPr>
        <w:t>39.9325亿元</w:t>
      </w:r>
      <w:r>
        <w:rPr>
          <w:rFonts w:hint="eastAsia" w:ascii="宋体" w:hAnsi="宋体" w:eastAsia="宋体" w:cs="宋体"/>
          <w:bCs w:val="0"/>
          <w:color w:val="000000"/>
          <w:sz w:val="24"/>
          <w:szCs w:val="24"/>
          <w:u w:val="none"/>
          <w:lang w:bidi="ar"/>
        </w:rPr>
        <w:t>，</w:t>
      </w:r>
      <w:r>
        <w:rPr>
          <w:rFonts w:hint="eastAsia" w:ascii="宋体" w:hAnsi="宋体" w:eastAsia="宋体" w:cs="宋体"/>
          <w:sz w:val="24"/>
          <w:szCs w:val="24"/>
          <w:lang w:val="en-US" w:eastAsia="zh-CN"/>
        </w:rPr>
        <w:t>全年预计完成44.4325亿元</w:t>
      </w:r>
      <w:r>
        <w:rPr>
          <w:rFonts w:hint="eastAsia" w:ascii="宋体" w:hAnsi="宋体" w:eastAsia="宋体" w:cs="宋体"/>
          <w:bCs w:val="0"/>
          <w:color w:val="000000"/>
          <w:sz w:val="24"/>
          <w:szCs w:val="24"/>
          <w:u w:val="none"/>
          <w:lang w:bidi="ar"/>
        </w:rPr>
        <w:t>；固定资产投资完成</w:t>
      </w:r>
      <w:r>
        <w:rPr>
          <w:rFonts w:hint="eastAsia" w:ascii="宋体" w:hAnsi="宋体" w:eastAsia="宋体" w:cs="宋体"/>
          <w:sz w:val="24"/>
          <w:szCs w:val="24"/>
          <w:lang w:val="en-US" w:eastAsia="zh-CN"/>
        </w:rPr>
        <w:t>40.70225亿元</w:t>
      </w:r>
      <w:r>
        <w:rPr>
          <w:rFonts w:hint="eastAsia" w:ascii="宋体" w:hAnsi="宋体" w:eastAsia="宋体" w:cs="宋体"/>
          <w:bCs w:val="0"/>
          <w:color w:val="000000"/>
          <w:sz w:val="24"/>
          <w:szCs w:val="24"/>
          <w:u w:val="none"/>
          <w:lang w:val="en-US" w:eastAsia="zh-CN" w:bidi="ar"/>
        </w:rPr>
        <w:t>，</w:t>
      </w:r>
      <w:r>
        <w:rPr>
          <w:rFonts w:hint="eastAsia" w:ascii="宋体" w:hAnsi="宋体" w:eastAsia="宋体" w:cs="宋体"/>
          <w:sz w:val="24"/>
          <w:szCs w:val="24"/>
          <w:lang w:val="en-US" w:eastAsia="zh-CN"/>
        </w:rPr>
        <w:t>全年预计完成41.9225亿元</w:t>
      </w:r>
      <w:r>
        <w:rPr>
          <w:rFonts w:hint="eastAsia" w:ascii="宋体" w:hAnsi="宋体" w:eastAsia="宋体" w:cs="宋体"/>
          <w:bCs w:val="0"/>
          <w:color w:val="000000"/>
          <w:sz w:val="24"/>
          <w:szCs w:val="24"/>
          <w:u w:val="none"/>
          <w:lang w:val="en-US" w:eastAsia="zh-CN" w:bidi="ar"/>
        </w:rPr>
        <w:t>；</w:t>
      </w:r>
      <w:r>
        <w:rPr>
          <w:rFonts w:hint="eastAsia" w:ascii="宋体" w:hAnsi="宋体" w:eastAsia="宋体" w:cs="宋体"/>
          <w:bCs w:val="0"/>
          <w:color w:val="000000"/>
          <w:sz w:val="24"/>
          <w:szCs w:val="24"/>
          <w:u w:val="none"/>
          <w:lang w:bidi="ar"/>
        </w:rPr>
        <w:t>工业固定资产投资完成</w:t>
      </w:r>
      <w:r>
        <w:rPr>
          <w:rFonts w:hint="eastAsia" w:ascii="宋体" w:hAnsi="宋体" w:eastAsia="宋体" w:cs="宋体"/>
          <w:sz w:val="24"/>
          <w:szCs w:val="24"/>
          <w:lang w:val="en-US" w:eastAsia="zh-CN"/>
        </w:rPr>
        <w:t>5.0513亿元</w:t>
      </w:r>
      <w:r>
        <w:rPr>
          <w:rFonts w:hint="eastAsia" w:ascii="宋体" w:hAnsi="宋体" w:eastAsia="宋体" w:cs="宋体"/>
          <w:bCs w:val="0"/>
          <w:color w:val="000000"/>
          <w:sz w:val="24"/>
          <w:szCs w:val="24"/>
          <w:u w:val="none"/>
          <w:lang w:bidi="ar"/>
        </w:rPr>
        <w:t>，全年预计完成</w:t>
      </w:r>
      <w:r>
        <w:rPr>
          <w:rFonts w:hint="eastAsia" w:ascii="宋体" w:hAnsi="宋体" w:eastAsia="宋体" w:cs="宋体"/>
          <w:sz w:val="24"/>
          <w:szCs w:val="24"/>
          <w:lang w:val="en-US" w:eastAsia="zh-CN"/>
        </w:rPr>
        <w:t>5.3013亿元</w:t>
      </w:r>
      <w:r>
        <w:rPr>
          <w:rFonts w:hint="eastAsia" w:ascii="宋体" w:hAnsi="宋体" w:eastAsia="宋体" w:cs="宋体"/>
          <w:bCs w:val="0"/>
          <w:color w:val="000000"/>
          <w:sz w:val="24"/>
          <w:szCs w:val="24"/>
          <w:u w:val="none"/>
          <w:lang w:bidi="ar"/>
        </w:rPr>
        <w:t>；限上社会消费品零售总额</w:t>
      </w:r>
      <w:r>
        <w:rPr>
          <w:rFonts w:hint="eastAsia" w:ascii="宋体" w:hAnsi="宋体" w:eastAsia="宋体" w:cs="宋体"/>
          <w:bCs w:val="0"/>
          <w:color w:val="000000"/>
          <w:sz w:val="24"/>
          <w:szCs w:val="24"/>
          <w:u w:val="none"/>
          <w:lang w:val="en-US" w:eastAsia="zh-CN" w:bidi="ar"/>
        </w:rPr>
        <w:t>完成</w:t>
      </w:r>
      <w:r>
        <w:rPr>
          <w:rFonts w:hint="eastAsia" w:ascii="宋体" w:hAnsi="宋体" w:eastAsia="宋体" w:cs="宋体"/>
          <w:sz w:val="24"/>
          <w:szCs w:val="24"/>
          <w:lang w:val="en-US" w:eastAsia="zh-CN"/>
        </w:rPr>
        <w:t>4.2841亿元</w:t>
      </w:r>
      <w:r>
        <w:rPr>
          <w:rFonts w:hint="eastAsia" w:ascii="宋体" w:hAnsi="宋体" w:eastAsia="宋体" w:cs="宋体"/>
          <w:bCs w:val="0"/>
          <w:color w:val="000000"/>
          <w:sz w:val="24"/>
          <w:szCs w:val="24"/>
          <w:u w:val="none"/>
          <w:lang w:bidi="ar"/>
        </w:rPr>
        <w:t>，全年预计完成</w:t>
      </w:r>
      <w:r>
        <w:rPr>
          <w:rFonts w:hint="eastAsia" w:ascii="宋体" w:hAnsi="宋体" w:eastAsia="宋体" w:cs="宋体"/>
          <w:sz w:val="24"/>
          <w:szCs w:val="24"/>
          <w:lang w:val="en-US" w:eastAsia="zh-CN"/>
        </w:rPr>
        <w:t>4.6841</w:t>
      </w:r>
      <w:r>
        <w:rPr>
          <w:rFonts w:hint="eastAsia" w:ascii="宋体" w:hAnsi="宋体" w:eastAsia="宋体" w:cs="宋体"/>
          <w:bCs w:val="0"/>
          <w:color w:val="000000"/>
          <w:sz w:val="24"/>
          <w:szCs w:val="24"/>
          <w:u w:val="none"/>
          <w:lang w:bidi="ar"/>
        </w:rPr>
        <w:t>亿元</w:t>
      </w:r>
      <w:r>
        <w:rPr>
          <w:rFonts w:hint="eastAsia" w:ascii="宋体" w:hAnsi="宋体" w:eastAsia="宋体" w:cs="宋体"/>
          <w:sz w:val="24"/>
          <w:szCs w:val="24"/>
          <w:lang w:val="en-US" w:eastAsia="zh-CN"/>
        </w:rPr>
        <w:t>；限上批发销售额完成1.4005亿元，全年预计完成1.5305亿元。</w:t>
      </w:r>
      <w:r>
        <w:rPr>
          <w:rFonts w:hint="eastAsia" w:ascii="宋体" w:hAnsi="宋体" w:eastAsia="宋体" w:cs="宋体"/>
          <w:b w:val="0"/>
          <w:color w:val="000000"/>
          <w:sz w:val="24"/>
          <w:szCs w:val="24"/>
          <w:lang w:val="en-US" w:eastAsia="zh-CN" w:bidi="ar"/>
        </w:rPr>
        <w:t>项目建设强力攻坚</w:t>
      </w:r>
      <w:r>
        <w:rPr>
          <w:rFonts w:hint="eastAsia" w:ascii="宋体" w:hAnsi="宋体" w:eastAsia="宋体" w:cs="宋体"/>
          <w:b w:val="0"/>
          <w:color w:val="000000"/>
          <w:sz w:val="24"/>
          <w:szCs w:val="24"/>
          <w:lang w:bidi="ar"/>
        </w:rPr>
        <w:t>。</w:t>
      </w:r>
      <w:r>
        <w:rPr>
          <w:rFonts w:hint="eastAsia" w:ascii="宋体" w:hAnsi="宋体" w:eastAsia="宋体" w:cs="宋体"/>
          <w:color w:val="auto"/>
          <w:kern w:val="2"/>
          <w:sz w:val="24"/>
          <w:szCs w:val="24"/>
          <w:lang w:val="en-US" w:eastAsia="zh-CN" w:bidi="ar-SA"/>
        </w:rPr>
        <w:t>2022年度“项目攻坚落实年”专项行动建设项目提速攻坚项目11项，总投资101.64亿元，年计划投资40.4亿元，1-11月累计申报完成投资43.3669亿元，占年计划的107%，超序时进度16个百分点；计划开工项目2项，已开工2项，开工率100%；计划竣工项目3项，已竣工3项，竣工率100%。</w:t>
      </w:r>
    </w:p>
    <w:p>
      <w:pPr>
        <w:pStyle w:val="3"/>
        <w:rPr>
          <w:rFonts w:hint="eastAsia" w:ascii="宋体" w:hAnsi="宋体" w:eastAsia="宋体" w:cs="宋体"/>
          <w:sz w:val="24"/>
          <w:szCs w:val="32"/>
          <w:lang w:val="en-US" w:eastAsia="zh-CN"/>
        </w:rPr>
      </w:pPr>
      <w:bookmarkStart w:id="222" w:name="_Toc27155"/>
      <w:bookmarkStart w:id="223" w:name="_Toc13341"/>
      <w:bookmarkStart w:id="224" w:name="_Toc25082"/>
      <w:bookmarkStart w:id="225" w:name="_Toc23612"/>
      <w:bookmarkStart w:id="226" w:name="_Toc13263"/>
      <w:bookmarkStart w:id="227" w:name="_Toc20968"/>
      <w:bookmarkStart w:id="228" w:name="_Toc3846"/>
      <w:r>
        <w:rPr>
          <w:rFonts w:hint="eastAsia" w:ascii="宋体" w:hAnsi="宋体" w:eastAsia="宋体" w:cs="宋体"/>
          <w:sz w:val="24"/>
          <w:szCs w:val="32"/>
          <w:lang w:val="en-US" w:eastAsia="zh-CN"/>
        </w:rPr>
        <w:t>（二）民生保障坚实有力</w:t>
      </w:r>
      <w:bookmarkEnd w:id="222"/>
      <w:bookmarkEnd w:id="223"/>
      <w:bookmarkEnd w:id="224"/>
      <w:bookmarkEnd w:id="225"/>
      <w:bookmarkEnd w:id="226"/>
      <w:bookmarkEnd w:id="227"/>
      <w:bookmarkEnd w:id="228"/>
    </w:p>
    <w:p>
      <w:pPr>
        <w:spacing w:line="360" w:lineRule="auto"/>
        <w:ind w:firstLine="480"/>
        <w:rPr>
          <w:rFonts w:hint="eastAsia" w:ascii="宋体" w:hAnsi="宋体" w:eastAsia="宋体" w:cs="宋体"/>
          <w:kern w:val="2"/>
          <w:sz w:val="24"/>
          <w:szCs w:val="24"/>
          <w:highlight w:val="none"/>
          <w:lang w:bidi="ar"/>
        </w:rPr>
      </w:pPr>
      <w:r>
        <w:rPr>
          <w:rFonts w:hint="eastAsia" w:ascii="宋体" w:hAnsi="宋体" w:eastAsia="宋体" w:cs="宋体"/>
          <w:b w:val="0"/>
          <w:bCs w:val="0"/>
          <w:sz w:val="24"/>
          <w:szCs w:val="24"/>
          <w:lang w:bidi="ar"/>
        </w:rPr>
        <w:t>民生福祉持续增进。</w:t>
      </w:r>
      <w:r>
        <w:rPr>
          <w:rFonts w:hint="eastAsia" w:ascii="宋体" w:hAnsi="宋体" w:eastAsia="宋体" w:cs="宋体"/>
          <w:b w:val="0"/>
          <w:bCs w:val="0"/>
          <w:color w:val="auto"/>
          <w:sz w:val="24"/>
          <w:szCs w:val="24"/>
          <w:lang w:val="en-US" w:eastAsia="zh-CN" w:bidi="ar"/>
        </w:rPr>
        <w:t>2022年享受被征地老龄农民生活补助2525人，上半年共发放补助资金225万余元，为失地农民解决后顾之忧；全面推进竹岐乡农村养老服务设施建设，提升老年群体的生活质量，推进农村养老工作的发展，半岭村长者食堂已验收并交付使用；进一步加快殡葬改革步伐，落实墓地生态整治，推进殡葬改革工作，目前</w:t>
      </w:r>
      <w:r>
        <w:rPr>
          <w:rFonts w:hint="eastAsia" w:ascii="宋体" w:hAnsi="宋体" w:eastAsia="宋体" w:cs="宋体"/>
          <w:color w:val="auto"/>
          <w:sz w:val="24"/>
          <w:szCs w:val="24"/>
          <w:lang w:eastAsia="zh-CN" w:bidi="ar"/>
        </w:rPr>
        <w:t>春风村骨灰楼、竹岐村生命公园</w:t>
      </w:r>
      <w:r>
        <w:rPr>
          <w:rFonts w:hint="eastAsia" w:ascii="宋体" w:hAnsi="宋体" w:eastAsia="宋体" w:cs="宋体"/>
          <w:b w:val="0"/>
          <w:bCs w:val="0"/>
          <w:color w:val="auto"/>
          <w:sz w:val="24"/>
          <w:szCs w:val="24"/>
          <w:lang w:val="en-US" w:eastAsia="zh-CN" w:bidi="ar"/>
        </w:rPr>
        <w:t>均已验收并投入使用；以农村社区治理工作为契机，进一步推进基层民主政治建设，加强村务公开民主管理工作，建立和完善村务公开民主管理各项制度，积极推动村务公开民主管理工作再上新台阶。</w:t>
      </w:r>
      <w:r>
        <w:rPr>
          <w:rFonts w:hint="eastAsia" w:ascii="宋体" w:hAnsi="宋体" w:eastAsia="宋体" w:cs="宋体"/>
          <w:b w:val="0"/>
          <w:bCs w:val="0"/>
          <w:sz w:val="24"/>
          <w:szCs w:val="24"/>
          <w:lang w:bidi="ar"/>
        </w:rPr>
        <w:t>社会保障扩面升级。</w:t>
      </w:r>
      <w:r>
        <w:rPr>
          <w:rFonts w:hint="eastAsia" w:ascii="宋体" w:hAnsi="宋体" w:eastAsia="宋体" w:cs="宋体"/>
          <w:sz w:val="24"/>
          <w:szCs w:val="24"/>
          <w:lang w:bidi="ar"/>
        </w:rPr>
        <w:t>社会保障体系进一步完善，基</w:t>
      </w:r>
      <w:r>
        <w:rPr>
          <w:rFonts w:hint="eastAsia" w:ascii="宋体" w:hAnsi="宋体" w:eastAsia="宋体" w:cs="宋体"/>
          <w:bCs w:val="0"/>
          <w:color w:val="000000"/>
          <w:sz w:val="24"/>
          <w:szCs w:val="24"/>
          <w:lang w:bidi="ar"/>
        </w:rPr>
        <w:t>层医疗卫生服务体系逐步健全，完成3</w:t>
      </w:r>
      <w:r>
        <w:rPr>
          <w:rFonts w:hint="eastAsia" w:ascii="宋体" w:hAnsi="宋体" w:eastAsia="宋体" w:cs="宋体"/>
          <w:bCs w:val="0"/>
          <w:color w:val="000000"/>
          <w:sz w:val="24"/>
          <w:szCs w:val="24"/>
          <w:lang w:val="en-US" w:eastAsia="zh-CN" w:bidi="ar"/>
        </w:rPr>
        <w:t>5至</w:t>
      </w:r>
      <w:r>
        <w:rPr>
          <w:rFonts w:hint="eastAsia" w:ascii="宋体" w:hAnsi="宋体" w:eastAsia="宋体" w:cs="宋体"/>
          <w:bCs w:val="0"/>
          <w:color w:val="000000"/>
          <w:sz w:val="24"/>
          <w:szCs w:val="24"/>
          <w:lang w:bidi="ar"/>
        </w:rPr>
        <w:t>65</w:t>
      </w:r>
      <w:r>
        <w:rPr>
          <w:rFonts w:hint="eastAsia" w:ascii="宋体" w:hAnsi="宋体" w:eastAsia="宋体" w:cs="宋体"/>
          <w:bCs w:val="0"/>
          <w:color w:val="000000"/>
          <w:sz w:val="24"/>
          <w:szCs w:val="24"/>
          <w:lang w:val="en-US" w:eastAsia="zh-CN" w:bidi="ar"/>
        </w:rPr>
        <w:t>周</w:t>
      </w:r>
      <w:r>
        <w:rPr>
          <w:rFonts w:hint="eastAsia" w:ascii="宋体" w:hAnsi="宋体" w:eastAsia="宋体" w:cs="宋体"/>
          <w:bCs w:val="0"/>
          <w:color w:val="000000"/>
          <w:sz w:val="24"/>
          <w:szCs w:val="24"/>
          <w:lang w:bidi="ar"/>
        </w:rPr>
        <w:t>岁已婚妇女两癌筛查工作；积极控辍保学，义务教育阶段学生入学率达100%</w:t>
      </w:r>
      <w:r>
        <w:rPr>
          <w:rFonts w:hint="eastAsia" w:ascii="宋体" w:hAnsi="宋体" w:eastAsia="宋体" w:cs="宋体"/>
          <w:bCs w:val="0"/>
          <w:color w:val="000000"/>
          <w:sz w:val="24"/>
          <w:szCs w:val="24"/>
          <w:u w:val="none"/>
          <w:lang w:bidi="ar"/>
        </w:rPr>
        <w:t>；做好五保、低保动态管理，坚持“三公开”、</w:t>
      </w:r>
      <w:r>
        <w:rPr>
          <w:rFonts w:hint="eastAsia" w:ascii="宋体" w:hAnsi="宋体" w:eastAsia="宋体" w:cs="宋体"/>
          <w:bCs w:val="0"/>
          <w:color w:val="000000"/>
          <w:sz w:val="24"/>
          <w:szCs w:val="24"/>
          <w:lang w:bidi="ar"/>
        </w:rPr>
        <w:t>“三审批”和“三张榜”制度，坚持低保资金专户管理，按时足额发放，兑现率</w:t>
      </w:r>
      <w:r>
        <w:rPr>
          <w:rFonts w:hint="eastAsia" w:ascii="宋体" w:hAnsi="宋体" w:eastAsia="宋体" w:cs="宋体"/>
          <w:bCs w:val="0"/>
          <w:color w:val="000000"/>
          <w:sz w:val="24"/>
          <w:szCs w:val="24"/>
          <w:lang w:val="en-US" w:eastAsia="zh-CN" w:bidi="ar"/>
        </w:rPr>
        <w:t>达</w:t>
      </w:r>
      <w:r>
        <w:rPr>
          <w:rFonts w:hint="eastAsia" w:ascii="宋体" w:hAnsi="宋体" w:eastAsia="宋体" w:cs="宋体"/>
          <w:bCs w:val="0"/>
          <w:color w:val="000000"/>
          <w:sz w:val="24"/>
          <w:szCs w:val="24"/>
          <w:lang w:bidi="ar"/>
        </w:rPr>
        <w:t>100%,共发放慰问金</w:t>
      </w:r>
      <w:r>
        <w:rPr>
          <w:rFonts w:hint="eastAsia" w:ascii="宋体" w:hAnsi="宋体" w:eastAsia="宋体" w:cs="宋体"/>
          <w:bCs w:val="0"/>
          <w:color w:val="000000"/>
          <w:sz w:val="24"/>
          <w:szCs w:val="24"/>
          <w:lang w:val="en-US" w:eastAsia="zh-CN" w:bidi="ar"/>
        </w:rPr>
        <w:t>400多</w:t>
      </w:r>
      <w:r>
        <w:rPr>
          <w:rFonts w:hint="eastAsia" w:ascii="宋体" w:hAnsi="宋体" w:eastAsia="宋体" w:cs="宋体"/>
          <w:bCs w:val="0"/>
          <w:color w:val="000000"/>
          <w:sz w:val="24"/>
          <w:szCs w:val="24"/>
          <w:lang w:bidi="ar"/>
        </w:rPr>
        <w:t>万</w:t>
      </w:r>
      <w:r>
        <w:rPr>
          <w:rFonts w:hint="eastAsia" w:ascii="宋体" w:hAnsi="宋体" w:eastAsia="宋体" w:cs="宋体"/>
          <w:bCs w:val="0"/>
          <w:color w:val="000000"/>
          <w:sz w:val="24"/>
          <w:szCs w:val="24"/>
          <w:lang w:val="en-US" w:eastAsia="zh-CN" w:bidi="ar"/>
        </w:rPr>
        <w:t>元</w:t>
      </w:r>
      <w:r>
        <w:rPr>
          <w:rFonts w:hint="eastAsia" w:ascii="宋体" w:hAnsi="宋体" w:eastAsia="宋体" w:cs="宋体"/>
          <w:bCs w:val="0"/>
          <w:color w:val="000000"/>
          <w:sz w:val="24"/>
          <w:szCs w:val="24"/>
          <w:lang w:eastAsia="zh-CN" w:bidi="ar"/>
        </w:rPr>
        <w:t>，</w:t>
      </w:r>
      <w:r>
        <w:rPr>
          <w:rFonts w:hint="eastAsia" w:ascii="宋体" w:hAnsi="宋体" w:eastAsia="宋体" w:cs="宋体"/>
          <w:bCs w:val="0"/>
          <w:color w:val="000000"/>
          <w:sz w:val="24"/>
          <w:szCs w:val="24"/>
          <w:lang w:bidi="ar"/>
        </w:rPr>
        <w:t>困难群众大病临时救助</w:t>
      </w:r>
      <w:r>
        <w:rPr>
          <w:rFonts w:hint="eastAsia" w:ascii="宋体" w:hAnsi="宋体" w:eastAsia="宋体" w:cs="宋体"/>
          <w:bCs w:val="0"/>
          <w:color w:val="000000"/>
          <w:sz w:val="24"/>
          <w:szCs w:val="24"/>
          <w:lang w:val="en-US" w:eastAsia="zh-CN" w:bidi="ar"/>
        </w:rPr>
        <w:t>63</w:t>
      </w:r>
      <w:r>
        <w:rPr>
          <w:rFonts w:hint="eastAsia" w:ascii="宋体" w:hAnsi="宋体" w:eastAsia="宋体" w:cs="宋体"/>
          <w:bCs w:val="0"/>
          <w:color w:val="000000"/>
          <w:sz w:val="24"/>
          <w:szCs w:val="24"/>
          <w:lang w:bidi="ar"/>
        </w:rPr>
        <w:t>人，发放补助资金</w:t>
      </w:r>
      <w:r>
        <w:rPr>
          <w:rFonts w:hint="eastAsia" w:ascii="宋体" w:hAnsi="宋体" w:eastAsia="宋体" w:cs="宋体"/>
          <w:bCs w:val="0"/>
          <w:color w:val="000000"/>
          <w:sz w:val="24"/>
          <w:szCs w:val="24"/>
          <w:lang w:val="en-US" w:eastAsia="zh-CN" w:bidi="ar"/>
        </w:rPr>
        <w:t>25.8</w:t>
      </w:r>
      <w:r>
        <w:rPr>
          <w:rFonts w:hint="eastAsia" w:ascii="宋体" w:hAnsi="宋体" w:eastAsia="宋体" w:cs="宋体"/>
          <w:bCs w:val="0"/>
          <w:color w:val="000000"/>
          <w:sz w:val="24"/>
          <w:szCs w:val="24"/>
          <w:lang w:eastAsia="zh-CN" w:bidi="ar"/>
        </w:rPr>
        <w:t>万元</w:t>
      </w:r>
      <w:r>
        <w:rPr>
          <w:rFonts w:hint="eastAsia" w:ascii="宋体" w:hAnsi="宋体" w:eastAsia="宋体" w:cs="宋体"/>
          <w:sz w:val="24"/>
          <w:szCs w:val="24"/>
          <w:lang w:eastAsia="zh-CN" w:bidi="ar"/>
        </w:rPr>
        <w:t>。</w:t>
      </w:r>
      <w:r>
        <w:rPr>
          <w:rFonts w:hint="eastAsia" w:ascii="宋体" w:hAnsi="宋体" w:eastAsia="宋体" w:cs="宋体"/>
          <w:b w:val="0"/>
          <w:color w:val="000000"/>
          <w:sz w:val="24"/>
          <w:szCs w:val="24"/>
          <w:lang w:bidi="ar"/>
        </w:rPr>
        <w:t>社会事业协调发展。</w:t>
      </w:r>
      <w:r>
        <w:rPr>
          <w:rFonts w:hint="eastAsia" w:ascii="宋体" w:hAnsi="宋体" w:eastAsia="宋体" w:cs="宋体"/>
          <w:bCs w:val="0"/>
          <w:color w:val="000000"/>
          <w:sz w:val="24"/>
          <w:szCs w:val="24"/>
          <w:lang w:bidi="ar"/>
        </w:rPr>
        <w:t>以“我们的节日”活动契机开展第七届“情系竹岐、墨香榕西”迎春书画作品展及学习宣传贯彻党的二十大精神系列活动——第八届“情系竹岐</w:t>
      </w:r>
      <w:r>
        <w:rPr>
          <w:rFonts w:hint="eastAsia" w:ascii="宋体" w:hAnsi="宋体" w:eastAsia="宋体" w:cs="宋体"/>
          <w:bCs w:val="0"/>
          <w:color w:val="000000"/>
          <w:sz w:val="24"/>
          <w:szCs w:val="24"/>
          <w:lang w:eastAsia="zh-CN" w:bidi="ar"/>
        </w:rPr>
        <w:t>、</w:t>
      </w:r>
      <w:r>
        <w:rPr>
          <w:rFonts w:hint="eastAsia" w:ascii="宋体" w:hAnsi="宋体" w:eastAsia="宋体" w:cs="宋体"/>
          <w:bCs w:val="0"/>
          <w:color w:val="000000"/>
          <w:sz w:val="24"/>
          <w:szCs w:val="24"/>
          <w:lang w:bidi="ar"/>
        </w:rPr>
        <w:t>墨香榕西”书画作品线上展等主题活动，弘扬中华民族优秀传统文化，丰富群众精神生活；积极组织人员参加2022年福州市“农村百队千场篮球赛”启动仪式暨闽侯县第十二届“迎新杯”男子篮球赛、“体育进乡镇”趣味运动会及2022年闽侯县广场健身舞比赛等，并取得较好名次；全国文明城市创建工作扎实推进，</w:t>
      </w:r>
      <w:r>
        <w:rPr>
          <w:rFonts w:hint="eastAsia" w:ascii="宋体" w:hAnsi="宋体" w:eastAsia="宋体" w:cs="宋体"/>
          <w:bCs w:val="0"/>
          <w:color w:val="000000"/>
          <w:sz w:val="24"/>
          <w:szCs w:val="24"/>
          <w:lang w:eastAsia="zh-CN" w:bidi="ar"/>
        </w:rPr>
        <w:t>组织</w:t>
      </w:r>
      <w:r>
        <w:rPr>
          <w:rFonts w:hint="eastAsia" w:ascii="宋体" w:hAnsi="宋体" w:eastAsia="宋体" w:cs="宋体"/>
          <w:bCs w:val="0"/>
          <w:color w:val="000000"/>
          <w:sz w:val="24"/>
          <w:szCs w:val="24"/>
          <w:lang w:bidi="ar"/>
        </w:rPr>
        <w:t>《闽山闽水物华新——习近平福建足迹》学习专题党课，开展党的二十大精神宣讲工作，营造学习宣传贯彻的浓厚氛围，推动党的二十大精神在竹岐落地生根、开花结果。积极开展2022年福州市文化科技卫生“三下乡”集中服务活动，及“身边好人”、“最美志愿者”等评选活动，加大黄思林等“道德模范”先进典型学习宣传力度，在群众中大力倡导文明礼仪之风</w:t>
      </w:r>
      <w:r>
        <w:rPr>
          <w:rFonts w:hint="eastAsia" w:ascii="宋体" w:hAnsi="宋体" w:eastAsia="宋体" w:cs="宋体"/>
          <w:bCs w:val="0"/>
          <w:color w:val="000000"/>
          <w:sz w:val="24"/>
          <w:szCs w:val="24"/>
          <w:lang w:eastAsia="zh-CN" w:bidi="ar"/>
        </w:rPr>
        <w:t>，</w:t>
      </w:r>
      <w:r>
        <w:rPr>
          <w:rFonts w:hint="eastAsia" w:ascii="宋体" w:hAnsi="宋体" w:eastAsia="宋体" w:cs="宋体"/>
          <w:bCs w:val="0"/>
          <w:color w:val="000000"/>
          <w:sz w:val="24"/>
          <w:szCs w:val="24"/>
          <w:lang w:bidi="ar"/>
        </w:rPr>
        <w:t>树立争当好人、争做好事的价值导向；扎实推进军民融合深度发展，加强民族宗教、人民武装、关心下一代等工作，支持工会、共青团、妇联、残联等人民团体发挥更大作用，切实保障好妇女和未成年人权益，做好关爱老年人和留守儿童工作。</w:t>
      </w:r>
      <w:r>
        <w:rPr>
          <w:rFonts w:hint="eastAsia" w:ascii="宋体" w:hAnsi="宋体" w:eastAsia="宋体" w:cs="宋体"/>
          <w:b w:val="0"/>
          <w:bCs w:val="0"/>
          <w:sz w:val="24"/>
          <w:szCs w:val="24"/>
          <w:lang w:val="en-US" w:eastAsia="zh-CN" w:bidi="ar"/>
        </w:rPr>
        <w:t>社会治理成果显著</w:t>
      </w:r>
      <w:r>
        <w:rPr>
          <w:rFonts w:hint="eastAsia" w:ascii="宋体" w:hAnsi="宋体" w:eastAsia="宋体" w:cs="宋体"/>
          <w:b w:val="0"/>
          <w:bCs w:val="0"/>
          <w:color w:val="000000"/>
          <w:sz w:val="24"/>
          <w:szCs w:val="24"/>
          <w:lang w:bidi="ar"/>
        </w:rPr>
        <w:t>。</w:t>
      </w:r>
      <w:r>
        <w:rPr>
          <w:rFonts w:hint="eastAsia" w:ascii="宋体" w:hAnsi="宋体" w:eastAsia="宋体" w:cs="宋体"/>
          <w:bCs w:val="0"/>
          <w:color w:val="000000"/>
          <w:sz w:val="24"/>
          <w:szCs w:val="24"/>
          <w:lang w:bidi="ar"/>
        </w:rPr>
        <w:t>积极做好社会治安防控打击、社会矛盾纠纷化解，排查消除公共安全隐患，推进“平安三率”宣传；化解各类矛盾纠纷159起，破获刑事案件54起，打击处理56人；深入开展安全生产隐患大排查大整治专项行动，落实12大重点行业领域安全生产专项整治，景区和非景区景点安全整治、道路交通安全综合整治提升工作稳步推动，食品药品安全监管进一步加强。全面落实消防安全责任制，加强防火宣传和消防监督，配齐配强乡级小型消防站人员并持续发挥作用，较好促进全乡安全生产形势</w:t>
      </w:r>
      <w:r>
        <w:rPr>
          <w:rFonts w:hint="eastAsia" w:ascii="宋体" w:hAnsi="宋体" w:eastAsia="宋体" w:cs="宋体"/>
          <w:bCs w:val="0"/>
          <w:color w:val="000000"/>
          <w:sz w:val="24"/>
          <w:szCs w:val="24"/>
          <w:lang w:eastAsia="zh-CN" w:bidi="ar"/>
        </w:rPr>
        <w:t>稳中向好</w:t>
      </w:r>
      <w:r>
        <w:rPr>
          <w:rFonts w:hint="eastAsia" w:ascii="宋体" w:hAnsi="宋体" w:eastAsia="宋体" w:cs="宋体"/>
          <w:bCs w:val="0"/>
          <w:color w:val="000000"/>
          <w:sz w:val="24"/>
          <w:szCs w:val="24"/>
          <w:lang w:bidi="ar"/>
        </w:rPr>
        <w:t>。</w:t>
      </w:r>
      <w:r>
        <w:rPr>
          <w:rFonts w:hint="eastAsia" w:ascii="宋体" w:hAnsi="宋体" w:eastAsia="宋体" w:cs="宋体"/>
          <w:b w:val="0"/>
          <w:color w:val="000000"/>
          <w:sz w:val="24"/>
          <w:szCs w:val="24"/>
          <w:lang w:bidi="ar"/>
        </w:rPr>
        <w:t>疫情防控</w:t>
      </w:r>
      <w:r>
        <w:rPr>
          <w:rFonts w:hint="eastAsia" w:ascii="宋体" w:hAnsi="宋体" w:eastAsia="宋体" w:cs="宋体"/>
          <w:b w:val="0"/>
          <w:color w:val="000000"/>
          <w:sz w:val="24"/>
          <w:szCs w:val="24"/>
          <w:lang w:val="en-US" w:eastAsia="zh-CN" w:bidi="ar"/>
        </w:rPr>
        <w:t>常抓不懈</w:t>
      </w:r>
      <w:r>
        <w:rPr>
          <w:rFonts w:hint="eastAsia" w:ascii="宋体" w:hAnsi="宋体" w:eastAsia="宋体" w:cs="宋体"/>
          <w:b w:val="0"/>
          <w:color w:val="000000"/>
          <w:sz w:val="24"/>
          <w:szCs w:val="24"/>
          <w:lang w:eastAsia="zh-CN" w:bidi="ar"/>
        </w:rPr>
        <w:t>。</w:t>
      </w:r>
      <w:r>
        <w:rPr>
          <w:rFonts w:hint="eastAsia" w:ascii="宋体" w:hAnsi="宋体" w:eastAsia="宋体" w:cs="宋体"/>
          <w:kern w:val="2"/>
          <w:sz w:val="24"/>
          <w:szCs w:val="24"/>
          <w:highlight w:val="none"/>
          <w:lang w:bidi="ar"/>
        </w:rPr>
        <w:t>坚持“三个坚定不移”，突出“快准严实细”，用好“小团队、细网格”社会治理体系，深化“敲门行动”、“无疫社区”创建、“扫楼清户、扫街清路”等工作，科学、有效、快速、稳妥处置了</w:t>
      </w:r>
      <w:r>
        <w:rPr>
          <w:rFonts w:hint="eastAsia" w:ascii="宋体" w:hAnsi="宋体" w:eastAsia="宋体" w:cs="宋体"/>
          <w:kern w:val="2"/>
          <w:sz w:val="24"/>
          <w:szCs w:val="24"/>
          <w:highlight w:val="none"/>
          <w:lang w:eastAsia="zh-CN" w:bidi="ar"/>
        </w:rPr>
        <w:t>不断来袭</w:t>
      </w:r>
      <w:r>
        <w:rPr>
          <w:rFonts w:hint="eastAsia" w:ascii="宋体" w:hAnsi="宋体" w:eastAsia="宋体" w:cs="宋体"/>
          <w:kern w:val="2"/>
          <w:sz w:val="24"/>
          <w:szCs w:val="24"/>
          <w:highlight w:val="none"/>
          <w:lang w:bidi="ar"/>
        </w:rPr>
        <w:t>的新冠疫</w:t>
      </w:r>
      <w:r>
        <w:rPr>
          <w:rFonts w:hint="eastAsia" w:ascii="宋体" w:hAnsi="宋体" w:eastAsia="宋体" w:cs="宋体"/>
          <w:kern w:val="2"/>
          <w:sz w:val="24"/>
          <w:szCs w:val="24"/>
          <w:highlight w:val="none"/>
          <w:lang w:val="en-US" w:eastAsia="zh-CN" w:bidi="ar"/>
        </w:rPr>
        <w:t>情</w:t>
      </w:r>
      <w:r>
        <w:rPr>
          <w:rFonts w:hint="eastAsia" w:ascii="宋体" w:hAnsi="宋体" w:eastAsia="宋体" w:cs="宋体"/>
          <w:kern w:val="2"/>
          <w:sz w:val="24"/>
          <w:szCs w:val="24"/>
          <w:highlight w:val="none"/>
          <w:lang w:bidi="ar"/>
        </w:rPr>
        <w:t>。</w:t>
      </w:r>
      <w:r>
        <w:rPr>
          <w:rStyle w:val="13"/>
          <w:rFonts w:hint="eastAsia" w:ascii="宋体" w:hAnsi="宋体" w:eastAsia="宋体" w:cs="宋体"/>
          <w:b w:val="0"/>
          <w:bCs w:val="0"/>
          <w:kern w:val="2"/>
          <w:sz w:val="24"/>
          <w:szCs w:val="24"/>
          <w:highlight w:val="none"/>
          <w:shd w:val="clear" w:color="auto" w:fill="auto"/>
          <w:lang w:bidi="ar"/>
        </w:rPr>
        <w:t>尤其是面临</w:t>
      </w:r>
      <w:r>
        <w:rPr>
          <w:rStyle w:val="13"/>
          <w:rFonts w:hint="eastAsia" w:ascii="宋体" w:hAnsi="宋体" w:eastAsia="宋体" w:cs="宋体"/>
          <w:b w:val="0"/>
          <w:bCs w:val="0"/>
          <w:kern w:val="2"/>
          <w:sz w:val="24"/>
          <w:szCs w:val="24"/>
          <w:highlight w:val="none"/>
          <w:shd w:val="clear" w:color="auto" w:fill="auto"/>
          <w:lang w:eastAsia="zh-CN" w:bidi="ar"/>
        </w:rPr>
        <w:t>福州</w:t>
      </w:r>
      <w:r>
        <w:rPr>
          <w:rStyle w:val="13"/>
          <w:rFonts w:hint="eastAsia" w:ascii="宋体" w:hAnsi="宋体" w:eastAsia="宋体" w:cs="宋体"/>
          <w:b w:val="0"/>
          <w:bCs w:val="0"/>
          <w:kern w:val="2"/>
          <w:sz w:val="24"/>
          <w:szCs w:val="24"/>
          <w:highlight w:val="none"/>
          <w:shd w:val="clear" w:color="auto" w:fill="auto"/>
          <w:lang w:bidi="ar"/>
        </w:rPr>
        <w:t>“1022”疫情严峻挑战</w:t>
      </w:r>
      <w:r>
        <w:rPr>
          <w:rStyle w:val="13"/>
          <w:rFonts w:hint="eastAsia" w:ascii="宋体" w:hAnsi="宋体" w:eastAsia="宋体" w:cs="宋体"/>
          <w:b w:val="0"/>
          <w:bCs w:val="0"/>
          <w:kern w:val="2"/>
          <w:sz w:val="24"/>
          <w:szCs w:val="24"/>
          <w:highlight w:val="none"/>
          <w:shd w:val="clear" w:color="auto" w:fill="auto"/>
          <w:lang w:eastAsia="zh-CN" w:bidi="ar"/>
        </w:rPr>
        <w:t>的</w:t>
      </w:r>
      <w:r>
        <w:rPr>
          <w:rStyle w:val="13"/>
          <w:rFonts w:hint="eastAsia" w:ascii="宋体" w:hAnsi="宋体" w:eastAsia="宋体" w:cs="宋体"/>
          <w:b w:val="0"/>
          <w:bCs w:val="0"/>
          <w:kern w:val="2"/>
          <w:sz w:val="24"/>
          <w:szCs w:val="24"/>
          <w:highlight w:val="none"/>
          <w:shd w:val="clear" w:color="auto" w:fill="auto"/>
          <w:lang w:bidi="ar"/>
        </w:rPr>
        <w:t>危难时刻，广大</w:t>
      </w:r>
      <w:r>
        <w:rPr>
          <w:rStyle w:val="13"/>
          <w:rFonts w:hint="eastAsia" w:ascii="宋体" w:hAnsi="宋体" w:eastAsia="宋体" w:cs="宋体"/>
          <w:b w:val="0"/>
          <w:bCs w:val="0"/>
          <w:kern w:val="2"/>
          <w:sz w:val="24"/>
          <w:szCs w:val="24"/>
          <w:highlight w:val="none"/>
          <w:shd w:val="clear" w:color="auto" w:fill="auto"/>
          <w:lang w:val="en-US" w:eastAsia="zh-CN" w:bidi="ar"/>
        </w:rPr>
        <w:t>乡村干部、</w:t>
      </w:r>
      <w:r>
        <w:rPr>
          <w:rStyle w:val="13"/>
          <w:rFonts w:hint="eastAsia" w:ascii="宋体" w:hAnsi="宋体" w:eastAsia="宋体" w:cs="宋体"/>
          <w:b w:val="0"/>
          <w:bCs w:val="0"/>
          <w:kern w:val="2"/>
          <w:sz w:val="24"/>
          <w:szCs w:val="24"/>
          <w:highlight w:val="none"/>
          <w:shd w:val="clear" w:color="auto" w:fill="auto"/>
          <w:lang w:bidi="ar"/>
        </w:rPr>
        <w:t>医务工作者不惧风险冲在一线，逆行出征</w:t>
      </w:r>
      <w:r>
        <w:rPr>
          <w:rStyle w:val="13"/>
          <w:rFonts w:hint="eastAsia" w:ascii="宋体" w:hAnsi="宋体" w:eastAsia="宋体" w:cs="宋体"/>
          <w:b w:val="0"/>
          <w:bCs w:val="0"/>
          <w:kern w:val="2"/>
          <w:sz w:val="24"/>
          <w:szCs w:val="24"/>
          <w:highlight w:val="none"/>
          <w:shd w:val="clear" w:color="auto" w:fill="auto"/>
          <w:lang w:eastAsia="zh-CN" w:bidi="ar"/>
        </w:rPr>
        <w:t>、</w:t>
      </w:r>
      <w:r>
        <w:rPr>
          <w:rStyle w:val="13"/>
          <w:rFonts w:hint="eastAsia" w:ascii="宋体" w:hAnsi="宋体" w:eastAsia="宋体" w:cs="宋体"/>
          <w:b w:val="0"/>
          <w:bCs w:val="0"/>
          <w:kern w:val="2"/>
          <w:sz w:val="24"/>
          <w:szCs w:val="24"/>
          <w:highlight w:val="none"/>
          <w:shd w:val="clear" w:color="auto" w:fill="auto"/>
          <w:lang w:bidi="ar"/>
        </w:rPr>
        <w:t>日夜奋战，用朴实行动构筑起守护生命的铜墙铁壁，</w:t>
      </w:r>
      <w:r>
        <w:rPr>
          <w:rFonts w:hint="eastAsia" w:ascii="宋体" w:hAnsi="宋体" w:eastAsia="宋体" w:cs="宋体"/>
          <w:kern w:val="2"/>
          <w:sz w:val="24"/>
          <w:szCs w:val="24"/>
          <w:highlight w:val="none"/>
          <w:lang w:bidi="ar"/>
        </w:rPr>
        <w:t>快速打赢了疫情防控阻击战、歼灭战。</w:t>
      </w:r>
    </w:p>
    <w:p>
      <w:pPr>
        <w:spacing w:line="360" w:lineRule="auto"/>
        <w:ind w:firstLine="480"/>
        <w:rPr>
          <w:rFonts w:hint="eastAsia" w:ascii="宋体" w:hAnsi="宋体" w:eastAsia="宋体" w:cs="宋体"/>
          <w:sz w:val="24"/>
          <w:szCs w:val="32"/>
          <w:lang w:val="en-US" w:eastAsia="zh-CN"/>
        </w:rPr>
      </w:pPr>
      <w:r>
        <w:rPr>
          <w:rFonts w:hint="eastAsia" w:ascii="宋体" w:hAnsi="宋体" w:eastAsia="宋体" w:cs="宋体"/>
          <w:kern w:val="2"/>
          <w:sz w:val="24"/>
          <w:szCs w:val="32"/>
          <w:highlight w:val="none"/>
          <w:lang w:eastAsia="zh-CN" w:bidi="ar"/>
        </w:rPr>
        <w:t>（</w:t>
      </w:r>
      <w:r>
        <w:rPr>
          <w:rFonts w:hint="eastAsia" w:ascii="宋体" w:hAnsi="宋体" w:eastAsia="宋体" w:cs="宋体"/>
          <w:sz w:val="24"/>
          <w:szCs w:val="32"/>
          <w:lang w:val="en-US" w:eastAsia="zh-CN"/>
        </w:rPr>
        <w:t>三）乡村面貌明显改善</w:t>
      </w:r>
    </w:p>
    <w:p>
      <w:pPr>
        <w:spacing w:line="360" w:lineRule="auto"/>
        <w:ind w:firstLine="480"/>
        <w:rPr>
          <w:rFonts w:hint="eastAsia" w:ascii="宋体" w:hAnsi="宋体" w:eastAsia="宋体" w:cs="宋体"/>
          <w:b w:val="0"/>
          <w:bCs w:val="0"/>
          <w:sz w:val="24"/>
          <w:szCs w:val="24"/>
          <w:lang w:bidi="ar"/>
        </w:rPr>
      </w:pPr>
      <w:r>
        <w:rPr>
          <w:rFonts w:hint="eastAsia" w:ascii="宋体" w:hAnsi="宋体" w:eastAsia="宋体" w:cs="宋体"/>
          <w:b w:val="0"/>
          <w:bCs w:val="0"/>
          <w:color w:val="auto"/>
          <w:sz w:val="24"/>
          <w:szCs w:val="24"/>
          <w:lang w:val="en-US" w:eastAsia="zh-CN" w:bidi="ar"/>
        </w:rPr>
        <w:t>扎实推进乡村振兴。</w:t>
      </w:r>
      <w:r>
        <w:rPr>
          <w:rFonts w:hint="eastAsia" w:ascii="宋体" w:hAnsi="宋体" w:eastAsia="宋体" w:cs="宋体"/>
          <w:b w:val="0"/>
          <w:bCs w:val="0"/>
          <w:color w:val="auto"/>
          <w:sz w:val="24"/>
          <w:szCs w:val="24"/>
          <w:highlight w:val="none"/>
          <w:lang w:val="en-US" w:eastAsia="zh-CN" w:bidi="ar"/>
        </w:rPr>
        <w:t>辖区内22个行政村均达成村财收入10万元目标；整治抛荒撂荒22亩，完成700亩高标准农田建设和1.7万亩粮食播种任务；重点打造省级美丽乡村示范点元格、半岭村，着力推进市级美丽乡村精品示范村南洋村建设；深化农业供给侧结构性改革，推广、培育新品种和水稻良种，并以全域旅游理念引领现代服务业发展，着重开发“旅游+”休闲农业，推动旅游与现代农业、文化、扶贫等领域跨界融合。</w:t>
      </w:r>
      <w:r>
        <w:rPr>
          <w:rFonts w:hint="eastAsia" w:ascii="宋体" w:hAnsi="宋体" w:eastAsia="宋体" w:cs="宋体"/>
          <w:b w:val="0"/>
          <w:bCs w:val="0"/>
          <w:i w:val="0"/>
          <w:iCs w:val="0"/>
          <w:color w:val="auto"/>
          <w:sz w:val="24"/>
          <w:szCs w:val="24"/>
          <w:highlight w:val="none"/>
          <w:lang w:bidi="ar"/>
        </w:rPr>
        <w:t>基础设施日趋完善。</w:t>
      </w:r>
      <w:r>
        <w:rPr>
          <w:rFonts w:hint="eastAsia" w:ascii="宋体" w:hAnsi="宋体" w:eastAsia="宋体" w:cs="宋体"/>
          <w:b w:val="0"/>
          <w:bCs w:val="0"/>
          <w:color w:val="auto"/>
          <w:sz w:val="24"/>
          <w:szCs w:val="24"/>
          <w:highlight w:val="none"/>
          <w:lang w:val="en-US" w:eastAsia="zh-CN" w:bidi="ar"/>
        </w:rPr>
        <w:t>2022年我乡农村公路建设项目5个，总投资2271万元，全长12.8公里。目前，已投资800万元完成农村公路拓宽改建8公里，投资500万元完成农村公路路面修复8公里。</w:t>
      </w:r>
      <w:r>
        <w:rPr>
          <w:rFonts w:hint="eastAsia" w:ascii="宋体" w:hAnsi="宋体" w:eastAsia="宋体" w:cs="宋体"/>
          <w:bCs w:val="0"/>
          <w:color w:val="auto"/>
          <w:sz w:val="24"/>
          <w:szCs w:val="24"/>
          <w:lang w:bidi="ar"/>
        </w:rPr>
        <w:t>溪口水闸出口段（右岸）修复工程</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金水湖水闸启闭设备维修养护工程、榕岸蔬菜基地灌溉管道修复工程、蒲洋村</w:t>
      </w:r>
      <w:r>
        <w:rPr>
          <w:rFonts w:hint="eastAsia" w:ascii="宋体" w:hAnsi="宋体" w:eastAsia="宋体" w:cs="宋体"/>
          <w:sz w:val="24"/>
          <w:szCs w:val="24"/>
          <w:lang w:val="en-US" w:eastAsia="zh-CN" w:bidi="ar"/>
        </w:rPr>
        <w:t>帮洋溪护岸修复工程、</w:t>
      </w:r>
      <w:r>
        <w:rPr>
          <w:rFonts w:hint="eastAsia" w:ascii="宋体" w:hAnsi="宋体" w:eastAsia="宋体" w:cs="宋体"/>
          <w:bCs w:val="0"/>
          <w:sz w:val="24"/>
          <w:szCs w:val="24"/>
          <w:lang w:bidi="ar"/>
        </w:rPr>
        <w:t>2020-2021年</w:t>
      </w:r>
      <w:r>
        <w:rPr>
          <w:rFonts w:hint="eastAsia" w:ascii="宋体" w:hAnsi="宋体" w:eastAsia="宋体" w:cs="宋体"/>
          <w:sz w:val="24"/>
          <w:szCs w:val="24"/>
          <w:lang w:val="en-US" w:eastAsia="zh-CN" w:bidi="ar"/>
        </w:rPr>
        <w:t>度冬春修水利建设项目等水利项目顺利完成，进一步改善农田灌溉条件并保障防洪安全。</w:t>
      </w:r>
      <w:r>
        <w:rPr>
          <w:rFonts w:hint="eastAsia" w:ascii="宋体" w:hAnsi="宋体" w:eastAsia="宋体" w:cs="宋体"/>
          <w:b w:val="0"/>
          <w:bCs w:val="0"/>
          <w:color w:val="000000"/>
          <w:sz w:val="24"/>
          <w:szCs w:val="24"/>
          <w:lang w:bidi="ar"/>
        </w:rPr>
        <w:t>人居环境持续改善。深入开展“</w:t>
      </w:r>
      <w:r>
        <w:rPr>
          <w:rFonts w:hint="eastAsia" w:ascii="宋体" w:hAnsi="宋体" w:eastAsia="宋体" w:cs="宋体"/>
          <w:b w:val="0"/>
          <w:bCs w:val="0"/>
          <w:color w:val="000000"/>
          <w:sz w:val="24"/>
          <w:szCs w:val="24"/>
          <w:lang w:val="en-US" w:eastAsia="zh-CN" w:bidi="ar"/>
        </w:rPr>
        <w:t>护河爱水、清洁家园</w:t>
      </w:r>
      <w:r>
        <w:rPr>
          <w:rFonts w:hint="eastAsia" w:ascii="宋体" w:hAnsi="宋体" w:eastAsia="宋体" w:cs="宋体"/>
          <w:b w:val="0"/>
          <w:bCs w:val="0"/>
          <w:color w:val="000000"/>
          <w:sz w:val="24"/>
          <w:szCs w:val="24"/>
          <w:lang w:bidi="ar"/>
        </w:rPr>
        <w:t>”</w:t>
      </w:r>
      <w:r>
        <w:rPr>
          <w:rFonts w:hint="eastAsia" w:ascii="宋体" w:hAnsi="宋体" w:eastAsia="宋体" w:cs="宋体"/>
          <w:b w:val="0"/>
          <w:bCs w:val="0"/>
          <w:color w:val="000000"/>
          <w:sz w:val="24"/>
          <w:szCs w:val="24"/>
          <w:lang w:val="en-US" w:eastAsia="zh-CN" w:bidi="ar"/>
        </w:rPr>
        <w:t>行动20余次，并通过实行人居环境文明积分制，引导群众积极主动参与人居</w:t>
      </w:r>
      <w:r>
        <w:rPr>
          <w:rFonts w:hint="eastAsia" w:ascii="宋体" w:hAnsi="宋体" w:eastAsia="宋体" w:cs="宋体"/>
          <w:b w:val="0"/>
          <w:bCs w:val="0"/>
          <w:sz w:val="24"/>
          <w:szCs w:val="24"/>
          <w:lang w:val="en-US" w:eastAsia="zh-CN" w:bidi="ar"/>
        </w:rPr>
        <w:t>环境整治；建设污水收集管网5</w:t>
      </w:r>
      <w:r>
        <w:rPr>
          <w:rFonts w:hint="eastAsia" w:ascii="宋体" w:hAnsi="宋体" w:eastAsia="宋体" w:cs="宋体"/>
          <w:b w:val="0"/>
          <w:bCs w:val="0"/>
          <w:color w:val="000000"/>
          <w:sz w:val="24"/>
          <w:szCs w:val="24"/>
          <w:lang w:val="en-US" w:eastAsia="zh-CN" w:bidi="ar"/>
        </w:rPr>
        <w:t>300米，泵站1座，清淤污水管2035.8米，有效治理污水直排问题</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bidi="ar"/>
        </w:rPr>
        <w:t>垃圾分类、</w:t>
      </w:r>
      <w:r>
        <w:rPr>
          <w:rFonts w:hint="eastAsia" w:ascii="宋体" w:hAnsi="宋体" w:eastAsia="宋体" w:cs="宋体"/>
          <w:b w:val="0"/>
          <w:bCs w:val="0"/>
          <w:sz w:val="24"/>
          <w:szCs w:val="24"/>
          <w:lang w:bidi="ar"/>
        </w:rPr>
        <w:t>环卫一体化市场购买服务</w:t>
      </w:r>
      <w:r>
        <w:rPr>
          <w:rFonts w:hint="eastAsia" w:ascii="宋体" w:hAnsi="宋体" w:eastAsia="宋体" w:cs="宋体"/>
          <w:b w:val="0"/>
          <w:bCs w:val="0"/>
          <w:color w:val="000000"/>
          <w:sz w:val="24"/>
          <w:szCs w:val="24"/>
          <w:lang w:bidi="ar"/>
        </w:rPr>
        <w:t>工作同步推进</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保障环境卫生整洁有序</w:t>
      </w:r>
      <w:r>
        <w:rPr>
          <w:rFonts w:hint="eastAsia" w:ascii="宋体" w:hAnsi="宋体" w:eastAsia="宋体" w:cs="宋体"/>
          <w:b w:val="0"/>
          <w:bCs w:val="0"/>
          <w:color w:val="000000"/>
          <w:sz w:val="24"/>
          <w:szCs w:val="24"/>
          <w:lang w:bidi="ar"/>
        </w:rPr>
        <w:t>；依法整治“两违”10.02万平方米，整治裸房40栋，立面面积5400平方米，如数完成上级下达任务；政务公开和“12345”便民惠企系统等平台充分发挥作用，城乡管理工作日臻改善；污染防治攻坚战持续发力，中央环保督察反馈问题有效整改，“散乱污”企业整治成效明显，</w:t>
      </w:r>
      <w:r>
        <w:rPr>
          <w:rFonts w:hint="eastAsia" w:ascii="宋体" w:hAnsi="宋体" w:eastAsia="宋体" w:cs="宋体"/>
          <w:b w:val="0"/>
          <w:bCs w:val="0"/>
          <w:color w:val="000000"/>
          <w:sz w:val="24"/>
          <w:szCs w:val="24"/>
          <w:lang w:val="en-US" w:eastAsia="zh-CN" w:bidi="ar"/>
        </w:rPr>
        <w:t>有序开展水葫芦打捞治理工作，</w:t>
      </w:r>
      <w:r>
        <w:rPr>
          <w:rFonts w:hint="eastAsia" w:ascii="宋体" w:hAnsi="宋体" w:eastAsia="宋体" w:cs="宋体"/>
          <w:b w:val="0"/>
          <w:bCs w:val="0"/>
          <w:color w:val="000000"/>
          <w:sz w:val="24"/>
          <w:szCs w:val="24"/>
          <w:lang w:bidi="ar"/>
        </w:rPr>
        <w:t>闽江干流排放口及小流域排污口实现全面摸排并分类整治，采取“堵”“截”“引”“处”“修”“罚”六项措施，确保污水不入河，全乡流域水质稳定达标；</w:t>
      </w:r>
      <w:r>
        <w:rPr>
          <w:rFonts w:hint="eastAsia" w:ascii="宋体" w:hAnsi="宋体" w:eastAsia="宋体" w:cs="宋体"/>
          <w:b w:val="0"/>
          <w:bCs w:val="0"/>
          <w:sz w:val="24"/>
          <w:szCs w:val="24"/>
          <w:lang w:bidi="ar"/>
        </w:rPr>
        <w:t>加快水源地保护</w:t>
      </w:r>
      <w:r>
        <w:rPr>
          <w:rFonts w:hint="eastAsia" w:ascii="宋体" w:hAnsi="宋体" w:eastAsia="宋体" w:cs="宋体"/>
          <w:b w:val="0"/>
          <w:bCs w:val="0"/>
          <w:sz w:val="24"/>
          <w:szCs w:val="24"/>
          <w:lang w:val="en-US" w:eastAsia="zh-CN" w:bidi="ar"/>
        </w:rPr>
        <w:t>力度</w:t>
      </w:r>
      <w:r>
        <w:rPr>
          <w:rFonts w:hint="eastAsia" w:ascii="宋体" w:hAnsi="宋体" w:eastAsia="宋体" w:cs="宋体"/>
          <w:b w:val="0"/>
          <w:bCs w:val="0"/>
          <w:sz w:val="24"/>
          <w:szCs w:val="24"/>
          <w:lang w:bidi="ar"/>
        </w:rPr>
        <w:t>，深入实施门前河、小目溪和畜禽养殖污染整治，</w:t>
      </w:r>
      <w:r>
        <w:rPr>
          <w:rFonts w:hint="eastAsia" w:ascii="宋体" w:hAnsi="宋体" w:eastAsia="宋体" w:cs="宋体"/>
          <w:b w:val="0"/>
          <w:bCs w:val="0"/>
          <w:color w:val="000000"/>
          <w:sz w:val="24"/>
          <w:szCs w:val="24"/>
          <w:lang w:bidi="ar"/>
        </w:rPr>
        <w:t>植树造林468</w:t>
      </w:r>
      <w:r>
        <w:rPr>
          <w:rFonts w:hint="eastAsia" w:ascii="宋体" w:hAnsi="宋体" w:eastAsia="宋体" w:cs="宋体"/>
          <w:b w:val="0"/>
          <w:bCs w:val="0"/>
          <w:color w:val="000000"/>
          <w:sz w:val="24"/>
          <w:szCs w:val="24"/>
          <w:lang w:val="en-US" w:eastAsia="zh-CN" w:bidi="ar"/>
        </w:rPr>
        <w:t>亩</w:t>
      </w:r>
      <w:r>
        <w:rPr>
          <w:rFonts w:hint="eastAsia" w:ascii="宋体" w:hAnsi="宋体" w:eastAsia="宋体" w:cs="宋体"/>
          <w:b w:val="0"/>
          <w:bCs w:val="0"/>
          <w:color w:val="000000"/>
          <w:sz w:val="24"/>
          <w:szCs w:val="24"/>
          <w:lang w:bidi="ar"/>
        </w:rPr>
        <w:t>，森林抚育1736</w:t>
      </w:r>
      <w:r>
        <w:rPr>
          <w:rFonts w:hint="eastAsia" w:ascii="宋体" w:hAnsi="宋体" w:eastAsia="宋体" w:cs="宋体"/>
          <w:b w:val="0"/>
          <w:bCs w:val="0"/>
          <w:color w:val="000000"/>
          <w:sz w:val="24"/>
          <w:szCs w:val="24"/>
          <w:lang w:val="en-US" w:eastAsia="zh-CN" w:bidi="ar"/>
        </w:rPr>
        <w:t>亩</w:t>
      </w:r>
      <w:r>
        <w:rPr>
          <w:rFonts w:hint="eastAsia" w:ascii="宋体" w:hAnsi="宋体" w:eastAsia="宋体" w:cs="宋体"/>
          <w:b w:val="0"/>
          <w:bCs w:val="0"/>
          <w:color w:val="000000"/>
          <w:sz w:val="24"/>
          <w:szCs w:val="24"/>
          <w:lang w:bidi="ar"/>
        </w:rPr>
        <w:t>，封山育林1870</w:t>
      </w:r>
      <w:r>
        <w:rPr>
          <w:rFonts w:hint="eastAsia" w:ascii="宋体" w:hAnsi="宋体" w:eastAsia="宋体" w:cs="宋体"/>
          <w:b w:val="0"/>
          <w:bCs w:val="0"/>
          <w:color w:val="000000"/>
          <w:sz w:val="24"/>
          <w:szCs w:val="24"/>
          <w:lang w:val="en-US" w:eastAsia="zh-CN" w:bidi="ar"/>
        </w:rPr>
        <w:t>亩</w:t>
      </w:r>
      <w:r>
        <w:rPr>
          <w:rFonts w:hint="eastAsia" w:ascii="宋体" w:hAnsi="宋体" w:eastAsia="宋体" w:cs="宋体"/>
          <w:b w:val="0"/>
          <w:bCs w:val="0"/>
          <w:color w:val="000000"/>
          <w:sz w:val="24"/>
          <w:szCs w:val="24"/>
          <w:lang w:bidi="ar"/>
        </w:rPr>
        <w:t>，低质低效林和疏林地改造511</w:t>
      </w:r>
      <w:r>
        <w:rPr>
          <w:rFonts w:hint="eastAsia" w:ascii="宋体" w:hAnsi="宋体" w:eastAsia="宋体" w:cs="宋体"/>
          <w:b w:val="0"/>
          <w:bCs w:val="0"/>
          <w:color w:val="000000"/>
          <w:sz w:val="24"/>
          <w:szCs w:val="24"/>
          <w:lang w:val="en-US" w:eastAsia="zh-CN" w:bidi="ar"/>
        </w:rPr>
        <w:t>亩</w:t>
      </w:r>
      <w:r>
        <w:rPr>
          <w:rFonts w:hint="eastAsia" w:ascii="宋体" w:hAnsi="宋体" w:eastAsia="宋体" w:cs="宋体"/>
          <w:b w:val="0"/>
          <w:bCs w:val="0"/>
          <w:sz w:val="24"/>
          <w:szCs w:val="24"/>
          <w:lang w:bidi="ar"/>
        </w:rPr>
        <w:t>；持续深化河湖长制，配备12名巡河员加强河道巡察；科学推进坟墓整治工作，落实县政府《关于进一步加强殡葬改革管理，推进殡葬改革的通知》精神，转变传统的土葬陋习，在“清明”群众扫墓时机进行文明丧葬、墓地生态整治的宣传，共悬挂殡葬改革宣传横幅</w:t>
      </w:r>
      <w:r>
        <w:rPr>
          <w:rFonts w:hint="eastAsia" w:ascii="宋体" w:hAnsi="宋体" w:eastAsia="宋体" w:cs="宋体"/>
          <w:b w:val="0"/>
          <w:bCs w:val="0"/>
          <w:sz w:val="24"/>
          <w:szCs w:val="24"/>
          <w:lang w:val="en-US" w:eastAsia="zh-CN" w:bidi="ar"/>
        </w:rPr>
        <w:t>30</w:t>
      </w:r>
      <w:r>
        <w:rPr>
          <w:rFonts w:hint="eastAsia" w:ascii="宋体" w:hAnsi="宋体" w:eastAsia="宋体" w:cs="宋体"/>
          <w:b w:val="0"/>
          <w:bCs w:val="0"/>
          <w:sz w:val="24"/>
          <w:szCs w:val="24"/>
          <w:lang w:bidi="ar"/>
        </w:rPr>
        <w:t>幅，固定标语</w:t>
      </w:r>
      <w:r>
        <w:rPr>
          <w:rFonts w:hint="eastAsia" w:ascii="宋体" w:hAnsi="宋体" w:eastAsia="宋体" w:cs="宋体"/>
          <w:b w:val="0"/>
          <w:bCs w:val="0"/>
          <w:sz w:val="24"/>
          <w:szCs w:val="24"/>
          <w:lang w:val="en-US" w:eastAsia="zh-CN" w:bidi="ar"/>
        </w:rPr>
        <w:t>48</w:t>
      </w:r>
      <w:r>
        <w:rPr>
          <w:rFonts w:hint="eastAsia" w:ascii="宋体" w:hAnsi="宋体" w:eastAsia="宋体" w:cs="宋体"/>
          <w:b w:val="0"/>
          <w:bCs w:val="0"/>
          <w:sz w:val="24"/>
          <w:szCs w:val="24"/>
          <w:lang w:bidi="ar"/>
        </w:rPr>
        <w:t>条，广播宣传</w:t>
      </w:r>
      <w:r>
        <w:rPr>
          <w:rFonts w:hint="eastAsia" w:ascii="宋体" w:hAnsi="宋体" w:eastAsia="宋体" w:cs="宋体"/>
          <w:b w:val="0"/>
          <w:bCs w:val="0"/>
          <w:sz w:val="24"/>
          <w:szCs w:val="24"/>
          <w:lang w:val="en-US" w:eastAsia="zh-CN" w:bidi="ar"/>
        </w:rPr>
        <w:t>20</w:t>
      </w:r>
      <w:r>
        <w:rPr>
          <w:rFonts w:hint="eastAsia" w:ascii="宋体" w:hAnsi="宋体" w:eastAsia="宋体" w:cs="宋体"/>
          <w:b w:val="0"/>
          <w:bCs w:val="0"/>
          <w:sz w:val="24"/>
          <w:szCs w:val="24"/>
          <w:lang w:bidi="ar"/>
        </w:rPr>
        <w:t>余次，发放宣传资料</w:t>
      </w:r>
      <w:r>
        <w:rPr>
          <w:rFonts w:hint="eastAsia" w:ascii="宋体" w:hAnsi="宋体" w:eastAsia="宋体" w:cs="宋体"/>
          <w:b w:val="0"/>
          <w:bCs w:val="0"/>
          <w:sz w:val="24"/>
          <w:szCs w:val="24"/>
          <w:lang w:val="en-US" w:eastAsia="zh-CN" w:bidi="ar"/>
        </w:rPr>
        <w:t>500</w:t>
      </w:r>
      <w:r>
        <w:rPr>
          <w:rFonts w:hint="eastAsia" w:ascii="宋体" w:hAnsi="宋体" w:eastAsia="宋体" w:cs="宋体"/>
          <w:b w:val="0"/>
          <w:bCs w:val="0"/>
          <w:sz w:val="24"/>
          <w:szCs w:val="24"/>
          <w:lang w:bidi="ar"/>
        </w:rPr>
        <w:t>多份。</w:t>
      </w:r>
    </w:p>
    <w:p>
      <w:pPr>
        <w:pStyle w:val="2"/>
        <w:numPr>
          <w:ilvl w:val="0"/>
          <w:numId w:val="0"/>
        </w:numPr>
        <w:spacing w:before="0" w:after="0" w:line="360" w:lineRule="auto"/>
        <w:ind w:firstLine="562" w:firstLineChars="200"/>
        <w:rPr>
          <w:rFonts w:hint="eastAsia" w:ascii="宋体" w:hAnsi="宋体" w:eastAsia="宋体" w:cs="宋体"/>
          <w:kern w:val="0"/>
          <w:sz w:val="28"/>
          <w:szCs w:val="28"/>
        </w:rPr>
      </w:pPr>
      <w:bookmarkStart w:id="229" w:name="_Toc15783"/>
      <w:bookmarkStart w:id="230" w:name="_Toc20512"/>
      <w:bookmarkStart w:id="231" w:name="_Toc31367"/>
      <w:bookmarkStart w:id="232" w:name="_Toc26888"/>
      <w:bookmarkStart w:id="233" w:name="_Toc1183"/>
      <w:bookmarkStart w:id="234" w:name="_Toc7124"/>
      <w:bookmarkStart w:id="235" w:name="_Toc30853"/>
      <w:bookmarkStart w:id="236" w:name="_Toc10371"/>
      <w:bookmarkStart w:id="237" w:name="_Toc21703"/>
      <w:bookmarkStart w:id="238" w:name="_Toc26730"/>
      <w:bookmarkStart w:id="239" w:name="_Toc315"/>
      <w:bookmarkStart w:id="240" w:name="_Toc25494"/>
      <w:r>
        <w:rPr>
          <w:rFonts w:hint="eastAsia" w:ascii="宋体" w:hAnsi="宋体" w:eastAsia="宋体" w:cs="宋体"/>
          <w:kern w:val="0"/>
          <w:sz w:val="28"/>
          <w:szCs w:val="28"/>
          <w:lang w:val="en-US" w:eastAsia="zh-CN"/>
        </w:rPr>
        <w:t>六、</w:t>
      </w:r>
      <w:r>
        <w:rPr>
          <w:rFonts w:hint="eastAsia" w:ascii="宋体" w:hAnsi="宋体" w:eastAsia="宋体" w:cs="宋体"/>
          <w:kern w:val="0"/>
          <w:sz w:val="28"/>
          <w:szCs w:val="28"/>
        </w:rPr>
        <w:t>存在问题及原因分析</w:t>
      </w:r>
      <w:bookmarkEnd w:id="214"/>
      <w:bookmarkEnd w:id="229"/>
      <w:bookmarkEnd w:id="230"/>
      <w:bookmarkEnd w:id="231"/>
      <w:bookmarkEnd w:id="232"/>
      <w:bookmarkEnd w:id="233"/>
      <w:bookmarkEnd w:id="234"/>
      <w:bookmarkEnd w:id="235"/>
      <w:bookmarkEnd w:id="236"/>
      <w:bookmarkEnd w:id="237"/>
      <w:bookmarkEnd w:id="238"/>
      <w:bookmarkEnd w:id="239"/>
      <w:bookmarkEnd w:id="240"/>
    </w:p>
    <w:p>
      <w:pPr>
        <w:spacing w:line="360" w:lineRule="auto"/>
        <w:ind w:firstLine="480"/>
        <w:rPr>
          <w:rFonts w:hint="eastAsia" w:ascii="宋体" w:hAnsi="宋体" w:eastAsia="宋体" w:cs="宋体"/>
          <w:sz w:val="24"/>
          <w:szCs w:val="32"/>
          <w:highlight w:val="none"/>
          <w:lang w:bidi="ar"/>
        </w:rPr>
      </w:pPr>
      <w:bookmarkStart w:id="241" w:name="_Toc5678"/>
      <w:bookmarkStart w:id="242" w:name="_Toc25841"/>
      <w:bookmarkStart w:id="243" w:name="_Toc4721"/>
      <w:bookmarkStart w:id="244" w:name="_Toc29618"/>
      <w:bookmarkStart w:id="245" w:name="_Toc24445"/>
      <w:bookmarkStart w:id="246" w:name="_Toc12316"/>
      <w:bookmarkStart w:id="247" w:name="_Toc20320"/>
      <w:bookmarkStart w:id="248" w:name="_Toc2952"/>
      <w:bookmarkStart w:id="249" w:name="_Toc4790"/>
      <w:r>
        <w:rPr>
          <w:rFonts w:hint="eastAsia" w:ascii="宋体" w:hAnsi="宋体" w:eastAsia="宋体" w:cs="宋体"/>
          <w:sz w:val="24"/>
          <w:szCs w:val="32"/>
          <w:highlight w:val="none"/>
          <w:lang w:bidi="ar"/>
        </w:rPr>
        <w:t>（一）绩效管理技能有待提升</w:t>
      </w:r>
      <w:bookmarkEnd w:id="241"/>
      <w:bookmarkEnd w:id="242"/>
      <w:bookmarkEnd w:id="243"/>
      <w:bookmarkEnd w:id="244"/>
      <w:bookmarkEnd w:id="245"/>
      <w:bookmarkEnd w:id="246"/>
      <w:bookmarkEnd w:id="247"/>
      <w:bookmarkEnd w:id="248"/>
      <w:bookmarkEnd w:id="249"/>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在绩效评价工作过程中，发现</w:t>
      </w:r>
      <w:r>
        <w:rPr>
          <w:rFonts w:hint="eastAsia"/>
          <w:sz w:val="24"/>
          <w:lang w:val="en-US" w:eastAsia="zh-CN"/>
        </w:rPr>
        <w:t>闽侯县竹岐乡政府</w:t>
      </w:r>
      <w:r>
        <w:rPr>
          <w:rFonts w:hint="eastAsia"/>
          <w:sz w:val="24"/>
          <w:lang w:eastAsia="zh-CN"/>
        </w:rPr>
        <w:t>财政</w:t>
      </w:r>
      <w:r>
        <w:rPr>
          <w:rFonts w:hint="eastAsia"/>
          <w:sz w:val="24"/>
          <w:lang w:val="en-US" w:eastAsia="zh-CN"/>
        </w:rPr>
        <w:t>绩效项目</w:t>
      </w:r>
      <w:r>
        <w:rPr>
          <w:rFonts w:hint="eastAsia" w:ascii="宋体" w:hAnsi="宋体" w:eastAsia="宋体" w:cs="宋体"/>
          <w:sz w:val="24"/>
        </w:rPr>
        <w:t>绩效管理有待提升</w:t>
      </w:r>
      <w:r>
        <w:rPr>
          <w:rFonts w:hint="eastAsia" w:ascii="宋体" w:hAnsi="宋体" w:eastAsia="宋体" w:cs="宋体"/>
          <w:sz w:val="24"/>
          <w:lang w:eastAsia="zh-CN"/>
        </w:rPr>
        <w:t>。</w:t>
      </w:r>
      <w:r>
        <w:rPr>
          <w:rFonts w:hint="eastAsia" w:ascii="宋体" w:hAnsi="宋体" w:eastAsia="宋体" w:cs="宋体"/>
          <w:sz w:val="24"/>
        </w:rPr>
        <w:t>一是</w:t>
      </w:r>
      <w:r>
        <w:rPr>
          <w:rFonts w:hint="eastAsia" w:ascii="宋体" w:hAnsi="宋体" w:eastAsia="宋体" w:cs="宋体"/>
          <w:sz w:val="24"/>
          <w:lang w:val="en-US" w:eastAsia="zh-CN"/>
        </w:rPr>
        <w:t>乡镇本级追加的专项资金项目未全部反映在财政绩效管理平台；二是</w:t>
      </w:r>
      <w:r>
        <w:rPr>
          <w:rFonts w:hint="eastAsia" w:ascii="宋体" w:hAnsi="宋体" w:eastAsia="宋体" w:cs="宋体"/>
          <w:sz w:val="24"/>
        </w:rPr>
        <w:t>专项资金部分绩效目标较少，</w:t>
      </w:r>
      <w:r>
        <w:rPr>
          <w:rFonts w:hint="eastAsia" w:ascii="宋体" w:hAnsi="宋体" w:eastAsia="宋体" w:cs="宋体"/>
          <w:color w:val="auto"/>
          <w:sz w:val="24"/>
          <w:lang w:eastAsia="zh-CN"/>
        </w:rPr>
        <w:t>如</w:t>
      </w:r>
      <w:r>
        <w:rPr>
          <w:rFonts w:hint="eastAsia" w:ascii="宋体" w:hAnsi="宋体" w:eastAsia="宋体" w:cs="宋体"/>
          <w:color w:val="auto"/>
          <w:sz w:val="24"/>
          <w:lang w:val="en-US" w:eastAsia="zh-CN"/>
        </w:rPr>
        <w:t xml:space="preserve">缺少投入和过程管理目标 </w:t>
      </w:r>
      <w:r>
        <w:rPr>
          <w:rFonts w:hint="eastAsia" w:ascii="宋体" w:hAnsi="宋体" w:eastAsia="宋体" w:cs="宋体"/>
          <w:sz w:val="24"/>
        </w:rPr>
        <w:t>；二是个别绩效指标未通过清晰、可衡量的</w:t>
      </w:r>
      <w:r>
        <w:rPr>
          <w:rFonts w:hint="eastAsia" w:ascii="宋体" w:hAnsi="宋体" w:eastAsia="宋体" w:cs="宋体"/>
          <w:sz w:val="24"/>
          <w:lang w:val="en-US" w:eastAsia="zh-CN"/>
        </w:rPr>
        <w:t>评分标准</w:t>
      </w:r>
      <w:r>
        <w:rPr>
          <w:rFonts w:hint="eastAsia" w:ascii="宋体" w:hAnsi="宋体" w:eastAsia="宋体" w:cs="宋体"/>
          <w:sz w:val="24"/>
        </w:rPr>
        <w:t>予以体现，如产出目标的成本目标-工资和福利支出、对个人和家庭补助支出、商品和服务支出等</w:t>
      </w:r>
      <w:bookmarkStart w:id="250" w:name="_Hlk495161517"/>
      <w:r>
        <w:rPr>
          <w:rFonts w:hint="eastAsia" w:ascii="宋体" w:hAnsi="宋体" w:eastAsia="宋体" w:cs="宋体"/>
          <w:sz w:val="24"/>
          <w:lang w:eastAsia="zh-CN"/>
        </w:rPr>
        <w:t>。</w:t>
      </w:r>
    </w:p>
    <w:p>
      <w:pPr>
        <w:spacing w:line="360" w:lineRule="auto"/>
        <w:ind w:firstLine="480"/>
        <w:rPr>
          <w:rFonts w:hint="eastAsia" w:ascii="宋体" w:hAnsi="宋体" w:eastAsia="宋体" w:cs="宋体"/>
          <w:b w:val="0"/>
          <w:bCs w:val="0"/>
          <w:sz w:val="24"/>
          <w:szCs w:val="32"/>
          <w:highlight w:val="none"/>
          <w:lang w:val="en-US" w:bidi="ar"/>
        </w:rPr>
      </w:pPr>
      <w:bookmarkStart w:id="251" w:name="_Toc11092"/>
      <w:bookmarkStart w:id="252" w:name="_Toc13803"/>
      <w:bookmarkStart w:id="253" w:name="_Toc13929"/>
      <w:bookmarkStart w:id="254" w:name="_Toc17779"/>
      <w:bookmarkStart w:id="255" w:name="_Toc27976"/>
      <w:bookmarkStart w:id="256" w:name="_Toc2113"/>
      <w:bookmarkStart w:id="257" w:name="_Toc18231"/>
      <w:bookmarkStart w:id="258" w:name="_Toc463"/>
      <w:bookmarkStart w:id="259" w:name="_Toc23303"/>
      <w:r>
        <w:rPr>
          <w:rFonts w:hint="eastAsia" w:ascii="宋体" w:hAnsi="宋体" w:eastAsia="宋体" w:cs="宋体"/>
          <w:b w:val="0"/>
          <w:bCs w:val="0"/>
          <w:sz w:val="24"/>
          <w:szCs w:val="32"/>
          <w:highlight w:val="none"/>
          <w:lang w:val="en-US" w:eastAsia="zh-CN" w:bidi="ar"/>
        </w:rPr>
        <w:t>（二）部门预算调整不够规范</w:t>
      </w:r>
      <w:bookmarkEnd w:id="251"/>
      <w:bookmarkEnd w:id="252"/>
      <w:bookmarkEnd w:id="253"/>
      <w:bookmarkEnd w:id="254"/>
      <w:bookmarkEnd w:id="255"/>
      <w:bookmarkEnd w:id="256"/>
      <w:bookmarkEnd w:id="257"/>
      <w:bookmarkEnd w:id="258"/>
      <w:bookmarkEnd w:id="259"/>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部分项目在</w:t>
      </w:r>
      <w:r>
        <w:rPr>
          <w:rFonts w:hint="eastAsia" w:ascii="宋体" w:hAnsi="宋体" w:eastAsia="宋体" w:cs="宋体"/>
          <w:sz w:val="24"/>
          <w:lang w:val="en-US" w:eastAsia="zh-CN"/>
        </w:rPr>
        <w:t>年初</w:t>
      </w:r>
      <w:r>
        <w:rPr>
          <w:rFonts w:hint="eastAsia" w:ascii="宋体" w:hAnsi="宋体" w:eastAsia="宋体" w:cs="宋体"/>
          <w:sz w:val="24"/>
        </w:rPr>
        <w:t>预算时未能充分预料和考虑到来年的政策变化，导致实际支出与</w:t>
      </w:r>
      <w:r>
        <w:rPr>
          <w:rFonts w:hint="eastAsia" w:ascii="宋体" w:hAnsi="宋体" w:eastAsia="宋体" w:cs="宋体"/>
          <w:sz w:val="24"/>
          <w:lang w:val="en-US" w:eastAsia="zh-CN"/>
        </w:rPr>
        <w:t>年初</w:t>
      </w:r>
      <w:r>
        <w:rPr>
          <w:rFonts w:hint="eastAsia" w:ascii="宋体" w:hAnsi="宋体" w:eastAsia="宋体" w:cs="宋体"/>
          <w:sz w:val="24"/>
        </w:rPr>
        <w:t>预算相差较大</w:t>
      </w:r>
      <w:r>
        <w:rPr>
          <w:rFonts w:hint="eastAsia" w:ascii="宋体" w:hAnsi="宋体" w:eastAsia="宋体" w:cs="宋体"/>
          <w:sz w:val="24"/>
          <w:lang w:eastAsia="zh-CN"/>
        </w:rPr>
        <w:t>，</w:t>
      </w:r>
      <w:r>
        <w:rPr>
          <w:rFonts w:hint="eastAsia" w:ascii="宋体" w:hAnsi="宋体" w:eastAsia="宋体" w:cs="宋体"/>
          <w:color w:val="auto"/>
          <w:sz w:val="24"/>
          <w:lang w:val="en-US" w:eastAsia="zh-CN"/>
        </w:rPr>
        <w:t>根据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lang w:eastAsia="zh-CN"/>
        </w:rPr>
        <w:t>竹岐乡人民政府</w:t>
      </w:r>
      <w:r>
        <w:rPr>
          <w:rFonts w:hint="eastAsia" w:ascii="宋体" w:hAnsi="宋体" w:eastAsia="宋体" w:cs="宋体"/>
          <w:b w:val="0"/>
          <w:bCs w:val="0"/>
          <w:color w:val="auto"/>
          <w:sz w:val="24"/>
          <w:szCs w:val="24"/>
        </w:rPr>
        <w:t>财政</w:t>
      </w:r>
      <w:r>
        <w:rPr>
          <w:rFonts w:hint="eastAsia" w:ascii="宋体" w:hAnsi="宋体" w:eastAsia="宋体" w:cs="宋体"/>
          <w:color w:val="auto"/>
          <w:sz w:val="24"/>
          <w:szCs w:val="24"/>
          <w:highlight w:val="none"/>
          <w:lang w:val="en-US" w:eastAsia="zh-CN"/>
        </w:rPr>
        <w:t>关于2021年财政预算执行情况和2022年财政预算草案的报告》</w:t>
      </w:r>
      <w:r>
        <w:rPr>
          <w:rFonts w:hint="eastAsia" w:ascii="宋体" w:hAnsi="宋体" w:eastAsia="宋体" w:cs="宋体"/>
          <w:color w:val="auto"/>
          <w:sz w:val="24"/>
          <w:lang w:val="en-US" w:eastAsia="zh-CN"/>
        </w:rPr>
        <w:t>，本年</w:t>
      </w:r>
      <w:r>
        <w:rPr>
          <w:rFonts w:hint="eastAsia" w:ascii="宋体" w:hAnsi="宋体" w:eastAsia="宋体" w:cs="宋体"/>
          <w:color w:val="auto"/>
          <w:sz w:val="24"/>
        </w:rPr>
        <w:t>支出</w:t>
      </w:r>
      <w:r>
        <w:rPr>
          <w:rFonts w:hint="eastAsia" w:ascii="宋体" w:hAnsi="宋体" w:eastAsia="宋体" w:cs="宋体"/>
          <w:color w:val="auto"/>
          <w:sz w:val="24"/>
          <w:lang w:val="en-US" w:eastAsia="zh-CN"/>
        </w:rPr>
        <w:t>预算</w:t>
      </w:r>
      <w:r>
        <w:rPr>
          <w:rFonts w:hint="eastAsia" w:ascii="宋体" w:hAnsi="宋体" w:eastAsia="宋体" w:cs="宋体"/>
          <w:color w:val="auto"/>
          <w:sz w:val="24"/>
          <w:highlight w:val="none"/>
          <w:lang w:val="en-US" w:eastAsia="zh-CN"/>
        </w:rPr>
        <w:t>为8645万元；根据</w:t>
      </w:r>
      <w:r>
        <w:rPr>
          <w:rFonts w:hint="eastAsia" w:ascii="宋体" w:hAnsi="宋体" w:eastAsia="宋体" w:cs="宋体"/>
          <w:color w:val="auto"/>
          <w:sz w:val="24"/>
          <w:lang w:eastAsia="zh-CN"/>
        </w:rPr>
        <w:t>竹岐乡人民政府《</w:t>
      </w:r>
      <w:r>
        <w:rPr>
          <w:rFonts w:hint="eastAsia" w:ascii="宋体" w:hAnsi="宋体" w:eastAsia="宋体" w:cs="宋体"/>
          <w:color w:val="auto"/>
          <w:sz w:val="24"/>
          <w:lang w:val="en-US" w:eastAsia="zh-CN"/>
        </w:rPr>
        <w:t>财政收入支出决算总表》，一般公共预算</w:t>
      </w:r>
      <w:r>
        <w:rPr>
          <w:rFonts w:hint="eastAsia" w:ascii="宋体" w:hAnsi="宋体" w:eastAsia="宋体" w:cs="宋体"/>
          <w:color w:val="auto"/>
          <w:sz w:val="24"/>
          <w:highlight w:val="none"/>
          <w:lang w:val="en-US" w:eastAsia="zh-CN"/>
        </w:rPr>
        <w:t>支出决算数为4770.15万元，政府基金预算支出决算数为12169.58万元，支出决算数合计为16939.73万元，剔除上级补助支出13000.31万元，</w:t>
      </w:r>
      <w:r>
        <w:rPr>
          <w:rFonts w:hint="eastAsia" w:ascii="宋体" w:hAnsi="宋体" w:eastAsia="宋体" w:cs="宋体"/>
          <w:color w:val="auto"/>
          <w:sz w:val="24"/>
          <w:lang w:val="en-US" w:eastAsia="zh-CN"/>
        </w:rPr>
        <w:t>一般公共预算</w:t>
      </w:r>
      <w:r>
        <w:rPr>
          <w:rFonts w:hint="eastAsia" w:ascii="宋体" w:hAnsi="宋体" w:eastAsia="宋体" w:cs="宋体"/>
          <w:color w:val="auto"/>
          <w:sz w:val="24"/>
          <w:highlight w:val="none"/>
          <w:lang w:val="en-US" w:eastAsia="zh-CN"/>
        </w:rPr>
        <w:t>支出调减3939.42万元，</w:t>
      </w:r>
      <w:r>
        <w:rPr>
          <w:rFonts w:hint="eastAsia" w:ascii="宋体" w:hAnsi="宋体" w:eastAsia="宋体" w:cs="宋体"/>
          <w:color w:val="auto"/>
          <w:sz w:val="24"/>
          <w:lang w:val="en-US" w:eastAsia="zh-CN"/>
        </w:rPr>
        <w:t>调整率</w:t>
      </w:r>
      <w:r>
        <w:rPr>
          <w:rFonts w:hint="eastAsia" w:ascii="宋体" w:hAnsi="宋体" w:eastAsia="宋体" w:cs="宋体"/>
          <w:color w:val="auto"/>
          <w:sz w:val="24"/>
          <w:highlight w:val="none"/>
          <w:lang w:val="en-US" w:eastAsia="zh-CN"/>
        </w:rPr>
        <w:t>-45.57</w:t>
      </w:r>
      <w:r>
        <w:rPr>
          <w:rFonts w:hint="eastAsia" w:ascii="宋体" w:hAnsi="宋体" w:eastAsia="宋体" w:cs="宋体"/>
          <w:color w:val="auto"/>
          <w:sz w:val="24"/>
          <w:lang w:val="en-US" w:eastAsia="zh-CN"/>
        </w:rPr>
        <w:t>%</w:t>
      </w:r>
      <w:r>
        <w:rPr>
          <w:rFonts w:hint="eastAsia" w:ascii="宋体" w:hAnsi="宋体" w:eastAsia="宋体" w:cs="宋体"/>
          <w:sz w:val="24"/>
          <w:lang w:val="en-US" w:eastAsia="zh-CN"/>
        </w:rPr>
        <w:t>。</w:t>
      </w:r>
    </w:p>
    <w:p>
      <w:pPr>
        <w:spacing w:line="360" w:lineRule="auto"/>
        <w:ind w:firstLine="480" w:firstLineChars="200"/>
        <w:rPr>
          <w:rFonts w:hint="eastAsia" w:ascii="宋体" w:hAnsi="宋体" w:eastAsia="宋体" w:cs="宋体"/>
          <w:sz w:val="24"/>
          <w:szCs w:val="32"/>
          <w:highlight w:val="none"/>
          <w:lang w:bidi="ar"/>
        </w:rPr>
      </w:pPr>
      <w:bookmarkStart w:id="260" w:name="_Toc3938"/>
      <w:bookmarkStart w:id="261" w:name="_Toc32044"/>
      <w:bookmarkStart w:id="262" w:name="_Toc11234"/>
      <w:bookmarkStart w:id="263" w:name="_Toc1125"/>
      <w:bookmarkStart w:id="264" w:name="_Toc16090"/>
      <w:bookmarkStart w:id="265" w:name="_Toc14803"/>
      <w:bookmarkStart w:id="266" w:name="_Toc21281"/>
      <w:bookmarkStart w:id="267" w:name="_Toc31658"/>
      <w:bookmarkStart w:id="268" w:name="_Toc4098"/>
      <w:r>
        <w:rPr>
          <w:rFonts w:hint="eastAsia" w:ascii="宋体" w:hAnsi="宋体" w:eastAsia="宋体" w:cs="宋体"/>
          <w:b w:val="0"/>
          <w:bCs w:val="0"/>
          <w:sz w:val="24"/>
          <w:szCs w:val="32"/>
          <w:highlight w:val="none"/>
          <w:lang w:eastAsia="zh-CN" w:bidi="ar"/>
        </w:rPr>
        <w:t>（</w:t>
      </w:r>
      <w:r>
        <w:rPr>
          <w:rFonts w:hint="eastAsia" w:ascii="宋体" w:hAnsi="宋体" w:eastAsia="宋体" w:cs="宋体"/>
          <w:b w:val="0"/>
          <w:bCs w:val="0"/>
          <w:sz w:val="24"/>
          <w:szCs w:val="32"/>
          <w:highlight w:val="none"/>
          <w:lang w:val="en-US" w:eastAsia="zh-CN" w:bidi="ar"/>
        </w:rPr>
        <w:t>三</w:t>
      </w:r>
      <w:r>
        <w:rPr>
          <w:rFonts w:hint="eastAsia" w:ascii="宋体" w:hAnsi="宋体" w:eastAsia="宋体" w:cs="宋体"/>
          <w:b w:val="0"/>
          <w:bCs w:val="0"/>
          <w:sz w:val="24"/>
          <w:szCs w:val="32"/>
          <w:highlight w:val="none"/>
          <w:lang w:eastAsia="zh-CN" w:bidi="ar"/>
        </w:rPr>
        <w:t>）</w:t>
      </w:r>
      <w:r>
        <w:rPr>
          <w:rFonts w:hint="eastAsia" w:ascii="宋体" w:hAnsi="宋体" w:eastAsia="宋体" w:cs="宋体"/>
          <w:sz w:val="24"/>
          <w:szCs w:val="32"/>
          <w:highlight w:val="none"/>
          <w:lang w:bidi="ar"/>
        </w:rPr>
        <w:t>科技创新能力</w:t>
      </w:r>
      <w:r>
        <w:rPr>
          <w:rFonts w:hint="eastAsia" w:ascii="宋体" w:hAnsi="宋体" w:eastAsia="宋体" w:cs="宋体"/>
          <w:sz w:val="24"/>
          <w:szCs w:val="32"/>
          <w:highlight w:val="none"/>
          <w:lang w:val="en-US" w:eastAsia="zh-CN" w:bidi="ar"/>
        </w:rPr>
        <w:t>有待加</w:t>
      </w:r>
      <w:r>
        <w:rPr>
          <w:rFonts w:hint="eastAsia" w:ascii="宋体" w:hAnsi="宋体" w:eastAsia="宋体" w:cs="宋体"/>
          <w:sz w:val="24"/>
          <w:szCs w:val="32"/>
          <w:highlight w:val="none"/>
          <w:lang w:bidi="ar"/>
        </w:rPr>
        <w:t>强</w:t>
      </w:r>
      <w:bookmarkEnd w:id="260"/>
      <w:bookmarkEnd w:id="261"/>
      <w:bookmarkEnd w:id="262"/>
      <w:bookmarkEnd w:id="263"/>
    </w:p>
    <w:p>
      <w:pPr>
        <w:spacing w:line="360" w:lineRule="auto"/>
        <w:ind w:firstLine="480"/>
        <w:rPr>
          <w:rFonts w:hint="eastAsia" w:ascii="宋体" w:hAnsi="宋体" w:eastAsia="宋体" w:cs="宋体"/>
          <w:b w:val="0"/>
          <w:bCs w:val="0"/>
          <w:sz w:val="24"/>
          <w:lang w:val="en-US" w:eastAsia="zh-CN"/>
        </w:rPr>
      </w:pPr>
      <w:bookmarkStart w:id="269" w:name="_Toc2319"/>
      <w:r>
        <w:rPr>
          <w:rFonts w:hint="eastAsia" w:ascii="宋体" w:hAnsi="宋体" w:eastAsia="宋体" w:cs="宋体"/>
          <w:sz w:val="24"/>
          <w:szCs w:val="24"/>
          <w:lang w:val="en-US" w:eastAsia="zh-CN"/>
        </w:rPr>
        <w:t>主要表现在：</w:t>
      </w:r>
      <w:r>
        <w:rPr>
          <w:rFonts w:hint="eastAsia" w:ascii="宋体" w:hAnsi="宋体" w:eastAsia="宋体" w:cs="宋体"/>
          <w:sz w:val="24"/>
          <w:szCs w:val="24"/>
        </w:rPr>
        <w:t>一些企业生产经营还有困难，产业转型面临瓶颈。龙头企业培育成效还不够明显</w:t>
      </w:r>
      <w:r>
        <w:rPr>
          <w:rFonts w:hint="eastAsia" w:ascii="宋体" w:hAnsi="宋体" w:eastAsia="宋体" w:cs="宋体"/>
          <w:sz w:val="24"/>
          <w:szCs w:val="24"/>
          <w:lang w:eastAsia="zh-CN"/>
        </w:rPr>
        <w:t>。</w:t>
      </w:r>
      <w:bookmarkEnd w:id="264"/>
      <w:bookmarkEnd w:id="265"/>
      <w:bookmarkEnd w:id="266"/>
      <w:bookmarkEnd w:id="267"/>
      <w:bookmarkEnd w:id="268"/>
      <w:bookmarkEnd w:id="269"/>
    </w:p>
    <w:p>
      <w:pPr>
        <w:spacing w:line="360" w:lineRule="auto"/>
        <w:ind w:firstLine="480" w:firstLineChars="200"/>
        <w:rPr>
          <w:rFonts w:hint="eastAsia" w:ascii="宋体" w:hAnsi="宋体" w:eastAsia="宋体" w:cs="宋体"/>
          <w:bCs w:val="0"/>
          <w:sz w:val="24"/>
          <w:szCs w:val="32"/>
          <w:highlight w:val="none"/>
          <w:lang w:eastAsia="zh-CN" w:bidi="ar"/>
        </w:rPr>
      </w:pPr>
      <w:bookmarkStart w:id="270" w:name="_Toc14870"/>
      <w:bookmarkStart w:id="271" w:name="_Toc32577"/>
      <w:bookmarkStart w:id="272" w:name="_Toc19563"/>
      <w:bookmarkStart w:id="273" w:name="_Toc17811"/>
      <w:r>
        <w:rPr>
          <w:rFonts w:hint="eastAsia" w:ascii="宋体" w:hAnsi="宋体" w:eastAsia="宋体" w:cs="宋体"/>
          <w:bCs w:val="0"/>
          <w:sz w:val="24"/>
          <w:szCs w:val="32"/>
          <w:highlight w:val="none"/>
          <w:lang w:val="en-US" w:eastAsia="zh-CN" w:bidi="ar"/>
        </w:rPr>
        <w:t>(四)</w:t>
      </w:r>
      <w:r>
        <w:rPr>
          <w:rFonts w:hint="eastAsia" w:ascii="宋体" w:hAnsi="宋体" w:eastAsia="宋体" w:cs="宋体"/>
          <w:bCs w:val="0"/>
          <w:sz w:val="24"/>
          <w:szCs w:val="32"/>
          <w:highlight w:val="none"/>
          <w:lang w:bidi="ar"/>
        </w:rPr>
        <w:t>城乡</w:t>
      </w:r>
      <w:r>
        <w:rPr>
          <w:rFonts w:hint="eastAsia" w:ascii="宋体" w:hAnsi="宋体" w:eastAsia="宋体" w:cs="宋体"/>
          <w:bCs w:val="0"/>
          <w:sz w:val="24"/>
          <w:szCs w:val="32"/>
          <w:highlight w:val="none"/>
          <w:lang w:eastAsia="zh-CN" w:bidi="ar"/>
        </w:rPr>
        <w:t>治理有待提升</w:t>
      </w:r>
      <w:bookmarkEnd w:id="270"/>
      <w:bookmarkEnd w:id="271"/>
      <w:bookmarkEnd w:id="272"/>
      <w:bookmarkEnd w:id="27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主要表现在：</w:t>
      </w:r>
      <w:r>
        <w:rPr>
          <w:rFonts w:hint="eastAsia" w:ascii="宋体" w:hAnsi="宋体" w:eastAsia="宋体" w:cs="宋体"/>
          <w:sz w:val="24"/>
          <w:szCs w:val="24"/>
        </w:rPr>
        <w:t>一些背街小巷、城乡结合部“脏乱差”现象依然存在</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城市</w:t>
      </w:r>
      <w:r>
        <w:rPr>
          <w:rFonts w:hint="eastAsia" w:ascii="宋体" w:hAnsi="宋体" w:eastAsia="宋体" w:cs="宋体"/>
          <w:sz w:val="24"/>
          <w:szCs w:val="24"/>
        </w:rPr>
        <w:t>更新和乡村振兴还要加快步伐，生态环境保护任务依然艰巨。</w:t>
      </w:r>
    </w:p>
    <w:p>
      <w:pPr>
        <w:spacing w:line="360" w:lineRule="auto"/>
        <w:ind w:firstLine="480" w:firstLineChars="200"/>
        <w:rPr>
          <w:rFonts w:hint="eastAsia" w:ascii="宋体" w:hAnsi="宋体" w:eastAsia="宋体" w:cs="宋体"/>
          <w:bCs w:val="0"/>
          <w:sz w:val="24"/>
          <w:szCs w:val="32"/>
          <w:highlight w:val="none"/>
          <w:lang w:bidi="ar"/>
        </w:rPr>
      </w:pPr>
      <w:bookmarkStart w:id="274" w:name="_Toc456"/>
      <w:bookmarkStart w:id="275" w:name="_Toc9716"/>
      <w:bookmarkStart w:id="276" w:name="_Toc22004"/>
      <w:bookmarkStart w:id="277" w:name="_Toc9197"/>
      <w:r>
        <w:rPr>
          <w:rFonts w:hint="eastAsia" w:ascii="宋体" w:hAnsi="宋体" w:eastAsia="宋体" w:cs="宋体"/>
          <w:b w:val="0"/>
          <w:bCs w:val="0"/>
          <w:sz w:val="24"/>
          <w:szCs w:val="32"/>
          <w:highlight w:val="none"/>
          <w:lang w:eastAsia="zh-CN" w:bidi="ar"/>
        </w:rPr>
        <w:t>（</w:t>
      </w:r>
      <w:r>
        <w:rPr>
          <w:rFonts w:hint="eastAsia" w:ascii="宋体" w:hAnsi="宋体" w:eastAsia="宋体" w:cs="宋体"/>
          <w:b w:val="0"/>
          <w:bCs w:val="0"/>
          <w:sz w:val="24"/>
          <w:szCs w:val="32"/>
          <w:highlight w:val="none"/>
          <w:lang w:val="en-US" w:eastAsia="zh-CN" w:bidi="ar"/>
        </w:rPr>
        <w:t>五</w:t>
      </w:r>
      <w:r>
        <w:rPr>
          <w:rFonts w:hint="eastAsia" w:ascii="宋体" w:hAnsi="宋体" w:eastAsia="宋体" w:cs="宋体"/>
          <w:b w:val="0"/>
          <w:bCs w:val="0"/>
          <w:sz w:val="24"/>
          <w:szCs w:val="32"/>
          <w:highlight w:val="none"/>
          <w:lang w:eastAsia="zh-CN" w:bidi="ar"/>
        </w:rPr>
        <w:t>）</w:t>
      </w:r>
      <w:r>
        <w:rPr>
          <w:rFonts w:hint="eastAsia" w:ascii="宋体" w:hAnsi="宋体" w:eastAsia="宋体" w:cs="宋体"/>
          <w:bCs w:val="0"/>
          <w:sz w:val="24"/>
          <w:szCs w:val="32"/>
          <w:highlight w:val="none"/>
          <w:lang w:bidi="ar"/>
        </w:rPr>
        <w:t>山区半山区发展不</w:t>
      </w:r>
      <w:r>
        <w:rPr>
          <w:rFonts w:hint="eastAsia" w:ascii="宋体" w:hAnsi="宋体" w:eastAsia="宋体" w:cs="宋体"/>
          <w:bCs w:val="0"/>
          <w:sz w:val="24"/>
          <w:szCs w:val="32"/>
          <w:highlight w:val="none"/>
          <w:lang w:val="en-US" w:eastAsia="zh-CN" w:bidi="ar"/>
        </w:rPr>
        <w:t>均</w:t>
      </w:r>
      <w:r>
        <w:rPr>
          <w:rFonts w:hint="eastAsia" w:ascii="宋体" w:hAnsi="宋体" w:eastAsia="宋体" w:cs="宋体"/>
          <w:bCs w:val="0"/>
          <w:sz w:val="24"/>
          <w:szCs w:val="32"/>
          <w:highlight w:val="none"/>
          <w:lang w:bidi="ar"/>
        </w:rPr>
        <w:t>衡</w:t>
      </w:r>
      <w:bookmarkEnd w:id="274"/>
      <w:bookmarkEnd w:id="275"/>
      <w:bookmarkEnd w:id="276"/>
      <w:bookmarkEnd w:id="277"/>
    </w:p>
    <w:p>
      <w:pPr>
        <w:spacing w:line="360" w:lineRule="auto"/>
        <w:ind w:firstLine="720" w:firstLineChars="300"/>
        <w:rPr>
          <w:rFonts w:hint="eastAsia" w:ascii="宋体" w:hAnsi="宋体" w:eastAsia="宋体" w:cs="宋体"/>
          <w:sz w:val="24"/>
          <w:lang w:val="en-US" w:eastAsia="zh-CN"/>
        </w:rPr>
      </w:pPr>
      <w:r>
        <w:rPr>
          <w:rFonts w:hint="eastAsia"/>
          <w:sz w:val="24"/>
          <w:lang w:val="en-US" w:eastAsia="zh-CN"/>
        </w:rPr>
        <w:t>竹岐乡有210个自然村，</w:t>
      </w:r>
      <w:r>
        <w:rPr>
          <w:rFonts w:hint="eastAsia" w:ascii="宋体" w:hAnsi="宋体" w:eastAsia="宋体" w:cs="宋体"/>
          <w:sz w:val="24"/>
          <w:szCs w:val="24"/>
          <w:lang w:val="en-US" w:eastAsia="zh-CN"/>
        </w:rPr>
        <w:t>因自然条件、交通条件、社会环境等各种因素，村与村之间发展不</w:t>
      </w:r>
      <w:r>
        <w:rPr>
          <w:rFonts w:hint="eastAsia" w:ascii="Arial" w:hAnsi="Arial" w:eastAsia="宋体" w:cs="Times New Roman"/>
          <w:bCs w:val="0"/>
          <w:sz w:val="24"/>
          <w:szCs w:val="32"/>
          <w:lang w:val="en-US" w:eastAsia="zh-CN"/>
        </w:rPr>
        <w:t>均</w:t>
      </w:r>
      <w:r>
        <w:rPr>
          <w:rFonts w:hint="default" w:ascii="Arial" w:hAnsi="Arial" w:eastAsia="宋体" w:cs="Times New Roman"/>
          <w:bCs w:val="0"/>
          <w:sz w:val="24"/>
          <w:szCs w:val="32"/>
        </w:rPr>
        <w:t>衡</w:t>
      </w:r>
      <w:r>
        <w:rPr>
          <w:rFonts w:hint="eastAsia" w:ascii="Arial" w:hAnsi="Arial" w:eastAsia="宋体" w:cs="Times New Roman"/>
          <w:bCs w:val="0"/>
          <w:sz w:val="24"/>
          <w:szCs w:val="32"/>
          <w:lang w:eastAsia="zh-CN"/>
        </w:rPr>
        <w:t>，</w:t>
      </w:r>
      <w:r>
        <w:rPr>
          <w:rFonts w:hint="eastAsia" w:ascii="宋体" w:hAnsi="宋体" w:eastAsia="宋体" w:cs="宋体"/>
          <w:sz w:val="24"/>
          <w:szCs w:val="24"/>
        </w:rPr>
        <w:t>亟需破解乡村旅游内涵，树文化、蕴品牌，为山区、半山区发展注入强心剂。</w:t>
      </w:r>
    </w:p>
    <w:p>
      <w:pPr>
        <w:pStyle w:val="2"/>
        <w:rPr>
          <w:rFonts w:hint="default"/>
        </w:rPr>
      </w:pPr>
      <w:bookmarkStart w:id="278" w:name="_Toc24727"/>
      <w:bookmarkStart w:id="279" w:name="_Toc28415"/>
      <w:bookmarkStart w:id="280" w:name="_Toc1046"/>
      <w:bookmarkStart w:id="281" w:name="_Toc13769"/>
      <w:bookmarkStart w:id="282" w:name="_Toc3371"/>
      <w:bookmarkStart w:id="283" w:name="_Toc30374"/>
      <w:bookmarkStart w:id="284" w:name="_Toc27912"/>
      <w:bookmarkStart w:id="285" w:name="_Toc5216"/>
      <w:bookmarkStart w:id="286" w:name="_Toc3257"/>
      <w:bookmarkStart w:id="287" w:name="_Toc10285"/>
      <w:bookmarkStart w:id="288" w:name="_Toc11837"/>
      <w:bookmarkStart w:id="289" w:name="_Toc25877"/>
      <w:r>
        <w:rPr>
          <w:rFonts w:hint="eastAsia"/>
          <w:lang w:val="en-US" w:eastAsia="zh-CN"/>
        </w:rPr>
        <w:t>七</w:t>
      </w:r>
      <w:r>
        <w:rPr>
          <w:rFonts w:hint="default"/>
        </w:rPr>
        <w:t>、评价结论及改进建议</w:t>
      </w:r>
      <w:bookmarkEnd w:id="278"/>
      <w:bookmarkEnd w:id="279"/>
      <w:bookmarkEnd w:id="280"/>
      <w:bookmarkEnd w:id="281"/>
      <w:bookmarkEnd w:id="282"/>
      <w:bookmarkEnd w:id="283"/>
      <w:bookmarkEnd w:id="284"/>
      <w:bookmarkEnd w:id="285"/>
      <w:bookmarkEnd w:id="286"/>
      <w:bookmarkEnd w:id="287"/>
      <w:bookmarkEnd w:id="288"/>
      <w:bookmarkEnd w:id="289"/>
      <w:bookmarkStart w:id="290" w:name="_Hlk495159573"/>
    </w:p>
    <w:p>
      <w:pPr>
        <w:pStyle w:val="3"/>
        <w:bidi w:val="0"/>
        <w:rPr>
          <w:rFonts w:hint="eastAsia" w:ascii="宋体" w:hAnsi="宋体" w:cs="宋体"/>
        </w:rPr>
      </w:pPr>
      <w:bookmarkStart w:id="291" w:name="_Toc30862"/>
      <w:bookmarkStart w:id="292" w:name="_Toc32073"/>
      <w:bookmarkStart w:id="293" w:name="_Toc11899"/>
      <w:bookmarkStart w:id="294" w:name="_Toc1227"/>
      <w:bookmarkStart w:id="295" w:name="_Toc2660"/>
      <w:bookmarkStart w:id="296" w:name="_Toc28780"/>
      <w:bookmarkStart w:id="297" w:name="_Toc2483"/>
      <w:bookmarkStart w:id="298" w:name="_Toc8234"/>
      <w:bookmarkStart w:id="299" w:name="_Toc12521"/>
      <w:bookmarkStart w:id="300" w:name="_Toc26164"/>
      <w:bookmarkStart w:id="301" w:name="_Toc3724"/>
      <w:bookmarkStart w:id="302" w:name="_Toc701"/>
      <w:r>
        <w:rPr>
          <w:rFonts w:hint="eastAsia" w:ascii="宋体" w:hAnsi="宋体" w:cs="宋体"/>
        </w:rPr>
        <w:t>（一）评价结论</w:t>
      </w:r>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250"/>
    <w:p>
      <w:pPr>
        <w:spacing w:line="360" w:lineRule="auto"/>
        <w:ind w:firstLine="480" w:firstLineChars="200"/>
        <w:rPr>
          <w:rFonts w:hint="eastAsia" w:ascii="宋体" w:hAnsi="宋体" w:eastAsia="宋体" w:cs="宋体"/>
          <w:color w:val="FF0000"/>
          <w:sz w:val="24"/>
        </w:rPr>
      </w:pPr>
      <w:r>
        <w:rPr>
          <w:rFonts w:hint="eastAsia" w:ascii="宋体" w:hAnsi="宋体" w:eastAsia="宋体" w:cs="宋体"/>
          <w:sz w:val="24"/>
        </w:rPr>
        <w:t>绩效评价工作小组通过从投入、过程管理、产出</w:t>
      </w:r>
      <w:r>
        <w:rPr>
          <w:rFonts w:hint="eastAsia" w:ascii="宋体" w:hAnsi="宋体" w:eastAsia="宋体" w:cs="宋体"/>
          <w:sz w:val="24"/>
          <w:lang w:eastAsia="zh-CN"/>
        </w:rPr>
        <w:t>、</w:t>
      </w:r>
      <w:r>
        <w:rPr>
          <w:rFonts w:hint="eastAsia" w:ascii="宋体" w:hAnsi="宋体" w:eastAsia="宋体" w:cs="宋体"/>
          <w:sz w:val="24"/>
        </w:rPr>
        <w:t>效益</w:t>
      </w:r>
      <w:r>
        <w:rPr>
          <w:rFonts w:hint="eastAsia" w:ascii="宋体" w:hAnsi="宋体" w:eastAsia="宋体" w:cs="宋体"/>
          <w:sz w:val="24"/>
          <w:lang w:val="en-US" w:eastAsia="zh-CN"/>
        </w:rPr>
        <w:t>四</w:t>
      </w:r>
      <w:r>
        <w:rPr>
          <w:rFonts w:hint="eastAsia" w:ascii="宋体" w:hAnsi="宋体" w:eastAsia="宋体" w:cs="宋体"/>
          <w:sz w:val="24"/>
        </w:rPr>
        <w:t>个方面逐项分析评价，</w:t>
      </w:r>
      <w:r>
        <w:rPr>
          <w:rFonts w:hint="eastAsia"/>
          <w:sz w:val="24"/>
          <w:highlight w:val="none"/>
          <w:lang w:val="en-US" w:eastAsia="zh-CN"/>
        </w:rPr>
        <w:t>闽侯县竹岐乡人民政府</w:t>
      </w:r>
      <w:r>
        <w:rPr>
          <w:rFonts w:hint="eastAsia"/>
          <w:sz w:val="24"/>
          <w:highlight w:val="none"/>
          <w:lang w:eastAsia="zh-CN"/>
        </w:rPr>
        <w:t>政府财政运行情况综合</w:t>
      </w:r>
      <w:r>
        <w:rPr>
          <w:rFonts w:hint="eastAsia"/>
          <w:sz w:val="24"/>
          <w:highlight w:val="none"/>
          <w:lang w:val="en-US" w:eastAsia="zh-CN"/>
        </w:rPr>
        <w:t>绩效项目</w:t>
      </w:r>
      <w:r>
        <w:rPr>
          <w:rFonts w:hint="eastAsia" w:ascii="宋体" w:hAnsi="宋体" w:eastAsia="宋体" w:cs="宋体"/>
          <w:sz w:val="24"/>
          <w:highlight w:val="none"/>
        </w:rPr>
        <w:t>绩效评价共得分</w:t>
      </w:r>
      <w:r>
        <w:rPr>
          <w:rFonts w:hint="eastAsia" w:ascii="宋体" w:hAnsi="宋体" w:eastAsia="宋体" w:cs="宋体"/>
          <w:color w:val="auto"/>
          <w:sz w:val="24"/>
          <w:highlight w:val="none"/>
          <w:lang w:val="en-US" w:eastAsia="zh-CN"/>
        </w:rPr>
        <w:t>90.55</w:t>
      </w:r>
      <w:r>
        <w:rPr>
          <w:rFonts w:hint="eastAsia" w:ascii="宋体" w:hAnsi="宋体" w:eastAsia="宋体" w:cs="宋体"/>
          <w:color w:val="auto"/>
          <w:sz w:val="24"/>
          <w:highlight w:val="none"/>
        </w:rPr>
        <w:t>分，评</w:t>
      </w:r>
      <w:r>
        <w:rPr>
          <w:rFonts w:hint="eastAsia" w:ascii="宋体" w:hAnsi="宋体" w:eastAsia="宋体" w:cs="宋体"/>
          <w:color w:val="auto"/>
          <w:sz w:val="24"/>
        </w:rPr>
        <w:t>价等级为</w:t>
      </w:r>
      <w:r>
        <w:rPr>
          <w:rFonts w:hint="eastAsia" w:ascii="宋体" w:hAnsi="宋体" w:eastAsia="宋体" w:cs="宋体"/>
          <w:color w:val="auto"/>
          <w:sz w:val="24"/>
          <w:lang w:val="en-US" w:eastAsia="zh-CN"/>
        </w:rPr>
        <w:t>优</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sz w:val="24"/>
        </w:rPr>
      </w:pPr>
      <w:r>
        <w:rPr>
          <w:rFonts w:hint="eastAsia"/>
          <w:sz w:val="24"/>
          <w:lang w:val="en-US" w:eastAsia="zh-CN"/>
        </w:rPr>
        <w:t>闽侯县竹岐乡人民政府</w:t>
      </w:r>
      <w:r>
        <w:rPr>
          <w:rFonts w:hint="eastAsia"/>
          <w:sz w:val="24"/>
          <w:lang w:eastAsia="zh-CN"/>
        </w:rPr>
        <w:t>政府财政运行情况综合</w:t>
      </w:r>
      <w:r>
        <w:rPr>
          <w:rFonts w:hint="eastAsia"/>
          <w:sz w:val="24"/>
          <w:lang w:val="en-US" w:eastAsia="zh-CN"/>
        </w:rPr>
        <w:t>绩效</w:t>
      </w:r>
      <w:r>
        <w:rPr>
          <w:rFonts w:hint="eastAsia" w:ascii="宋体" w:hAnsi="宋体" w:eastAsia="宋体" w:cs="宋体"/>
          <w:sz w:val="24"/>
        </w:rPr>
        <w:t>情况</w:t>
      </w:r>
      <w:r>
        <w:rPr>
          <w:rFonts w:hint="eastAsia" w:ascii="宋体" w:hAnsi="宋体" w:eastAsia="宋体" w:cs="宋体"/>
          <w:sz w:val="24"/>
          <w:lang w:val="en-US" w:eastAsia="zh-CN"/>
        </w:rPr>
        <w:t>较</w:t>
      </w:r>
      <w:r>
        <w:rPr>
          <w:rFonts w:hint="eastAsia" w:ascii="宋体" w:hAnsi="宋体" w:eastAsia="宋体" w:cs="宋体"/>
          <w:sz w:val="24"/>
        </w:rPr>
        <w:t>好，</w:t>
      </w:r>
      <w:r>
        <w:rPr>
          <w:rFonts w:hint="eastAsia" w:ascii="宋体" w:hAnsi="宋体" w:eastAsia="宋体" w:cs="宋体"/>
          <w:sz w:val="24"/>
          <w:lang w:val="en-US" w:eastAsia="zh-CN"/>
        </w:rPr>
        <w:t>但一般公共预算动用了预算调节基金和上年结余，一般公共预算和基金预算综合运行，能达到平衡，</w:t>
      </w:r>
      <w:r>
        <w:rPr>
          <w:rFonts w:hint="eastAsia" w:ascii="宋体" w:hAnsi="宋体" w:eastAsia="宋体" w:cs="宋体"/>
          <w:sz w:val="24"/>
        </w:rPr>
        <w:t>达到了各项绩效指标的要求，取得了</w:t>
      </w:r>
      <w:r>
        <w:rPr>
          <w:rFonts w:hint="eastAsia" w:ascii="宋体" w:hAnsi="宋体" w:eastAsia="宋体" w:cs="宋体"/>
          <w:sz w:val="24"/>
          <w:lang w:val="en-US" w:eastAsia="zh-CN"/>
        </w:rPr>
        <w:t>较</w:t>
      </w:r>
      <w:r>
        <w:rPr>
          <w:rFonts w:hint="eastAsia" w:ascii="宋体" w:hAnsi="宋体" w:eastAsia="宋体" w:cs="宋体"/>
          <w:sz w:val="24"/>
        </w:rPr>
        <w:t>好效益，服务对象满意度高，</w:t>
      </w:r>
      <w:r>
        <w:rPr>
          <w:rFonts w:hint="eastAsia"/>
          <w:sz w:val="24"/>
          <w:lang w:val="en-US" w:eastAsia="zh-CN"/>
        </w:rPr>
        <w:t>闽侯县竹岐乡人民政府</w:t>
      </w:r>
      <w:r>
        <w:rPr>
          <w:rFonts w:hint="eastAsia"/>
          <w:sz w:val="24"/>
          <w:lang w:eastAsia="zh-CN"/>
        </w:rPr>
        <w:t>财政运行</w:t>
      </w:r>
      <w:r>
        <w:rPr>
          <w:rFonts w:hint="eastAsia" w:ascii="宋体" w:hAnsi="宋体" w:eastAsia="宋体" w:cs="宋体"/>
          <w:sz w:val="24"/>
        </w:rPr>
        <w:t>工作为的</w:t>
      </w:r>
      <w:r>
        <w:rPr>
          <w:rFonts w:hint="eastAsia" w:ascii="宋体" w:hAnsi="宋体" w:eastAsia="宋体" w:cs="宋体"/>
          <w:sz w:val="24"/>
          <w:lang w:val="en-US" w:eastAsia="zh-CN"/>
        </w:rPr>
        <w:t>县级</w:t>
      </w:r>
      <w:r>
        <w:rPr>
          <w:rFonts w:hint="eastAsia"/>
          <w:sz w:val="24"/>
          <w:lang w:val="en-US" w:eastAsia="zh-CN"/>
        </w:rPr>
        <w:t>政府</w:t>
      </w:r>
      <w:r>
        <w:rPr>
          <w:rFonts w:hint="eastAsia"/>
          <w:sz w:val="24"/>
          <w:lang w:eastAsia="zh-CN"/>
        </w:rPr>
        <w:t>财政</w:t>
      </w:r>
      <w:r>
        <w:rPr>
          <w:rFonts w:hint="eastAsia" w:ascii="宋体" w:hAnsi="宋体" w:eastAsia="宋体" w:cs="宋体"/>
          <w:sz w:val="24"/>
          <w:lang w:val="en-US" w:eastAsia="zh-CN"/>
        </w:rPr>
        <w:t>事业</w:t>
      </w:r>
      <w:r>
        <w:rPr>
          <w:rFonts w:hint="eastAsia" w:ascii="宋体" w:hAnsi="宋体" w:eastAsia="宋体" w:cs="宋体"/>
          <w:sz w:val="24"/>
        </w:rPr>
        <w:t>发展发挥了积极的作用，促进</w:t>
      </w:r>
      <w:r>
        <w:rPr>
          <w:rFonts w:hint="eastAsia" w:ascii="宋体" w:hAnsi="宋体" w:eastAsia="宋体" w:cs="宋体"/>
          <w:sz w:val="24"/>
          <w:lang w:val="en-US" w:eastAsia="zh-CN"/>
        </w:rPr>
        <w:t>闽侯县级</w:t>
      </w:r>
      <w:r>
        <w:rPr>
          <w:rFonts w:hint="eastAsia"/>
          <w:sz w:val="24"/>
          <w:lang w:val="en-US" w:eastAsia="zh-CN"/>
        </w:rPr>
        <w:t>政府</w:t>
      </w:r>
      <w:r>
        <w:rPr>
          <w:rFonts w:hint="eastAsia"/>
          <w:sz w:val="24"/>
          <w:lang w:eastAsia="zh-CN"/>
        </w:rPr>
        <w:t>财政</w:t>
      </w:r>
      <w:r>
        <w:rPr>
          <w:rFonts w:hint="eastAsia" w:ascii="宋体" w:hAnsi="宋体" w:eastAsia="宋体" w:cs="宋体"/>
          <w:sz w:val="24"/>
          <w:lang w:val="en-US" w:eastAsia="zh-CN"/>
        </w:rPr>
        <w:t>事业</w:t>
      </w:r>
      <w:r>
        <w:rPr>
          <w:rFonts w:hint="eastAsia" w:ascii="宋体" w:hAnsi="宋体" w:eastAsia="宋体" w:cs="宋体"/>
          <w:sz w:val="24"/>
        </w:rPr>
        <w:t>可持续发展。</w:t>
      </w:r>
    </w:p>
    <w:p>
      <w:pPr>
        <w:pStyle w:val="3"/>
        <w:rPr>
          <w:rFonts w:hint="eastAsia" w:ascii="宋体" w:hAnsi="宋体" w:eastAsia="宋体" w:cs="宋体"/>
          <w:sz w:val="24"/>
        </w:rPr>
      </w:pPr>
      <w:bookmarkStart w:id="303" w:name="_Toc13313"/>
      <w:bookmarkStart w:id="304" w:name="_Toc26771"/>
      <w:bookmarkStart w:id="305" w:name="_Toc32115"/>
      <w:bookmarkStart w:id="306" w:name="_Toc1119"/>
      <w:bookmarkStart w:id="307" w:name="_Toc7132"/>
      <w:bookmarkStart w:id="308" w:name="_Toc29976"/>
      <w:bookmarkStart w:id="309" w:name="_Toc24285"/>
      <w:bookmarkStart w:id="310" w:name="_Toc25964"/>
      <w:bookmarkStart w:id="311" w:name="_Toc4000"/>
      <w:bookmarkStart w:id="312" w:name="_Toc5193"/>
      <w:bookmarkStart w:id="313" w:name="_Toc12827"/>
      <w:bookmarkStart w:id="314" w:name="_Toc1890"/>
      <w:r>
        <w:rPr>
          <w:rFonts w:hint="eastAsia" w:ascii="宋体" w:hAnsi="宋体" w:cs="宋体"/>
        </w:rPr>
        <w:t>（二）改进建议</w:t>
      </w:r>
      <w:bookmarkEnd w:id="303"/>
      <w:bookmarkEnd w:id="304"/>
      <w:bookmarkEnd w:id="305"/>
      <w:bookmarkEnd w:id="306"/>
      <w:bookmarkEnd w:id="307"/>
      <w:bookmarkEnd w:id="308"/>
      <w:bookmarkEnd w:id="309"/>
      <w:bookmarkEnd w:id="310"/>
      <w:bookmarkEnd w:id="311"/>
      <w:bookmarkEnd w:id="312"/>
      <w:bookmarkEnd w:id="313"/>
      <w:bookmarkEnd w:id="314"/>
      <w:r>
        <w:rPr>
          <w:rFonts w:hint="eastAsia" w:ascii="宋体" w:hAnsi="宋体" w:cs="宋体"/>
        </w:rPr>
        <w:t xml:space="preserve"> </w:t>
      </w:r>
    </w:p>
    <w:p>
      <w:pPr>
        <w:spacing w:line="360" w:lineRule="auto"/>
        <w:ind w:firstLine="480"/>
        <w:rPr>
          <w:rFonts w:hint="eastAsia" w:ascii="宋体" w:hAnsi="宋体" w:eastAsia="宋体" w:cs="宋体"/>
          <w:sz w:val="24"/>
          <w:szCs w:val="32"/>
          <w:highlight w:val="none"/>
          <w:lang w:bidi="ar"/>
        </w:rPr>
      </w:pPr>
      <w:bookmarkStart w:id="315" w:name="_Toc24027"/>
      <w:bookmarkStart w:id="316" w:name="_Toc25790"/>
      <w:bookmarkStart w:id="317" w:name="_Toc29723"/>
      <w:bookmarkStart w:id="318" w:name="_Toc14769"/>
      <w:bookmarkStart w:id="319" w:name="_Toc12194"/>
      <w:r>
        <w:rPr>
          <w:rFonts w:hint="eastAsia" w:ascii="宋体" w:hAnsi="宋体" w:eastAsia="宋体" w:cs="宋体"/>
          <w:sz w:val="24"/>
          <w:szCs w:val="32"/>
          <w:highlight w:val="none"/>
          <w:lang w:bidi="ar"/>
        </w:rPr>
        <w:t>1.组织绩效管理培训，提升绩效管理技能水平</w:t>
      </w:r>
      <w:bookmarkEnd w:id="315"/>
      <w:bookmarkEnd w:id="316"/>
      <w:bookmarkEnd w:id="317"/>
      <w:bookmarkEnd w:id="318"/>
      <w:bookmarkEnd w:id="31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建议</w:t>
      </w:r>
      <w:r>
        <w:rPr>
          <w:rFonts w:hint="eastAsia"/>
          <w:sz w:val="24"/>
          <w:lang w:val="en-US" w:eastAsia="zh-CN"/>
        </w:rPr>
        <w:t>竹岐乡财政所</w:t>
      </w:r>
      <w:r>
        <w:rPr>
          <w:rFonts w:hint="eastAsia" w:ascii="宋体" w:hAnsi="宋体" w:eastAsia="宋体" w:cs="宋体"/>
          <w:sz w:val="24"/>
        </w:rPr>
        <w:t>组织学习上级有关预算绩效管理文件，积极提升绩效管理技能水平，以绩效目标作为预算绩效管理的基础和起点，合理设立绩效目标，定性指标和定量指标相结合，将绩效目标细化和量化，做好事前绩效评估、事中绩效监控、事后绩效评价工作。绩效自评时，根据各项目性质、产出和效益等实际情况，对项目绩效展开分析，充分应用绩效评价成果，对存在问题进行原因分析，采取有效措施，</w:t>
      </w:r>
      <w:r>
        <w:rPr>
          <w:rFonts w:hint="eastAsia" w:ascii="宋体" w:hAnsi="宋体" w:eastAsia="宋体" w:cs="宋体"/>
          <w:sz w:val="24"/>
          <w:lang w:val="en-US" w:eastAsia="zh-CN"/>
        </w:rPr>
        <w:t>提升</w:t>
      </w:r>
      <w:r>
        <w:rPr>
          <w:rFonts w:hint="eastAsia" w:ascii="宋体" w:hAnsi="宋体" w:eastAsia="宋体" w:cs="宋体"/>
          <w:sz w:val="24"/>
        </w:rPr>
        <w:t>管理</w:t>
      </w:r>
      <w:r>
        <w:rPr>
          <w:rFonts w:hint="eastAsia" w:ascii="宋体" w:hAnsi="宋体" w:eastAsia="宋体" w:cs="宋体"/>
          <w:sz w:val="24"/>
          <w:lang w:val="en-US" w:eastAsia="zh-CN"/>
        </w:rPr>
        <w:t>水平</w:t>
      </w:r>
      <w:r>
        <w:rPr>
          <w:rFonts w:hint="eastAsia" w:ascii="宋体" w:hAnsi="宋体" w:eastAsia="宋体" w:cs="宋体"/>
          <w:sz w:val="24"/>
        </w:rPr>
        <w:t>。</w:t>
      </w:r>
    </w:p>
    <w:p>
      <w:pPr>
        <w:spacing w:line="360" w:lineRule="auto"/>
        <w:ind w:firstLine="480"/>
        <w:rPr>
          <w:rFonts w:hint="eastAsia" w:ascii="宋体" w:hAnsi="宋体" w:eastAsia="宋体" w:cs="宋体"/>
          <w:sz w:val="24"/>
          <w:szCs w:val="32"/>
          <w:highlight w:val="none"/>
          <w:lang w:val="en-US" w:eastAsia="zh-CN" w:bidi="ar"/>
        </w:rPr>
      </w:pPr>
      <w:bookmarkStart w:id="320" w:name="_Toc30678"/>
      <w:bookmarkStart w:id="321" w:name="_Toc625"/>
      <w:bookmarkStart w:id="322" w:name="_Toc30398"/>
      <w:bookmarkStart w:id="323" w:name="_Toc21774"/>
      <w:bookmarkStart w:id="324" w:name="_Toc26951"/>
      <w:r>
        <w:rPr>
          <w:rFonts w:hint="eastAsia" w:ascii="宋体" w:hAnsi="宋体" w:eastAsia="宋体" w:cs="宋体"/>
          <w:sz w:val="24"/>
          <w:szCs w:val="32"/>
          <w:highlight w:val="none"/>
          <w:lang w:val="en-US" w:eastAsia="zh-CN" w:bidi="ar"/>
        </w:rPr>
        <w:t>2.加强预算编制的科学性，提高预算的准确性</w:t>
      </w:r>
      <w:bookmarkEnd w:id="320"/>
      <w:bookmarkEnd w:id="321"/>
      <w:bookmarkEnd w:id="322"/>
      <w:bookmarkEnd w:id="323"/>
      <w:bookmarkEnd w:id="324"/>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kern w:val="0"/>
          <w:sz w:val="24"/>
        </w:rPr>
        <w:t>在预算</w:t>
      </w:r>
      <w:r>
        <w:rPr>
          <w:rFonts w:hint="eastAsia" w:ascii="宋体" w:hAnsi="宋体" w:eastAsia="宋体" w:cs="宋体"/>
          <w:kern w:val="0"/>
          <w:sz w:val="24"/>
          <w:lang w:val="en-US" w:eastAsia="zh-CN"/>
        </w:rPr>
        <w:t>编制</w:t>
      </w:r>
      <w:r>
        <w:rPr>
          <w:rFonts w:hint="eastAsia" w:ascii="宋体" w:hAnsi="宋体" w:eastAsia="宋体" w:cs="宋体"/>
          <w:kern w:val="0"/>
          <w:sz w:val="24"/>
        </w:rPr>
        <w:t>时</w:t>
      </w:r>
      <w:r>
        <w:rPr>
          <w:rFonts w:hint="eastAsia" w:ascii="宋体" w:hAnsi="宋体" w:eastAsia="宋体" w:cs="宋体"/>
          <w:kern w:val="0"/>
          <w:sz w:val="24"/>
          <w:lang w:val="en-US" w:eastAsia="zh-CN"/>
        </w:rPr>
        <w:t>要</w:t>
      </w:r>
      <w:r>
        <w:rPr>
          <w:rFonts w:hint="eastAsia" w:ascii="宋体" w:hAnsi="宋体" w:eastAsia="宋体" w:cs="宋体"/>
          <w:kern w:val="0"/>
          <w:sz w:val="24"/>
        </w:rPr>
        <w:t>充分进行</w:t>
      </w:r>
      <w:r>
        <w:rPr>
          <w:rFonts w:hint="eastAsia" w:ascii="宋体" w:hAnsi="宋体" w:eastAsia="宋体" w:cs="宋体"/>
          <w:kern w:val="0"/>
          <w:sz w:val="24"/>
          <w:lang w:val="en-US" w:eastAsia="zh-CN"/>
        </w:rPr>
        <w:t>基本支出和项目支出预算</w:t>
      </w:r>
      <w:r>
        <w:rPr>
          <w:rFonts w:hint="eastAsia" w:ascii="宋体" w:hAnsi="宋体" w:eastAsia="宋体" w:cs="宋体"/>
          <w:kern w:val="0"/>
          <w:sz w:val="24"/>
        </w:rPr>
        <w:t>调研和摸底</w:t>
      </w:r>
      <w:r>
        <w:rPr>
          <w:rFonts w:hint="eastAsia" w:ascii="宋体" w:hAnsi="宋体" w:eastAsia="宋体" w:cs="宋体"/>
          <w:sz w:val="24"/>
        </w:rPr>
        <w:t>，确保预算金额与实际运行资金支出</w:t>
      </w:r>
      <w:r>
        <w:rPr>
          <w:rFonts w:hint="eastAsia" w:ascii="宋体" w:hAnsi="宋体" w:eastAsia="宋体" w:cs="宋体"/>
          <w:color w:val="auto"/>
          <w:sz w:val="24"/>
        </w:rPr>
        <w:t>相匹</w:t>
      </w:r>
      <w:r>
        <w:rPr>
          <w:rFonts w:hint="eastAsia" w:ascii="宋体" w:hAnsi="宋体" w:eastAsia="宋体" w:cs="宋体"/>
          <w:color w:val="auto"/>
          <w:sz w:val="24"/>
          <w:lang w:val="en-US" w:eastAsia="zh-CN"/>
        </w:rPr>
        <w:t>配</w:t>
      </w:r>
      <w:r>
        <w:rPr>
          <w:rFonts w:hint="eastAsia" w:ascii="宋体" w:hAnsi="宋体" w:eastAsia="宋体" w:cs="宋体"/>
          <w:color w:val="auto"/>
          <w:sz w:val="24"/>
        </w:rPr>
        <w:t>，</w:t>
      </w:r>
      <w:r>
        <w:rPr>
          <w:rFonts w:hint="eastAsia" w:ascii="宋体" w:hAnsi="宋体" w:eastAsia="宋体" w:cs="宋体"/>
          <w:color w:val="auto"/>
          <w:sz w:val="24"/>
          <w:lang w:val="en-US" w:eastAsia="zh-CN"/>
        </w:rPr>
        <w:t>合理安排与地方财力相匹配，合理安排</w:t>
      </w:r>
      <w:r>
        <w:rPr>
          <w:rFonts w:hint="eastAsia" w:ascii="宋体" w:hAnsi="宋体" w:eastAsia="宋体" w:cs="宋体"/>
          <w:sz w:val="24"/>
          <w:lang w:val="en-US" w:eastAsia="zh-CN"/>
        </w:rPr>
        <w:t>一般公共预算平衡与基金预算平衡，提高预算编制和执行的准确性</w:t>
      </w:r>
      <w:r>
        <w:rPr>
          <w:rFonts w:hint="eastAsia" w:ascii="宋体" w:hAnsi="宋体" w:eastAsia="宋体" w:cs="宋体"/>
          <w:sz w:val="24"/>
          <w:lang w:eastAsia="zh-CN"/>
        </w:rPr>
        <w:t>。</w:t>
      </w:r>
    </w:p>
    <w:p>
      <w:pPr>
        <w:spacing w:line="360" w:lineRule="auto"/>
        <w:ind w:firstLine="480"/>
        <w:rPr>
          <w:rFonts w:hint="eastAsia" w:ascii="宋体" w:hAnsi="宋体" w:eastAsia="宋体" w:cs="宋体"/>
          <w:color w:val="000000"/>
          <w:sz w:val="24"/>
          <w:szCs w:val="32"/>
          <w:highlight w:val="none"/>
          <w:lang w:bidi="ar"/>
        </w:rPr>
      </w:pPr>
      <w:bookmarkStart w:id="325" w:name="_Toc19470"/>
      <w:bookmarkStart w:id="326" w:name="_Toc5271"/>
      <w:bookmarkStart w:id="327" w:name="_Toc21707"/>
      <w:bookmarkStart w:id="328" w:name="_Toc14244"/>
      <w:bookmarkStart w:id="329" w:name="_Toc25562"/>
      <w:r>
        <w:rPr>
          <w:rFonts w:hint="eastAsia" w:ascii="宋体" w:hAnsi="宋体" w:eastAsia="宋体" w:cs="宋体"/>
          <w:sz w:val="24"/>
          <w:szCs w:val="32"/>
          <w:highlight w:val="none"/>
          <w:lang w:val="en-US" w:eastAsia="zh-CN" w:bidi="ar"/>
        </w:rPr>
        <w:t>3.制定人才战略，增加科技创新投入</w:t>
      </w:r>
      <w:bookmarkEnd w:id="325"/>
      <w:bookmarkEnd w:id="326"/>
      <w:bookmarkEnd w:id="327"/>
      <w:bookmarkEnd w:id="328"/>
      <w:bookmarkEnd w:id="329"/>
      <w:r>
        <w:rPr>
          <w:rFonts w:hint="eastAsia" w:ascii="宋体" w:hAnsi="宋体" w:eastAsia="宋体" w:cs="宋体"/>
          <w:sz w:val="24"/>
          <w:szCs w:val="32"/>
          <w:highlight w:val="none"/>
          <w:lang w:val="en-US" w:eastAsia="zh-CN" w:bidi="ar"/>
        </w:rPr>
        <w:t xml:space="preserve">   </w:t>
      </w:r>
    </w:p>
    <w:p>
      <w:pPr>
        <w:numPr>
          <w:ilvl w:val="0"/>
          <w:numId w:val="0"/>
        </w:numPr>
        <w:spacing w:line="360" w:lineRule="auto"/>
        <w:ind w:firstLine="480" w:firstLineChars="0"/>
        <w:rPr>
          <w:rFonts w:hint="eastAsia" w:ascii="宋体" w:hAnsi="宋体" w:eastAsia="宋体" w:cs="宋体"/>
          <w:sz w:val="24"/>
          <w:lang w:val="en-US" w:eastAsia="zh-CN"/>
        </w:rPr>
      </w:pPr>
      <w:r>
        <w:rPr>
          <w:rFonts w:hint="eastAsia" w:ascii="宋体" w:hAnsi="宋体" w:eastAsia="宋体" w:cs="宋体"/>
          <w:b w:val="0"/>
          <w:bCs w:val="0"/>
          <w:color w:val="000000"/>
          <w:spacing w:val="0"/>
          <w:kern w:val="0"/>
          <w:sz w:val="24"/>
          <w:szCs w:val="24"/>
        </w:rPr>
        <w:t>一</w:t>
      </w:r>
      <w:r>
        <w:rPr>
          <w:rFonts w:hint="eastAsia" w:ascii="宋体" w:hAnsi="宋体" w:eastAsia="宋体" w:cs="宋体"/>
          <w:b w:val="0"/>
          <w:bCs w:val="0"/>
          <w:color w:val="000000"/>
          <w:spacing w:val="0"/>
          <w:kern w:val="0"/>
          <w:sz w:val="24"/>
          <w:szCs w:val="24"/>
          <w:lang w:val="en-US" w:eastAsia="zh-CN"/>
        </w:rPr>
        <w:t>是</w:t>
      </w:r>
      <w:r>
        <w:rPr>
          <w:rFonts w:hint="eastAsia" w:ascii="宋体" w:hAnsi="宋体" w:eastAsia="宋体" w:cs="宋体"/>
          <w:b w:val="0"/>
          <w:bCs w:val="0"/>
          <w:spacing w:val="0"/>
          <w:kern w:val="0"/>
          <w:sz w:val="24"/>
          <w:szCs w:val="24"/>
          <w:lang w:val="en-US" w:eastAsia="zh-CN"/>
        </w:rPr>
        <w:t>制定人才战略，引进科技人才。二是</w:t>
      </w:r>
      <w:r>
        <w:rPr>
          <w:rFonts w:hint="eastAsia" w:ascii="宋体" w:hAnsi="宋体" w:eastAsia="宋体" w:cs="宋体"/>
          <w:b w:val="0"/>
          <w:bCs w:val="0"/>
          <w:color w:val="000000"/>
          <w:spacing w:val="0"/>
          <w:kern w:val="0"/>
          <w:sz w:val="24"/>
          <w:szCs w:val="24"/>
        </w:rPr>
        <w:t>抓项目促发展，加快</w:t>
      </w:r>
      <w:r>
        <w:rPr>
          <w:rFonts w:hint="eastAsia" w:ascii="宋体" w:hAnsi="宋体" w:eastAsia="宋体" w:cs="宋体"/>
          <w:b w:val="0"/>
          <w:bCs w:val="0"/>
          <w:color w:val="000000"/>
          <w:spacing w:val="0"/>
          <w:kern w:val="0"/>
          <w:sz w:val="24"/>
          <w:szCs w:val="24"/>
          <w:lang w:val="en-US" w:eastAsia="zh-CN"/>
        </w:rPr>
        <w:t>建设</w:t>
      </w:r>
      <w:r>
        <w:rPr>
          <w:rFonts w:hint="eastAsia" w:ascii="宋体" w:hAnsi="宋体" w:eastAsia="宋体" w:cs="宋体"/>
          <w:b w:val="0"/>
          <w:bCs w:val="0"/>
          <w:color w:val="000000"/>
          <w:spacing w:val="0"/>
          <w:kern w:val="0"/>
          <w:sz w:val="24"/>
          <w:szCs w:val="24"/>
        </w:rPr>
        <w:t>步伐</w:t>
      </w:r>
      <w:r>
        <w:rPr>
          <w:rFonts w:hint="eastAsia" w:ascii="宋体" w:hAnsi="宋体" w:eastAsia="宋体" w:cs="宋体"/>
          <w:b w:val="0"/>
          <w:bCs w:val="0"/>
          <w:color w:val="000000"/>
          <w:spacing w:val="0"/>
          <w:kern w:val="0"/>
          <w:sz w:val="24"/>
          <w:szCs w:val="24"/>
          <w:lang w:eastAsia="zh-CN"/>
        </w:rPr>
        <w:t>。</w:t>
      </w:r>
      <w:r>
        <w:rPr>
          <w:rFonts w:hint="eastAsia" w:ascii="宋体" w:hAnsi="宋体" w:eastAsia="宋体" w:cs="宋体"/>
          <w:b w:val="0"/>
          <w:bCs w:val="0"/>
          <w:spacing w:val="0"/>
          <w:kern w:val="0"/>
          <w:sz w:val="24"/>
          <w:szCs w:val="24"/>
          <w:lang w:val="en-US" w:eastAsia="zh-CN"/>
        </w:rPr>
        <w:t>三是</w:t>
      </w:r>
      <w:r>
        <w:rPr>
          <w:rFonts w:hint="eastAsia" w:ascii="宋体" w:hAnsi="宋体" w:eastAsia="宋体" w:cs="宋体"/>
          <w:b w:val="0"/>
          <w:bCs w:val="0"/>
          <w:spacing w:val="0"/>
          <w:kern w:val="0"/>
          <w:sz w:val="24"/>
          <w:szCs w:val="24"/>
        </w:rPr>
        <w:t>加快产业升级，突显文旅工艺</w:t>
      </w:r>
      <w:r>
        <w:rPr>
          <w:rFonts w:hint="eastAsia" w:ascii="宋体" w:hAnsi="宋体" w:eastAsia="宋体" w:cs="宋体"/>
          <w:b w:val="0"/>
          <w:bCs w:val="0"/>
          <w:spacing w:val="0"/>
          <w:kern w:val="0"/>
          <w:sz w:val="24"/>
          <w:szCs w:val="24"/>
          <w:lang w:eastAsia="zh-CN"/>
        </w:rPr>
        <w:t>。</w:t>
      </w:r>
    </w:p>
    <w:p>
      <w:pPr>
        <w:spacing w:line="360" w:lineRule="auto"/>
        <w:ind w:firstLine="480"/>
        <w:rPr>
          <w:rFonts w:hint="eastAsia" w:ascii="宋体" w:hAnsi="宋体" w:eastAsia="宋体" w:cs="宋体"/>
          <w:sz w:val="24"/>
          <w:szCs w:val="32"/>
          <w:highlight w:val="none"/>
          <w:lang w:val="en-US" w:eastAsia="zh-CN" w:bidi="ar"/>
        </w:rPr>
      </w:pPr>
      <w:bookmarkStart w:id="330" w:name="_Toc3489"/>
      <w:bookmarkStart w:id="331" w:name="_Toc26982"/>
      <w:bookmarkStart w:id="332" w:name="_Toc5018"/>
      <w:bookmarkStart w:id="333" w:name="_Toc14916"/>
      <w:bookmarkStart w:id="334" w:name="_Toc779"/>
      <w:r>
        <w:rPr>
          <w:rFonts w:hint="eastAsia" w:ascii="宋体" w:hAnsi="宋体" w:eastAsia="宋体" w:cs="宋体"/>
          <w:sz w:val="24"/>
          <w:szCs w:val="32"/>
          <w:highlight w:val="none"/>
          <w:lang w:val="en-US" w:eastAsia="zh-CN" w:bidi="ar"/>
        </w:rPr>
        <w:t>4.实施“</w:t>
      </w:r>
      <w:r>
        <w:rPr>
          <w:rFonts w:hint="eastAsia" w:ascii="宋体" w:hAnsi="宋体" w:eastAsia="宋体" w:cs="宋体"/>
          <w:bCs w:val="0"/>
          <w:sz w:val="24"/>
          <w:szCs w:val="32"/>
          <w:highlight w:val="none"/>
          <w:lang w:bidi="ar"/>
        </w:rPr>
        <w:t>乡</w:t>
      </w:r>
      <w:r>
        <w:rPr>
          <w:rFonts w:hint="eastAsia" w:ascii="宋体" w:hAnsi="宋体" w:eastAsia="宋体" w:cs="宋体"/>
          <w:bCs w:val="0"/>
          <w:sz w:val="24"/>
          <w:szCs w:val="32"/>
          <w:highlight w:val="none"/>
          <w:lang w:val="en-US" w:eastAsia="zh-CN" w:bidi="ar"/>
        </w:rPr>
        <w:t>村环卫</w:t>
      </w:r>
      <w:r>
        <w:rPr>
          <w:rFonts w:hint="eastAsia" w:ascii="宋体" w:hAnsi="宋体" w:eastAsia="宋体" w:cs="宋体"/>
          <w:sz w:val="24"/>
          <w:szCs w:val="32"/>
          <w:highlight w:val="none"/>
          <w:lang w:val="en-US" w:eastAsia="zh-CN" w:bidi="ar"/>
        </w:rPr>
        <w:t>多位一体化服务”，提升竹岐乡生态旅游形象</w:t>
      </w:r>
      <w:bookmarkEnd w:id="330"/>
      <w:bookmarkEnd w:id="331"/>
      <w:bookmarkEnd w:id="332"/>
      <w:bookmarkEnd w:id="333"/>
      <w:bookmarkEnd w:id="334"/>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sz w:val="24"/>
          <w:szCs w:val="24"/>
          <w:lang w:val="en-US" w:eastAsia="zh-CN"/>
        </w:rPr>
        <w:t>实施乡村“多位一体化服务”，提升</w:t>
      </w:r>
      <w:r>
        <w:rPr>
          <w:rFonts w:hint="eastAsia"/>
          <w:sz w:val="24"/>
          <w:lang w:val="en-US" w:eastAsia="zh-CN"/>
        </w:rPr>
        <w:t>竹岐乡</w:t>
      </w:r>
      <w:r>
        <w:rPr>
          <w:rFonts w:hint="eastAsia" w:ascii="宋体" w:hAnsi="宋体" w:eastAsia="宋体" w:cs="宋体"/>
          <w:sz w:val="24"/>
          <w:szCs w:val="24"/>
          <w:lang w:val="en-US" w:eastAsia="zh-CN"/>
        </w:rPr>
        <w:t>生态旅游形象。</w:t>
      </w:r>
      <w:r>
        <w:rPr>
          <w:rFonts w:hint="eastAsia" w:ascii="宋体" w:hAnsi="宋体" w:eastAsia="宋体" w:cs="宋体"/>
          <w:sz w:val="24"/>
          <w:szCs w:val="24"/>
        </w:rPr>
        <w:t>创建</w:t>
      </w:r>
      <w:r>
        <w:rPr>
          <w:rFonts w:hint="eastAsia" w:ascii="宋体" w:hAnsi="宋体" w:eastAsia="宋体" w:cs="宋体"/>
          <w:sz w:val="24"/>
          <w:szCs w:val="24"/>
          <w:lang w:eastAsia="zh-CN"/>
        </w:rPr>
        <w:t>“生态旅游城，人居幸福地”</w:t>
      </w:r>
      <w:r>
        <w:rPr>
          <w:rFonts w:hint="eastAsia" w:ascii="宋体" w:hAnsi="宋体" w:eastAsia="宋体" w:cs="宋体"/>
          <w:sz w:val="24"/>
          <w:szCs w:val="24"/>
        </w:rPr>
        <w:t>是全</w:t>
      </w:r>
      <w:r>
        <w:rPr>
          <w:rFonts w:hint="eastAsia" w:ascii="宋体" w:hAnsi="宋体" w:eastAsia="宋体" w:cs="宋体"/>
          <w:sz w:val="24"/>
          <w:szCs w:val="24"/>
          <w:lang w:val="en-US" w:eastAsia="zh-CN"/>
        </w:rPr>
        <w:t>乡</w:t>
      </w:r>
      <w:r>
        <w:rPr>
          <w:rFonts w:hint="eastAsia" w:ascii="宋体" w:hAnsi="宋体" w:eastAsia="宋体" w:cs="宋体"/>
          <w:sz w:val="24"/>
          <w:szCs w:val="24"/>
        </w:rPr>
        <w:t>人民的共同愿望。</w:t>
      </w:r>
      <w:r>
        <w:rPr>
          <w:rFonts w:hint="eastAsia" w:ascii="宋体" w:hAnsi="宋体" w:eastAsia="宋体" w:cs="宋体"/>
          <w:sz w:val="24"/>
          <w:szCs w:val="24"/>
          <w:lang w:eastAsia="zh-CN"/>
        </w:rPr>
        <w:t>实施</w:t>
      </w:r>
      <w:r>
        <w:rPr>
          <w:rFonts w:hint="eastAsia" w:ascii="宋体" w:hAnsi="宋体" w:eastAsia="宋体" w:cs="宋体"/>
          <w:sz w:val="24"/>
          <w:szCs w:val="24"/>
        </w:rPr>
        <w:t>“</w:t>
      </w:r>
      <w:r>
        <w:rPr>
          <w:rFonts w:hint="eastAsia" w:ascii="宋体" w:hAnsi="宋体" w:eastAsia="宋体" w:cs="宋体"/>
          <w:sz w:val="24"/>
          <w:szCs w:val="24"/>
          <w:lang w:val="en-US" w:eastAsia="zh-CN"/>
        </w:rPr>
        <w:t>多位一体化</w:t>
      </w:r>
      <w:r>
        <w:rPr>
          <w:rFonts w:hint="eastAsia" w:ascii="宋体" w:hAnsi="宋体" w:eastAsia="宋体" w:cs="宋体"/>
          <w:sz w:val="24"/>
          <w:szCs w:val="24"/>
        </w:rPr>
        <w:t>”</w:t>
      </w:r>
      <w:r>
        <w:rPr>
          <w:rFonts w:hint="eastAsia" w:ascii="宋体" w:hAnsi="宋体" w:eastAsia="宋体" w:cs="宋体"/>
          <w:sz w:val="24"/>
          <w:szCs w:val="24"/>
          <w:lang w:val="en-US" w:eastAsia="zh-CN"/>
        </w:rPr>
        <w:t>管理，可以促进乡村</w:t>
      </w:r>
      <w:r>
        <w:rPr>
          <w:rFonts w:hint="eastAsia" w:ascii="宋体" w:hAnsi="宋体" w:eastAsia="宋体" w:cs="宋体"/>
          <w:sz w:val="24"/>
          <w:szCs w:val="24"/>
        </w:rPr>
        <w:t>环境</w:t>
      </w:r>
      <w:r>
        <w:rPr>
          <w:rFonts w:hint="eastAsia" w:ascii="宋体" w:hAnsi="宋体" w:eastAsia="宋体" w:cs="宋体"/>
          <w:sz w:val="24"/>
          <w:szCs w:val="24"/>
          <w:lang w:eastAsia="zh-CN"/>
        </w:rPr>
        <w:t>管理水平</w:t>
      </w:r>
      <w:r>
        <w:rPr>
          <w:rFonts w:hint="eastAsia" w:ascii="宋体" w:hAnsi="宋体" w:eastAsia="宋体" w:cs="宋体"/>
          <w:sz w:val="24"/>
          <w:szCs w:val="24"/>
        </w:rPr>
        <w:t>改善，</w:t>
      </w:r>
      <w:r>
        <w:rPr>
          <w:rFonts w:hint="eastAsia" w:ascii="宋体" w:hAnsi="宋体" w:eastAsia="宋体" w:cs="宋体"/>
          <w:sz w:val="24"/>
          <w:szCs w:val="24"/>
          <w:lang w:val="en-US" w:eastAsia="zh-CN"/>
        </w:rPr>
        <w:t>建议从</w:t>
      </w:r>
      <w:r>
        <w:rPr>
          <w:rFonts w:hint="eastAsia" w:ascii="宋体" w:hAnsi="宋体" w:eastAsia="宋体" w:cs="宋体"/>
          <w:sz w:val="24"/>
          <w:szCs w:val="24"/>
        </w:rPr>
        <w:t>以下几个方面</w:t>
      </w:r>
      <w:r>
        <w:rPr>
          <w:rFonts w:hint="eastAsia" w:ascii="宋体" w:hAnsi="宋体" w:eastAsia="宋体" w:cs="宋体"/>
          <w:sz w:val="24"/>
          <w:szCs w:val="24"/>
          <w:lang w:val="en-US" w:eastAsia="zh-CN"/>
        </w:rPr>
        <w:t>改进</w:t>
      </w:r>
      <w:r>
        <w:rPr>
          <w:rFonts w:hint="eastAsia" w:ascii="宋体" w:hAnsi="宋体" w:eastAsia="宋体" w:cs="宋体"/>
          <w:sz w:val="24"/>
          <w:szCs w:val="24"/>
        </w:rPr>
        <w:t>：</w:t>
      </w:r>
      <w:r>
        <w:rPr>
          <w:rFonts w:hint="eastAsia" w:ascii="宋体" w:hAnsi="宋体" w:eastAsia="宋体" w:cs="宋体"/>
          <w:sz w:val="24"/>
          <w:szCs w:val="24"/>
          <w:lang w:val="en-US" w:eastAsia="zh-CN"/>
        </w:rPr>
        <w:t>一是</w:t>
      </w:r>
      <w:r>
        <w:rPr>
          <w:rFonts w:hint="eastAsia" w:ascii="宋体" w:hAnsi="宋体" w:eastAsia="宋体" w:cs="宋体"/>
          <w:sz w:val="24"/>
          <w:szCs w:val="24"/>
          <w:lang w:eastAsia="zh-CN"/>
        </w:rPr>
        <w:t>专业化管理</w:t>
      </w:r>
      <w:r>
        <w:rPr>
          <w:rFonts w:hint="eastAsia" w:ascii="宋体" w:hAnsi="宋体" w:eastAsia="宋体" w:cs="宋体"/>
          <w:sz w:val="24"/>
          <w:szCs w:val="24"/>
          <w:lang w:val="en-US" w:eastAsia="zh-CN"/>
        </w:rPr>
        <w:t>；二是</w:t>
      </w:r>
      <w:r>
        <w:rPr>
          <w:rFonts w:hint="eastAsia" w:ascii="宋体" w:hAnsi="宋体" w:eastAsia="宋体" w:cs="宋体"/>
          <w:sz w:val="24"/>
          <w:szCs w:val="24"/>
        </w:rPr>
        <w:t>人性化接管</w:t>
      </w:r>
      <w:r>
        <w:rPr>
          <w:rFonts w:hint="eastAsia" w:ascii="宋体" w:hAnsi="宋体" w:eastAsia="宋体" w:cs="宋体"/>
          <w:sz w:val="24"/>
          <w:szCs w:val="24"/>
          <w:lang w:val="en-US" w:eastAsia="zh-CN"/>
        </w:rPr>
        <w:t>；三是</w:t>
      </w:r>
      <w:r>
        <w:rPr>
          <w:rFonts w:hint="eastAsia" w:ascii="宋体" w:hAnsi="宋体" w:eastAsia="宋体" w:cs="宋体"/>
          <w:sz w:val="24"/>
          <w:szCs w:val="24"/>
        </w:rPr>
        <w:t>精细化管理</w:t>
      </w:r>
      <w:r>
        <w:rPr>
          <w:rFonts w:hint="eastAsia" w:ascii="宋体" w:hAnsi="宋体" w:eastAsia="宋体" w:cs="宋体"/>
          <w:sz w:val="24"/>
          <w:szCs w:val="24"/>
          <w:lang w:val="en-US" w:eastAsia="zh-CN"/>
        </w:rPr>
        <w:t>；四是</w:t>
      </w:r>
      <w:r>
        <w:rPr>
          <w:rFonts w:hint="eastAsia" w:ascii="宋体" w:hAnsi="宋体" w:eastAsia="宋体" w:cs="宋体"/>
          <w:sz w:val="24"/>
          <w:szCs w:val="24"/>
        </w:rPr>
        <w:t>降低工人劳动强度</w:t>
      </w:r>
      <w:r>
        <w:rPr>
          <w:rFonts w:hint="eastAsia" w:ascii="宋体" w:hAnsi="宋体" w:eastAsia="宋体" w:cs="宋体"/>
          <w:sz w:val="24"/>
          <w:szCs w:val="24"/>
          <w:lang w:val="en-US" w:eastAsia="zh-CN"/>
        </w:rPr>
        <w:t>；五是</w:t>
      </w:r>
      <w:r>
        <w:rPr>
          <w:rFonts w:hint="eastAsia" w:ascii="宋体" w:hAnsi="宋体" w:eastAsia="宋体" w:cs="宋体"/>
          <w:sz w:val="24"/>
          <w:szCs w:val="24"/>
        </w:rPr>
        <w:t>专业分工</w:t>
      </w:r>
      <w:r>
        <w:rPr>
          <w:rFonts w:hint="eastAsia" w:ascii="宋体" w:hAnsi="宋体" w:eastAsia="宋体" w:cs="宋体"/>
          <w:sz w:val="24"/>
          <w:szCs w:val="24"/>
          <w:lang w:val="en-US" w:eastAsia="zh-CN"/>
        </w:rPr>
        <w:t>；六是</w:t>
      </w:r>
      <w:r>
        <w:rPr>
          <w:rFonts w:hint="eastAsia" w:ascii="宋体" w:hAnsi="宋体" w:eastAsia="宋体" w:cs="宋体"/>
          <w:sz w:val="24"/>
          <w:szCs w:val="24"/>
        </w:rPr>
        <w:t>专业化保洁</w:t>
      </w:r>
      <w:r>
        <w:rPr>
          <w:rFonts w:hint="eastAsia" w:ascii="宋体" w:hAnsi="宋体" w:eastAsia="宋体" w:cs="宋体"/>
          <w:sz w:val="24"/>
          <w:szCs w:val="24"/>
          <w:lang w:val="en-US" w:eastAsia="zh-CN"/>
        </w:rPr>
        <w:t>；七是</w:t>
      </w:r>
      <w:r>
        <w:rPr>
          <w:rFonts w:hint="eastAsia" w:ascii="宋体" w:hAnsi="宋体" w:eastAsia="宋体" w:cs="宋体"/>
          <w:sz w:val="24"/>
          <w:szCs w:val="24"/>
        </w:rPr>
        <w:t>提高机械化作业水平</w:t>
      </w:r>
      <w:r>
        <w:rPr>
          <w:rFonts w:hint="eastAsia" w:ascii="宋体" w:hAnsi="宋体" w:eastAsia="宋体" w:cs="宋体"/>
          <w:sz w:val="24"/>
          <w:szCs w:val="24"/>
          <w:lang w:val="en-US" w:eastAsia="zh-CN"/>
        </w:rPr>
        <w:t>；八是</w:t>
      </w:r>
      <w:r>
        <w:rPr>
          <w:rFonts w:hint="eastAsia" w:ascii="宋体" w:hAnsi="宋体" w:eastAsia="宋体" w:cs="宋体"/>
          <w:sz w:val="24"/>
          <w:szCs w:val="24"/>
        </w:rPr>
        <w:t>规范清运作业</w:t>
      </w:r>
      <w:r>
        <w:rPr>
          <w:rFonts w:hint="eastAsia" w:ascii="宋体" w:hAnsi="宋体" w:eastAsia="宋体" w:cs="宋体"/>
          <w:sz w:val="24"/>
          <w:szCs w:val="24"/>
          <w:lang w:val="en-US" w:eastAsia="zh-CN"/>
        </w:rPr>
        <w:t>；九是</w:t>
      </w:r>
      <w:r>
        <w:rPr>
          <w:rFonts w:hint="eastAsia" w:ascii="宋体" w:hAnsi="宋体" w:eastAsia="宋体" w:cs="宋体"/>
          <w:sz w:val="24"/>
          <w:szCs w:val="24"/>
        </w:rPr>
        <w:t>城市家具大清洗</w:t>
      </w:r>
      <w:r>
        <w:rPr>
          <w:rFonts w:hint="eastAsia" w:ascii="宋体" w:hAnsi="宋体" w:eastAsia="宋体" w:cs="宋体"/>
          <w:sz w:val="24"/>
          <w:szCs w:val="24"/>
          <w:lang w:val="en-US" w:eastAsia="zh-CN"/>
        </w:rPr>
        <w:t>；十是</w:t>
      </w:r>
      <w:r>
        <w:rPr>
          <w:rFonts w:hint="eastAsia" w:ascii="宋体" w:hAnsi="宋体" w:eastAsia="宋体" w:cs="宋体"/>
          <w:sz w:val="24"/>
          <w:szCs w:val="24"/>
        </w:rPr>
        <w:t>公厕</w:t>
      </w:r>
      <w:r>
        <w:rPr>
          <w:rFonts w:hint="eastAsia" w:ascii="宋体" w:hAnsi="宋体" w:eastAsia="宋体" w:cs="宋体"/>
          <w:sz w:val="24"/>
          <w:szCs w:val="24"/>
          <w:lang w:val="en-US" w:eastAsia="zh-CN"/>
        </w:rPr>
        <w:t>保洁</w:t>
      </w:r>
      <w:r>
        <w:rPr>
          <w:rFonts w:hint="eastAsia" w:ascii="宋体" w:hAnsi="宋体" w:eastAsia="宋体" w:cs="宋体"/>
          <w:sz w:val="24"/>
          <w:szCs w:val="24"/>
        </w:rPr>
        <w:t>无异味。</w:t>
      </w:r>
    </w:p>
    <w:p>
      <w:pPr>
        <w:spacing w:line="360" w:lineRule="auto"/>
        <w:ind w:firstLine="480"/>
        <w:rPr>
          <w:rFonts w:hint="eastAsia" w:ascii="宋体" w:hAnsi="宋体" w:eastAsia="宋体" w:cs="宋体"/>
          <w:kern w:val="2"/>
          <w:sz w:val="24"/>
          <w:szCs w:val="32"/>
          <w:highlight w:val="none"/>
          <w:lang w:val="en-US" w:bidi="ar"/>
        </w:rPr>
      </w:pPr>
      <w:bookmarkStart w:id="335" w:name="_Toc24592"/>
      <w:bookmarkStart w:id="336" w:name="_Toc8752"/>
      <w:bookmarkStart w:id="337" w:name="_Toc17026"/>
      <w:bookmarkStart w:id="338" w:name="_Toc10351"/>
      <w:bookmarkStart w:id="339" w:name="_Toc17194"/>
      <w:r>
        <w:rPr>
          <w:rFonts w:hint="eastAsia" w:ascii="宋体" w:hAnsi="宋体" w:eastAsia="宋体" w:cs="宋体"/>
          <w:kern w:val="2"/>
          <w:sz w:val="24"/>
          <w:szCs w:val="32"/>
          <w:highlight w:val="none"/>
          <w:lang w:val="en-US" w:eastAsia="zh-CN" w:bidi="ar"/>
        </w:rPr>
        <w:t>5.对山区和半山区实行财政倾斜政策，</w:t>
      </w:r>
      <w:r>
        <w:rPr>
          <w:rFonts w:hint="eastAsia" w:ascii="宋体" w:hAnsi="宋体" w:eastAsia="宋体" w:cs="宋体"/>
          <w:sz w:val="24"/>
          <w:szCs w:val="32"/>
          <w:highlight w:val="none"/>
          <w:lang w:val="en-US" w:eastAsia="zh-CN" w:bidi="ar"/>
        </w:rPr>
        <w:t>发展乡村旅游和特色农业</w:t>
      </w:r>
      <w:bookmarkEnd w:id="335"/>
      <w:bookmarkEnd w:id="336"/>
      <w:bookmarkEnd w:id="337"/>
      <w:bookmarkEnd w:id="338"/>
      <w:bookmarkEnd w:id="339"/>
    </w:p>
    <w:p>
      <w:pPr>
        <w:spacing w:line="360" w:lineRule="auto"/>
        <w:ind w:firstLine="480" w:firstLineChars="200"/>
        <w:jc w:val="left"/>
        <w:rPr>
          <w:rFonts w:hint="eastAsia" w:ascii="宋体" w:hAnsi="宋体" w:eastAsia="宋体" w:cs="宋体"/>
          <w:kern w:val="2"/>
          <w:sz w:val="24"/>
          <w:lang w:val="en-US" w:eastAsia="zh-CN"/>
        </w:rPr>
      </w:pPr>
      <w:r>
        <w:rPr>
          <w:rFonts w:hint="eastAsia" w:ascii="宋体" w:hAnsi="宋体" w:eastAsia="宋体" w:cs="宋体"/>
          <w:b w:val="0"/>
          <w:bCs w:val="0"/>
          <w:sz w:val="24"/>
          <w:szCs w:val="24"/>
        </w:rPr>
        <w:t>一是大力实施乡村振兴项目建设。</w:t>
      </w:r>
      <w:r>
        <w:rPr>
          <w:rFonts w:hint="eastAsia" w:ascii="宋体" w:hAnsi="宋体" w:eastAsia="宋体" w:cs="宋体"/>
          <w:b w:val="0"/>
          <w:bCs w:val="0"/>
          <w:sz w:val="24"/>
          <w:szCs w:val="24"/>
          <w:lang w:val="en-US" w:eastAsia="zh-CN"/>
        </w:rPr>
        <w:t>二是</w:t>
      </w:r>
      <w:r>
        <w:rPr>
          <w:rFonts w:hint="eastAsia" w:ascii="宋体" w:hAnsi="宋体" w:eastAsia="宋体" w:cs="宋体"/>
          <w:b w:val="0"/>
          <w:bCs w:val="0"/>
          <w:sz w:val="24"/>
          <w:szCs w:val="24"/>
        </w:rPr>
        <w:t>推动乡村旅游交通线路的建设</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rPr>
        <w:t>三是巩固脱贫攻坚成果</w:t>
      </w:r>
      <w:r>
        <w:rPr>
          <w:rFonts w:hint="eastAsia" w:ascii="宋体" w:hAnsi="宋体" w:eastAsia="宋体" w:cs="宋体"/>
          <w:b w:val="0"/>
          <w:bCs w:val="0"/>
          <w:sz w:val="24"/>
          <w:szCs w:val="24"/>
          <w:lang w:val="en-US" w:eastAsia="zh-CN"/>
        </w:rPr>
        <w:t>；四是</w:t>
      </w:r>
      <w:r>
        <w:rPr>
          <w:rFonts w:hint="eastAsia" w:ascii="宋体" w:hAnsi="宋体" w:eastAsia="宋体" w:cs="宋体"/>
          <w:color w:val="000000"/>
          <w:sz w:val="24"/>
          <w:szCs w:val="24"/>
        </w:rPr>
        <w:t>增进民生福祉，提高人民生活品质</w:t>
      </w:r>
      <w:r>
        <w:rPr>
          <w:rFonts w:hint="eastAsia" w:ascii="宋体" w:hAnsi="宋体" w:eastAsia="宋体" w:cs="宋体"/>
          <w:sz w:val="24"/>
          <w:szCs w:val="24"/>
          <w:lang w:eastAsia="zh-CN"/>
        </w:rPr>
        <w:t>。</w:t>
      </w:r>
    </w:p>
    <w:p>
      <w:pPr>
        <w:pStyle w:val="2"/>
        <w:ind w:firstLine="562"/>
        <w:rPr>
          <w:rFonts w:hint="eastAsia" w:ascii="宋体" w:hAnsi="宋体" w:cs="宋体"/>
          <w:szCs w:val="28"/>
        </w:rPr>
      </w:pPr>
      <w:bookmarkStart w:id="340" w:name="_Toc26848"/>
      <w:bookmarkStart w:id="341" w:name="_Toc3325"/>
      <w:bookmarkStart w:id="342" w:name="_Toc27539"/>
      <w:bookmarkStart w:id="343" w:name="_Toc21419"/>
      <w:bookmarkStart w:id="344" w:name="_Toc24651"/>
      <w:bookmarkStart w:id="345" w:name="_Toc31463"/>
      <w:bookmarkStart w:id="346" w:name="_Toc22512"/>
      <w:bookmarkStart w:id="347" w:name="_Toc16508"/>
      <w:bookmarkStart w:id="348" w:name="_Toc20542"/>
      <w:bookmarkStart w:id="349" w:name="_Toc1621"/>
      <w:r>
        <w:rPr>
          <w:rFonts w:hint="eastAsia" w:ascii="宋体" w:hAnsi="宋体" w:cs="宋体"/>
          <w:szCs w:val="28"/>
          <w:lang w:val="en-US" w:eastAsia="zh-CN"/>
        </w:rPr>
        <w:t>八</w:t>
      </w:r>
      <w:r>
        <w:rPr>
          <w:rFonts w:hint="eastAsia" w:ascii="宋体" w:hAnsi="宋体" w:cs="宋体"/>
          <w:szCs w:val="28"/>
        </w:rPr>
        <w:t>、其他需要说明的事项</w:t>
      </w:r>
      <w:bookmarkEnd w:id="340"/>
      <w:bookmarkEnd w:id="341"/>
      <w:bookmarkEnd w:id="342"/>
      <w:bookmarkEnd w:id="343"/>
      <w:bookmarkEnd w:id="344"/>
      <w:bookmarkEnd w:id="345"/>
      <w:bookmarkEnd w:id="346"/>
      <w:bookmarkEnd w:id="347"/>
      <w:bookmarkEnd w:id="348"/>
      <w:bookmarkEnd w:id="349"/>
    </w:p>
    <w:p>
      <w:pPr>
        <w:pStyle w:val="9"/>
        <w:rPr>
          <w:rFonts w:hint="eastAsia" w:ascii="宋体" w:hAnsi="宋体" w:eastAsia="宋体" w:cs="宋体"/>
          <w:kern w:val="0"/>
          <w:sz w:val="24"/>
        </w:rPr>
      </w:pPr>
      <w:r>
        <w:rPr>
          <w:rFonts w:hint="eastAsia" w:ascii="宋体" w:hAnsi="宋体" w:cs="宋体"/>
          <w:sz w:val="24"/>
        </w:rPr>
        <w:t>本报告仅供</w:t>
      </w:r>
      <w:r>
        <w:rPr>
          <w:rFonts w:hint="eastAsia" w:ascii="宋体" w:hAnsi="宋体" w:cs="宋体"/>
          <w:sz w:val="24"/>
          <w:lang w:val="en-US" w:eastAsia="zh-CN"/>
        </w:rPr>
        <w:t>闽侯</w:t>
      </w:r>
      <w:r>
        <w:rPr>
          <w:rFonts w:hint="eastAsia" w:ascii="宋体" w:hAnsi="宋体" w:cs="宋体"/>
          <w:sz w:val="24"/>
        </w:rPr>
        <w:t>县财政局参考使用，绩效评价不能减轻项目单位和其他有关部门的责任。</w:t>
      </w:r>
    </w:p>
    <w:p>
      <w:pPr>
        <w:pStyle w:val="5"/>
        <w:rPr>
          <w:rFonts w:hint="eastAsia"/>
        </w:rPr>
      </w:pPr>
    </w:p>
    <w:p>
      <w:pPr>
        <w:spacing w:line="360" w:lineRule="auto"/>
        <w:ind w:left="959" w:leftChars="228" w:hanging="480" w:hangingChars="200"/>
        <w:rPr>
          <w:rFonts w:hint="eastAsia" w:ascii="宋体" w:hAnsi="宋体" w:cs="宋体"/>
          <w:sz w:val="24"/>
        </w:rPr>
      </w:pPr>
      <w:r>
        <w:rPr>
          <w:rFonts w:hint="eastAsia" w:ascii="宋体" w:hAnsi="宋体" w:cs="宋体"/>
          <w:sz w:val="24"/>
        </w:rPr>
        <w:t>附件一：</w:t>
      </w:r>
      <w:r>
        <w:rPr>
          <w:rFonts w:hint="eastAsia"/>
          <w:sz w:val="24"/>
          <w:lang w:val="en-US" w:eastAsia="zh-CN"/>
        </w:rPr>
        <w:t>闽侯县竹岐乡人民政府</w:t>
      </w:r>
      <w:r>
        <w:rPr>
          <w:rFonts w:hint="eastAsia"/>
          <w:sz w:val="24"/>
          <w:lang w:eastAsia="zh-CN"/>
        </w:rPr>
        <w:t>财政运行情况综合</w:t>
      </w:r>
      <w:r>
        <w:rPr>
          <w:rFonts w:hint="eastAsia"/>
          <w:sz w:val="24"/>
          <w:lang w:val="en-US" w:eastAsia="zh-CN"/>
        </w:rPr>
        <w:t>绩效项目</w:t>
      </w:r>
      <w:r>
        <w:rPr>
          <w:rFonts w:hint="eastAsia" w:ascii="宋体" w:hAnsi="宋体" w:cs="宋体"/>
          <w:sz w:val="24"/>
        </w:rPr>
        <w:t>满意度调查问卷</w:t>
      </w:r>
    </w:p>
    <w:p>
      <w:pPr>
        <w:spacing w:line="360" w:lineRule="auto"/>
        <w:ind w:left="959" w:leftChars="228" w:hanging="480" w:hangingChars="200"/>
        <w:rPr>
          <w:rFonts w:hint="eastAsia" w:ascii="宋体" w:hAnsi="宋体" w:cs="宋体"/>
          <w:sz w:val="24"/>
        </w:rPr>
      </w:pPr>
      <w:r>
        <w:rPr>
          <w:rFonts w:hint="eastAsia" w:ascii="宋体" w:hAnsi="宋体" w:cs="宋体"/>
          <w:sz w:val="24"/>
        </w:rPr>
        <w:t>附件二：</w:t>
      </w:r>
      <w:r>
        <w:rPr>
          <w:rFonts w:hint="eastAsia"/>
          <w:sz w:val="24"/>
          <w:lang w:val="en-US" w:eastAsia="zh-CN"/>
        </w:rPr>
        <w:t>闽侯县竹岐乡人民</w:t>
      </w:r>
      <w:r>
        <w:rPr>
          <w:rFonts w:hint="eastAsia"/>
          <w:sz w:val="24"/>
          <w:lang w:eastAsia="zh-CN"/>
        </w:rPr>
        <w:t>政府财政运行情况综合</w:t>
      </w:r>
      <w:r>
        <w:rPr>
          <w:rFonts w:hint="eastAsia"/>
          <w:sz w:val="24"/>
          <w:lang w:val="en-US" w:eastAsia="zh-CN"/>
        </w:rPr>
        <w:t>绩效项目</w:t>
      </w:r>
      <w:r>
        <w:rPr>
          <w:rFonts w:hint="eastAsia" w:ascii="宋体" w:hAnsi="宋体" w:cs="宋体"/>
          <w:sz w:val="24"/>
        </w:rPr>
        <w:t>绩效评价指标体系及分值表</w:t>
      </w: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spacing w:line="360" w:lineRule="auto"/>
        <w:ind w:left="959" w:leftChars="228" w:hanging="480" w:hangingChars="200"/>
        <w:rPr>
          <w:rFonts w:hint="eastAsia" w:ascii="宋体" w:hAnsi="宋体" w:cs="宋体"/>
          <w:sz w:val="24"/>
        </w:rPr>
      </w:pPr>
    </w:p>
    <w:p>
      <w:pPr>
        <w:pStyle w:val="9"/>
        <w:ind w:firstLine="0" w:firstLineChars="0"/>
        <w:rPr>
          <w:rFonts w:hint="eastAsia" w:ascii="宋体" w:hAnsi="宋体" w:eastAsia="宋体" w:cs="宋体"/>
          <w:kern w:val="0"/>
          <w:sz w:val="24"/>
        </w:rPr>
      </w:pPr>
    </w:p>
    <w:p>
      <w:pPr>
        <w:spacing w:line="0" w:lineRule="atLeas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附件一：</w:t>
      </w:r>
    </w:p>
    <w:p>
      <w:pPr>
        <w:spacing w:line="0" w:lineRule="atLeast"/>
        <w:jc w:val="center"/>
        <w:rPr>
          <w:b/>
          <w:sz w:val="32"/>
          <w:szCs w:val="32"/>
        </w:rPr>
      </w:pPr>
      <w:r>
        <w:rPr>
          <w:rFonts w:hint="eastAsia"/>
          <w:b/>
          <w:sz w:val="32"/>
          <w:szCs w:val="32"/>
          <w:lang w:val="en-US" w:eastAsia="zh-CN"/>
        </w:rPr>
        <w:t>闽侯县竹岐乡</w:t>
      </w:r>
      <w:r>
        <w:rPr>
          <w:rFonts w:hint="eastAsia"/>
          <w:b/>
          <w:sz w:val="32"/>
          <w:szCs w:val="32"/>
          <w:lang w:eastAsia="zh-CN"/>
        </w:rPr>
        <w:t>政府财政运行情况综合</w:t>
      </w:r>
      <w:r>
        <w:rPr>
          <w:rFonts w:hint="eastAsia"/>
          <w:b/>
          <w:sz w:val="32"/>
          <w:szCs w:val="32"/>
          <w:lang w:val="en-US" w:eastAsia="zh-CN"/>
        </w:rPr>
        <w:t>绩效评价</w:t>
      </w:r>
      <w:r>
        <w:rPr>
          <w:rFonts w:hint="eastAsia"/>
          <w:b/>
          <w:sz w:val="32"/>
          <w:szCs w:val="32"/>
        </w:rPr>
        <w:br w:type="textWrapping"/>
      </w:r>
      <w:r>
        <w:rPr>
          <w:rFonts w:hint="eastAsia"/>
          <w:b/>
          <w:sz w:val="32"/>
          <w:szCs w:val="32"/>
        </w:rPr>
        <w:t>满意度调查问卷</w:t>
      </w:r>
    </w:p>
    <w:p>
      <w:pPr>
        <w:spacing w:line="360" w:lineRule="auto"/>
        <w:rPr>
          <w:sz w:val="24"/>
        </w:rPr>
      </w:pPr>
      <w:r>
        <w:rPr>
          <w:rFonts w:hint="eastAsia"/>
          <w:sz w:val="24"/>
        </w:rPr>
        <w:t>尊敬的填表人：</w:t>
      </w:r>
    </w:p>
    <w:p>
      <w:pPr>
        <w:spacing w:line="360" w:lineRule="auto"/>
        <w:ind w:firstLine="480"/>
        <w:rPr>
          <w:sz w:val="24"/>
        </w:rPr>
      </w:pPr>
      <w:r>
        <w:rPr>
          <w:rFonts w:hint="eastAsia"/>
          <w:sz w:val="24"/>
        </w:rPr>
        <w:t>我们接受</w:t>
      </w:r>
      <w:r>
        <w:rPr>
          <w:rFonts w:hint="eastAsia"/>
          <w:sz w:val="24"/>
          <w:lang w:val="en-US" w:eastAsia="zh-CN"/>
        </w:rPr>
        <w:t>闽侯县</w:t>
      </w:r>
      <w:r>
        <w:rPr>
          <w:rFonts w:hint="eastAsia"/>
          <w:sz w:val="24"/>
        </w:rPr>
        <w:t>财政局委托，正在对</w:t>
      </w:r>
      <w:r>
        <w:rPr>
          <w:rFonts w:hint="eastAsia"/>
          <w:sz w:val="24"/>
          <w:lang w:val="en-US" w:eastAsia="zh-CN"/>
        </w:rPr>
        <w:t>闽侯县竹岐乡人民政府</w:t>
      </w:r>
      <w:r>
        <w:rPr>
          <w:rFonts w:hint="eastAsia"/>
          <w:sz w:val="24"/>
          <w:lang w:eastAsia="zh-CN"/>
        </w:rPr>
        <w:t>（</w:t>
      </w:r>
      <w:r>
        <w:rPr>
          <w:rFonts w:hint="eastAsia"/>
          <w:sz w:val="24"/>
          <w:lang w:val="en-US" w:eastAsia="zh-CN"/>
        </w:rPr>
        <w:t>以下简称竹岐乡</w:t>
      </w:r>
      <w:r>
        <w:rPr>
          <w:rFonts w:hint="eastAsia"/>
          <w:sz w:val="24"/>
          <w:lang w:eastAsia="zh-CN"/>
        </w:rPr>
        <w:t>）政府财政运行情况综合</w:t>
      </w:r>
      <w:r>
        <w:rPr>
          <w:rFonts w:hint="eastAsia"/>
          <w:sz w:val="24"/>
          <w:lang w:val="en-US" w:eastAsia="zh-CN"/>
        </w:rPr>
        <w:t>绩效项目</w:t>
      </w:r>
      <w:r>
        <w:rPr>
          <w:rFonts w:hint="eastAsia"/>
          <w:sz w:val="24"/>
        </w:rPr>
        <w:t>进行绩效评价。为了充分了解</w:t>
      </w:r>
      <w:r>
        <w:rPr>
          <w:rFonts w:hint="eastAsia"/>
          <w:sz w:val="24"/>
          <w:lang w:val="en-US" w:eastAsia="zh-CN"/>
        </w:rPr>
        <w:t>闽侯县竹岐乡人民政府</w:t>
      </w:r>
      <w:r>
        <w:rPr>
          <w:rFonts w:hint="eastAsia"/>
          <w:sz w:val="24"/>
          <w:lang w:eastAsia="zh-CN"/>
        </w:rPr>
        <w:t>财政运行情况</w:t>
      </w:r>
      <w:r>
        <w:rPr>
          <w:rFonts w:hint="eastAsia"/>
          <w:sz w:val="24"/>
        </w:rPr>
        <w:t>产出</w:t>
      </w:r>
      <w:r>
        <w:rPr>
          <w:rFonts w:hint="eastAsia"/>
          <w:sz w:val="24"/>
          <w:lang w:val="en-US" w:eastAsia="zh-CN"/>
        </w:rPr>
        <w:t>综合</w:t>
      </w:r>
      <w:r>
        <w:rPr>
          <w:rFonts w:hint="eastAsia"/>
          <w:sz w:val="24"/>
        </w:rPr>
        <w:t>效益，现需进行满意度调查，敬请配合，不胜感谢！</w:t>
      </w:r>
    </w:p>
    <w:p>
      <w:pPr>
        <w:spacing w:line="360" w:lineRule="auto"/>
        <w:ind w:firstLine="480"/>
        <w:rPr>
          <w:sz w:val="24"/>
        </w:rPr>
      </w:pPr>
      <w:r>
        <w:rPr>
          <w:rFonts w:hint="eastAsia"/>
          <w:sz w:val="24"/>
        </w:rPr>
        <w:t>致</w:t>
      </w:r>
    </w:p>
    <w:p>
      <w:pPr>
        <w:spacing w:line="360" w:lineRule="auto"/>
        <w:ind w:firstLine="0"/>
        <w:rPr>
          <w:sz w:val="24"/>
        </w:rPr>
      </w:pPr>
      <w:r>
        <w:rPr>
          <w:rFonts w:hint="eastAsia"/>
          <w:sz w:val="24"/>
        </w:rPr>
        <w:t>礼！                               福建征安会计师事务所（普通合伙）</w:t>
      </w:r>
    </w:p>
    <w:p>
      <w:pPr>
        <w:spacing w:line="360" w:lineRule="auto"/>
        <w:ind w:firstLine="480"/>
        <w:jc w:val="center"/>
        <w:rPr>
          <w:rFonts w:hint="eastAsia"/>
          <w:sz w:val="24"/>
        </w:rPr>
      </w:pPr>
      <w:r>
        <w:rPr>
          <w:rFonts w:hint="eastAsia"/>
          <w:sz w:val="24"/>
        </w:rPr>
        <w:t xml:space="preserve">                           </w:t>
      </w: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姓名（可匿名）：                                            填写日期： 年  月  日 </w:t>
      </w:r>
    </w:p>
    <w:tbl>
      <w:tblPr>
        <w:tblStyle w:val="10"/>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775"/>
        <w:gridCol w:w="702"/>
        <w:gridCol w:w="68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6775"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调查项目</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标准分数</w:t>
            </w:r>
          </w:p>
        </w:tc>
        <w:tc>
          <w:tcPr>
            <w:tcW w:w="687"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w:t>
            </w:r>
          </w:p>
        </w:tc>
        <w:tc>
          <w:tcPr>
            <w:tcW w:w="646"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您</w:t>
            </w:r>
            <w:r>
              <w:rPr>
                <w:rFonts w:hint="eastAsia" w:asciiTheme="minorEastAsia" w:hAnsiTheme="minorEastAsia" w:eastAsiaTheme="minorEastAsia" w:cstheme="minorEastAsia"/>
                <w:color w:val="auto"/>
                <w:sz w:val="21"/>
                <w:szCs w:val="21"/>
                <w:lang w:val="en-US" w:eastAsia="zh-CN"/>
              </w:rPr>
              <w:t>对闽侯县竹岐乡人民政府财政运行情况综合绩效项目了解如何？（好10分；较好6-</w:t>
            </w:r>
            <w:r>
              <w:rPr>
                <w:rFonts w:hint="eastAsia" w:asciiTheme="minorEastAsia" w:hAnsiTheme="minorEastAsia" w:eastAsiaTheme="minorEastAsia" w:cstheme="minorEastAsia"/>
                <w:color w:val="auto"/>
                <w:sz w:val="21"/>
                <w:szCs w:val="21"/>
              </w:rPr>
              <w:t>9；一般1-5分；差0分）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您认为</w:t>
            </w:r>
            <w:r>
              <w:rPr>
                <w:rFonts w:hint="eastAsia" w:asciiTheme="minorEastAsia" w:hAnsiTheme="minorEastAsia" w:eastAsiaTheme="minorEastAsia" w:cstheme="minorEastAsia"/>
                <w:color w:val="auto"/>
                <w:sz w:val="21"/>
                <w:szCs w:val="21"/>
                <w:lang w:val="en-US" w:eastAsia="zh-CN"/>
              </w:rPr>
              <w:t>闽侯县竹岐乡人民政府经济</w:t>
            </w:r>
            <w:r>
              <w:rPr>
                <w:rFonts w:hint="eastAsia" w:asciiTheme="minorEastAsia" w:hAnsiTheme="minorEastAsia" w:eastAsiaTheme="minorEastAsia" w:cstheme="minorEastAsia"/>
                <w:sz w:val="21"/>
                <w:szCs w:val="21"/>
                <w:lang w:val="en-US" w:eastAsia="zh-CN"/>
              </w:rPr>
              <w:t>政策能适应当地产业发展需要吗</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非常适应</w:t>
            </w:r>
            <w:r>
              <w:rPr>
                <w:rFonts w:hint="eastAsia" w:asciiTheme="minorEastAsia" w:hAnsiTheme="minorEastAsia" w:eastAsiaTheme="minorEastAsia" w:cstheme="minorEastAsia"/>
                <w:sz w:val="21"/>
                <w:szCs w:val="21"/>
              </w:rPr>
              <w:t>10分；</w:t>
            </w:r>
            <w:r>
              <w:rPr>
                <w:rFonts w:hint="eastAsia" w:asciiTheme="minorEastAsia" w:hAnsiTheme="minorEastAsia" w:eastAsiaTheme="minorEastAsia" w:cstheme="minorEastAsia"/>
                <w:sz w:val="21"/>
                <w:szCs w:val="21"/>
                <w:lang w:val="en-US" w:eastAsia="zh-CN"/>
              </w:rPr>
              <w:t>较适应</w:t>
            </w:r>
            <w:r>
              <w:rPr>
                <w:rFonts w:hint="eastAsia" w:asciiTheme="minorEastAsia" w:hAnsiTheme="minorEastAsia" w:eastAsiaTheme="minorEastAsia" w:cstheme="minorEastAsia"/>
                <w:sz w:val="21"/>
                <w:szCs w:val="21"/>
              </w:rPr>
              <w:t>6-9分；一般</w:t>
            </w:r>
            <w:r>
              <w:rPr>
                <w:rFonts w:hint="eastAsia" w:asciiTheme="minorEastAsia" w:hAnsiTheme="minorEastAsia" w:eastAsiaTheme="minorEastAsia" w:cstheme="minorEastAsia"/>
                <w:sz w:val="21"/>
                <w:szCs w:val="21"/>
                <w:lang w:val="en-US" w:eastAsia="zh-CN"/>
              </w:rPr>
              <w:t>适应</w:t>
            </w:r>
            <w:r>
              <w:rPr>
                <w:rFonts w:hint="eastAsia" w:asciiTheme="minorEastAsia" w:hAnsiTheme="minorEastAsia" w:eastAsiaTheme="minorEastAsia" w:cstheme="minorEastAsia"/>
                <w:sz w:val="21"/>
                <w:szCs w:val="21"/>
              </w:rPr>
              <w:t>1-5分；</w:t>
            </w:r>
            <w:r>
              <w:rPr>
                <w:rFonts w:hint="eastAsia" w:asciiTheme="minorEastAsia" w:hAnsiTheme="minorEastAsia" w:eastAsiaTheme="minorEastAsia" w:cstheme="minorEastAsia"/>
                <w:sz w:val="21"/>
                <w:szCs w:val="21"/>
                <w:lang w:val="en-US" w:eastAsia="zh-CN"/>
              </w:rPr>
              <w:t>不适应</w:t>
            </w:r>
            <w:r>
              <w:rPr>
                <w:rFonts w:hint="eastAsia" w:asciiTheme="minorEastAsia" w:hAnsiTheme="minorEastAsia" w:eastAsiaTheme="minorEastAsia" w:cstheme="minorEastAsia"/>
                <w:sz w:val="21"/>
                <w:szCs w:val="21"/>
              </w:rPr>
              <w:t>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您认为</w:t>
            </w:r>
            <w:r>
              <w:rPr>
                <w:rFonts w:hint="eastAsia" w:asciiTheme="minorEastAsia" w:hAnsiTheme="minorEastAsia" w:eastAsiaTheme="minorEastAsia" w:cstheme="minorEastAsia"/>
                <w:sz w:val="21"/>
                <w:szCs w:val="21"/>
                <w:lang w:eastAsia="zh-CN"/>
              </w:rPr>
              <w:t>闽侯县竹岐乡人民政府</w:t>
            </w:r>
            <w:r>
              <w:rPr>
                <w:rFonts w:hint="eastAsia" w:asciiTheme="minorEastAsia" w:hAnsiTheme="minorEastAsia" w:eastAsiaTheme="minorEastAsia" w:cstheme="minorEastAsia"/>
                <w:sz w:val="21"/>
                <w:szCs w:val="21"/>
                <w:lang w:val="en-US" w:eastAsia="zh-CN"/>
              </w:rPr>
              <w:t>财政保障体系</w:t>
            </w:r>
            <w:r>
              <w:rPr>
                <w:rFonts w:hint="eastAsia" w:asciiTheme="minorEastAsia" w:hAnsiTheme="minorEastAsia" w:eastAsiaTheme="minorEastAsia" w:cstheme="minorEastAsia"/>
                <w:sz w:val="21"/>
                <w:szCs w:val="21"/>
              </w:rPr>
              <w:t>可持续发展情况如何？（持续发展效果明显10分；较明显6-9分；一般1-5分；无0分）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您认为</w:t>
            </w:r>
            <w:r>
              <w:rPr>
                <w:rFonts w:hint="eastAsia" w:asciiTheme="minorEastAsia" w:hAnsiTheme="minorEastAsia" w:eastAsiaTheme="minorEastAsia" w:cstheme="minorEastAsia"/>
                <w:sz w:val="21"/>
                <w:szCs w:val="21"/>
                <w:lang w:eastAsia="zh-CN"/>
              </w:rPr>
              <w:t>闽侯县竹岐乡人民政府</w:t>
            </w:r>
            <w:r>
              <w:rPr>
                <w:rFonts w:hint="eastAsia" w:asciiTheme="minorEastAsia" w:hAnsiTheme="minorEastAsia" w:eastAsiaTheme="minorEastAsia" w:cstheme="minorEastAsia"/>
                <w:sz w:val="21"/>
                <w:szCs w:val="21"/>
                <w:lang w:val="en-US" w:eastAsia="zh-CN"/>
              </w:rPr>
              <w:t>对企业、机关事业、城乡居民退休金</w:t>
            </w:r>
            <w:r>
              <w:rPr>
                <w:rFonts w:hint="eastAsia" w:asciiTheme="minorEastAsia" w:hAnsiTheme="minorEastAsia" w:eastAsiaTheme="minorEastAsia" w:cstheme="minorEastAsia"/>
                <w:sz w:val="21"/>
                <w:szCs w:val="21"/>
              </w:rPr>
              <w:t>发放是否及时？（及时10分；较及时6-9分；一般1-5分；不及时0分）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您认为</w:t>
            </w:r>
            <w:r>
              <w:rPr>
                <w:rFonts w:hint="eastAsia" w:asciiTheme="minorEastAsia" w:hAnsiTheme="minorEastAsia" w:eastAsiaTheme="minorEastAsia" w:cstheme="minorEastAsia"/>
                <w:sz w:val="21"/>
                <w:szCs w:val="21"/>
                <w:lang w:eastAsia="zh-CN"/>
              </w:rPr>
              <w:t>闽侯县竹岐乡人民政府</w:t>
            </w:r>
            <w:r>
              <w:rPr>
                <w:rFonts w:hint="eastAsia" w:asciiTheme="minorEastAsia" w:hAnsiTheme="minorEastAsia" w:eastAsiaTheme="minorEastAsia" w:cstheme="minorEastAsia"/>
                <w:sz w:val="21"/>
                <w:szCs w:val="21"/>
                <w:lang w:val="en-US" w:eastAsia="zh-CN"/>
              </w:rPr>
              <w:t>各部门运行</w:t>
            </w:r>
            <w:r>
              <w:rPr>
                <w:rFonts w:hint="eastAsia" w:asciiTheme="minorEastAsia" w:hAnsiTheme="minorEastAsia" w:eastAsiaTheme="minorEastAsia" w:cstheme="minorEastAsia"/>
                <w:sz w:val="21"/>
                <w:szCs w:val="21"/>
              </w:rPr>
              <w:t>是否</w:t>
            </w:r>
            <w:r>
              <w:rPr>
                <w:rFonts w:hint="eastAsia" w:asciiTheme="minorEastAsia" w:hAnsiTheme="minorEastAsia" w:eastAsiaTheme="minorEastAsia" w:cstheme="minorEastAsia"/>
                <w:sz w:val="21"/>
                <w:szCs w:val="21"/>
                <w:lang w:val="en-US" w:eastAsia="zh-CN"/>
              </w:rPr>
              <w:t>正常</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是</w:t>
            </w:r>
            <w:r>
              <w:rPr>
                <w:rFonts w:hint="eastAsia" w:asciiTheme="minorEastAsia" w:hAnsiTheme="minorEastAsia" w:eastAsiaTheme="minorEastAsia" w:cstheme="minorEastAsia"/>
                <w:sz w:val="21"/>
                <w:szCs w:val="21"/>
              </w:rPr>
              <w:t>10分；</w:t>
            </w:r>
            <w:r>
              <w:rPr>
                <w:rFonts w:hint="eastAsia" w:asciiTheme="minorEastAsia" w:hAnsiTheme="minorEastAsia" w:eastAsiaTheme="minorEastAsia" w:cstheme="minorEastAsia"/>
                <w:sz w:val="21"/>
                <w:szCs w:val="21"/>
                <w:lang w:val="en-US" w:eastAsia="zh-CN"/>
              </w:rPr>
              <w:t>否</w:t>
            </w:r>
            <w:r>
              <w:rPr>
                <w:rFonts w:hint="eastAsia" w:asciiTheme="minorEastAsia" w:hAnsiTheme="minorEastAsia" w:eastAsiaTheme="minorEastAsia" w:cstheme="minorEastAsia"/>
                <w:sz w:val="21"/>
                <w:szCs w:val="21"/>
              </w:rPr>
              <w:t>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您认为</w:t>
            </w:r>
            <w:r>
              <w:rPr>
                <w:rFonts w:hint="eastAsia" w:asciiTheme="minorEastAsia" w:hAnsiTheme="minorEastAsia" w:eastAsiaTheme="minorEastAsia" w:cstheme="minorEastAsia"/>
                <w:sz w:val="21"/>
                <w:szCs w:val="21"/>
                <w:lang w:val="en-US" w:eastAsia="zh-CN"/>
              </w:rPr>
              <w:t>失地农民保障政策是否兑现到位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是</w:t>
            </w:r>
            <w:r>
              <w:rPr>
                <w:rFonts w:hint="eastAsia" w:asciiTheme="minorEastAsia" w:hAnsiTheme="minorEastAsia" w:eastAsiaTheme="minorEastAsia" w:cstheme="minorEastAsia"/>
                <w:sz w:val="21"/>
                <w:szCs w:val="21"/>
              </w:rPr>
              <w:t>10分；</w:t>
            </w:r>
            <w:r>
              <w:rPr>
                <w:rFonts w:hint="eastAsia" w:asciiTheme="minorEastAsia" w:hAnsiTheme="minorEastAsia" w:eastAsiaTheme="minorEastAsia" w:cstheme="minorEastAsia"/>
                <w:sz w:val="21"/>
                <w:szCs w:val="21"/>
                <w:lang w:val="en-US" w:eastAsia="zh-CN"/>
              </w:rPr>
              <w:t>部分兑现1-5分，否</w:t>
            </w:r>
            <w:r>
              <w:rPr>
                <w:rFonts w:hint="eastAsia" w:asciiTheme="minorEastAsia" w:hAnsiTheme="minorEastAsia" w:eastAsiaTheme="minorEastAsia" w:cstheme="minorEastAsia"/>
                <w:sz w:val="21"/>
                <w:szCs w:val="21"/>
              </w:rPr>
              <w:t>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您认为</w:t>
            </w:r>
            <w:r>
              <w:rPr>
                <w:rFonts w:hint="eastAsia" w:asciiTheme="minorEastAsia" w:hAnsiTheme="minorEastAsia" w:eastAsiaTheme="minorEastAsia" w:cstheme="minorEastAsia"/>
                <w:sz w:val="21"/>
                <w:szCs w:val="21"/>
                <w:lang w:eastAsia="zh-CN"/>
              </w:rPr>
              <w:t>闽侯县竹岐乡人民政府</w:t>
            </w:r>
            <w:r>
              <w:rPr>
                <w:rFonts w:hint="eastAsia" w:asciiTheme="minorEastAsia" w:hAnsiTheme="minorEastAsia" w:eastAsiaTheme="minorEastAsia" w:cstheme="minorEastAsia"/>
                <w:sz w:val="21"/>
                <w:szCs w:val="21"/>
                <w:lang w:val="en-US" w:eastAsia="zh-CN"/>
              </w:rPr>
              <w:t>在促进园区发展和GDP增长</w:t>
            </w:r>
            <w:r>
              <w:rPr>
                <w:rFonts w:hint="eastAsia" w:asciiTheme="minorEastAsia" w:hAnsiTheme="minorEastAsia" w:eastAsiaTheme="minorEastAsia" w:cstheme="minorEastAsia"/>
                <w:color w:val="auto"/>
                <w:sz w:val="21"/>
                <w:szCs w:val="21"/>
                <w:lang w:val="en-US" w:eastAsia="zh-CN"/>
              </w:rPr>
              <w:t>方面是否有改善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显著改善</w:t>
            </w:r>
            <w:r>
              <w:rPr>
                <w:rFonts w:hint="eastAsia" w:asciiTheme="minorEastAsia" w:hAnsiTheme="minorEastAsia" w:eastAsiaTheme="minorEastAsia" w:cstheme="minorEastAsia"/>
                <w:sz w:val="21"/>
                <w:szCs w:val="21"/>
              </w:rPr>
              <w:t>10分，</w:t>
            </w:r>
            <w:r>
              <w:rPr>
                <w:rFonts w:hint="eastAsia" w:asciiTheme="minorEastAsia" w:hAnsiTheme="minorEastAsia" w:eastAsiaTheme="minorEastAsia" w:cstheme="minorEastAsia"/>
                <w:sz w:val="21"/>
                <w:szCs w:val="21"/>
                <w:lang w:val="en-US" w:eastAsia="zh-CN"/>
              </w:rPr>
              <w:t>改善明显</w:t>
            </w:r>
            <w:r>
              <w:rPr>
                <w:rFonts w:hint="eastAsia" w:asciiTheme="minorEastAsia" w:hAnsiTheme="minorEastAsia" w:eastAsiaTheme="minorEastAsia" w:cstheme="minorEastAsia"/>
                <w:sz w:val="21"/>
                <w:szCs w:val="21"/>
              </w:rPr>
              <w:t>8-9分，</w:t>
            </w:r>
            <w:r>
              <w:rPr>
                <w:rFonts w:hint="eastAsia" w:asciiTheme="minorEastAsia" w:hAnsiTheme="minorEastAsia" w:eastAsiaTheme="minorEastAsia" w:cstheme="minorEastAsia"/>
                <w:sz w:val="21"/>
                <w:szCs w:val="21"/>
                <w:lang w:val="en-US" w:eastAsia="zh-CN"/>
              </w:rPr>
              <w:t>无改善</w:t>
            </w:r>
            <w:r>
              <w:rPr>
                <w:rFonts w:hint="eastAsia" w:asciiTheme="minorEastAsia" w:hAnsiTheme="minorEastAsia" w:eastAsiaTheme="minorEastAsia" w:cstheme="minorEastAsia"/>
                <w:sz w:val="21"/>
                <w:szCs w:val="21"/>
              </w:rPr>
              <w:t>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您认为</w:t>
            </w:r>
            <w:r>
              <w:rPr>
                <w:rFonts w:hint="eastAsia" w:asciiTheme="minorEastAsia" w:hAnsiTheme="minorEastAsia" w:eastAsiaTheme="minorEastAsia" w:cstheme="minorEastAsia"/>
                <w:sz w:val="21"/>
                <w:szCs w:val="21"/>
                <w:lang w:eastAsia="zh-CN"/>
              </w:rPr>
              <w:t>闽侯县竹岐乡人民政府</w:t>
            </w:r>
            <w:r>
              <w:rPr>
                <w:rFonts w:hint="eastAsia" w:asciiTheme="minorEastAsia" w:hAnsiTheme="minorEastAsia" w:eastAsiaTheme="minorEastAsia" w:cstheme="minorEastAsia"/>
                <w:sz w:val="21"/>
                <w:szCs w:val="21"/>
                <w:lang w:val="en-US" w:eastAsia="zh-CN"/>
              </w:rPr>
              <w:t>财政运行绩效</w:t>
            </w:r>
            <w:r>
              <w:rPr>
                <w:rFonts w:hint="eastAsia" w:asciiTheme="minorEastAsia" w:hAnsiTheme="minorEastAsia" w:eastAsiaTheme="minorEastAsia" w:cstheme="minorEastAsia"/>
                <w:sz w:val="21"/>
                <w:szCs w:val="21"/>
              </w:rPr>
              <w:t>是否</w:t>
            </w:r>
            <w:r>
              <w:rPr>
                <w:rFonts w:hint="eastAsia" w:asciiTheme="minorEastAsia" w:hAnsiTheme="minorEastAsia" w:eastAsiaTheme="minorEastAsia" w:cstheme="minorEastAsia"/>
                <w:sz w:val="21"/>
                <w:szCs w:val="21"/>
                <w:lang w:val="en-US" w:eastAsia="zh-CN"/>
              </w:rPr>
              <w:t>显著？是否</w:t>
            </w:r>
            <w:r>
              <w:rPr>
                <w:rFonts w:hint="eastAsia" w:asciiTheme="minorEastAsia" w:hAnsiTheme="minorEastAsia" w:eastAsiaTheme="minorEastAsia" w:cstheme="minorEastAsia"/>
                <w:sz w:val="21"/>
                <w:szCs w:val="21"/>
              </w:rPr>
              <w:t>存在不足之处？存在3项及以上（0分），存在1-2项（1-9分），不存在（10分）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如存在，请提供说明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您认为</w:t>
            </w:r>
            <w:r>
              <w:rPr>
                <w:rFonts w:hint="eastAsia" w:asciiTheme="minorEastAsia" w:hAnsiTheme="minorEastAsia" w:eastAsiaTheme="minorEastAsia" w:cstheme="minorEastAsia"/>
                <w:sz w:val="21"/>
                <w:szCs w:val="21"/>
                <w:lang w:eastAsia="zh-CN"/>
              </w:rPr>
              <w:t>闽侯县竹岐乡人民政府</w:t>
            </w:r>
            <w:r>
              <w:rPr>
                <w:rFonts w:hint="eastAsia" w:asciiTheme="minorEastAsia" w:hAnsiTheme="minorEastAsia" w:eastAsiaTheme="minorEastAsia" w:cstheme="minorEastAsia"/>
                <w:sz w:val="21"/>
                <w:szCs w:val="21"/>
                <w:lang w:val="en-US" w:eastAsia="zh-CN"/>
              </w:rPr>
              <w:t>财政收支是否平衡？</w:t>
            </w:r>
            <w:r>
              <w:rPr>
                <w:rFonts w:hint="eastAsia" w:asciiTheme="minorEastAsia" w:hAnsiTheme="minorEastAsia" w:eastAsiaTheme="minorEastAsia" w:cstheme="minorEastAsia"/>
                <w:color w:val="auto"/>
                <w:sz w:val="21"/>
                <w:szCs w:val="21"/>
                <w:lang w:val="en-US" w:eastAsia="zh-CN"/>
              </w:rPr>
              <w:t>（是</w:t>
            </w:r>
            <w:r>
              <w:rPr>
                <w:rFonts w:hint="eastAsia" w:asciiTheme="minorEastAsia" w:hAnsiTheme="minorEastAsia" w:eastAsiaTheme="minorEastAsia" w:cstheme="minorEastAsia"/>
                <w:sz w:val="21"/>
                <w:szCs w:val="21"/>
              </w:rPr>
              <w:t>10分</w:t>
            </w:r>
            <w:r>
              <w:rPr>
                <w:rFonts w:hint="eastAsia" w:asciiTheme="minorEastAsia" w:hAnsiTheme="minorEastAsia" w:eastAsiaTheme="minorEastAsia" w:cstheme="minorEastAsia"/>
                <w:sz w:val="21"/>
                <w:szCs w:val="21"/>
                <w:lang w:val="en-US" w:eastAsia="zh-CN"/>
              </w:rPr>
              <w:t>；否</w:t>
            </w:r>
            <w:r>
              <w:rPr>
                <w:rFonts w:hint="eastAsia" w:asciiTheme="minorEastAsia" w:hAnsiTheme="minorEastAsia" w:eastAsiaTheme="minorEastAsia" w:cstheme="minorEastAsia"/>
                <w:sz w:val="21"/>
                <w:szCs w:val="21"/>
              </w:rPr>
              <w:t>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8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775" w:type="dxa"/>
            <w:noWrap w:val="0"/>
            <w:vAlign w:val="center"/>
          </w:tcPr>
          <w:p>
            <w:pPr>
              <w:spacing w:line="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您对</w:t>
            </w:r>
            <w:r>
              <w:rPr>
                <w:rFonts w:hint="eastAsia" w:asciiTheme="minorEastAsia" w:hAnsiTheme="minorEastAsia" w:eastAsiaTheme="minorEastAsia" w:cstheme="minorEastAsia"/>
                <w:sz w:val="21"/>
                <w:szCs w:val="21"/>
                <w:lang w:eastAsia="zh-CN"/>
              </w:rPr>
              <w:t>闽侯县竹岐乡人民政府</w:t>
            </w:r>
            <w:r>
              <w:rPr>
                <w:rFonts w:hint="eastAsia" w:asciiTheme="minorEastAsia" w:hAnsiTheme="minorEastAsia" w:eastAsiaTheme="minorEastAsia" w:cstheme="minorEastAsia"/>
                <w:sz w:val="21"/>
                <w:szCs w:val="21"/>
                <w:lang w:val="en-US" w:eastAsia="zh-CN"/>
              </w:rPr>
              <w:t>人才政策工</w:t>
            </w:r>
            <w:r>
              <w:rPr>
                <w:rFonts w:hint="eastAsia" w:asciiTheme="minorEastAsia" w:hAnsiTheme="minorEastAsia" w:eastAsiaTheme="minorEastAsia" w:cstheme="minorEastAsia"/>
                <w:sz w:val="21"/>
                <w:szCs w:val="21"/>
              </w:rPr>
              <w:t>作是否满意？（很满意10分，满意7-9分，一般1-6分，不满意0分）</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775" w:type="dxa"/>
            <w:noWrap w:val="0"/>
            <w:vAlign w:val="center"/>
          </w:tcPr>
          <w:p>
            <w:pPr>
              <w:spacing w:line="0" w:lineRule="atLeast"/>
              <w:ind w:firstLine="2154" w:firstLineChars="1026"/>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计</w:t>
            </w:r>
          </w:p>
        </w:tc>
        <w:tc>
          <w:tcPr>
            <w:tcW w:w="702" w:type="dxa"/>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687"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c>
          <w:tcPr>
            <w:tcW w:w="646" w:type="dxa"/>
            <w:noWrap w:val="0"/>
            <w:vAlign w:val="center"/>
          </w:tcPr>
          <w:p>
            <w:pPr>
              <w:spacing w:line="0" w:lineRule="atLeast"/>
              <w:ind w:firstLine="480"/>
              <w:jc w:val="center"/>
              <w:rPr>
                <w:rFonts w:hint="eastAsia" w:asciiTheme="minorEastAsia" w:hAnsiTheme="minorEastAsia" w:eastAsiaTheme="minorEastAsia" w:cstheme="minorEastAsia"/>
                <w:sz w:val="21"/>
                <w:szCs w:val="21"/>
              </w:rPr>
            </w:pPr>
          </w:p>
        </w:tc>
      </w:tr>
    </w:tbl>
    <w:p/>
    <w:p/>
    <w:sectPr>
      <w:footerReference r:id="rId4" w:type="default"/>
      <w:pgSz w:w="11906" w:h="16838"/>
      <w:pgMar w:top="1418" w:right="1417"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pPr>
      <w:pStyle w:val="6"/>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0EE9E"/>
    <w:multiLevelType w:val="singleLevel"/>
    <w:tmpl w:val="8D00EE9E"/>
    <w:lvl w:ilvl="0" w:tentative="0">
      <w:start w:val="1"/>
      <w:numFmt w:val="chineseCounting"/>
      <w:suff w:val="nothing"/>
      <w:lvlText w:val="%1、"/>
      <w:lvlJc w:val="left"/>
      <w:rPr>
        <w:rFonts w:hint="eastAsia"/>
      </w:rPr>
    </w:lvl>
  </w:abstractNum>
  <w:abstractNum w:abstractNumId="1">
    <w:nsid w:val="B453A7C1"/>
    <w:multiLevelType w:val="singleLevel"/>
    <w:tmpl w:val="B453A7C1"/>
    <w:lvl w:ilvl="0" w:tentative="0">
      <w:start w:val="1"/>
      <w:numFmt w:val="decimal"/>
      <w:suff w:val="nothing"/>
      <w:lvlText w:val="（%1）"/>
      <w:lvlJc w:val="left"/>
    </w:lvl>
  </w:abstractNum>
  <w:abstractNum w:abstractNumId="2">
    <w:nsid w:val="B7DB3DE1"/>
    <w:multiLevelType w:val="singleLevel"/>
    <w:tmpl w:val="B7DB3DE1"/>
    <w:lvl w:ilvl="0" w:tentative="0">
      <w:start w:val="1"/>
      <w:numFmt w:val="decimal"/>
      <w:suff w:val="nothing"/>
      <w:lvlText w:val="（%1）"/>
      <w:lvlJc w:val="left"/>
    </w:lvl>
  </w:abstractNum>
  <w:abstractNum w:abstractNumId="3">
    <w:nsid w:val="D2031E81"/>
    <w:multiLevelType w:val="singleLevel"/>
    <w:tmpl w:val="D2031E81"/>
    <w:lvl w:ilvl="0" w:tentative="0">
      <w:start w:val="9"/>
      <w:numFmt w:val="decimal"/>
      <w:suff w:val="nothing"/>
      <w:lvlText w:val="%1、"/>
      <w:lvlJc w:val="left"/>
    </w:lvl>
  </w:abstractNum>
  <w:abstractNum w:abstractNumId="4">
    <w:nsid w:val="F0715C79"/>
    <w:multiLevelType w:val="singleLevel"/>
    <w:tmpl w:val="F0715C79"/>
    <w:lvl w:ilvl="0" w:tentative="0">
      <w:start w:val="3"/>
      <w:numFmt w:val="decimal"/>
      <w:suff w:val="nothing"/>
      <w:lvlText w:val="（%1）"/>
      <w:lvlJc w:val="left"/>
      <w:pPr>
        <w:ind w:left="-60"/>
      </w:pPr>
    </w:lvl>
  </w:abstractNum>
  <w:abstractNum w:abstractNumId="5">
    <w:nsid w:val="FEDE0204"/>
    <w:multiLevelType w:val="singleLevel"/>
    <w:tmpl w:val="FEDE0204"/>
    <w:lvl w:ilvl="0" w:tentative="0">
      <w:start w:val="2"/>
      <w:numFmt w:val="decimal"/>
      <w:suff w:val="nothing"/>
      <w:lvlText w:val="%1、"/>
      <w:lvlJc w:val="left"/>
    </w:lvl>
  </w:abstractNum>
  <w:abstractNum w:abstractNumId="6">
    <w:nsid w:val="0E50E2F8"/>
    <w:multiLevelType w:val="singleLevel"/>
    <w:tmpl w:val="0E50E2F8"/>
    <w:lvl w:ilvl="0" w:tentative="0">
      <w:start w:val="1"/>
      <w:numFmt w:val="decimal"/>
      <w:suff w:val="nothing"/>
      <w:lvlText w:val="（%1）"/>
      <w:lvlJc w:val="left"/>
    </w:lvl>
  </w:abstractNum>
  <w:abstractNum w:abstractNumId="7">
    <w:nsid w:val="3926DBFE"/>
    <w:multiLevelType w:val="singleLevel"/>
    <w:tmpl w:val="3926DBFE"/>
    <w:lvl w:ilvl="0" w:tentative="0">
      <w:start w:val="1"/>
      <w:numFmt w:val="decimal"/>
      <w:suff w:val="nothing"/>
      <w:lvlText w:val="%1、"/>
      <w:lvlJc w:val="left"/>
      <w:pPr>
        <w:ind w:left="-60"/>
      </w:pPr>
    </w:lvl>
  </w:abstractNum>
  <w:num w:numId="1">
    <w:abstractNumId w:val="0"/>
  </w:num>
  <w:num w:numId="2">
    <w:abstractNumId w:val="7"/>
  </w:num>
  <w:num w:numId="3">
    <w:abstractNumId w:val="5"/>
  </w:num>
  <w:num w:numId="4">
    <w:abstractNumId w:val="3"/>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k5NDYzOThmMmFmZDJhOTVhZGNmM2FhM2M3NzUifQ=="/>
  </w:docVars>
  <w:rsids>
    <w:rsidRoot w:val="3D262701"/>
    <w:rsid w:val="0A5F1A74"/>
    <w:rsid w:val="3D262701"/>
    <w:rsid w:val="42286720"/>
    <w:rsid w:val="48FF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20" w:after="320" w:line="320" w:lineRule="exact"/>
      <w:ind w:firstLine="420" w:firstLineChars="200"/>
      <w:outlineLvl w:val="0"/>
    </w:pPr>
    <w:rPr>
      <w:rFonts w:ascii="Calibri" w:hAnsi="Calibri" w:eastAsia="宋体"/>
      <w:b/>
      <w:bCs/>
      <w:kern w:val="44"/>
      <w:sz w:val="28"/>
      <w:szCs w:val="44"/>
    </w:rPr>
  </w:style>
  <w:style w:type="paragraph" w:styleId="3">
    <w:name w:val="heading 2"/>
    <w:basedOn w:val="1"/>
    <w:next w:val="1"/>
    <w:qFormat/>
    <w:uiPriority w:val="0"/>
    <w:pPr>
      <w:keepNext/>
      <w:keepLines/>
      <w:spacing w:before="320" w:after="320" w:line="320" w:lineRule="exact"/>
      <w:ind w:firstLine="420" w:firstLineChars="200"/>
      <w:outlineLvl w:val="1"/>
    </w:pPr>
    <w:rPr>
      <w:rFonts w:ascii="Arial" w:hAnsi="Arial" w:eastAsia="宋体"/>
      <w:bCs/>
      <w:sz w:val="24"/>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99"/>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39"/>
    <w:pPr>
      <w:tabs>
        <w:tab w:val="right" w:leader="dot" w:pos="8777"/>
      </w:tabs>
      <w:spacing w:line="360" w:lineRule="auto"/>
    </w:pPr>
  </w:style>
  <w:style w:type="paragraph" w:styleId="8">
    <w:name w:val="toc 2"/>
    <w:basedOn w:val="1"/>
    <w:next w:val="1"/>
    <w:qFormat/>
    <w:uiPriority w:val="39"/>
    <w:pPr>
      <w:ind w:left="420" w:leftChars="200"/>
    </w:pPr>
  </w:style>
  <w:style w:type="paragraph" w:styleId="9">
    <w:name w:val="Body Text First Indent"/>
    <w:basedOn w:val="5"/>
    <w:next w:val="5"/>
    <w:qFormat/>
    <w:uiPriority w:val="99"/>
    <w:pPr>
      <w:ind w:firstLine="64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rPr>
      <w:rFonts w:hint="default"/>
      <w:sz w:val="24"/>
    </w:rPr>
  </w:style>
  <w:style w:type="character" w:styleId="15">
    <w:name w:val="Emphasis"/>
    <w:basedOn w:val="12"/>
    <w:qFormat/>
    <w:uiPriority w:val="0"/>
    <w:rPr>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24527</Words>
  <Characters>27150</Characters>
  <Lines>0</Lines>
  <Paragraphs>0</Paragraphs>
  <TotalTime>6</TotalTime>
  <ScaleCrop>false</ScaleCrop>
  <LinksUpToDate>false</LinksUpToDate>
  <CharactersWithSpaces>27576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2023-11-30T08:36:00Z</dcterms:created>
  <dc:creator>Lenovo</dc:creator>
  <cp:lastModifiedBy>林瑾</cp:lastModifiedBy>
  <cp:lastPrinted>2023-12-05T01:41:00Z</cp:lastPrinted>
  <dcterms:modified xsi:type="dcterms:W3CDTF">2023-12-15T12:40:10Z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D48223486A2D467A82BD588A0BC7C908_11</vt:lpwstr>
  </property>
</Properties>
</file>