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jc w:val="both"/>
        <w:rPr>
          <w:rFonts w:ascii="仿宋_GB2312" w:hAnsi="黑体" w:cs="Times New Roman"/>
          <w:sz w:val="32"/>
          <w:szCs w:val="32"/>
        </w:rPr>
      </w:pPr>
      <w:r>
        <w:rPr>
          <w:rFonts w:hint="eastAsia" w:ascii="仿宋_GB2312" w:hAnsi="黑体" w:cs="仿宋_GB2312"/>
          <w:sz w:val="32"/>
          <w:szCs w:val="32"/>
        </w:rPr>
        <w:t>附件</w:t>
      </w:r>
      <w:r>
        <w:rPr>
          <w:rFonts w:ascii="仿宋_GB2312" w:hAnsi="黑体" w:cs="仿宋_GB2312"/>
          <w:sz w:val="32"/>
          <w:szCs w:val="32"/>
        </w:rPr>
        <w:t>1</w:t>
      </w:r>
    </w:p>
    <w:p>
      <w:pPr>
        <w:pStyle w:val="2"/>
        <w:spacing w:after="0" w:line="560" w:lineRule="exact"/>
        <w:jc w:val="center"/>
        <w:rPr>
          <w:rFonts w:ascii="小标宋" w:hAnsi="小标宋" w:eastAsia="小标宋" w:cs="Times New Roman"/>
          <w:sz w:val="36"/>
          <w:szCs w:val="36"/>
        </w:rPr>
      </w:pPr>
      <w:r>
        <w:rPr>
          <w:rFonts w:hint="eastAsia" w:ascii="小标宋" w:hAnsi="小标宋" w:eastAsia="小标宋" w:cs="小标宋"/>
          <w:sz w:val="36"/>
          <w:szCs w:val="36"/>
        </w:rPr>
        <w:t>中华人民共和国安全生产法</w:t>
      </w:r>
    </w:p>
    <w:p>
      <w:pPr>
        <w:pStyle w:val="2"/>
        <w:spacing w:after="0" w:line="500" w:lineRule="exact"/>
        <w:jc w:val="both"/>
        <w:rPr>
          <w:rFonts w:ascii="仿宋_GB2312" w:cs="Times New Roman"/>
          <w:sz w:val="32"/>
          <w:szCs w:val="32"/>
        </w:rPr>
      </w:pP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第六十二条</w:t>
      </w:r>
      <w:r>
        <w:rPr>
          <w:rFonts w:ascii="仿宋_GB2312" w:hAnsi="仿宋_GB2312" w:cs="仿宋_GB2312"/>
          <w:sz w:val="32"/>
          <w:szCs w:val="32"/>
        </w:rPr>
        <w:t xml:space="preserve"> </w:t>
      </w:r>
      <w:r>
        <w:rPr>
          <w:rFonts w:hint="eastAsia" w:ascii="仿宋_GB2312" w:hAnsi="仿宋_GB2312" w:cs="仿宋_GB2312"/>
          <w:sz w:val="32"/>
          <w:szCs w:val="32"/>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（三）对检查中发现的事故隐患，应当责令立即排除；</w:t>
      </w:r>
      <w:r>
        <w:rPr>
          <w:rFonts w:ascii="仿宋_GB2312" w:hAnsi="仿宋_GB2312" w:cs="仿宋_GB2312"/>
          <w:sz w:val="32"/>
          <w:szCs w:val="32"/>
        </w:rPr>
        <w:t xml:space="preserve"> </w:t>
      </w:r>
      <w:r>
        <w:rPr>
          <w:rFonts w:hint="eastAsia" w:ascii="仿宋_GB2312" w:hAnsi="仿宋_GB2312" w:cs="仿宋_GB2312"/>
          <w:sz w:val="32"/>
          <w:szCs w:val="32"/>
        </w:rPr>
        <w:t>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第六十七条</w:t>
      </w:r>
      <w:r>
        <w:rPr>
          <w:rFonts w:ascii="仿宋_GB2312" w:cs="Times New Roman"/>
          <w:sz w:val="32"/>
          <w:szCs w:val="32"/>
        </w:rPr>
        <w:tab/>
      </w:r>
      <w:r>
        <w:rPr>
          <w:rFonts w:hint="eastAsia" w:ascii="仿宋_GB2312" w:hAnsi="仿宋_GB2312" w:cs="仿宋_GB2312"/>
          <w:sz w:val="32"/>
          <w:szCs w:val="32"/>
        </w:rPr>
        <w:t>负有安全生产监督管理职责的部门依法对</w:t>
      </w:r>
      <w:r>
        <w:rPr>
          <w:rFonts w:ascii="仿宋_GB2312" w:hAnsi="仿宋_GB2312" w:cs="仿宋_GB2312"/>
          <w:sz w:val="32"/>
          <w:szCs w:val="32"/>
        </w:rPr>
        <w:t xml:space="preserve"> </w:t>
      </w:r>
      <w:r>
        <w:rPr>
          <w:rFonts w:hint="eastAsia" w:ascii="仿宋_GB2312" w:hAnsi="仿宋_GB2312" w:cs="仿宋_GB2312"/>
          <w:sz w:val="32"/>
          <w:szCs w:val="32"/>
        </w:rPr>
        <w:t>存在重大事故隐患的生产经营单位作出停产停业、停止施工、</w:t>
      </w:r>
      <w:r>
        <w:rPr>
          <w:rFonts w:ascii="仿宋_GB2312" w:hAnsi="仿宋_GB2312" w:cs="仿宋_GB2312"/>
          <w:sz w:val="32"/>
          <w:szCs w:val="32"/>
        </w:rPr>
        <w:t xml:space="preserve"> </w:t>
      </w:r>
      <w:r>
        <w:rPr>
          <w:rFonts w:hint="eastAsia" w:ascii="仿宋_GB2312" w:hAnsi="仿宋_GB2312" w:cs="仿宋_GB2312"/>
          <w:sz w:val="32"/>
          <w:szCs w:val="32"/>
        </w:rPr>
        <w:t>停止使用相关设施或者设备的决定，生产经营单位应当依法执行，及时消除事故隐患。生产经营单位拒不执行，有发生生产安全事故的现实危险的，在保证安全的前提下，经本部</w:t>
      </w:r>
      <w:r>
        <w:rPr>
          <w:rFonts w:ascii="仿宋_GB2312" w:hAnsi="仿宋_GB2312" w:cs="仿宋_GB2312"/>
          <w:sz w:val="32"/>
          <w:szCs w:val="32"/>
        </w:rPr>
        <w:t xml:space="preserve"> </w:t>
      </w:r>
      <w:r>
        <w:rPr>
          <w:rFonts w:hint="eastAsia" w:ascii="仿宋_GB2312" w:hAnsi="仿宋_GB2312" w:cs="仿宋_GB2312"/>
          <w:sz w:val="32"/>
          <w:szCs w:val="32"/>
        </w:rPr>
        <w:t>门主要负责人批准，负有安全生产监督管理职责的部门可以采取通知有关单位停止供电、停止供应民用爆炸物品等措施，强制生产经营单位履行决定。通知应当采用书面形式，有关单位应当予以配合。</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第九十条</w:t>
      </w:r>
      <w:r>
        <w:rPr>
          <w:rFonts w:ascii="仿宋_GB2312" w:hAnsi="仿宋_GB2312" w:cs="仿宋_GB2312"/>
          <w:sz w:val="32"/>
          <w:szCs w:val="32"/>
        </w:rPr>
        <w:t xml:space="preserve"> </w:t>
      </w:r>
      <w:r>
        <w:rPr>
          <w:rFonts w:hint="eastAsia" w:ascii="仿宋_GB2312" w:hAnsi="仿宋_GB2312" w:cs="仿宋_GB2312"/>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第九十四条</w:t>
      </w:r>
      <w:r>
        <w:rPr>
          <w:rFonts w:ascii="仿宋_GB2312" w:hAnsi="仿宋_GB2312" w:cs="仿宋_GB2312"/>
          <w:sz w:val="32"/>
          <w:szCs w:val="32"/>
        </w:rPr>
        <w:t xml:space="preserve"> </w:t>
      </w:r>
      <w:r>
        <w:rPr>
          <w:rFonts w:hint="eastAsia" w:ascii="仿宋_GB2312" w:hAnsi="仿宋_GB2312" w:cs="仿宋_GB2312"/>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（一）未按照规定设置安全生产管理机构或者配备安全生产管理人员的；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（二）危险物品的生产、经营、储存单位以及矿山、金属冶炼、建筑施工、道路运输单位的主要负责人和安全生产管理人员未按照规定经考核合格的；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（三）未按照规定对从业人员、被派遣劳动者、实习学生进行安全生产教育和培训，或者未按照规定如实告知有关的安全生产事项的；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（四）未如实记录安全生产教育和培训情况的；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（五）未将事故隐患排查治理情况如实记录或者未向从业人员通报的；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（六）未按照规定制定生产安全事故应急救援预案或者未定期组织演练的；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（七）特种作业人员未按照规定经专门的安全作业培训并取得相应资格，上岗作业的。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第九十五条</w:t>
      </w:r>
      <w:r>
        <w:rPr>
          <w:rFonts w:ascii="仿宋_GB2312" w:hAnsi="仿宋_GB2312" w:cs="仿宋_GB2312"/>
          <w:sz w:val="32"/>
          <w:szCs w:val="32"/>
        </w:rPr>
        <w:t xml:space="preserve"> </w:t>
      </w:r>
      <w:r>
        <w:rPr>
          <w:rFonts w:hint="eastAsia" w:ascii="仿宋_GB2312" w:hAnsi="仿宋_GB2312" w:cs="仿宋_GB2312"/>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（一）未按照规定对矿山、金属冶炼建设项目或者用于</w:t>
      </w:r>
      <w:r>
        <w:rPr>
          <w:rFonts w:ascii="仿宋_GB2312" w:hAnsi="仿宋_GB2312" w:cs="仿宋_GB2312"/>
          <w:sz w:val="32"/>
          <w:szCs w:val="32"/>
        </w:rPr>
        <w:t xml:space="preserve"> </w:t>
      </w:r>
      <w:r>
        <w:rPr>
          <w:rFonts w:hint="eastAsia" w:ascii="仿宋_GB2312" w:hAnsi="仿宋_GB2312" w:cs="仿宋_GB2312"/>
          <w:sz w:val="32"/>
          <w:szCs w:val="32"/>
        </w:rPr>
        <w:t>生产、储存、装卸危险物品的建设项目进行安全评价的；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（二）矿山、金属冶炼建设项目或者用于生产、储存、装卸危险物品的建设项目没有安全设施设计或者安全设施</w:t>
      </w:r>
      <w:r>
        <w:rPr>
          <w:rFonts w:ascii="仿宋_GB2312" w:hAnsi="仿宋_GB2312" w:cs="仿宋_GB2312"/>
          <w:sz w:val="32"/>
          <w:szCs w:val="32"/>
        </w:rPr>
        <w:t xml:space="preserve"> </w:t>
      </w:r>
      <w:r>
        <w:rPr>
          <w:rFonts w:hint="eastAsia" w:ascii="仿宋_GB2312" w:hAnsi="仿宋_GB2312" w:cs="仿宋_GB2312"/>
          <w:sz w:val="32"/>
          <w:szCs w:val="32"/>
        </w:rPr>
        <w:t>设计未按照规定报经有关部门审查同意的；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（三）矿山、金属冶炼建设项目或者用于生产、储存、装卸危险物品的建设项目的施工单位未按照批准的安全设施设计施工的；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（四）矿山、金属冶炼建设项目或者用于生产、储存危险物品的建设项目竣工投入生产或者使用前，安全设施未经验收合格的。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第九十六条</w:t>
      </w:r>
      <w:r>
        <w:rPr>
          <w:rFonts w:ascii="仿宋_GB2312" w:hAnsi="仿宋_GB2312" w:cs="仿宋_GB2312"/>
          <w:sz w:val="32"/>
          <w:szCs w:val="32"/>
        </w:rPr>
        <w:t xml:space="preserve"> </w:t>
      </w:r>
      <w:r>
        <w:rPr>
          <w:rFonts w:hint="eastAsia" w:ascii="仿宋_GB2312" w:hAnsi="仿宋_GB2312" w:cs="仿宋_GB2312"/>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（一）未在有较大危险因素的生产经营场所和有关设施、</w:t>
      </w:r>
      <w:r>
        <w:rPr>
          <w:rFonts w:ascii="仿宋_GB2312" w:hAnsi="仿宋_GB2312" w:cs="仿宋_GB2312"/>
          <w:sz w:val="32"/>
          <w:szCs w:val="32"/>
        </w:rPr>
        <w:t xml:space="preserve"> </w:t>
      </w:r>
      <w:r>
        <w:rPr>
          <w:rFonts w:hint="eastAsia" w:ascii="仿宋_GB2312" w:hAnsi="仿宋_GB2312" w:cs="仿宋_GB2312"/>
          <w:sz w:val="32"/>
          <w:szCs w:val="32"/>
        </w:rPr>
        <w:t>设备上设置明显的安全警示标志的；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（二）安全设备的安装、使用、检测、改造和报废不符合国家标准或者行业标准的；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（三）未对安全设备进行经常性维护、保养和定期检测的；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（四）未为从业人员提供符合国家标准或者行业标准的劳动防护用品的；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（五）危险物品的容器、运输工具，以及涉及人身安全、</w:t>
      </w:r>
      <w:r>
        <w:rPr>
          <w:rFonts w:ascii="仿宋_GB2312" w:hAnsi="仿宋_GB2312" w:cs="仿宋_GB2312"/>
          <w:sz w:val="32"/>
          <w:szCs w:val="32"/>
        </w:rPr>
        <w:t xml:space="preserve"> </w:t>
      </w:r>
      <w:r>
        <w:rPr>
          <w:rFonts w:hint="eastAsia" w:ascii="仿宋_GB2312" w:hAnsi="仿宋_GB2312" w:cs="仿宋_GB2312"/>
          <w:sz w:val="32"/>
          <w:szCs w:val="32"/>
        </w:rPr>
        <w:t>危险性较大的海洋石油开采特种设备和矿山井下特种设备未经具有专业资质的机构检测、检验合格，取得安全使用证或者安全标志，投入使用的；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（六）使用应当淘汰的危及生产安全的工艺、设备的。第九十八条</w:t>
      </w:r>
      <w:r>
        <w:rPr>
          <w:rFonts w:ascii="仿宋_GB2312" w:hAnsi="仿宋_GB2312" w:cs="仿宋_GB2312"/>
          <w:sz w:val="32"/>
          <w:szCs w:val="32"/>
        </w:rPr>
        <w:t xml:space="preserve"> </w:t>
      </w:r>
      <w:r>
        <w:rPr>
          <w:rFonts w:hint="eastAsia" w:ascii="仿宋_GB2312" w:hAnsi="仿宋_GB2312" w:cs="仿宋_GB2312"/>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（一）生产、经营、运输、储存、使用危险物品或者处置废弃危险物品，未建立专门安全管理制度、未采取可靠的安全措施的；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（二）对重大危险源未登记建档，或者未进行评估、监控，或者未制定应急预案的；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（三）进行爆破、吊装以及国务院安全生产监督管理部门会同国务院有关部门规定的其他危险作业，未安排专门人员进行现场安全管理的；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（四）未建立事故隐患排查治理制度的。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第九十九条</w:t>
      </w:r>
      <w:r>
        <w:rPr>
          <w:rFonts w:ascii="仿宋_GB2312" w:hAnsi="仿宋_GB2312" w:cs="仿宋_GB2312"/>
          <w:sz w:val="32"/>
          <w:szCs w:val="32"/>
        </w:rPr>
        <w:t xml:space="preserve"> </w:t>
      </w:r>
      <w:r>
        <w:rPr>
          <w:rFonts w:hint="eastAsia" w:ascii="仿宋_GB2312" w:hAnsi="仿宋_GB2312" w:cs="仿宋_GB2312"/>
          <w:sz w:val="32"/>
          <w:szCs w:val="32"/>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第一百条</w:t>
      </w:r>
      <w:r>
        <w:rPr>
          <w:rFonts w:ascii="仿宋_GB2312" w:hAnsi="仿宋_GB2312" w:cs="仿宋_GB2312"/>
          <w:sz w:val="32"/>
          <w:szCs w:val="32"/>
        </w:rPr>
        <w:t xml:space="preserve"> </w:t>
      </w:r>
      <w:r>
        <w:rPr>
          <w:rFonts w:hint="eastAsia" w:ascii="仿宋_GB2312" w:hAnsi="仿宋_GB2312" w:cs="仿宋_GB2312"/>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第一百零一条</w:t>
      </w:r>
      <w:r>
        <w:rPr>
          <w:rFonts w:ascii="仿宋_GB2312" w:hAnsi="仿宋_GB2312" w:cs="仿宋_GB2312"/>
          <w:sz w:val="32"/>
          <w:szCs w:val="32"/>
        </w:rPr>
        <w:t xml:space="preserve"> </w:t>
      </w:r>
      <w:r>
        <w:rPr>
          <w:rFonts w:hint="eastAsia" w:ascii="仿宋_GB2312" w:hAnsi="仿宋_GB2312" w:cs="仿宋_GB2312"/>
          <w:sz w:val="32"/>
          <w:szCs w:val="32"/>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第一百零二条</w:t>
      </w:r>
      <w:r>
        <w:rPr>
          <w:rFonts w:ascii="仿宋_GB2312" w:hAnsi="仿宋_GB2312" w:cs="仿宋_GB2312"/>
          <w:sz w:val="32"/>
          <w:szCs w:val="32"/>
        </w:rPr>
        <w:t xml:space="preserve"> </w:t>
      </w:r>
      <w:r>
        <w:rPr>
          <w:rFonts w:hint="eastAsia" w:ascii="仿宋_GB2312" w:hAnsi="仿宋_GB2312" w:cs="仿宋_GB2312"/>
          <w:sz w:val="32"/>
          <w:szCs w:val="32"/>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（一）生产、经营、储存、使用危险物品的车间、商店、</w:t>
      </w:r>
      <w:r>
        <w:rPr>
          <w:rFonts w:ascii="仿宋_GB2312" w:hAnsi="仿宋_GB2312" w:cs="仿宋_GB2312"/>
          <w:sz w:val="32"/>
          <w:szCs w:val="32"/>
        </w:rPr>
        <w:t xml:space="preserve"> </w:t>
      </w:r>
      <w:r>
        <w:rPr>
          <w:rFonts w:hint="eastAsia" w:ascii="仿宋_GB2312" w:hAnsi="仿宋_GB2312" w:cs="仿宋_GB2312"/>
          <w:sz w:val="32"/>
          <w:szCs w:val="32"/>
        </w:rPr>
        <w:t>仓库与员工宿舍在同一座建筑内，或者与员工宿舍的距离不符合安全要求的；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（二）生产经营场所和员工宿舍未设有符合紧急疏散需</w:t>
      </w:r>
      <w:r>
        <w:rPr>
          <w:rFonts w:ascii="仿宋_GB2312" w:hAnsi="仿宋_GB2312" w:cs="仿宋_GB2312"/>
          <w:sz w:val="32"/>
          <w:szCs w:val="32"/>
        </w:rPr>
        <w:t xml:space="preserve"> </w:t>
      </w:r>
      <w:r>
        <w:rPr>
          <w:rFonts w:hint="eastAsia" w:ascii="仿宋_GB2312" w:hAnsi="仿宋_GB2312" w:cs="仿宋_GB2312"/>
          <w:sz w:val="32"/>
          <w:szCs w:val="32"/>
        </w:rPr>
        <w:t>要、标志明显、保持畅通的出口，或者锁闭、封堵生产经营场所或者员工宿舍出口的。</w:t>
      </w:r>
    </w:p>
    <w:p>
      <w:pPr>
        <w:pStyle w:val="2"/>
        <w:spacing w:after="0" w:line="500" w:lineRule="exact"/>
        <w:ind w:firstLine="640" w:firstLineChars="200"/>
        <w:jc w:val="both"/>
        <w:rPr>
          <w:rFonts w:ascii="仿宋_GB2312" w:cs="Times New Roman"/>
          <w:sz w:val="32"/>
          <w:szCs w:val="32"/>
        </w:rPr>
      </w:pPr>
      <w:r>
        <w:rPr>
          <w:rFonts w:hint="eastAsia" w:ascii="仿宋_GB2312" w:hAnsi="仿宋_GB2312" w:cs="仿宋_GB2312"/>
          <w:sz w:val="32"/>
          <w:szCs w:val="32"/>
        </w:rPr>
        <w:t>第一百零八条</w:t>
      </w:r>
      <w:r>
        <w:rPr>
          <w:rFonts w:ascii="仿宋_GB2312" w:cs="Times New Roman"/>
          <w:sz w:val="32"/>
          <w:szCs w:val="32"/>
        </w:rPr>
        <w:tab/>
      </w:r>
      <w:r>
        <w:rPr>
          <w:rFonts w:hint="eastAsia" w:ascii="仿宋_GB2312" w:hAnsi="仿宋_GB2312" w:cs="仿宋_GB2312"/>
          <w:sz w:val="32"/>
          <w:szCs w:val="32"/>
        </w:rPr>
        <w:t>生产经营单位不具备本法和其他有关法</w:t>
      </w:r>
      <w:r>
        <w:rPr>
          <w:rFonts w:ascii="仿宋_GB2312" w:hAnsi="仿宋_GB2312" w:cs="仿宋_GB2312"/>
          <w:sz w:val="32"/>
          <w:szCs w:val="32"/>
        </w:rPr>
        <w:t xml:space="preserve"> </w:t>
      </w:r>
      <w:r>
        <w:rPr>
          <w:rFonts w:hint="eastAsia" w:ascii="仿宋_GB2312" w:hAnsi="仿宋_GB2312" w:cs="仿宋_GB2312"/>
          <w:sz w:val="32"/>
          <w:szCs w:val="32"/>
        </w:rPr>
        <w:t>律、行政法规和国家标准或者行业标准规定的安全生产条件，</w:t>
      </w:r>
      <w:r>
        <w:rPr>
          <w:rFonts w:ascii="仿宋_GB2312" w:hAnsi="仿宋_GB2312" w:cs="仿宋_GB2312"/>
          <w:sz w:val="32"/>
          <w:szCs w:val="32"/>
        </w:rPr>
        <w:t xml:space="preserve"> </w:t>
      </w:r>
      <w:r>
        <w:rPr>
          <w:rFonts w:hint="eastAsia" w:ascii="仿宋_GB2312" w:hAnsi="仿宋_GB2312" w:cs="仿宋_GB2312"/>
          <w:sz w:val="32"/>
          <w:szCs w:val="32"/>
        </w:rPr>
        <w:t>经停产停业整顿仍不具备安全生产条件的，予以关闭</w:t>
      </w:r>
      <w:r>
        <w:rPr>
          <w:rFonts w:hint="eastAsia" w:ascii="仿宋_GB2312" w:hAnsi="仿宋_GB2312" w:cs="仿宋_GB2312"/>
          <w:sz w:val="32"/>
          <w:szCs w:val="32"/>
          <w:lang w:eastAsia="zh-CN"/>
        </w:rPr>
        <w:t>；</w:t>
      </w:r>
      <w:r>
        <w:rPr>
          <w:rFonts w:hint="eastAsia" w:ascii="仿宋_GB2312" w:hAnsi="仿宋_GB2312" w:cs="仿宋_GB2312"/>
          <w:sz w:val="32"/>
          <w:szCs w:val="32"/>
        </w:rPr>
        <w:t>有关部门应当依法吊销其有关证照。</w:t>
      </w:r>
    </w:p>
    <w:p>
      <w:pPr>
        <w:pStyle w:val="2"/>
        <w:spacing w:after="0" w:line="560" w:lineRule="exact"/>
        <w:jc w:val="both"/>
        <w:rPr>
          <w:rFonts w:ascii="仿宋_GB2312" w:cs="Times New Roman"/>
          <w:sz w:val="32"/>
          <w:szCs w:val="32"/>
          <w:lang w:val="en-US"/>
        </w:rPr>
        <w:sectPr>
          <w:footerReference r:id="rId3" w:type="default"/>
          <w:pgSz w:w="11906" w:h="16838"/>
          <w:pgMar w:top="2041" w:right="1587" w:bottom="1701" w:left="1587" w:header="851" w:footer="992" w:gutter="0"/>
          <w:pgNumType w:fmt="numberInDash"/>
          <w:cols w:space="425" w:num="1"/>
          <w:docGrid w:type="lines" w:linePitch="312" w:charSpace="0"/>
        </w:sectPr>
      </w:pPr>
    </w:p>
    <w:p>
      <w:pPr>
        <w:spacing w:line="560" w:lineRule="exact"/>
        <w:jc w:val="both"/>
        <w:rPr>
          <w:rFonts w:ascii="仿宋_GB2312" w:hAnsi="黑体" w:eastAsia="仿宋_GB2312" w:cs="Times New Roman"/>
          <w:sz w:val="32"/>
          <w:szCs w:val="32"/>
          <w:lang w:val="en-US"/>
        </w:rPr>
      </w:pPr>
      <w:r>
        <w:rPr>
          <w:rFonts w:hint="eastAsia" w:ascii="仿宋_GB2312" w:hAnsi="黑体" w:eastAsia="仿宋_GB2312" w:cs="仿宋_GB2312"/>
          <w:sz w:val="32"/>
          <w:szCs w:val="32"/>
          <w:lang w:val="en-US"/>
        </w:rPr>
        <w:t>附件</w:t>
      </w:r>
      <w:r>
        <w:rPr>
          <w:rFonts w:ascii="仿宋_GB2312" w:hAnsi="黑体" w:eastAsia="仿宋_GB2312" w:cs="仿宋_GB2312"/>
          <w:sz w:val="32"/>
          <w:szCs w:val="32"/>
          <w:lang w:val="en-US"/>
        </w:rPr>
        <w:t>2</w:t>
      </w:r>
    </w:p>
    <w:p>
      <w:pPr>
        <w:spacing w:line="560" w:lineRule="exact"/>
        <w:jc w:val="center"/>
        <w:rPr>
          <w:rFonts w:cs="Times New Roman"/>
          <w:b/>
          <w:bCs/>
          <w:sz w:val="24"/>
          <w:szCs w:val="24"/>
        </w:rPr>
      </w:pPr>
      <w:r>
        <w:rPr>
          <w:rFonts w:hint="eastAsia"/>
          <w:b/>
          <w:bCs/>
          <w:sz w:val="32"/>
          <w:szCs w:val="32"/>
        </w:rPr>
        <w:t>一、企业通用安全检查清单</w:t>
      </w:r>
    </w:p>
    <w:p>
      <w:pPr>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96" w:type="dxa"/>
          </w:tcPr>
          <w:p>
            <w:pPr>
              <w:spacing w:line="440" w:lineRule="exact"/>
              <w:jc w:val="center"/>
              <w:rPr>
                <w:sz w:val="28"/>
                <w:szCs w:val="28"/>
              </w:rPr>
            </w:pPr>
            <w:r>
              <w:rPr>
                <w:sz w:val="28"/>
                <w:szCs w:val="28"/>
              </w:rPr>
              <w:t>1</w:t>
            </w:r>
          </w:p>
        </w:tc>
        <w:tc>
          <w:tcPr>
            <w:tcW w:w="718" w:type="dxa"/>
            <w:vMerge w:val="restart"/>
          </w:tcPr>
          <w:p>
            <w:pPr>
              <w:spacing w:line="260" w:lineRule="exact"/>
              <w:jc w:val="center"/>
              <w:rPr>
                <w:rFonts w:cs="Times New Roman"/>
                <w:sz w:val="24"/>
                <w:szCs w:val="24"/>
              </w:rPr>
            </w:pPr>
            <w:r>
              <w:rPr>
                <w:rFonts w:hint="eastAsia"/>
                <w:sz w:val="24"/>
                <w:szCs w:val="24"/>
              </w:rPr>
              <w:t>安全机构与</w:t>
            </w:r>
          </w:p>
          <w:p>
            <w:pPr>
              <w:spacing w:line="260" w:lineRule="exact"/>
              <w:jc w:val="center"/>
              <w:rPr>
                <w:rFonts w:cs="Times New Roman"/>
                <w:sz w:val="24"/>
                <w:szCs w:val="24"/>
              </w:rPr>
            </w:pPr>
            <w:r>
              <w:rPr>
                <w:rFonts w:hint="eastAsia"/>
                <w:sz w:val="24"/>
                <w:szCs w:val="24"/>
              </w:rPr>
              <w:t>人员</w:t>
            </w:r>
          </w:p>
        </w:tc>
        <w:tc>
          <w:tcPr>
            <w:tcW w:w="5008" w:type="dxa"/>
          </w:tcPr>
          <w:p>
            <w:pPr>
              <w:spacing w:line="280" w:lineRule="exact"/>
              <w:rPr>
                <w:rFonts w:cs="Times New Roman"/>
                <w:sz w:val="24"/>
                <w:szCs w:val="24"/>
              </w:rPr>
            </w:pPr>
            <w:r>
              <w:rPr>
                <w:rFonts w:hint="eastAsia"/>
                <w:sz w:val="24"/>
                <w:szCs w:val="24"/>
              </w:rPr>
              <w:t>企业应按规定设置安全生产管理机构，配备安全生产管理人员。</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40" w:lineRule="exact"/>
              <w:jc w:val="center"/>
              <w:rPr>
                <w:sz w:val="28"/>
                <w:szCs w:val="28"/>
              </w:rPr>
            </w:pPr>
            <w:r>
              <w:rPr>
                <w:sz w:val="28"/>
                <w:szCs w:val="28"/>
              </w:rPr>
              <w:t>2</w:t>
            </w:r>
          </w:p>
        </w:tc>
        <w:tc>
          <w:tcPr>
            <w:tcW w:w="718" w:type="dxa"/>
            <w:vMerge w:val="continue"/>
          </w:tcPr>
          <w:p>
            <w:pPr>
              <w:jc w:val="cente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主要负责人和安全生产管理人员，按规定参加培训考核合格。</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3</w:t>
            </w:r>
          </w:p>
        </w:tc>
        <w:tc>
          <w:tcPr>
            <w:tcW w:w="718" w:type="dxa"/>
            <w:vMerge w:val="restart"/>
          </w:tcPr>
          <w:p>
            <w:pPr>
              <w:spacing w:line="280" w:lineRule="exact"/>
              <w:jc w:val="center"/>
              <w:rPr>
                <w:rFonts w:cs="Times New Roman"/>
                <w:sz w:val="24"/>
                <w:szCs w:val="24"/>
              </w:rPr>
            </w:pPr>
            <w:r>
              <w:rPr>
                <w:rFonts w:hint="eastAsia"/>
                <w:sz w:val="24"/>
                <w:szCs w:val="24"/>
              </w:rPr>
              <w:t>安全制度责任制与规程</w:t>
            </w:r>
          </w:p>
        </w:tc>
        <w:tc>
          <w:tcPr>
            <w:tcW w:w="5008" w:type="dxa"/>
          </w:tcPr>
          <w:p>
            <w:pPr>
              <w:rPr>
                <w:rFonts w:cs="Times New Roman"/>
                <w:sz w:val="24"/>
                <w:szCs w:val="24"/>
              </w:rPr>
            </w:pPr>
            <w:r>
              <w:rPr>
                <w:rFonts w:hint="eastAsia"/>
                <w:sz w:val="24"/>
                <w:szCs w:val="24"/>
              </w:rPr>
              <w:t>建立和发布健全的安全生产规章制度。</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4</w:t>
            </w:r>
          </w:p>
        </w:tc>
        <w:tc>
          <w:tcPr>
            <w:tcW w:w="718" w:type="dxa"/>
            <w:vMerge w:val="continue"/>
          </w:tcPr>
          <w:p>
            <w:pPr>
              <w:jc w:val="center"/>
              <w:rPr>
                <w:rFonts w:cs="Times New Roman"/>
                <w:sz w:val="24"/>
                <w:szCs w:val="24"/>
              </w:rPr>
            </w:pPr>
          </w:p>
        </w:tc>
        <w:tc>
          <w:tcPr>
            <w:tcW w:w="5008" w:type="dxa"/>
          </w:tcPr>
          <w:p>
            <w:pPr>
              <w:rPr>
                <w:rFonts w:cs="Times New Roman"/>
                <w:sz w:val="24"/>
                <w:szCs w:val="24"/>
              </w:rPr>
            </w:pPr>
            <w:r>
              <w:rPr>
                <w:rFonts w:hint="eastAsia"/>
                <w:sz w:val="24"/>
                <w:szCs w:val="24"/>
              </w:rPr>
              <w:t>制定和发布各级、各部门、岗位安全责任制。</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5</w:t>
            </w:r>
          </w:p>
        </w:tc>
        <w:tc>
          <w:tcPr>
            <w:tcW w:w="718" w:type="dxa"/>
            <w:vMerge w:val="continue"/>
          </w:tcPr>
          <w:p>
            <w:pPr>
              <w:jc w:val="center"/>
              <w:rPr>
                <w:rFonts w:cs="Times New Roman"/>
                <w:sz w:val="24"/>
                <w:szCs w:val="24"/>
              </w:rPr>
            </w:pPr>
          </w:p>
        </w:tc>
        <w:tc>
          <w:tcPr>
            <w:tcW w:w="5008" w:type="dxa"/>
          </w:tcPr>
          <w:p>
            <w:pPr>
              <w:rPr>
                <w:rFonts w:cs="Times New Roman"/>
                <w:sz w:val="24"/>
                <w:szCs w:val="24"/>
              </w:rPr>
            </w:pPr>
            <w:r>
              <w:rPr>
                <w:rFonts w:hint="eastAsia"/>
                <w:sz w:val="24"/>
                <w:szCs w:val="24"/>
              </w:rPr>
              <w:t>编制和发布岗位安全操作规程。</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40" w:lineRule="exact"/>
              <w:jc w:val="center"/>
              <w:rPr>
                <w:sz w:val="28"/>
                <w:szCs w:val="28"/>
              </w:rPr>
            </w:pPr>
            <w:r>
              <w:rPr>
                <w:sz w:val="28"/>
                <w:szCs w:val="28"/>
              </w:rPr>
              <w:t>6</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将安全制度、责任制、规程发放到相关岗位，并对员工进行培训考核，有记录登记资料。</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7</w:t>
            </w:r>
          </w:p>
        </w:tc>
        <w:tc>
          <w:tcPr>
            <w:tcW w:w="718" w:type="dxa"/>
            <w:vMerge w:val="restart"/>
            <w:vAlign w:val="center"/>
          </w:tcPr>
          <w:p>
            <w:pPr>
              <w:jc w:val="center"/>
              <w:rPr>
                <w:rFonts w:cs="Times New Roman"/>
                <w:sz w:val="24"/>
                <w:szCs w:val="24"/>
              </w:rPr>
            </w:pPr>
            <w:r>
              <w:rPr>
                <w:rFonts w:hint="eastAsia"/>
                <w:sz w:val="24"/>
                <w:szCs w:val="24"/>
              </w:rPr>
              <w:t>安全教育培训</w:t>
            </w:r>
          </w:p>
        </w:tc>
        <w:tc>
          <w:tcPr>
            <w:tcW w:w="5008" w:type="dxa"/>
          </w:tcPr>
          <w:p>
            <w:pPr>
              <w:rPr>
                <w:rFonts w:cs="Times New Roman"/>
                <w:sz w:val="24"/>
                <w:szCs w:val="24"/>
              </w:rPr>
            </w:pPr>
            <w:r>
              <w:rPr>
                <w:rFonts w:hint="eastAsia"/>
                <w:sz w:val="24"/>
                <w:szCs w:val="24"/>
              </w:rPr>
              <w:t>对新员工进行三级安全教育，有签名档案。</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96" w:type="dxa"/>
          </w:tcPr>
          <w:p>
            <w:pPr>
              <w:spacing w:line="460" w:lineRule="exact"/>
              <w:jc w:val="center"/>
              <w:rPr>
                <w:sz w:val="28"/>
                <w:szCs w:val="28"/>
              </w:rPr>
            </w:pPr>
            <w:r>
              <w:rPr>
                <w:sz w:val="28"/>
                <w:szCs w:val="28"/>
              </w:rPr>
              <w:t>8</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对岗位人员进行安全教育和生产技能培训考核，考核不合格人员，不得上岗。有记录档案。</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60" w:lineRule="exact"/>
              <w:jc w:val="center"/>
              <w:rPr>
                <w:sz w:val="28"/>
                <w:szCs w:val="28"/>
              </w:rPr>
            </w:pPr>
            <w:r>
              <w:rPr>
                <w:sz w:val="28"/>
                <w:szCs w:val="28"/>
              </w:rPr>
              <w:t>9</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在新工艺、新技术、新材料、新设备设施投用前，应对岗位人员进行专门安全教育和培训。</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60" w:lineRule="exact"/>
              <w:jc w:val="center"/>
              <w:rPr>
                <w:sz w:val="28"/>
                <w:szCs w:val="28"/>
              </w:rPr>
            </w:pPr>
            <w:r>
              <w:rPr>
                <w:sz w:val="28"/>
                <w:szCs w:val="28"/>
              </w:rPr>
              <w:t>10</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从事特种作业人员和特种设备作业人员应取得特种作业操作资格证书，方可上岗作业。</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600" w:lineRule="exact"/>
              <w:rPr>
                <w:sz w:val="28"/>
                <w:szCs w:val="28"/>
              </w:rPr>
            </w:pPr>
            <w:r>
              <w:rPr>
                <w:sz w:val="28"/>
                <w:szCs w:val="28"/>
              </w:rPr>
              <w:t>11</w:t>
            </w:r>
          </w:p>
        </w:tc>
        <w:tc>
          <w:tcPr>
            <w:tcW w:w="718" w:type="dxa"/>
            <w:vMerge w:val="restart"/>
          </w:tcPr>
          <w:p>
            <w:pPr>
              <w:jc w:val="center"/>
              <w:rPr>
                <w:rFonts w:cs="Times New Roman"/>
                <w:sz w:val="24"/>
                <w:szCs w:val="24"/>
              </w:rPr>
            </w:pPr>
          </w:p>
          <w:p>
            <w:pPr>
              <w:jc w:val="center"/>
              <w:rPr>
                <w:rFonts w:cs="Times New Roman"/>
                <w:sz w:val="24"/>
                <w:szCs w:val="24"/>
              </w:rPr>
            </w:pPr>
            <w:r>
              <w:rPr>
                <w:rFonts w:hint="eastAsia"/>
                <w:sz w:val="24"/>
                <w:szCs w:val="24"/>
              </w:rPr>
              <w:t>建筑物与场所及通道管理</w:t>
            </w:r>
          </w:p>
        </w:tc>
        <w:tc>
          <w:tcPr>
            <w:tcW w:w="5008" w:type="dxa"/>
          </w:tcPr>
          <w:p>
            <w:pPr>
              <w:spacing w:line="260" w:lineRule="exact"/>
              <w:rPr>
                <w:rFonts w:cs="Times New Roman"/>
                <w:sz w:val="24"/>
                <w:szCs w:val="24"/>
              </w:rPr>
            </w:pPr>
            <w:r>
              <w:rPr>
                <w:rFonts w:hint="eastAsia"/>
                <w:sz w:val="24"/>
                <w:szCs w:val="24"/>
              </w:rPr>
              <w:t>厂址选择、厂区布置和主要车间工艺布置、主要生产场所的火灾危险性分类及防火最小安全间距、厂区和厂房照明、人员通行安全路线等应符合有关标准规范的要求。</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60" w:lineRule="exact"/>
              <w:rPr>
                <w:sz w:val="28"/>
                <w:szCs w:val="28"/>
              </w:rPr>
            </w:pPr>
            <w:r>
              <w:rPr>
                <w:sz w:val="28"/>
                <w:szCs w:val="28"/>
              </w:rPr>
              <w:t>12</w:t>
            </w:r>
          </w:p>
        </w:tc>
        <w:tc>
          <w:tcPr>
            <w:tcW w:w="718" w:type="dxa"/>
            <w:vMerge w:val="continue"/>
          </w:tcPr>
          <w:p>
            <w:pPr>
              <w:jc w:val="cente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生产经营、储存、使用危险物品的车间、仓库不得与员工宿舍在同一座建筑物内。</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60" w:lineRule="exact"/>
              <w:jc w:val="center"/>
              <w:rPr>
                <w:sz w:val="28"/>
                <w:szCs w:val="28"/>
              </w:rPr>
            </w:pPr>
            <w:r>
              <w:rPr>
                <w:sz w:val="28"/>
                <w:szCs w:val="28"/>
              </w:rPr>
              <w:t>13</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车间、仓库布置应合理，划线定置管理，通道畅通，车流、人流、物流保证安全顺行。</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60" w:lineRule="exact"/>
              <w:jc w:val="center"/>
              <w:rPr>
                <w:sz w:val="28"/>
                <w:szCs w:val="28"/>
              </w:rPr>
            </w:pPr>
            <w:r>
              <w:rPr>
                <w:sz w:val="28"/>
                <w:szCs w:val="28"/>
              </w:rPr>
              <w:t>14</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安全出入口（疏散门）不应采用侧拉门、卷闸门（库房除外），门应向外开启。</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15</w:t>
            </w:r>
          </w:p>
        </w:tc>
        <w:tc>
          <w:tcPr>
            <w:tcW w:w="718" w:type="dxa"/>
            <w:vMerge w:val="restart"/>
          </w:tcPr>
          <w:p>
            <w:pPr>
              <w:jc w:val="center"/>
              <w:rPr>
                <w:rFonts w:cs="Times New Roman"/>
                <w:sz w:val="24"/>
                <w:szCs w:val="24"/>
              </w:rPr>
            </w:pPr>
          </w:p>
          <w:p>
            <w:pPr>
              <w:jc w:val="center"/>
              <w:rPr>
                <w:rFonts w:cs="Times New Roman"/>
                <w:sz w:val="24"/>
                <w:szCs w:val="24"/>
              </w:rPr>
            </w:pPr>
            <w:r>
              <w:rPr>
                <w:rFonts w:hint="eastAsia"/>
                <w:sz w:val="24"/>
                <w:szCs w:val="24"/>
              </w:rPr>
              <w:t>设备设施及电气安全管理</w:t>
            </w:r>
          </w:p>
        </w:tc>
        <w:tc>
          <w:tcPr>
            <w:tcW w:w="5008" w:type="dxa"/>
          </w:tcPr>
          <w:p>
            <w:pPr>
              <w:rPr>
                <w:rFonts w:cs="Times New Roman"/>
                <w:sz w:val="24"/>
                <w:szCs w:val="24"/>
              </w:rPr>
            </w:pPr>
            <w:r>
              <w:rPr>
                <w:rFonts w:hint="eastAsia"/>
                <w:sz w:val="24"/>
                <w:szCs w:val="24"/>
              </w:rPr>
              <w:t>建立设备设施运行台账，做好检（维）修记录。</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40" w:lineRule="exact"/>
              <w:jc w:val="center"/>
              <w:rPr>
                <w:sz w:val="28"/>
                <w:szCs w:val="28"/>
              </w:rPr>
            </w:pPr>
            <w:r>
              <w:rPr>
                <w:sz w:val="28"/>
                <w:szCs w:val="28"/>
              </w:rPr>
              <w:t>16</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按规定对有关设备、设施、仪器仪表、工具等进行检测检验检定，并归档保存有关资料。</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sz w:val="28"/>
                <w:szCs w:val="28"/>
              </w:rPr>
            </w:pPr>
            <w:r>
              <w:rPr>
                <w:sz w:val="28"/>
                <w:szCs w:val="28"/>
              </w:rPr>
              <w:t>17</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设备设施安全防护要做到“六有六必有”：有洞必有盖，有台必有栏，有轮必有罩，有轴必有套；有保险装置，有制动装置。</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18</w:t>
            </w:r>
          </w:p>
        </w:tc>
        <w:tc>
          <w:tcPr>
            <w:tcW w:w="718" w:type="dxa"/>
            <w:vMerge w:val="continue"/>
          </w:tcPr>
          <w:p>
            <w:pPr>
              <w:jc w:val="center"/>
              <w:rPr>
                <w:rFonts w:cs="Times New Roman"/>
                <w:sz w:val="24"/>
                <w:szCs w:val="24"/>
              </w:rPr>
            </w:pPr>
          </w:p>
        </w:tc>
        <w:tc>
          <w:tcPr>
            <w:tcW w:w="5008" w:type="dxa"/>
          </w:tcPr>
          <w:p>
            <w:pPr>
              <w:rPr>
                <w:rFonts w:cs="Times New Roman"/>
                <w:sz w:val="24"/>
                <w:szCs w:val="24"/>
              </w:rPr>
            </w:pPr>
            <w:r>
              <w:rPr>
                <w:rFonts w:hint="eastAsia"/>
                <w:sz w:val="24"/>
                <w:szCs w:val="24"/>
              </w:rPr>
              <w:t>特种设备及附件经检定合格，并有使用证书。</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440" w:lineRule="exact"/>
              <w:jc w:val="center"/>
              <w:rPr>
                <w:sz w:val="28"/>
                <w:szCs w:val="28"/>
              </w:rPr>
            </w:pPr>
            <w:r>
              <w:rPr>
                <w:sz w:val="28"/>
                <w:szCs w:val="28"/>
              </w:rPr>
              <w:t>19</w:t>
            </w:r>
          </w:p>
        </w:tc>
        <w:tc>
          <w:tcPr>
            <w:tcW w:w="718" w:type="dxa"/>
            <w:vMerge w:val="continue"/>
          </w:tcPr>
          <w:p>
            <w:pPr>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配电室具备防小动物进入措施，配电盘操作有绝缘垫，有电工绝缘工具，有电气运行记录。</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20</w:t>
            </w:r>
          </w:p>
        </w:tc>
        <w:tc>
          <w:tcPr>
            <w:tcW w:w="718" w:type="dxa"/>
            <w:vMerge w:val="restart"/>
            <w:vAlign w:val="center"/>
          </w:tcPr>
          <w:p>
            <w:pPr>
              <w:jc w:val="center"/>
              <w:rPr>
                <w:rFonts w:cs="Times New Roman"/>
                <w:sz w:val="24"/>
                <w:szCs w:val="24"/>
              </w:rPr>
            </w:pPr>
            <w:r>
              <w:rPr>
                <w:rFonts w:hint="eastAsia"/>
                <w:sz w:val="24"/>
                <w:szCs w:val="24"/>
              </w:rPr>
              <w:t>操作管理</w:t>
            </w:r>
          </w:p>
        </w:tc>
        <w:tc>
          <w:tcPr>
            <w:tcW w:w="5008" w:type="dxa"/>
          </w:tcPr>
          <w:p>
            <w:pPr>
              <w:rPr>
                <w:rFonts w:cs="Times New Roman"/>
                <w:sz w:val="24"/>
                <w:szCs w:val="24"/>
              </w:rPr>
            </w:pPr>
            <w:r>
              <w:rPr>
                <w:rFonts w:hint="eastAsia"/>
                <w:sz w:val="24"/>
                <w:szCs w:val="24"/>
              </w:rPr>
              <w:t>对危险性大的作业实行许可制、工作票制。</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80" w:lineRule="exact"/>
              <w:jc w:val="center"/>
              <w:rPr>
                <w:sz w:val="28"/>
                <w:szCs w:val="28"/>
              </w:rPr>
            </w:pPr>
            <w:r>
              <w:rPr>
                <w:sz w:val="28"/>
                <w:szCs w:val="28"/>
              </w:rPr>
              <w:t>21</w:t>
            </w:r>
          </w:p>
        </w:tc>
        <w:tc>
          <w:tcPr>
            <w:tcW w:w="718" w:type="dxa"/>
            <w:vMerge w:val="continue"/>
          </w:tcPr>
          <w:p>
            <w:pPr>
              <w:jc w:val="center"/>
              <w:rPr>
                <w:rFonts w:cs="Times New Roman"/>
                <w:sz w:val="24"/>
                <w:szCs w:val="24"/>
              </w:rPr>
            </w:pPr>
          </w:p>
        </w:tc>
        <w:tc>
          <w:tcPr>
            <w:tcW w:w="5008" w:type="dxa"/>
          </w:tcPr>
          <w:p>
            <w:pPr>
              <w:rPr>
                <w:rFonts w:cs="Times New Roman"/>
                <w:sz w:val="24"/>
                <w:szCs w:val="24"/>
              </w:rPr>
            </w:pPr>
            <w:r>
              <w:rPr>
                <w:rFonts w:hint="eastAsia"/>
                <w:sz w:val="24"/>
                <w:szCs w:val="24"/>
              </w:rPr>
              <w:t>要害岗位及电气、机械设备，实行操作牌制度。</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60" w:lineRule="exact"/>
              <w:jc w:val="center"/>
              <w:rPr>
                <w:sz w:val="28"/>
                <w:szCs w:val="28"/>
              </w:rPr>
            </w:pPr>
            <w:r>
              <w:rPr>
                <w:sz w:val="28"/>
                <w:szCs w:val="28"/>
              </w:rPr>
              <w:t>23</w:t>
            </w:r>
          </w:p>
        </w:tc>
        <w:tc>
          <w:tcPr>
            <w:tcW w:w="718" w:type="dxa"/>
            <w:vMerge w:val="continue"/>
          </w:tcPr>
          <w:p>
            <w:pPr>
              <w:jc w:val="center"/>
              <w:rPr>
                <w:rFonts w:cs="Times New Roman"/>
                <w:sz w:val="24"/>
                <w:szCs w:val="24"/>
              </w:rPr>
            </w:pPr>
          </w:p>
        </w:tc>
        <w:tc>
          <w:tcPr>
            <w:tcW w:w="5008" w:type="dxa"/>
          </w:tcPr>
          <w:p>
            <w:pPr>
              <w:rPr>
                <w:rFonts w:cs="Times New Roman"/>
                <w:sz w:val="24"/>
                <w:szCs w:val="24"/>
              </w:rPr>
            </w:pPr>
            <w:r>
              <w:rPr>
                <w:rFonts w:hint="eastAsia"/>
                <w:sz w:val="24"/>
                <w:szCs w:val="24"/>
              </w:rPr>
              <w:t>较大危险因素的场所或设备上设置警示标志。</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spacing w:line="260" w:lineRule="exact"/>
              <w:jc w:val="center"/>
              <w:rPr>
                <w:sz w:val="28"/>
                <w:szCs w:val="28"/>
              </w:rPr>
            </w:pPr>
            <w:r>
              <w:rPr>
                <w:sz w:val="28"/>
                <w:szCs w:val="28"/>
              </w:rPr>
              <w:t>24</w:t>
            </w:r>
          </w:p>
        </w:tc>
        <w:tc>
          <w:tcPr>
            <w:tcW w:w="718" w:type="dxa"/>
          </w:tcPr>
          <w:p>
            <w:pPr>
              <w:jc w:val="center"/>
              <w:rPr>
                <w:rFonts w:cs="Times New Roman"/>
                <w:sz w:val="24"/>
                <w:szCs w:val="24"/>
              </w:rPr>
            </w:pPr>
            <w:r>
              <w:rPr>
                <w:rFonts w:hint="eastAsia"/>
                <w:sz w:val="24"/>
                <w:szCs w:val="24"/>
              </w:rPr>
              <w:t>隐患</w:t>
            </w:r>
          </w:p>
        </w:tc>
        <w:tc>
          <w:tcPr>
            <w:tcW w:w="5008" w:type="dxa"/>
          </w:tcPr>
          <w:p>
            <w:pPr>
              <w:rPr>
                <w:rFonts w:cs="Times New Roman"/>
                <w:sz w:val="24"/>
                <w:szCs w:val="24"/>
              </w:rPr>
            </w:pPr>
            <w:r>
              <w:rPr>
                <w:rFonts w:hint="eastAsia"/>
                <w:sz w:val="24"/>
                <w:szCs w:val="24"/>
              </w:rPr>
              <w:t>企业开展隐患排查与治理，并建立台账。</w:t>
            </w:r>
          </w:p>
        </w:tc>
        <w:tc>
          <w:tcPr>
            <w:tcW w:w="552" w:type="dxa"/>
          </w:tcPr>
          <w:p>
            <w:pPr>
              <w:jc w:val="center"/>
              <w:rPr>
                <w:rFonts w:cs="Times New Roman"/>
                <w:sz w:val="24"/>
                <w:szCs w:val="24"/>
              </w:rPr>
            </w:pPr>
          </w:p>
        </w:tc>
        <w:tc>
          <w:tcPr>
            <w:tcW w:w="540" w:type="dxa"/>
          </w:tcPr>
          <w:p>
            <w:pPr>
              <w:jc w:val="center"/>
              <w:rPr>
                <w:rFonts w:cs="Times New Roman"/>
                <w:sz w:val="24"/>
                <w:szCs w:val="24"/>
              </w:rPr>
            </w:pPr>
          </w:p>
        </w:tc>
        <w:tc>
          <w:tcPr>
            <w:tcW w:w="1805" w:type="dxa"/>
          </w:tcPr>
          <w:p>
            <w:pPr>
              <w:rPr>
                <w:rFonts w:cs="Times New Roman"/>
                <w:sz w:val="24"/>
                <w:szCs w:val="24"/>
              </w:rPr>
            </w:pPr>
          </w:p>
        </w:tc>
      </w:tr>
    </w:tbl>
    <w:p>
      <w:pPr>
        <w:spacing w:line="360" w:lineRule="exact"/>
        <w:rPr>
          <w:rFonts w:cs="Times New Roman"/>
          <w:sz w:val="28"/>
          <w:szCs w:val="28"/>
        </w:rPr>
      </w:pPr>
    </w:p>
    <w:p>
      <w:pPr>
        <w:spacing w:line="360" w:lineRule="exact"/>
        <w:rPr>
          <w:rFonts w:cs="Times New Roman"/>
          <w:sz w:val="28"/>
          <w:szCs w:val="28"/>
        </w:rPr>
      </w:pPr>
      <w:r>
        <w:rPr>
          <w:rFonts w:hint="eastAsia"/>
          <w:sz w:val="28"/>
          <w:szCs w:val="28"/>
        </w:rPr>
        <w:t>监督检查单位：</w:t>
      </w:r>
    </w:p>
    <w:p>
      <w:pPr>
        <w:spacing w:line="36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jc w:val="center"/>
        <w:rPr>
          <w:rFonts w:cs="Times New Roman"/>
          <w:b/>
          <w:bCs/>
          <w:sz w:val="32"/>
          <w:szCs w:val="32"/>
        </w:rPr>
      </w:pPr>
      <w:r>
        <w:rPr>
          <w:rFonts w:cs="Times New Roman"/>
          <w:b/>
          <w:bCs/>
          <w:sz w:val="32"/>
          <w:szCs w:val="32"/>
        </w:rPr>
        <w:br w:type="page"/>
      </w:r>
      <w:r>
        <w:rPr>
          <w:rFonts w:hint="eastAsia"/>
          <w:b/>
          <w:bCs/>
          <w:sz w:val="32"/>
          <w:szCs w:val="32"/>
        </w:rPr>
        <w:t>二、建筑施工安全检查清单</w:t>
      </w:r>
    </w:p>
    <w:tbl>
      <w:tblPr>
        <w:tblStyle w:val="5"/>
        <w:tblpPr w:leftFromText="180" w:rightFromText="180" w:vertAnchor="text" w:horzAnchor="page" w:tblpX="1387" w:tblpY="621"/>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3"/>
        <w:gridCol w:w="5931"/>
        <w:gridCol w:w="509"/>
        <w:gridCol w:w="59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6" w:type="dxa"/>
            <w:vMerge w:val="restart"/>
            <w:vAlign w:val="center"/>
          </w:tcPr>
          <w:p>
            <w:pPr>
              <w:spacing w:line="280" w:lineRule="exact"/>
              <w:jc w:val="center"/>
              <w:rPr>
                <w:rFonts w:cs="Times New Roman"/>
                <w:sz w:val="24"/>
                <w:szCs w:val="24"/>
              </w:rPr>
            </w:pPr>
            <w:r>
              <w:rPr>
                <w:rFonts w:hint="eastAsia"/>
                <w:sz w:val="24"/>
                <w:szCs w:val="24"/>
              </w:rPr>
              <w:t>序号</w:t>
            </w:r>
          </w:p>
        </w:tc>
        <w:tc>
          <w:tcPr>
            <w:tcW w:w="703" w:type="dxa"/>
            <w:vMerge w:val="restart"/>
            <w:vAlign w:val="center"/>
          </w:tcPr>
          <w:p>
            <w:pPr>
              <w:spacing w:line="280" w:lineRule="exact"/>
              <w:jc w:val="center"/>
              <w:rPr>
                <w:rFonts w:cs="Times New Roman"/>
                <w:sz w:val="24"/>
                <w:szCs w:val="24"/>
              </w:rPr>
            </w:pPr>
            <w:r>
              <w:rPr>
                <w:rFonts w:hint="eastAsia"/>
                <w:sz w:val="24"/>
                <w:szCs w:val="24"/>
              </w:rPr>
              <w:t>检查类别</w:t>
            </w:r>
          </w:p>
        </w:tc>
        <w:tc>
          <w:tcPr>
            <w:tcW w:w="5931" w:type="dxa"/>
            <w:vMerge w:val="restart"/>
            <w:vAlign w:val="center"/>
          </w:tcPr>
          <w:p>
            <w:pPr>
              <w:spacing w:line="460" w:lineRule="exact"/>
              <w:jc w:val="center"/>
              <w:rPr>
                <w:rFonts w:cs="Times New Roman"/>
                <w:sz w:val="28"/>
                <w:szCs w:val="28"/>
              </w:rPr>
            </w:pPr>
            <w:r>
              <w:rPr>
                <w:rFonts w:hint="eastAsia"/>
                <w:sz w:val="28"/>
                <w:szCs w:val="28"/>
              </w:rPr>
              <w:t>检查标准要求</w:t>
            </w:r>
          </w:p>
        </w:tc>
        <w:tc>
          <w:tcPr>
            <w:tcW w:w="1099" w:type="dxa"/>
            <w:gridSpan w:val="2"/>
            <w:vAlign w:val="center"/>
          </w:tcPr>
          <w:p>
            <w:pPr>
              <w:spacing w:line="280" w:lineRule="exact"/>
              <w:ind w:right="-112" w:rightChars="-51"/>
              <w:jc w:val="center"/>
              <w:rPr>
                <w:rFonts w:cs="Times New Roman"/>
                <w:sz w:val="24"/>
                <w:szCs w:val="24"/>
              </w:rPr>
            </w:pPr>
            <w:r>
              <w:rPr>
                <w:rFonts w:hint="eastAsia"/>
                <w:sz w:val="24"/>
                <w:szCs w:val="24"/>
              </w:rPr>
              <w:t>检查结果</w:t>
            </w:r>
          </w:p>
        </w:tc>
        <w:tc>
          <w:tcPr>
            <w:tcW w:w="1291" w:type="dxa"/>
            <w:vAlign w:val="center"/>
          </w:tcPr>
          <w:p>
            <w:pPr>
              <w:spacing w:line="460" w:lineRule="exact"/>
              <w:jc w:val="center"/>
              <w:rPr>
                <w:rFonts w:cs="Times New Roman"/>
                <w:sz w:val="24"/>
                <w:szCs w:val="24"/>
              </w:rPr>
            </w:pPr>
            <w:r>
              <w:rPr>
                <w:rFonts w:hint="eastAsia"/>
                <w:sz w:val="24"/>
                <w:szCs w:val="24"/>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96" w:type="dxa"/>
            <w:vMerge w:val="continue"/>
            <w:vAlign w:val="center"/>
          </w:tcPr>
          <w:p>
            <w:pPr>
              <w:jc w:val="center"/>
              <w:rPr>
                <w:rFonts w:cs="Times New Roman"/>
                <w:sz w:val="24"/>
                <w:szCs w:val="24"/>
              </w:rPr>
            </w:pPr>
          </w:p>
        </w:tc>
        <w:tc>
          <w:tcPr>
            <w:tcW w:w="703" w:type="dxa"/>
            <w:vMerge w:val="continue"/>
            <w:vAlign w:val="center"/>
          </w:tcPr>
          <w:p>
            <w:pPr>
              <w:jc w:val="center"/>
              <w:rPr>
                <w:rFonts w:cs="Times New Roman"/>
                <w:sz w:val="24"/>
                <w:szCs w:val="24"/>
              </w:rPr>
            </w:pPr>
          </w:p>
        </w:tc>
        <w:tc>
          <w:tcPr>
            <w:tcW w:w="5931" w:type="dxa"/>
            <w:vMerge w:val="continue"/>
            <w:vAlign w:val="center"/>
          </w:tcPr>
          <w:p>
            <w:pPr>
              <w:jc w:val="center"/>
              <w:rPr>
                <w:rFonts w:cs="Times New Roman"/>
                <w:sz w:val="24"/>
                <w:szCs w:val="24"/>
              </w:rPr>
            </w:pPr>
          </w:p>
        </w:tc>
        <w:tc>
          <w:tcPr>
            <w:tcW w:w="509" w:type="dxa"/>
            <w:vAlign w:val="center"/>
          </w:tcPr>
          <w:p>
            <w:pPr>
              <w:spacing w:line="280" w:lineRule="exact"/>
              <w:jc w:val="center"/>
              <w:rPr>
                <w:rFonts w:cs="Times New Roman"/>
                <w:sz w:val="24"/>
                <w:szCs w:val="24"/>
              </w:rPr>
            </w:pPr>
            <w:r>
              <w:rPr>
                <w:rFonts w:hint="eastAsia"/>
                <w:sz w:val="24"/>
                <w:szCs w:val="24"/>
              </w:rPr>
              <w:t>是</w:t>
            </w:r>
          </w:p>
        </w:tc>
        <w:tc>
          <w:tcPr>
            <w:tcW w:w="590" w:type="dxa"/>
            <w:vAlign w:val="center"/>
          </w:tcPr>
          <w:p>
            <w:pPr>
              <w:spacing w:line="280" w:lineRule="exact"/>
              <w:jc w:val="center"/>
              <w:rPr>
                <w:rFonts w:cs="Times New Roman"/>
                <w:sz w:val="24"/>
                <w:szCs w:val="24"/>
              </w:rPr>
            </w:pPr>
            <w:r>
              <w:rPr>
                <w:rFonts w:hint="eastAsia"/>
                <w:sz w:val="24"/>
                <w:szCs w:val="24"/>
              </w:rPr>
              <w:t>否</w:t>
            </w:r>
          </w:p>
        </w:tc>
        <w:tc>
          <w:tcPr>
            <w:tcW w:w="1291"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6" w:type="dxa"/>
            <w:vAlign w:val="center"/>
          </w:tcPr>
          <w:p>
            <w:pPr>
              <w:spacing w:line="460" w:lineRule="exact"/>
              <w:jc w:val="center"/>
              <w:rPr>
                <w:sz w:val="28"/>
                <w:szCs w:val="28"/>
              </w:rPr>
            </w:pPr>
            <w:r>
              <w:rPr>
                <w:sz w:val="28"/>
                <w:szCs w:val="28"/>
              </w:rPr>
              <w:t>1</w:t>
            </w:r>
          </w:p>
        </w:tc>
        <w:tc>
          <w:tcPr>
            <w:tcW w:w="703" w:type="dxa"/>
            <w:vMerge w:val="restart"/>
            <w:vAlign w:val="center"/>
          </w:tcPr>
          <w:p>
            <w:pPr>
              <w:jc w:val="center"/>
              <w:rPr>
                <w:rFonts w:cs="Times New Roman"/>
                <w:sz w:val="24"/>
                <w:szCs w:val="24"/>
              </w:rPr>
            </w:pPr>
          </w:p>
          <w:p>
            <w:pPr>
              <w:jc w:val="center"/>
              <w:rPr>
                <w:rFonts w:cs="Times New Roman"/>
                <w:sz w:val="24"/>
                <w:szCs w:val="24"/>
              </w:rPr>
            </w:pPr>
            <w:r>
              <w:rPr>
                <w:rFonts w:hint="eastAsia"/>
                <w:sz w:val="24"/>
                <w:szCs w:val="24"/>
              </w:rPr>
              <w:t>企业资质</w:t>
            </w:r>
          </w:p>
        </w:tc>
        <w:tc>
          <w:tcPr>
            <w:tcW w:w="5931" w:type="dxa"/>
          </w:tcPr>
          <w:p>
            <w:pPr>
              <w:rPr>
                <w:rFonts w:cs="Times New Roman"/>
                <w:sz w:val="24"/>
                <w:szCs w:val="24"/>
              </w:rPr>
            </w:pPr>
            <w:r>
              <w:rPr>
                <w:rFonts w:hint="eastAsia"/>
                <w:sz w:val="24"/>
                <w:szCs w:val="24"/>
              </w:rPr>
              <w:t>取得省级以上住建行政主管部门颁发的《安全生产许可证》。</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6" w:type="dxa"/>
            <w:vAlign w:val="center"/>
          </w:tcPr>
          <w:p>
            <w:pPr>
              <w:spacing w:line="460" w:lineRule="exact"/>
              <w:jc w:val="center"/>
              <w:rPr>
                <w:sz w:val="28"/>
                <w:szCs w:val="28"/>
              </w:rPr>
            </w:pPr>
            <w:r>
              <w:rPr>
                <w:sz w:val="28"/>
                <w:szCs w:val="28"/>
              </w:rPr>
              <w:t>2</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取得县级以上人民政府住建行政主管部门颁发的《施工许可证》。</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96" w:type="dxa"/>
            <w:vAlign w:val="center"/>
          </w:tcPr>
          <w:p>
            <w:pPr>
              <w:spacing w:line="280" w:lineRule="exact"/>
              <w:jc w:val="center"/>
              <w:rPr>
                <w:sz w:val="28"/>
                <w:szCs w:val="28"/>
              </w:rPr>
            </w:pPr>
            <w:r>
              <w:rPr>
                <w:sz w:val="28"/>
                <w:szCs w:val="28"/>
              </w:rPr>
              <w:t>3</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取得《建筑业企业资质》证书。</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6" w:type="dxa"/>
            <w:vAlign w:val="center"/>
          </w:tcPr>
          <w:p>
            <w:pPr>
              <w:spacing w:line="460" w:lineRule="exact"/>
              <w:jc w:val="center"/>
              <w:rPr>
                <w:sz w:val="28"/>
                <w:szCs w:val="28"/>
              </w:rPr>
            </w:pPr>
            <w:r>
              <w:rPr>
                <w:sz w:val="28"/>
                <w:szCs w:val="28"/>
              </w:rPr>
              <w:t>4</w:t>
            </w:r>
          </w:p>
        </w:tc>
        <w:tc>
          <w:tcPr>
            <w:tcW w:w="703" w:type="dxa"/>
            <w:vAlign w:val="center"/>
          </w:tcPr>
          <w:p>
            <w:pPr>
              <w:jc w:val="center"/>
              <w:rPr>
                <w:rFonts w:cs="Times New Roman"/>
                <w:sz w:val="24"/>
                <w:szCs w:val="24"/>
              </w:rPr>
            </w:pPr>
            <w:r>
              <w:rPr>
                <w:rFonts w:hint="eastAsia"/>
                <w:sz w:val="24"/>
                <w:szCs w:val="24"/>
              </w:rPr>
              <w:t>机构人员</w:t>
            </w:r>
          </w:p>
        </w:tc>
        <w:tc>
          <w:tcPr>
            <w:tcW w:w="5931" w:type="dxa"/>
          </w:tcPr>
          <w:p>
            <w:pPr>
              <w:rPr>
                <w:rFonts w:cs="Times New Roman"/>
                <w:sz w:val="24"/>
                <w:szCs w:val="24"/>
              </w:rPr>
            </w:pPr>
            <w:r>
              <w:rPr>
                <w:rFonts w:hint="eastAsia"/>
                <w:sz w:val="24"/>
                <w:szCs w:val="24"/>
              </w:rPr>
              <w:t>设立安全生产管理机构，配备专职安全生产管理人员。</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5</w:t>
            </w:r>
          </w:p>
        </w:tc>
        <w:tc>
          <w:tcPr>
            <w:tcW w:w="703" w:type="dxa"/>
            <w:vAlign w:val="center"/>
          </w:tcPr>
          <w:p>
            <w:pPr>
              <w:spacing w:line="400" w:lineRule="exact"/>
              <w:jc w:val="center"/>
              <w:rPr>
                <w:rFonts w:cs="Times New Roman"/>
                <w:sz w:val="24"/>
                <w:szCs w:val="24"/>
              </w:rPr>
            </w:pPr>
            <w:r>
              <w:rPr>
                <w:rFonts w:hint="eastAsia"/>
                <w:sz w:val="24"/>
                <w:szCs w:val="24"/>
              </w:rPr>
              <w:t>人员证书</w:t>
            </w:r>
          </w:p>
        </w:tc>
        <w:tc>
          <w:tcPr>
            <w:tcW w:w="5931" w:type="dxa"/>
          </w:tcPr>
          <w:p>
            <w:pPr>
              <w:rPr>
                <w:rFonts w:cs="Times New Roman"/>
                <w:sz w:val="24"/>
                <w:szCs w:val="24"/>
              </w:rPr>
            </w:pPr>
            <w:r>
              <w:rPr>
                <w:rFonts w:hint="eastAsia"/>
                <w:sz w:val="24"/>
                <w:szCs w:val="24"/>
              </w:rPr>
              <w:t>主要负责人和安全员持有有关部门颁发的《</w:t>
            </w:r>
            <w:r>
              <w:rPr>
                <w:rFonts w:cs="Times New Roman"/>
                <w:sz w:val="24"/>
                <w:szCs w:val="24"/>
              </w:rPr>
              <w:t> </w:t>
            </w:r>
            <w:r>
              <w:rPr>
                <w:rFonts w:hint="eastAsia"/>
                <w:sz w:val="24"/>
                <w:szCs w:val="24"/>
              </w:rPr>
              <w:t>安全生产考核合格证》。</w:t>
            </w:r>
          </w:p>
          <w:p>
            <w:pPr>
              <w:rPr>
                <w:rFonts w:cs="Times New Roman"/>
                <w:sz w:val="24"/>
                <w:szCs w:val="24"/>
              </w:rPr>
            </w:pPr>
            <w:r>
              <w:rPr>
                <w:rFonts w:hint="eastAsia"/>
                <w:sz w:val="24"/>
                <w:szCs w:val="24"/>
              </w:rPr>
              <w:t>特种作业人员取得《特种作业操作资格证》。</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6" w:type="dxa"/>
            <w:vAlign w:val="center"/>
          </w:tcPr>
          <w:p>
            <w:pPr>
              <w:spacing w:line="280" w:lineRule="exact"/>
              <w:jc w:val="center"/>
              <w:rPr>
                <w:sz w:val="28"/>
                <w:szCs w:val="28"/>
              </w:rPr>
            </w:pPr>
            <w:r>
              <w:rPr>
                <w:sz w:val="28"/>
                <w:szCs w:val="28"/>
              </w:rPr>
              <w:t>6</w:t>
            </w:r>
          </w:p>
        </w:tc>
        <w:tc>
          <w:tcPr>
            <w:tcW w:w="703" w:type="dxa"/>
            <w:vAlign w:val="center"/>
          </w:tcPr>
          <w:p>
            <w:pPr>
              <w:jc w:val="center"/>
              <w:rPr>
                <w:rFonts w:cs="Times New Roman"/>
                <w:sz w:val="24"/>
                <w:szCs w:val="24"/>
              </w:rPr>
            </w:pPr>
            <w:r>
              <w:rPr>
                <w:rFonts w:hint="eastAsia"/>
                <w:sz w:val="24"/>
                <w:szCs w:val="24"/>
              </w:rPr>
              <w:t>规章制度</w:t>
            </w:r>
          </w:p>
        </w:tc>
        <w:tc>
          <w:tcPr>
            <w:tcW w:w="5931" w:type="dxa"/>
          </w:tcPr>
          <w:p>
            <w:pPr>
              <w:rPr>
                <w:rFonts w:cs="Times New Roman"/>
                <w:sz w:val="24"/>
                <w:szCs w:val="24"/>
              </w:rPr>
            </w:pPr>
            <w:r>
              <w:rPr>
                <w:rFonts w:hint="eastAsia"/>
                <w:sz w:val="24"/>
                <w:szCs w:val="24"/>
              </w:rPr>
              <w:t>有安全生产责任制，有安全规章制度，有各机械设备安全操作规程，并认真执行。</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496" w:type="dxa"/>
            <w:vAlign w:val="center"/>
          </w:tcPr>
          <w:p>
            <w:pPr>
              <w:spacing w:line="280" w:lineRule="exact"/>
              <w:rPr>
                <w:sz w:val="28"/>
                <w:szCs w:val="28"/>
              </w:rPr>
            </w:pPr>
            <w:r>
              <w:rPr>
                <w:sz w:val="28"/>
                <w:szCs w:val="28"/>
              </w:rPr>
              <w:t>7</w:t>
            </w:r>
          </w:p>
        </w:tc>
        <w:tc>
          <w:tcPr>
            <w:tcW w:w="703" w:type="dxa"/>
            <w:vAlign w:val="center"/>
          </w:tcPr>
          <w:p>
            <w:pPr>
              <w:rPr>
                <w:rFonts w:cs="Times New Roman"/>
                <w:sz w:val="24"/>
                <w:szCs w:val="24"/>
              </w:rPr>
            </w:pPr>
            <w:r>
              <w:rPr>
                <w:rFonts w:hint="eastAsia"/>
                <w:sz w:val="24"/>
                <w:szCs w:val="24"/>
              </w:rPr>
              <w:t>教育培训</w:t>
            </w:r>
          </w:p>
        </w:tc>
        <w:tc>
          <w:tcPr>
            <w:tcW w:w="5931" w:type="dxa"/>
          </w:tcPr>
          <w:p>
            <w:pPr>
              <w:rPr>
                <w:rFonts w:cs="Times New Roman"/>
                <w:sz w:val="24"/>
                <w:szCs w:val="24"/>
              </w:rPr>
            </w:pPr>
            <w:r>
              <w:rPr>
                <w:rFonts w:hint="eastAsia"/>
                <w:sz w:val="24"/>
                <w:szCs w:val="24"/>
              </w:rPr>
              <w:t>工程项目部应建立安全教育培训制度；当施工人员入场时，工程项目部应组织进行以国家安全法律法规、企业安全制度、施工现场安全管理规定及各工种安全技术操作规程为主要内容的三级安全教育培训和考核；当施工人员变换工种或采用新技术、新工艺、新设备、新材料施工时，应进行安全教育培训；施工管理人员、专职安全员每年度应进行安全教育培训和考核。</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6" w:type="dxa"/>
            <w:vAlign w:val="center"/>
          </w:tcPr>
          <w:p>
            <w:pPr>
              <w:spacing w:line="280" w:lineRule="exact"/>
              <w:jc w:val="center"/>
              <w:rPr>
                <w:sz w:val="28"/>
                <w:szCs w:val="28"/>
              </w:rPr>
            </w:pPr>
            <w:r>
              <w:rPr>
                <w:sz w:val="28"/>
                <w:szCs w:val="28"/>
              </w:rPr>
              <w:t>8</w:t>
            </w:r>
          </w:p>
        </w:tc>
        <w:tc>
          <w:tcPr>
            <w:tcW w:w="703" w:type="dxa"/>
            <w:vMerge w:val="restart"/>
            <w:vAlign w:val="center"/>
          </w:tcPr>
          <w:p>
            <w:pPr>
              <w:jc w:val="center"/>
              <w:rPr>
                <w:rFonts w:cs="Times New Roman"/>
                <w:sz w:val="24"/>
                <w:szCs w:val="24"/>
              </w:rPr>
            </w:pPr>
            <w:r>
              <w:rPr>
                <w:rFonts w:hint="eastAsia"/>
                <w:sz w:val="24"/>
                <w:szCs w:val="24"/>
              </w:rPr>
              <w:t>文明施工</w:t>
            </w:r>
          </w:p>
        </w:tc>
        <w:tc>
          <w:tcPr>
            <w:tcW w:w="5931" w:type="dxa"/>
          </w:tcPr>
          <w:p>
            <w:pPr>
              <w:rPr>
                <w:rFonts w:cs="Times New Roman"/>
                <w:sz w:val="24"/>
                <w:szCs w:val="24"/>
              </w:rPr>
            </w:pPr>
            <w:r>
              <w:rPr>
                <w:rFonts w:hint="eastAsia"/>
                <w:sz w:val="24"/>
                <w:szCs w:val="24"/>
              </w:rPr>
              <w:t>施工现场进出口处应设置大门</w:t>
            </w:r>
            <w:r>
              <w:rPr>
                <w:sz w:val="24"/>
                <w:szCs w:val="24"/>
              </w:rPr>
              <w:t>,</w:t>
            </w:r>
            <w:r>
              <w:rPr>
                <w:rFonts w:hint="eastAsia"/>
                <w:sz w:val="24"/>
                <w:szCs w:val="24"/>
              </w:rPr>
              <w:t>并悬挂五牌一图。</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9</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在市区主要路段的工地周围设置不低于</w:t>
            </w:r>
            <w:r>
              <w:rPr>
                <w:sz w:val="24"/>
                <w:szCs w:val="24"/>
              </w:rPr>
              <w:t>2.5m</w:t>
            </w:r>
            <w:r>
              <w:rPr>
                <w:rFonts w:hint="eastAsia"/>
                <w:sz w:val="24"/>
                <w:szCs w:val="24"/>
              </w:rPr>
              <w:t>的封闭围挡；一般路段的工地周围设置不低于</w:t>
            </w:r>
            <w:r>
              <w:rPr>
                <w:sz w:val="24"/>
                <w:szCs w:val="24"/>
              </w:rPr>
              <w:t>2.0m</w:t>
            </w:r>
            <w:r>
              <w:rPr>
                <w:rFonts w:hint="eastAsia"/>
                <w:sz w:val="24"/>
                <w:szCs w:val="24"/>
              </w:rPr>
              <w:t>的封闭围挡，围挡应沿工地四周连续设置。</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96" w:type="dxa"/>
            <w:vAlign w:val="center"/>
          </w:tcPr>
          <w:p>
            <w:pPr>
              <w:spacing w:line="280" w:lineRule="exact"/>
              <w:jc w:val="center"/>
              <w:rPr>
                <w:sz w:val="28"/>
                <w:szCs w:val="28"/>
              </w:rPr>
            </w:pPr>
            <w:r>
              <w:rPr>
                <w:sz w:val="28"/>
                <w:szCs w:val="28"/>
              </w:rPr>
              <w:t>10</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施工现场应能够明确区分办公区、工人生活区、施工区，在建建筑物内不得住人。</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dxa"/>
            <w:vAlign w:val="center"/>
          </w:tcPr>
          <w:p>
            <w:pPr>
              <w:spacing w:line="460" w:lineRule="exact"/>
              <w:jc w:val="center"/>
              <w:rPr>
                <w:sz w:val="28"/>
                <w:szCs w:val="28"/>
              </w:rPr>
            </w:pPr>
            <w:r>
              <w:rPr>
                <w:sz w:val="28"/>
                <w:szCs w:val="28"/>
              </w:rPr>
              <w:t>11</w:t>
            </w:r>
          </w:p>
        </w:tc>
        <w:tc>
          <w:tcPr>
            <w:tcW w:w="703" w:type="dxa"/>
            <w:vMerge w:val="restart"/>
            <w:vAlign w:val="center"/>
          </w:tcPr>
          <w:p>
            <w:pPr>
              <w:rPr>
                <w:rFonts w:cs="Times New Roman"/>
                <w:sz w:val="24"/>
                <w:szCs w:val="24"/>
              </w:rPr>
            </w:pPr>
            <w:r>
              <w:rPr>
                <w:rFonts w:hint="eastAsia"/>
                <w:sz w:val="24"/>
                <w:szCs w:val="24"/>
              </w:rPr>
              <w:t>管理措施</w:t>
            </w:r>
          </w:p>
        </w:tc>
        <w:tc>
          <w:tcPr>
            <w:tcW w:w="5931" w:type="dxa"/>
          </w:tcPr>
          <w:p>
            <w:pPr>
              <w:rPr>
                <w:rFonts w:cs="Times New Roman"/>
                <w:sz w:val="24"/>
                <w:szCs w:val="24"/>
              </w:rPr>
            </w:pPr>
            <w:r>
              <w:rPr>
                <w:rFonts w:hint="eastAsia"/>
                <w:sz w:val="24"/>
                <w:szCs w:val="24"/>
              </w:rPr>
              <w:t>有工程安全技术交底制度；交底针对性强、全面履行签字手续。</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dxa"/>
            <w:vAlign w:val="center"/>
          </w:tcPr>
          <w:p>
            <w:pPr>
              <w:spacing w:line="460" w:lineRule="exact"/>
              <w:jc w:val="center"/>
              <w:rPr>
                <w:sz w:val="28"/>
                <w:szCs w:val="28"/>
              </w:rPr>
            </w:pPr>
            <w:r>
              <w:rPr>
                <w:sz w:val="28"/>
                <w:szCs w:val="28"/>
              </w:rPr>
              <w:t>12</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爆破、吊装等危险作业有专门人员进行现场安全管理。</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13</w:t>
            </w:r>
          </w:p>
        </w:tc>
        <w:tc>
          <w:tcPr>
            <w:tcW w:w="703" w:type="dxa"/>
            <w:vMerge w:val="continue"/>
            <w:vAlign w:val="center"/>
          </w:tcPr>
          <w:p>
            <w:pPr>
              <w:jc w:val="center"/>
              <w:rPr>
                <w:rFonts w:cs="Times New Roman"/>
                <w:sz w:val="24"/>
                <w:szCs w:val="24"/>
              </w:rPr>
            </w:pPr>
          </w:p>
        </w:tc>
        <w:tc>
          <w:tcPr>
            <w:tcW w:w="5931" w:type="dxa"/>
          </w:tcPr>
          <w:p>
            <w:pPr>
              <w:rPr>
                <w:rFonts w:cs="Times New Roman"/>
                <w:sz w:val="24"/>
                <w:szCs w:val="24"/>
              </w:rPr>
            </w:pPr>
            <w:r>
              <w:rPr>
                <w:rFonts w:hint="eastAsia"/>
                <w:sz w:val="24"/>
                <w:szCs w:val="24"/>
              </w:rPr>
              <w:t>施工工地人、车分流，道路畅通，设置限速标志。场内运输机动车辆不得超速、超载行驶或人货混载。驾驶员持证上岗。</w:t>
            </w:r>
          </w:p>
        </w:tc>
        <w:tc>
          <w:tcPr>
            <w:tcW w:w="509" w:type="dxa"/>
          </w:tcPr>
          <w:p>
            <w:pPr>
              <w:spacing w:line="280" w:lineRule="exact"/>
              <w:jc w:val="center"/>
              <w:rPr>
                <w:rFonts w:cs="Times New Roman"/>
                <w:sz w:val="24"/>
                <w:szCs w:val="24"/>
              </w:rPr>
            </w:pPr>
          </w:p>
        </w:tc>
        <w:tc>
          <w:tcPr>
            <w:tcW w:w="590" w:type="dxa"/>
          </w:tcPr>
          <w:p>
            <w:pPr>
              <w:spacing w:line="280" w:lineRule="exact"/>
              <w:jc w:val="center"/>
              <w:rPr>
                <w:rFonts w:cs="Times New Roman"/>
                <w:sz w:val="24"/>
                <w:szCs w:val="24"/>
              </w:rPr>
            </w:pPr>
          </w:p>
        </w:tc>
        <w:tc>
          <w:tcPr>
            <w:tcW w:w="1291" w:type="dxa"/>
          </w:tcPr>
          <w:p>
            <w:pPr>
              <w:rPr>
                <w:rFonts w:cs="Times New Roman"/>
                <w:sz w:val="24"/>
                <w:szCs w:val="24"/>
              </w:rPr>
            </w:pPr>
          </w:p>
        </w:tc>
      </w:tr>
    </w:tbl>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p>
      <w:pPr>
        <w:spacing w:line="560" w:lineRule="exact"/>
        <w:jc w:val="center"/>
        <w:rPr>
          <w:rFonts w:cs="Times New Roman"/>
          <w:b/>
          <w:bCs/>
          <w:sz w:val="32"/>
          <w:szCs w:val="32"/>
        </w:rPr>
      </w:pPr>
    </w:p>
    <w:p>
      <w:pPr>
        <w:spacing w:line="560" w:lineRule="exact"/>
        <w:jc w:val="center"/>
        <w:rPr>
          <w:rFonts w:cs="Times New Roman"/>
          <w:b/>
          <w:bCs/>
          <w:sz w:val="18"/>
          <w:szCs w:val="18"/>
        </w:rPr>
      </w:pPr>
      <w:r>
        <w:rPr>
          <w:rFonts w:hint="eastAsia"/>
          <w:b/>
          <w:bCs/>
          <w:sz w:val="32"/>
          <w:szCs w:val="32"/>
        </w:rPr>
        <w:t>三、建筑施工安全检查清单</w:t>
      </w:r>
      <w:r>
        <w:rPr>
          <w:rFonts w:hint="eastAsia"/>
          <w:sz w:val="32"/>
          <w:szCs w:val="32"/>
        </w:rPr>
        <w:t>（续）</w:t>
      </w:r>
    </w:p>
    <w:tbl>
      <w:tblPr>
        <w:tblStyle w:val="5"/>
        <w:tblW w:w="95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19"/>
        <w:gridCol w:w="5866"/>
        <w:gridCol w:w="511"/>
        <w:gridCol w:w="63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restart"/>
          </w:tcPr>
          <w:p>
            <w:pPr>
              <w:spacing w:line="280" w:lineRule="exact"/>
              <w:jc w:val="center"/>
              <w:rPr>
                <w:rFonts w:cs="Times New Roman"/>
                <w:sz w:val="24"/>
                <w:szCs w:val="24"/>
              </w:rPr>
            </w:pPr>
            <w:r>
              <w:rPr>
                <w:rFonts w:hint="eastAsia"/>
                <w:sz w:val="24"/>
                <w:szCs w:val="24"/>
              </w:rPr>
              <w:t>序号</w:t>
            </w:r>
          </w:p>
        </w:tc>
        <w:tc>
          <w:tcPr>
            <w:tcW w:w="719" w:type="dxa"/>
            <w:vMerge w:val="restart"/>
          </w:tcPr>
          <w:p>
            <w:pPr>
              <w:spacing w:line="280" w:lineRule="exact"/>
              <w:rPr>
                <w:rFonts w:cs="Times New Roman"/>
                <w:sz w:val="24"/>
                <w:szCs w:val="24"/>
              </w:rPr>
            </w:pPr>
            <w:r>
              <w:rPr>
                <w:rFonts w:hint="eastAsia"/>
                <w:sz w:val="24"/>
                <w:szCs w:val="24"/>
              </w:rPr>
              <w:t>检查类别</w:t>
            </w:r>
          </w:p>
        </w:tc>
        <w:tc>
          <w:tcPr>
            <w:tcW w:w="5866" w:type="dxa"/>
            <w:vMerge w:val="restart"/>
          </w:tcPr>
          <w:p>
            <w:pPr>
              <w:spacing w:line="460" w:lineRule="exact"/>
              <w:jc w:val="center"/>
              <w:rPr>
                <w:rFonts w:cs="Times New Roman"/>
                <w:sz w:val="28"/>
                <w:szCs w:val="28"/>
              </w:rPr>
            </w:pPr>
            <w:r>
              <w:rPr>
                <w:rFonts w:hint="eastAsia"/>
                <w:sz w:val="28"/>
                <w:szCs w:val="28"/>
              </w:rPr>
              <w:t>检查标准要求</w:t>
            </w:r>
          </w:p>
        </w:tc>
        <w:tc>
          <w:tcPr>
            <w:tcW w:w="1141"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337"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continue"/>
          </w:tcPr>
          <w:p>
            <w:pPr>
              <w:jc w:val="center"/>
              <w:rPr>
                <w:rFonts w:cs="Times New Roman"/>
                <w:sz w:val="24"/>
                <w:szCs w:val="24"/>
              </w:rPr>
            </w:pPr>
          </w:p>
        </w:tc>
        <w:tc>
          <w:tcPr>
            <w:tcW w:w="719" w:type="dxa"/>
            <w:vMerge w:val="continue"/>
          </w:tcPr>
          <w:p>
            <w:pPr>
              <w:rPr>
                <w:rFonts w:cs="Times New Roman"/>
                <w:sz w:val="24"/>
                <w:szCs w:val="24"/>
              </w:rPr>
            </w:pPr>
          </w:p>
        </w:tc>
        <w:tc>
          <w:tcPr>
            <w:tcW w:w="5866" w:type="dxa"/>
            <w:vMerge w:val="continue"/>
          </w:tcPr>
          <w:p>
            <w:pPr>
              <w:rPr>
                <w:rFonts w:cs="Times New Roman"/>
                <w:sz w:val="24"/>
                <w:szCs w:val="24"/>
              </w:rPr>
            </w:pPr>
          </w:p>
        </w:tc>
        <w:tc>
          <w:tcPr>
            <w:tcW w:w="511" w:type="dxa"/>
          </w:tcPr>
          <w:p>
            <w:pPr>
              <w:spacing w:line="280" w:lineRule="exact"/>
              <w:jc w:val="center"/>
              <w:rPr>
                <w:rFonts w:cs="Times New Roman"/>
                <w:sz w:val="24"/>
                <w:szCs w:val="24"/>
              </w:rPr>
            </w:pPr>
            <w:r>
              <w:rPr>
                <w:rFonts w:hint="eastAsia"/>
                <w:sz w:val="24"/>
                <w:szCs w:val="24"/>
              </w:rPr>
              <w:t>是</w:t>
            </w:r>
          </w:p>
        </w:tc>
        <w:tc>
          <w:tcPr>
            <w:tcW w:w="630" w:type="dxa"/>
          </w:tcPr>
          <w:p>
            <w:pPr>
              <w:spacing w:line="280" w:lineRule="exact"/>
              <w:jc w:val="center"/>
              <w:rPr>
                <w:rFonts w:cs="Times New Roman"/>
                <w:sz w:val="24"/>
                <w:szCs w:val="24"/>
              </w:rPr>
            </w:pPr>
            <w:r>
              <w:rPr>
                <w:rFonts w:hint="eastAsia"/>
                <w:sz w:val="24"/>
                <w:szCs w:val="24"/>
              </w:rPr>
              <w:t>否</w:t>
            </w:r>
          </w:p>
        </w:tc>
        <w:tc>
          <w:tcPr>
            <w:tcW w:w="1337"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16</w:t>
            </w:r>
          </w:p>
        </w:tc>
        <w:tc>
          <w:tcPr>
            <w:tcW w:w="719" w:type="dxa"/>
            <w:vMerge w:val="restart"/>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r>
              <w:rPr>
                <w:rFonts w:hint="eastAsia"/>
                <w:sz w:val="24"/>
                <w:szCs w:val="24"/>
              </w:rPr>
              <w:t>脚手架</w:t>
            </w:r>
          </w:p>
        </w:tc>
        <w:tc>
          <w:tcPr>
            <w:tcW w:w="5866" w:type="dxa"/>
          </w:tcPr>
          <w:p>
            <w:pPr>
              <w:rPr>
                <w:rFonts w:cs="Times New Roman"/>
                <w:sz w:val="24"/>
                <w:szCs w:val="24"/>
              </w:rPr>
            </w:pPr>
            <w:r>
              <w:rPr>
                <w:rFonts w:hint="eastAsia"/>
                <w:sz w:val="24"/>
                <w:szCs w:val="24"/>
              </w:rPr>
              <w:t>建筑高空作业应采取由专业人员搭建脚手架，铺设安全网等防护措施。</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17</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钢管、扣件、安全网等有合格证及检测资料。</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18</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有脚手架、卸料平台施工方案。</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19</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有验收记录（含脚手架、卸料平台、安全网、防护棚、脚手板等）。</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20</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有外脚手架、卸料平台安全技术交底。</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21</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脚手架立杆底座、扫地杆、连墙件、剪刀撑及安全网等按规定设置，有验收。</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97" w:type="dxa"/>
          </w:tcPr>
          <w:p>
            <w:pPr>
              <w:spacing w:line="460" w:lineRule="exact"/>
              <w:jc w:val="center"/>
              <w:rPr>
                <w:sz w:val="28"/>
                <w:szCs w:val="28"/>
              </w:rPr>
            </w:pPr>
            <w:r>
              <w:rPr>
                <w:sz w:val="28"/>
                <w:szCs w:val="28"/>
              </w:rPr>
              <w:t>22</w:t>
            </w:r>
          </w:p>
        </w:tc>
        <w:tc>
          <w:tcPr>
            <w:tcW w:w="719" w:type="dxa"/>
            <w:vMerge w:val="restart"/>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r>
              <w:rPr>
                <w:rFonts w:hint="eastAsia"/>
                <w:sz w:val="24"/>
                <w:szCs w:val="24"/>
              </w:rPr>
              <w:t>基坑支护</w:t>
            </w:r>
          </w:p>
        </w:tc>
        <w:tc>
          <w:tcPr>
            <w:tcW w:w="5866" w:type="dxa"/>
          </w:tcPr>
          <w:p>
            <w:pPr>
              <w:rPr>
                <w:rFonts w:cs="Times New Roman"/>
                <w:sz w:val="24"/>
                <w:szCs w:val="24"/>
              </w:rPr>
            </w:pPr>
            <w:r>
              <w:rPr>
                <w:rFonts w:hint="eastAsia"/>
                <w:sz w:val="24"/>
                <w:szCs w:val="24"/>
              </w:rPr>
              <w:t>深度超过</w:t>
            </w:r>
            <w:r>
              <w:rPr>
                <w:sz w:val="24"/>
                <w:szCs w:val="24"/>
              </w:rPr>
              <w:t>2m</w:t>
            </w:r>
            <w:r>
              <w:rPr>
                <w:rFonts w:hint="eastAsia"/>
                <w:sz w:val="24"/>
                <w:szCs w:val="24"/>
              </w:rPr>
              <w:t>的基坑施工有临边防护措施；基坑工程应编制专项施工方案，基坑开挖深度超过</w:t>
            </w:r>
            <w:r>
              <w:rPr>
                <w:sz w:val="24"/>
                <w:szCs w:val="24"/>
              </w:rPr>
              <w:t>5m</w:t>
            </w:r>
            <w:r>
              <w:rPr>
                <w:rFonts w:hint="eastAsia"/>
                <w:sz w:val="24"/>
                <w:szCs w:val="24"/>
              </w:rPr>
              <w:t>，专项支护设计方案应经专家论证并经审批。</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23</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按规定进行基坑支护变形监测，支护设施已产生局部变形的应及时采取措施调整。</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25</w:t>
            </w:r>
          </w:p>
        </w:tc>
        <w:tc>
          <w:tcPr>
            <w:tcW w:w="719" w:type="dxa"/>
            <w:vMerge w:val="continue"/>
          </w:tcPr>
          <w:p>
            <w:pPr>
              <w:rPr>
                <w:rFonts w:cs="Times New Roman"/>
                <w:sz w:val="24"/>
                <w:szCs w:val="24"/>
              </w:rPr>
            </w:pPr>
          </w:p>
        </w:tc>
        <w:tc>
          <w:tcPr>
            <w:tcW w:w="5866" w:type="dxa"/>
          </w:tcPr>
          <w:p>
            <w:pPr>
              <w:rPr>
                <w:rFonts w:cs="Times New Roman"/>
                <w:sz w:val="18"/>
                <w:szCs w:val="18"/>
              </w:rPr>
            </w:pPr>
            <w:r>
              <w:rPr>
                <w:rFonts w:hint="eastAsia"/>
                <w:sz w:val="24"/>
                <w:szCs w:val="24"/>
              </w:rPr>
              <w:t>垂直作业上下应有隔离防护措施。</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26</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基坑施工要采取有效排水措施。</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27</w:t>
            </w:r>
          </w:p>
        </w:tc>
        <w:tc>
          <w:tcPr>
            <w:tcW w:w="719" w:type="dxa"/>
            <w:vMerge w:val="continue"/>
          </w:tcPr>
          <w:p>
            <w:pPr>
              <w:rPr>
                <w:rFonts w:cs="Times New Roman"/>
                <w:sz w:val="24"/>
                <w:szCs w:val="24"/>
              </w:rPr>
            </w:pPr>
          </w:p>
        </w:tc>
        <w:tc>
          <w:tcPr>
            <w:tcW w:w="5866" w:type="dxa"/>
          </w:tcPr>
          <w:p>
            <w:pPr>
              <w:rPr>
                <w:rFonts w:cs="Times New Roman"/>
                <w:sz w:val="18"/>
                <w:szCs w:val="18"/>
              </w:rPr>
            </w:pPr>
            <w:r>
              <w:rPr>
                <w:rFonts w:hint="eastAsia"/>
                <w:sz w:val="24"/>
                <w:szCs w:val="24"/>
              </w:rPr>
              <w:t>人员上下基坑有专用安全通道。</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28</w:t>
            </w:r>
          </w:p>
        </w:tc>
        <w:tc>
          <w:tcPr>
            <w:tcW w:w="719" w:type="dxa"/>
            <w:vMerge w:val="restart"/>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r>
              <w:rPr>
                <w:rFonts w:hint="eastAsia"/>
                <w:sz w:val="24"/>
                <w:szCs w:val="24"/>
              </w:rPr>
              <w:t>临时用电</w:t>
            </w:r>
          </w:p>
        </w:tc>
        <w:tc>
          <w:tcPr>
            <w:tcW w:w="5866" w:type="dxa"/>
          </w:tcPr>
          <w:p>
            <w:pPr>
              <w:rPr>
                <w:rFonts w:cs="Times New Roman"/>
                <w:sz w:val="24"/>
                <w:szCs w:val="24"/>
              </w:rPr>
            </w:pPr>
            <w:r>
              <w:rPr>
                <w:rFonts w:hint="eastAsia"/>
                <w:sz w:val="24"/>
                <w:szCs w:val="24"/>
              </w:rPr>
              <w:t>施工现场严格执行《施工现场临时用电安全技术规范》（</w:t>
            </w:r>
            <w:r>
              <w:rPr>
                <w:sz w:val="24"/>
                <w:szCs w:val="24"/>
              </w:rPr>
              <w:t>JGJ46-2005</w:t>
            </w:r>
            <w:r>
              <w:rPr>
                <w:rFonts w:hint="eastAsia"/>
                <w:sz w:val="24"/>
                <w:szCs w:val="24"/>
              </w:rPr>
              <w:t>）。</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29</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配电系统要符合三级配电两级保护。</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30</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设备专用箱做到“</w:t>
            </w:r>
            <w:r>
              <w:rPr>
                <w:sz w:val="24"/>
                <w:szCs w:val="24"/>
              </w:rPr>
              <w:t>—</w:t>
            </w:r>
            <w:r>
              <w:rPr>
                <w:rFonts w:hint="eastAsia"/>
                <w:sz w:val="24"/>
                <w:szCs w:val="24"/>
              </w:rPr>
              <w:t>机、一闸、一漏、一箱”；严禁一闸多机。</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31</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配电箱、开关箱应有防尘、防雨措施。</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97" w:type="dxa"/>
          </w:tcPr>
          <w:p>
            <w:pPr>
              <w:spacing w:line="280" w:lineRule="exact"/>
              <w:jc w:val="center"/>
              <w:rPr>
                <w:rFonts w:cs="Times New Roman"/>
                <w:sz w:val="28"/>
                <w:szCs w:val="28"/>
              </w:rPr>
            </w:pPr>
          </w:p>
          <w:p>
            <w:pPr>
              <w:spacing w:line="280" w:lineRule="exact"/>
              <w:jc w:val="center"/>
              <w:rPr>
                <w:sz w:val="28"/>
                <w:szCs w:val="28"/>
              </w:rPr>
            </w:pPr>
            <w:r>
              <w:rPr>
                <w:sz w:val="28"/>
                <w:szCs w:val="28"/>
              </w:rPr>
              <w:t>32</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现场照明专用回路有漏电保护；潮湿作业使用</w:t>
            </w:r>
            <w:r>
              <w:rPr>
                <w:sz w:val="24"/>
                <w:szCs w:val="24"/>
              </w:rPr>
              <w:t>36v</w:t>
            </w:r>
            <w:r>
              <w:rPr>
                <w:rFonts w:hint="eastAsia"/>
                <w:sz w:val="24"/>
                <w:szCs w:val="24"/>
              </w:rPr>
              <w:t>以下安全电压；手持照明灯应使用</w:t>
            </w:r>
            <w:r>
              <w:rPr>
                <w:sz w:val="24"/>
                <w:szCs w:val="24"/>
              </w:rPr>
              <w:t>36v</w:t>
            </w:r>
            <w:r>
              <w:rPr>
                <w:rFonts w:hint="eastAsia"/>
                <w:sz w:val="24"/>
                <w:szCs w:val="24"/>
              </w:rPr>
              <w:t>及以下电源供电。不得使用其他金属丝代替熔丝。</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33</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配电线路电线无老化、破皮。</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34</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有备用的“禁止合闸、有人工作”标志牌。</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35</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电工作业应配戴绝缘防护用品，持证上岗。</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97" w:type="dxa"/>
          </w:tcPr>
          <w:p>
            <w:pPr>
              <w:spacing w:line="460" w:lineRule="exact"/>
              <w:jc w:val="center"/>
              <w:rPr>
                <w:sz w:val="28"/>
                <w:szCs w:val="28"/>
              </w:rPr>
            </w:pPr>
            <w:r>
              <w:rPr>
                <w:sz w:val="28"/>
                <w:szCs w:val="28"/>
              </w:rPr>
              <w:t>36</w:t>
            </w:r>
          </w:p>
        </w:tc>
        <w:tc>
          <w:tcPr>
            <w:tcW w:w="719" w:type="dxa"/>
            <w:vMerge w:val="restart"/>
            <w:vAlign w:val="center"/>
          </w:tcPr>
          <w:p>
            <w:pPr>
              <w:jc w:val="center"/>
              <w:rPr>
                <w:rFonts w:cs="Times New Roman"/>
                <w:sz w:val="24"/>
                <w:szCs w:val="24"/>
              </w:rPr>
            </w:pPr>
            <w:r>
              <w:rPr>
                <w:rFonts w:hint="eastAsia"/>
                <w:sz w:val="24"/>
                <w:szCs w:val="24"/>
              </w:rPr>
              <w:t>建筑起重机械</w:t>
            </w:r>
          </w:p>
        </w:tc>
        <w:tc>
          <w:tcPr>
            <w:tcW w:w="5866" w:type="dxa"/>
          </w:tcPr>
          <w:p>
            <w:pPr>
              <w:rPr>
                <w:rFonts w:cs="Times New Roman"/>
                <w:sz w:val="24"/>
                <w:szCs w:val="24"/>
              </w:rPr>
            </w:pPr>
            <w:r>
              <w:rPr>
                <w:rFonts w:hint="eastAsia"/>
                <w:sz w:val="24"/>
                <w:szCs w:val="24"/>
              </w:rPr>
              <w:t>塔吊应安装力矩及重量限制器、高度及变幅限位器、保险装置，按说明书设置附墙装置。</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97" w:type="dxa"/>
          </w:tcPr>
          <w:p>
            <w:pPr>
              <w:spacing w:line="460" w:lineRule="exact"/>
              <w:jc w:val="center"/>
              <w:rPr>
                <w:sz w:val="28"/>
                <w:szCs w:val="28"/>
              </w:rPr>
            </w:pPr>
            <w:r>
              <w:rPr>
                <w:sz w:val="28"/>
                <w:szCs w:val="28"/>
              </w:rPr>
              <w:t>37</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制定建筑起重机械安装拆卸方案；有验收资料或责任人签字。建筑起重机械安装应经检测、验收后投入使用。</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38</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有吊装、建筑起重设备运行维护保养记录。</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39</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起重吊装应设作业警戒区，并设专人监护。</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40</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安全防护棚搭设符合要求。</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41</w:t>
            </w:r>
          </w:p>
        </w:tc>
        <w:tc>
          <w:tcPr>
            <w:tcW w:w="719" w:type="dxa"/>
            <w:vMerge w:val="restart"/>
          </w:tcPr>
          <w:p>
            <w:pPr>
              <w:rPr>
                <w:rFonts w:cs="Times New Roman"/>
                <w:sz w:val="24"/>
                <w:szCs w:val="24"/>
              </w:rPr>
            </w:pPr>
          </w:p>
          <w:p>
            <w:pPr>
              <w:rPr>
                <w:rFonts w:cs="Times New Roman"/>
                <w:sz w:val="24"/>
                <w:szCs w:val="24"/>
              </w:rPr>
            </w:pPr>
            <w:r>
              <w:rPr>
                <w:rFonts w:hint="eastAsia"/>
                <w:sz w:val="24"/>
                <w:szCs w:val="24"/>
              </w:rPr>
              <w:t>模板支撑</w:t>
            </w:r>
          </w:p>
        </w:tc>
        <w:tc>
          <w:tcPr>
            <w:tcW w:w="5866" w:type="dxa"/>
          </w:tcPr>
          <w:p>
            <w:pPr>
              <w:rPr>
                <w:rFonts w:cs="Times New Roman"/>
                <w:sz w:val="24"/>
                <w:szCs w:val="24"/>
              </w:rPr>
            </w:pPr>
            <w:r>
              <w:rPr>
                <w:rFonts w:hint="eastAsia"/>
                <w:sz w:val="24"/>
                <w:szCs w:val="24"/>
              </w:rPr>
              <w:t>模板工程施工方案未按规定进行审批。</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42</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立杆纵横间距符合设计要求，水平杆连续设置。</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43</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模板安装高处作业有安全防护措施。</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tcPr>
          <w:p>
            <w:pPr>
              <w:spacing w:line="280" w:lineRule="exact"/>
              <w:jc w:val="center"/>
              <w:rPr>
                <w:sz w:val="28"/>
                <w:szCs w:val="28"/>
              </w:rPr>
            </w:pPr>
            <w:r>
              <w:rPr>
                <w:sz w:val="28"/>
                <w:szCs w:val="28"/>
              </w:rPr>
              <w:t>44</w:t>
            </w:r>
          </w:p>
        </w:tc>
        <w:tc>
          <w:tcPr>
            <w:tcW w:w="719" w:type="dxa"/>
            <w:vMerge w:val="continue"/>
          </w:tcPr>
          <w:p>
            <w:pPr>
              <w:rPr>
                <w:rFonts w:cs="Times New Roman"/>
                <w:sz w:val="24"/>
                <w:szCs w:val="24"/>
              </w:rPr>
            </w:pPr>
          </w:p>
        </w:tc>
        <w:tc>
          <w:tcPr>
            <w:tcW w:w="5866" w:type="dxa"/>
          </w:tcPr>
          <w:p>
            <w:pPr>
              <w:rPr>
                <w:rFonts w:cs="Times New Roman"/>
                <w:sz w:val="24"/>
                <w:szCs w:val="24"/>
              </w:rPr>
            </w:pPr>
            <w:r>
              <w:rPr>
                <w:rFonts w:hint="eastAsia"/>
                <w:sz w:val="24"/>
                <w:szCs w:val="24"/>
              </w:rPr>
              <w:t>模板拆除有设置警戒线，有监护人。</w:t>
            </w:r>
          </w:p>
        </w:tc>
        <w:tc>
          <w:tcPr>
            <w:tcW w:w="511" w:type="dxa"/>
          </w:tcPr>
          <w:p>
            <w:pPr>
              <w:spacing w:line="280" w:lineRule="exact"/>
              <w:jc w:val="center"/>
              <w:rPr>
                <w:rFonts w:cs="Times New Roman"/>
                <w:sz w:val="24"/>
                <w:szCs w:val="24"/>
              </w:rPr>
            </w:pPr>
          </w:p>
        </w:tc>
        <w:tc>
          <w:tcPr>
            <w:tcW w:w="630" w:type="dxa"/>
          </w:tcPr>
          <w:p>
            <w:pPr>
              <w:spacing w:line="280" w:lineRule="exact"/>
              <w:jc w:val="center"/>
              <w:rPr>
                <w:rFonts w:cs="Times New Roman"/>
                <w:sz w:val="24"/>
                <w:szCs w:val="24"/>
              </w:rPr>
            </w:pPr>
          </w:p>
        </w:tc>
        <w:tc>
          <w:tcPr>
            <w:tcW w:w="1337" w:type="dxa"/>
          </w:tcPr>
          <w:p>
            <w:pPr>
              <w:rPr>
                <w:rFonts w:cs="Times New Roman"/>
                <w:sz w:val="24"/>
                <w:szCs w:val="24"/>
              </w:rPr>
            </w:pPr>
          </w:p>
        </w:tc>
      </w:tr>
    </w:tbl>
    <w:p>
      <w:pPr>
        <w:spacing w:line="560" w:lineRule="exact"/>
        <w:jc w:val="center"/>
        <w:rPr>
          <w:rFonts w:cs="Times New Roman"/>
          <w:b/>
          <w:bCs/>
          <w:sz w:val="18"/>
          <w:szCs w:val="18"/>
        </w:rPr>
      </w:pPr>
      <w:r>
        <w:rPr>
          <w:rFonts w:hint="eastAsia"/>
          <w:b/>
          <w:bCs/>
          <w:sz w:val="32"/>
          <w:szCs w:val="32"/>
        </w:rPr>
        <w:t>二、建筑施工安全检查清单</w:t>
      </w:r>
      <w:r>
        <w:rPr>
          <w:rFonts w:hint="eastAsia"/>
          <w:sz w:val="32"/>
          <w:szCs w:val="32"/>
        </w:rPr>
        <w:t>（续）</w:t>
      </w:r>
    </w:p>
    <w:tbl>
      <w:tblPr>
        <w:tblStyle w:val="5"/>
        <w:tblW w:w="91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320" w:lineRule="exact"/>
              <w:jc w:val="center"/>
              <w:rPr>
                <w:rFonts w:cs="Times New Roman"/>
                <w:sz w:val="24"/>
                <w:szCs w:val="24"/>
              </w:rPr>
            </w:pPr>
            <w:r>
              <w:rPr>
                <w:rFonts w:hint="eastAsia"/>
                <w:sz w:val="24"/>
                <w:szCs w:val="24"/>
              </w:rPr>
              <w:t>序号</w:t>
            </w:r>
          </w:p>
        </w:tc>
        <w:tc>
          <w:tcPr>
            <w:tcW w:w="718" w:type="dxa"/>
            <w:vMerge w:val="restart"/>
          </w:tcPr>
          <w:p>
            <w:pPr>
              <w:spacing w:line="320" w:lineRule="exact"/>
              <w:rPr>
                <w:rFonts w:cs="Times New Roman"/>
                <w:sz w:val="24"/>
                <w:szCs w:val="24"/>
              </w:rPr>
            </w:pPr>
            <w:r>
              <w:rPr>
                <w:rFonts w:hint="eastAsia"/>
                <w:sz w:val="24"/>
                <w:szCs w:val="24"/>
              </w:rPr>
              <w:t>检查类别</w:t>
            </w:r>
          </w:p>
        </w:tc>
        <w:tc>
          <w:tcPr>
            <w:tcW w:w="5008" w:type="dxa"/>
            <w:vMerge w:val="restart"/>
          </w:tcPr>
          <w:p>
            <w:pPr>
              <w:spacing w:line="320" w:lineRule="exact"/>
              <w:jc w:val="center"/>
              <w:rPr>
                <w:rFonts w:cs="Times New Roman"/>
                <w:sz w:val="28"/>
                <w:szCs w:val="28"/>
              </w:rPr>
            </w:pPr>
            <w:r>
              <w:rPr>
                <w:rFonts w:hint="eastAsia"/>
                <w:sz w:val="28"/>
                <w:szCs w:val="28"/>
              </w:rPr>
              <w:t>检查标准要求</w:t>
            </w:r>
          </w:p>
        </w:tc>
        <w:tc>
          <w:tcPr>
            <w:tcW w:w="1092" w:type="dxa"/>
            <w:gridSpan w:val="2"/>
          </w:tcPr>
          <w:p>
            <w:pPr>
              <w:spacing w:line="32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32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spacing w:line="320" w:lineRule="exact"/>
              <w:jc w:val="center"/>
              <w:rPr>
                <w:rFonts w:cs="Times New Roman"/>
                <w:sz w:val="24"/>
                <w:szCs w:val="24"/>
              </w:rPr>
            </w:pPr>
          </w:p>
        </w:tc>
        <w:tc>
          <w:tcPr>
            <w:tcW w:w="718" w:type="dxa"/>
            <w:vMerge w:val="continue"/>
          </w:tcPr>
          <w:p>
            <w:pPr>
              <w:spacing w:line="320" w:lineRule="exact"/>
              <w:rPr>
                <w:rFonts w:cs="Times New Roman"/>
                <w:sz w:val="24"/>
                <w:szCs w:val="24"/>
              </w:rPr>
            </w:pPr>
          </w:p>
        </w:tc>
        <w:tc>
          <w:tcPr>
            <w:tcW w:w="5008" w:type="dxa"/>
            <w:vMerge w:val="continue"/>
          </w:tcPr>
          <w:p>
            <w:pPr>
              <w:spacing w:line="320" w:lineRule="exact"/>
              <w:rPr>
                <w:rFonts w:cs="Times New Roman"/>
                <w:sz w:val="24"/>
                <w:szCs w:val="24"/>
              </w:rPr>
            </w:pPr>
          </w:p>
        </w:tc>
        <w:tc>
          <w:tcPr>
            <w:tcW w:w="552" w:type="dxa"/>
          </w:tcPr>
          <w:p>
            <w:pPr>
              <w:spacing w:line="320" w:lineRule="exact"/>
              <w:jc w:val="center"/>
              <w:rPr>
                <w:rFonts w:cs="Times New Roman"/>
                <w:sz w:val="24"/>
                <w:szCs w:val="24"/>
              </w:rPr>
            </w:pPr>
            <w:r>
              <w:rPr>
                <w:rFonts w:hint="eastAsia"/>
                <w:sz w:val="24"/>
                <w:szCs w:val="24"/>
              </w:rPr>
              <w:t>是</w:t>
            </w:r>
          </w:p>
        </w:tc>
        <w:tc>
          <w:tcPr>
            <w:tcW w:w="540" w:type="dxa"/>
          </w:tcPr>
          <w:p>
            <w:pPr>
              <w:spacing w:line="320" w:lineRule="exact"/>
              <w:jc w:val="center"/>
              <w:rPr>
                <w:rFonts w:cs="Times New Roman"/>
                <w:sz w:val="24"/>
                <w:szCs w:val="24"/>
              </w:rPr>
            </w:pPr>
            <w:r>
              <w:rPr>
                <w:rFonts w:hint="eastAsia"/>
                <w:sz w:val="24"/>
                <w:szCs w:val="24"/>
              </w:rPr>
              <w:t>否</w:t>
            </w:r>
          </w:p>
        </w:tc>
        <w:tc>
          <w:tcPr>
            <w:tcW w:w="1805" w:type="dxa"/>
            <w:vMerge w:val="continue"/>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45</w:t>
            </w:r>
          </w:p>
        </w:tc>
        <w:tc>
          <w:tcPr>
            <w:tcW w:w="718" w:type="dxa"/>
            <w:vMerge w:val="restart"/>
          </w:tcPr>
          <w:p>
            <w:pPr>
              <w:spacing w:line="320" w:lineRule="exact"/>
              <w:rPr>
                <w:rFonts w:cs="Times New Roman"/>
                <w:sz w:val="24"/>
                <w:szCs w:val="24"/>
              </w:rPr>
            </w:pPr>
            <w:r>
              <w:rPr>
                <w:rFonts w:hint="eastAsia"/>
                <w:sz w:val="24"/>
                <w:szCs w:val="24"/>
              </w:rPr>
              <w:t>安全警示标志</w:t>
            </w:r>
          </w:p>
        </w:tc>
        <w:tc>
          <w:tcPr>
            <w:tcW w:w="5008" w:type="dxa"/>
          </w:tcPr>
          <w:p>
            <w:pPr>
              <w:spacing w:line="320" w:lineRule="exact"/>
              <w:rPr>
                <w:rFonts w:cs="Times New Roman"/>
                <w:sz w:val="24"/>
                <w:szCs w:val="24"/>
              </w:rPr>
            </w:pPr>
            <w:r>
              <w:rPr>
                <w:rFonts w:hint="eastAsia"/>
                <w:sz w:val="24"/>
                <w:szCs w:val="24"/>
              </w:rPr>
              <w:t>现场有安全标志布置总平面图，按图设标志。</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46</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pacing w:val="-10"/>
                <w:sz w:val="24"/>
                <w:szCs w:val="24"/>
              </w:rPr>
              <w:t>在有较大危险因素的施工现场和有关设施、设备上，设置明显的安全警示标志。</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6" w:type="dxa"/>
          </w:tcPr>
          <w:p>
            <w:pPr>
              <w:spacing w:line="320" w:lineRule="exact"/>
              <w:jc w:val="center"/>
              <w:rPr>
                <w:sz w:val="28"/>
                <w:szCs w:val="28"/>
              </w:rPr>
            </w:pPr>
            <w:r>
              <w:rPr>
                <w:sz w:val="28"/>
                <w:szCs w:val="28"/>
              </w:rPr>
              <w:t>47</w:t>
            </w:r>
          </w:p>
        </w:tc>
        <w:tc>
          <w:tcPr>
            <w:tcW w:w="718" w:type="dxa"/>
            <w:vMerge w:val="restart"/>
            <w:vAlign w:val="center"/>
          </w:tcPr>
          <w:p>
            <w:pPr>
              <w:spacing w:line="320" w:lineRule="exact"/>
              <w:jc w:val="center"/>
              <w:rPr>
                <w:rFonts w:cs="Times New Roman"/>
                <w:sz w:val="24"/>
                <w:szCs w:val="24"/>
              </w:rPr>
            </w:pPr>
            <w:r>
              <w:rPr>
                <w:rFonts w:hint="eastAsia"/>
                <w:sz w:val="24"/>
                <w:szCs w:val="24"/>
              </w:rPr>
              <w:t>设备安全</w:t>
            </w:r>
          </w:p>
        </w:tc>
        <w:tc>
          <w:tcPr>
            <w:tcW w:w="5008" w:type="dxa"/>
          </w:tcPr>
          <w:p>
            <w:pPr>
              <w:spacing w:line="320" w:lineRule="exact"/>
              <w:rPr>
                <w:rFonts w:cs="Times New Roman"/>
                <w:sz w:val="24"/>
                <w:szCs w:val="24"/>
              </w:rPr>
            </w:pPr>
            <w:r>
              <w:rPr>
                <w:rFonts w:hint="eastAsia"/>
                <w:sz w:val="24"/>
                <w:szCs w:val="24"/>
              </w:rPr>
              <w:t>设备有维护、保养、检测记录；确保正常运转。</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48</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有易燃易爆气体和粉尘作业场所，应当使用防爆型电气设备或者采取有效的防爆技术措施。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49</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氧气、乙炔瓶不得倒置，氧气、乙炔瓶工作距离不小于</w:t>
            </w:r>
            <w:r>
              <w:rPr>
                <w:sz w:val="24"/>
                <w:szCs w:val="24"/>
              </w:rPr>
              <w:t>5m</w:t>
            </w:r>
            <w:r>
              <w:rPr>
                <w:rFonts w:hint="eastAsia"/>
                <w:sz w:val="24"/>
                <w:szCs w:val="24"/>
              </w:rPr>
              <w:t>，两瓶与明火的距离不小于</w:t>
            </w:r>
            <w:r>
              <w:rPr>
                <w:sz w:val="24"/>
                <w:szCs w:val="24"/>
              </w:rPr>
              <w:t>10m</w:t>
            </w:r>
            <w:r>
              <w:rPr>
                <w:rFonts w:hint="eastAsia"/>
                <w:sz w:val="24"/>
                <w:szCs w:val="24"/>
              </w:rPr>
              <w:t>。</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50</w:t>
            </w:r>
          </w:p>
        </w:tc>
        <w:tc>
          <w:tcPr>
            <w:tcW w:w="718" w:type="dxa"/>
            <w:vMerge w:val="restart"/>
          </w:tcPr>
          <w:p>
            <w:pPr>
              <w:spacing w:line="320" w:lineRule="exact"/>
              <w:rPr>
                <w:rFonts w:cs="Times New Roman"/>
                <w:sz w:val="24"/>
                <w:szCs w:val="24"/>
              </w:rPr>
            </w:pPr>
          </w:p>
          <w:p>
            <w:pPr>
              <w:spacing w:line="320" w:lineRule="exact"/>
              <w:rPr>
                <w:rFonts w:cs="Times New Roman"/>
                <w:sz w:val="24"/>
                <w:szCs w:val="24"/>
              </w:rPr>
            </w:pPr>
          </w:p>
          <w:p>
            <w:pPr>
              <w:spacing w:line="320" w:lineRule="exact"/>
              <w:rPr>
                <w:rFonts w:cs="Times New Roman"/>
                <w:sz w:val="24"/>
                <w:szCs w:val="24"/>
              </w:rPr>
            </w:pPr>
          </w:p>
          <w:p>
            <w:pPr>
              <w:spacing w:line="320" w:lineRule="exact"/>
              <w:rPr>
                <w:rFonts w:cs="Times New Roman"/>
                <w:sz w:val="24"/>
                <w:szCs w:val="24"/>
              </w:rPr>
            </w:pPr>
            <w:r>
              <w:rPr>
                <w:rFonts w:hint="eastAsia"/>
                <w:sz w:val="24"/>
                <w:szCs w:val="24"/>
              </w:rPr>
              <w:t>安全防护设施</w:t>
            </w:r>
          </w:p>
        </w:tc>
        <w:tc>
          <w:tcPr>
            <w:tcW w:w="5008" w:type="dxa"/>
          </w:tcPr>
          <w:p>
            <w:pPr>
              <w:spacing w:line="320" w:lineRule="exact"/>
              <w:rPr>
                <w:sz w:val="24"/>
                <w:szCs w:val="24"/>
              </w:rPr>
            </w:pPr>
            <w:r>
              <w:rPr>
                <w:rFonts w:hint="eastAsia"/>
                <w:sz w:val="24"/>
                <w:szCs w:val="24"/>
              </w:rPr>
              <w:t>进入施工现场，人员必须正确佩戴安全帽、高处作业应系挂安全带、在建工程外架应挂设安全网</w:t>
            </w:r>
            <w:r>
              <w:rPr>
                <w:sz w:val="24"/>
                <w:szCs w:val="24"/>
              </w:rPr>
              <w:t xml:space="preserve"> </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51</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在建工程预留洞口、电梯井口、通道口、楼梯口应设置防护措施。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52</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在建工程的楼面临边、屋面临边、阳台临边、升降口临边、基坑口临边有防护措施。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54</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防护棚搭设与拆除时，应设警戒区，并应派专人监护。严禁上下同时拆除。</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55</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按规定配备相应的消防器材、设施。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56</w:t>
            </w:r>
          </w:p>
        </w:tc>
        <w:tc>
          <w:tcPr>
            <w:tcW w:w="718" w:type="dxa"/>
            <w:vMerge w:val="restart"/>
          </w:tcPr>
          <w:p>
            <w:pPr>
              <w:spacing w:line="320" w:lineRule="exact"/>
              <w:rPr>
                <w:rFonts w:cs="Times New Roman"/>
                <w:sz w:val="24"/>
                <w:szCs w:val="24"/>
              </w:rPr>
            </w:pPr>
            <w:r>
              <w:rPr>
                <w:rFonts w:hint="eastAsia"/>
                <w:sz w:val="24"/>
                <w:szCs w:val="24"/>
              </w:rPr>
              <w:t>特种设备</w:t>
            </w:r>
          </w:p>
        </w:tc>
        <w:tc>
          <w:tcPr>
            <w:tcW w:w="5008" w:type="dxa"/>
          </w:tcPr>
          <w:p>
            <w:pPr>
              <w:spacing w:line="320" w:lineRule="exact"/>
              <w:rPr>
                <w:rFonts w:cs="Times New Roman"/>
                <w:sz w:val="24"/>
                <w:szCs w:val="24"/>
              </w:rPr>
            </w:pPr>
            <w:r>
              <w:rPr>
                <w:rFonts w:hint="eastAsia"/>
                <w:sz w:val="24"/>
                <w:szCs w:val="24"/>
              </w:rPr>
              <w:t>有特种设备使用证或安全检验合格标志。</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57</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有维修保养制度；有维修保养和检测记录。</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rFonts w:cs="Times New Roman"/>
                <w:sz w:val="28"/>
                <w:szCs w:val="28"/>
              </w:rPr>
            </w:pPr>
          </w:p>
          <w:p>
            <w:pPr>
              <w:spacing w:line="320" w:lineRule="exact"/>
              <w:jc w:val="center"/>
              <w:rPr>
                <w:rFonts w:cs="Times New Roman"/>
                <w:sz w:val="28"/>
                <w:szCs w:val="28"/>
              </w:rPr>
            </w:pPr>
          </w:p>
          <w:p>
            <w:pPr>
              <w:spacing w:line="320" w:lineRule="exact"/>
              <w:jc w:val="center"/>
              <w:rPr>
                <w:rFonts w:cs="Times New Roman"/>
                <w:sz w:val="28"/>
                <w:szCs w:val="28"/>
              </w:rPr>
            </w:pPr>
          </w:p>
          <w:p>
            <w:pPr>
              <w:spacing w:line="320" w:lineRule="exact"/>
              <w:jc w:val="center"/>
              <w:rPr>
                <w:sz w:val="28"/>
                <w:szCs w:val="28"/>
              </w:rPr>
            </w:pPr>
            <w:r>
              <w:rPr>
                <w:sz w:val="28"/>
                <w:szCs w:val="28"/>
              </w:rPr>
              <w:t>58</w:t>
            </w:r>
          </w:p>
        </w:tc>
        <w:tc>
          <w:tcPr>
            <w:tcW w:w="718" w:type="dxa"/>
            <w:vAlign w:val="center"/>
          </w:tcPr>
          <w:p>
            <w:pPr>
              <w:spacing w:line="320" w:lineRule="exact"/>
              <w:jc w:val="center"/>
              <w:rPr>
                <w:rFonts w:cs="Times New Roman"/>
                <w:sz w:val="24"/>
                <w:szCs w:val="24"/>
              </w:rPr>
            </w:pPr>
            <w:r>
              <w:rPr>
                <w:rFonts w:hint="eastAsia"/>
                <w:sz w:val="24"/>
                <w:szCs w:val="24"/>
              </w:rPr>
              <w:t>隐患排查治理</w:t>
            </w:r>
          </w:p>
        </w:tc>
        <w:tc>
          <w:tcPr>
            <w:tcW w:w="5008" w:type="dxa"/>
          </w:tcPr>
          <w:p>
            <w:pPr>
              <w:spacing w:line="320" w:lineRule="exact"/>
              <w:rPr>
                <w:rFonts w:cs="Times New Roman"/>
                <w:sz w:val="24"/>
                <w:szCs w:val="24"/>
              </w:rPr>
            </w:pPr>
            <w:r>
              <w:rPr>
                <w:rFonts w:hint="eastAsia"/>
                <w:sz w:val="24"/>
                <w:szCs w:val="24"/>
              </w:rPr>
              <w:t>每月组织督促、检查，按照《建筑施工安全检查标准》（</w:t>
            </w:r>
            <w:r>
              <w:rPr>
                <w:sz w:val="24"/>
                <w:szCs w:val="24"/>
              </w:rPr>
              <w:t>JGJ59-2011</w:t>
            </w:r>
            <w:r>
              <w:rPr>
                <w:rFonts w:hint="eastAsia"/>
                <w:sz w:val="24"/>
                <w:szCs w:val="24"/>
              </w:rPr>
              <w:t>），施工现场脚手架、基坑支护与模板工程、</w:t>
            </w:r>
            <w:r>
              <w:rPr>
                <w:sz w:val="24"/>
                <w:szCs w:val="24"/>
              </w:rPr>
              <w:t>"</w:t>
            </w:r>
            <w:r>
              <w:rPr>
                <w:rFonts w:hint="eastAsia"/>
                <w:sz w:val="24"/>
                <w:szCs w:val="24"/>
              </w:rPr>
              <w:t>四口、五临边</w:t>
            </w:r>
            <w:r>
              <w:rPr>
                <w:sz w:val="24"/>
                <w:szCs w:val="24"/>
              </w:rPr>
              <w:t>"</w:t>
            </w:r>
            <w:r>
              <w:rPr>
                <w:rFonts w:hint="eastAsia"/>
                <w:sz w:val="24"/>
                <w:szCs w:val="24"/>
              </w:rPr>
              <w:t>、高边坡、施工升降机、塔吊等重要部位的安全防护与管理是否符合标准规范检查。每日由专职安全员进行日常检查。及时整改隐患，检查及处理情况记录在案。</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59</w:t>
            </w:r>
          </w:p>
        </w:tc>
        <w:tc>
          <w:tcPr>
            <w:tcW w:w="718" w:type="dxa"/>
            <w:vMerge w:val="restart"/>
          </w:tcPr>
          <w:p>
            <w:pPr>
              <w:spacing w:line="320" w:lineRule="exact"/>
              <w:rPr>
                <w:rFonts w:cs="Times New Roman"/>
                <w:sz w:val="24"/>
                <w:szCs w:val="24"/>
              </w:rPr>
            </w:pPr>
            <w:r>
              <w:rPr>
                <w:rFonts w:hint="eastAsia"/>
                <w:sz w:val="24"/>
                <w:szCs w:val="24"/>
              </w:rPr>
              <w:t>事故查处</w:t>
            </w:r>
          </w:p>
        </w:tc>
        <w:tc>
          <w:tcPr>
            <w:tcW w:w="5008" w:type="dxa"/>
          </w:tcPr>
          <w:p>
            <w:pPr>
              <w:spacing w:line="320" w:lineRule="exact"/>
              <w:rPr>
                <w:rFonts w:cs="Times New Roman"/>
                <w:sz w:val="24"/>
                <w:szCs w:val="24"/>
              </w:rPr>
            </w:pPr>
            <w:r>
              <w:rPr>
                <w:rFonts w:hint="eastAsia"/>
                <w:sz w:val="24"/>
                <w:szCs w:val="24"/>
              </w:rPr>
              <w:t>按事故报告程序及时、如实报告事故。</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60</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sz w:val="24"/>
                <w:szCs w:val="24"/>
              </w:rPr>
              <w:t>按“四不放过”原则调查、处理事故责任人。</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61</w:t>
            </w:r>
          </w:p>
        </w:tc>
        <w:tc>
          <w:tcPr>
            <w:tcW w:w="718" w:type="dxa"/>
            <w:vMerge w:val="restart"/>
          </w:tcPr>
          <w:p>
            <w:pPr>
              <w:spacing w:line="320" w:lineRule="exact"/>
              <w:rPr>
                <w:rFonts w:cs="Times New Roman"/>
                <w:sz w:val="24"/>
                <w:szCs w:val="24"/>
              </w:rPr>
            </w:pPr>
          </w:p>
          <w:p>
            <w:pPr>
              <w:spacing w:line="320" w:lineRule="exact"/>
              <w:rPr>
                <w:rFonts w:cs="Times New Roman"/>
                <w:sz w:val="24"/>
                <w:szCs w:val="24"/>
              </w:rPr>
            </w:pPr>
            <w:r>
              <w:rPr>
                <w:rFonts w:hint="eastAsia"/>
                <w:sz w:val="24"/>
                <w:szCs w:val="24"/>
              </w:rPr>
              <w:t>应急处置</w:t>
            </w:r>
          </w:p>
        </w:tc>
        <w:tc>
          <w:tcPr>
            <w:tcW w:w="5008" w:type="dxa"/>
          </w:tcPr>
          <w:p>
            <w:pPr>
              <w:spacing w:line="320" w:lineRule="exact"/>
              <w:rPr>
                <w:rFonts w:cs="Times New Roman"/>
                <w:sz w:val="24"/>
                <w:szCs w:val="24"/>
              </w:rPr>
            </w:pPr>
            <w:r>
              <w:rPr>
                <w:rFonts w:hint="eastAsia"/>
                <w:sz w:val="24"/>
                <w:szCs w:val="24"/>
              </w:rPr>
              <w:t>有事故应急救援预案。</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62</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color w:val="000000"/>
                <w:sz w:val="24"/>
                <w:szCs w:val="24"/>
              </w:rPr>
              <w:t>配备了应急队伍与必要的应急设备、设施。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63</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color w:val="000000"/>
                <w:sz w:val="24"/>
                <w:szCs w:val="24"/>
              </w:rPr>
              <w:t>有预案演练记录。</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64</w:t>
            </w:r>
          </w:p>
        </w:tc>
        <w:tc>
          <w:tcPr>
            <w:tcW w:w="718" w:type="dxa"/>
            <w:vMerge w:val="continue"/>
          </w:tcPr>
          <w:p>
            <w:pPr>
              <w:spacing w:line="320" w:lineRule="exact"/>
              <w:rPr>
                <w:rFonts w:cs="Times New Roman"/>
                <w:sz w:val="24"/>
                <w:szCs w:val="24"/>
              </w:rPr>
            </w:pPr>
          </w:p>
        </w:tc>
        <w:tc>
          <w:tcPr>
            <w:tcW w:w="5008" w:type="dxa"/>
          </w:tcPr>
          <w:p>
            <w:pPr>
              <w:spacing w:line="320" w:lineRule="exact"/>
              <w:rPr>
                <w:rFonts w:cs="Times New Roman"/>
                <w:sz w:val="24"/>
                <w:szCs w:val="24"/>
              </w:rPr>
            </w:pPr>
            <w:r>
              <w:rPr>
                <w:rFonts w:hint="eastAsia"/>
                <w:color w:val="000000"/>
                <w:sz w:val="24"/>
                <w:szCs w:val="24"/>
              </w:rPr>
              <w:t>应急组织有明确的联络方式以便单位负责人接到事故报告后，能够迅速采取有效措施。</w:t>
            </w:r>
          </w:p>
        </w:tc>
        <w:tc>
          <w:tcPr>
            <w:tcW w:w="552" w:type="dxa"/>
          </w:tcPr>
          <w:p>
            <w:pPr>
              <w:spacing w:line="320" w:lineRule="exact"/>
              <w:jc w:val="center"/>
              <w:rPr>
                <w:rFonts w:cs="Times New Roman"/>
                <w:sz w:val="24"/>
                <w:szCs w:val="24"/>
              </w:rPr>
            </w:pPr>
          </w:p>
        </w:tc>
        <w:tc>
          <w:tcPr>
            <w:tcW w:w="540" w:type="dxa"/>
          </w:tcPr>
          <w:p>
            <w:pPr>
              <w:spacing w:line="320" w:lineRule="exact"/>
              <w:jc w:val="center"/>
              <w:rPr>
                <w:rFonts w:cs="Times New Roman"/>
                <w:sz w:val="24"/>
                <w:szCs w:val="24"/>
              </w:rPr>
            </w:pPr>
          </w:p>
        </w:tc>
        <w:tc>
          <w:tcPr>
            <w:tcW w:w="1805" w:type="dxa"/>
          </w:tcPr>
          <w:p>
            <w:pPr>
              <w:spacing w:line="320" w:lineRule="exact"/>
              <w:rPr>
                <w:rFonts w:cs="Times New Roman"/>
                <w:sz w:val="24"/>
                <w:szCs w:val="24"/>
              </w:rPr>
            </w:pPr>
          </w:p>
        </w:tc>
      </w:tr>
    </w:tbl>
    <w:p>
      <w:pPr>
        <w:spacing w:line="480" w:lineRule="exact"/>
        <w:rPr>
          <w:rFonts w:cs="Times New Roman"/>
          <w:sz w:val="28"/>
          <w:szCs w:val="28"/>
        </w:rPr>
      </w:pPr>
      <w:r>
        <w:rPr>
          <w:rFonts w:hint="eastAsia"/>
          <w:sz w:val="28"/>
          <w:szCs w:val="28"/>
        </w:rPr>
        <w:t>监督检查单位：</w:t>
      </w:r>
    </w:p>
    <w:p>
      <w:pPr>
        <w:spacing w:line="480" w:lineRule="exact"/>
        <w:rPr>
          <w:rFonts w:cs="Times New Roman"/>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cs="Times New Roman"/>
          <w:b/>
          <w:bCs/>
          <w:sz w:val="32"/>
          <w:szCs w:val="32"/>
        </w:rPr>
        <w:t> </w:t>
      </w:r>
    </w:p>
    <w:p>
      <w:pPr>
        <w:spacing w:line="480" w:lineRule="exact"/>
        <w:jc w:val="center"/>
        <w:rPr>
          <w:rFonts w:cs="Times New Roman"/>
          <w:b/>
          <w:bCs/>
          <w:sz w:val="32"/>
          <w:szCs w:val="32"/>
        </w:rPr>
      </w:pPr>
    </w:p>
    <w:p>
      <w:pPr>
        <w:spacing w:line="320" w:lineRule="exact"/>
        <w:jc w:val="center"/>
        <w:rPr>
          <w:rFonts w:cs="Times New Roman"/>
          <w:b/>
          <w:bCs/>
          <w:sz w:val="32"/>
          <w:szCs w:val="32"/>
        </w:rPr>
      </w:pPr>
    </w:p>
    <w:p>
      <w:pPr>
        <w:spacing w:line="320" w:lineRule="exact"/>
        <w:jc w:val="center"/>
        <w:rPr>
          <w:rFonts w:cs="Times New Roman"/>
          <w:b/>
          <w:bCs/>
          <w:sz w:val="32"/>
          <w:szCs w:val="32"/>
        </w:rPr>
      </w:pPr>
      <w:r>
        <w:rPr>
          <w:rFonts w:hint="eastAsia"/>
          <w:b/>
          <w:bCs/>
          <w:sz w:val="32"/>
          <w:szCs w:val="32"/>
        </w:rPr>
        <w:t>三、非煤矿山安全检查清单</w:t>
      </w:r>
    </w:p>
    <w:p>
      <w:pPr>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w:t>
            </w:r>
          </w:p>
        </w:tc>
        <w:tc>
          <w:tcPr>
            <w:tcW w:w="718" w:type="dxa"/>
            <w:vMerge w:val="restart"/>
          </w:tcPr>
          <w:p>
            <w:pPr>
              <w:spacing w:line="600" w:lineRule="exact"/>
              <w:rPr>
                <w:rFonts w:cs="Times New Roman"/>
                <w:sz w:val="24"/>
                <w:szCs w:val="24"/>
              </w:rPr>
            </w:pPr>
            <w:r>
              <w:rPr>
                <w:rFonts w:hint="eastAsia"/>
                <w:sz w:val="24"/>
                <w:szCs w:val="24"/>
              </w:rPr>
              <w:t>资质</w:t>
            </w:r>
          </w:p>
        </w:tc>
        <w:tc>
          <w:tcPr>
            <w:tcW w:w="5008" w:type="dxa"/>
          </w:tcPr>
          <w:p>
            <w:pPr>
              <w:rPr>
                <w:rFonts w:cs="Times New Roman"/>
                <w:sz w:val="24"/>
                <w:szCs w:val="24"/>
              </w:rPr>
            </w:pPr>
            <w:r>
              <w:rPr>
                <w:rFonts w:hint="eastAsia"/>
                <w:sz w:val="24"/>
                <w:szCs w:val="24"/>
              </w:rPr>
              <w:t>矿山开采企业证照齐全有效。</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40" w:lineRule="exact"/>
              <w:jc w:val="center"/>
              <w:rPr>
                <w:sz w:val="28"/>
                <w:szCs w:val="28"/>
              </w:rPr>
            </w:pPr>
            <w:r>
              <w:rPr>
                <w:sz w:val="28"/>
                <w:szCs w:val="28"/>
              </w:rPr>
              <w:t>2</w:t>
            </w:r>
          </w:p>
        </w:tc>
        <w:tc>
          <w:tcPr>
            <w:tcW w:w="718" w:type="dxa"/>
            <w:vMerge w:val="continue"/>
          </w:tcPr>
          <w:p>
            <w:pPr>
              <w:spacing w:line="46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矿山安全设施由具有资质的设计单位设计，并通过监管部门审查，经竣工验收合格。</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40" w:lineRule="exact"/>
              <w:jc w:val="center"/>
              <w:rPr>
                <w:sz w:val="28"/>
                <w:szCs w:val="28"/>
              </w:rPr>
            </w:pPr>
            <w:r>
              <w:rPr>
                <w:sz w:val="28"/>
                <w:szCs w:val="28"/>
              </w:rPr>
              <w:t>3</w:t>
            </w:r>
          </w:p>
        </w:tc>
        <w:tc>
          <w:tcPr>
            <w:tcW w:w="718" w:type="dxa"/>
            <w:vMerge w:val="restart"/>
            <w:vAlign w:val="center"/>
          </w:tcPr>
          <w:p>
            <w:pPr>
              <w:spacing w:line="300" w:lineRule="exact"/>
              <w:jc w:val="center"/>
              <w:rPr>
                <w:rFonts w:cs="Times New Roman"/>
                <w:sz w:val="24"/>
                <w:szCs w:val="24"/>
              </w:rPr>
            </w:pPr>
            <w:r>
              <w:rPr>
                <w:rFonts w:hint="eastAsia"/>
                <w:sz w:val="24"/>
                <w:szCs w:val="24"/>
              </w:rPr>
              <w:t>责任制与制度及规程</w:t>
            </w:r>
          </w:p>
        </w:tc>
        <w:tc>
          <w:tcPr>
            <w:tcW w:w="5008" w:type="dxa"/>
          </w:tcPr>
          <w:p>
            <w:pPr>
              <w:spacing w:line="260" w:lineRule="exact"/>
              <w:rPr>
                <w:rFonts w:cs="Times New Roman"/>
                <w:sz w:val="24"/>
                <w:szCs w:val="24"/>
              </w:rPr>
            </w:pPr>
            <w:r>
              <w:rPr>
                <w:rFonts w:hint="eastAsia"/>
                <w:sz w:val="24"/>
                <w:szCs w:val="24"/>
              </w:rPr>
              <w:t>有健全的主要负责人、分管负责人、安全生产管理人员、职能部门、岗位安全生产责任制。</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920" w:lineRule="exact"/>
              <w:jc w:val="center"/>
              <w:rPr>
                <w:sz w:val="28"/>
                <w:szCs w:val="28"/>
              </w:rPr>
            </w:pPr>
            <w:r>
              <w:rPr>
                <w:sz w:val="28"/>
                <w:szCs w:val="28"/>
              </w:rPr>
              <w:t>4</w:t>
            </w:r>
          </w:p>
        </w:tc>
        <w:tc>
          <w:tcPr>
            <w:tcW w:w="718" w:type="dxa"/>
            <w:vMerge w:val="continue"/>
          </w:tcPr>
          <w:p>
            <w:pPr>
              <w:spacing w:line="46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建立并实施下列制度</w:t>
            </w:r>
            <w:r>
              <w:rPr>
                <w:sz w:val="24"/>
                <w:szCs w:val="24"/>
              </w:rPr>
              <w:t>:</w:t>
            </w:r>
            <w:r>
              <w:rPr>
                <w:rFonts w:hint="eastAsia"/>
                <w:sz w:val="24"/>
                <w:szCs w:val="24"/>
              </w:rPr>
              <w:t>安全检查、职业危害预防、安全教育培训、生产事故管理、重大危险源监控和隐患整改、设备安全管理、安全档案管理、安全生产奖惩、爆炸物品管理等制度。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00" w:lineRule="exact"/>
              <w:jc w:val="center"/>
              <w:rPr>
                <w:sz w:val="28"/>
                <w:szCs w:val="28"/>
              </w:rPr>
            </w:pPr>
            <w:r>
              <w:rPr>
                <w:sz w:val="28"/>
                <w:szCs w:val="28"/>
              </w:rPr>
              <w:t>5</w:t>
            </w:r>
          </w:p>
        </w:tc>
        <w:tc>
          <w:tcPr>
            <w:tcW w:w="718" w:type="dxa"/>
            <w:vMerge w:val="continue"/>
          </w:tcPr>
          <w:p>
            <w:pPr>
              <w:spacing w:line="460" w:lineRule="exact"/>
              <w:rPr>
                <w:rFonts w:cs="Times New Roman"/>
                <w:sz w:val="24"/>
                <w:szCs w:val="24"/>
              </w:rPr>
            </w:pPr>
          </w:p>
        </w:tc>
        <w:tc>
          <w:tcPr>
            <w:tcW w:w="5008" w:type="dxa"/>
          </w:tcPr>
          <w:p>
            <w:pPr>
              <w:rPr>
                <w:rFonts w:cs="Times New Roman"/>
                <w:sz w:val="24"/>
                <w:szCs w:val="24"/>
              </w:rPr>
            </w:pPr>
            <w:r>
              <w:rPr>
                <w:rFonts w:hint="eastAsia"/>
                <w:sz w:val="24"/>
                <w:szCs w:val="24"/>
              </w:rPr>
              <w:t>制定作业安全规程和各工种操作规程。</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00" w:lineRule="exact"/>
              <w:jc w:val="center"/>
              <w:rPr>
                <w:rFonts w:cs="Times New Roman"/>
                <w:sz w:val="28"/>
                <w:szCs w:val="28"/>
              </w:rPr>
            </w:pPr>
          </w:p>
          <w:p>
            <w:pPr>
              <w:spacing w:line="300" w:lineRule="exact"/>
              <w:jc w:val="center"/>
              <w:rPr>
                <w:sz w:val="28"/>
                <w:szCs w:val="28"/>
              </w:rPr>
            </w:pPr>
            <w:r>
              <w:rPr>
                <w:sz w:val="28"/>
                <w:szCs w:val="28"/>
              </w:rPr>
              <w:t>6</w:t>
            </w:r>
          </w:p>
        </w:tc>
        <w:tc>
          <w:tcPr>
            <w:tcW w:w="718" w:type="dxa"/>
            <w:vMerge w:val="continue"/>
          </w:tcPr>
          <w:p>
            <w:pPr>
              <w:spacing w:line="46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安全生产责任体系符合“党政同责，一岗双责”和“五落实五到位”的规定，规章制度符合法律法规的规定和本企业实际，具有可操作性。</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40" w:lineRule="exact"/>
              <w:jc w:val="center"/>
              <w:rPr>
                <w:sz w:val="28"/>
                <w:szCs w:val="28"/>
              </w:rPr>
            </w:pPr>
            <w:r>
              <w:rPr>
                <w:sz w:val="28"/>
                <w:szCs w:val="28"/>
              </w:rPr>
              <w:t>7</w:t>
            </w:r>
          </w:p>
        </w:tc>
        <w:tc>
          <w:tcPr>
            <w:tcW w:w="718" w:type="dxa"/>
            <w:vMerge w:val="continue"/>
          </w:tcPr>
          <w:p>
            <w:pPr>
              <w:spacing w:line="46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职工具备必要安全知识，熟悉安全规章制度和规程，掌握岗位操作技能，遵章守纪无三违。</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20" w:lineRule="exact"/>
              <w:jc w:val="center"/>
              <w:rPr>
                <w:sz w:val="28"/>
                <w:szCs w:val="28"/>
              </w:rPr>
            </w:pPr>
            <w:r>
              <w:rPr>
                <w:sz w:val="28"/>
                <w:szCs w:val="28"/>
              </w:rPr>
              <w:t>7</w:t>
            </w:r>
          </w:p>
        </w:tc>
        <w:tc>
          <w:tcPr>
            <w:tcW w:w="718" w:type="dxa"/>
            <w:vMerge w:val="restart"/>
          </w:tcPr>
          <w:p>
            <w:pPr>
              <w:spacing w:line="280" w:lineRule="exact"/>
              <w:ind w:left="31680" w:hanging="120" w:hangingChars="50"/>
              <w:rPr>
                <w:rFonts w:cs="Times New Roman"/>
                <w:sz w:val="24"/>
                <w:szCs w:val="24"/>
              </w:rPr>
            </w:pPr>
            <w:r>
              <w:rPr>
                <w:rFonts w:hint="eastAsia"/>
                <w:sz w:val="24"/>
                <w:szCs w:val="24"/>
              </w:rPr>
              <w:t>费用</w:t>
            </w:r>
          </w:p>
          <w:p>
            <w:pPr>
              <w:spacing w:line="280" w:lineRule="exact"/>
              <w:rPr>
                <w:rFonts w:cs="Times New Roman"/>
                <w:sz w:val="24"/>
                <w:szCs w:val="24"/>
              </w:rPr>
            </w:pPr>
            <w:r>
              <w:rPr>
                <w:rFonts w:hint="eastAsia"/>
                <w:sz w:val="24"/>
                <w:szCs w:val="24"/>
              </w:rPr>
              <w:t>保险</w:t>
            </w:r>
          </w:p>
        </w:tc>
        <w:tc>
          <w:tcPr>
            <w:tcW w:w="5008" w:type="dxa"/>
          </w:tcPr>
          <w:p>
            <w:pPr>
              <w:rPr>
                <w:rFonts w:cs="Times New Roman"/>
                <w:sz w:val="24"/>
                <w:szCs w:val="24"/>
              </w:rPr>
            </w:pPr>
            <w:r>
              <w:rPr>
                <w:rFonts w:hint="eastAsia"/>
                <w:sz w:val="24"/>
                <w:szCs w:val="24"/>
              </w:rPr>
              <w:t>按规定足额提取安全生产费用，并建立台账。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96" w:type="dxa"/>
          </w:tcPr>
          <w:p>
            <w:pPr>
              <w:spacing w:line="260" w:lineRule="exact"/>
              <w:jc w:val="center"/>
              <w:rPr>
                <w:sz w:val="28"/>
                <w:szCs w:val="28"/>
              </w:rPr>
            </w:pPr>
            <w:r>
              <w:rPr>
                <w:sz w:val="28"/>
                <w:szCs w:val="28"/>
              </w:rPr>
              <w:t>8</w:t>
            </w:r>
          </w:p>
        </w:tc>
        <w:tc>
          <w:tcPr>
            <w:tcW w:w="718" w:type="dxa"/>
            <w:vMerge w:val="continue"/>
          </w:tcPr>
          <w:p>
            <w:pPr>
              <w:ind w:left="31680" w:hanging="120" w:hangingChars="50"/>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参加工伤保险，特殊的应办理安全责任保险。</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00" w:lineRule="exact"/>
              <w:jc w:val="center"/>
              <w:rPr>
                <w:sz w:val="28"/>
                <w:szCs w:val="28"/>
              </w:rPr>
            </w:pPr>
            <w:r>
              <w:rPr>
                <w:sz w:val="28"/>
                <w:szCs w:val="28"/>
              </w:rPr>
              <w:t>9</w:t>
            </w:r>
          </w:p>
        </w:tc>
        <w:tc>
          <w:tcPr>
            <w:tcW w:w="718" w:type="dxa"/>
          </w:tcPr>
          <w:p>
            <w:pPr>
              <w:ind w:left="31680" w:hanging="120" w:hangingChars="50"/>
              <w:rPr>
                <w:rFonts w:cs="Times New Roman"/>
                <w:sz w:val="24"/>
                <w:szCs w:val="24"/>
              </w:rPr>
            </w:pPr>
            <w:r>
              <w:rPr>
                <w:rFonts w:hint="eastAsia"/>
                <w:sz w:val="24"/>
                <w:szCs w:val="24"/>
              </w:rPr>
              <w:t>机构</w:t>
            </w:r>
          </w:p>
        </w:tc>
        <w:tc>
          <w:tcPr>
            <w:tcW w:w="5008" w:type="dxa"/>
          </w:tcPr>
          <w:p>
            <w:pPr>
              <w:rPr>
                <w:rFonts w:cs="Times New Roman"/>
                <w:sz w:val="24"/>
                <w:szCs w:val="24"/>
              </w:rPr>
            </w:pPr>
            <w:r>
              <w:rPr>
                <w:rFonts w:hint="eastAsia"/>
                <w:sz w:val="24"/>
                <w:szCs w:val="24"/>
              </w:rPr>
              <w:t>设置安全管理机构，配备专职安全管理人员。</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300" w:lineRule="exact"/>
              <w:jc w:val="center"/>
              <w:rPr>
                <w:sz w:val="28"/>
                <w:szCs w:val="28"/>
              </w:rPr>
            </w:pPr>
            <w:r>
              <w:rPr>
                <w:sz w:val="28"/>
                <w:szCs w:val="28"/>
              </w:rPr>
              <w:t>10</w:t>
            </w:r>
          </w:p>
        </w:tc>
        <w:tc>
          <w:tcPr>
            <w:tcW w:w="718" w:type="dxa"/>
            <w:vMerge w:val="restart"/>
          </w:tcPr>
          <w:p>
            <w:pPr>
              <w:spacing w:line="260" w:lineRule="exact"/>
              <w:rPr>
                <w:rFonts w:cs="Times New Roman"/>
                <w:sz w:val="24"/>
                <w:szCs w:val="24"/>
              </w:rPr>
            </w:pPr>
          </w:p>
          <w:p>
            <w:pPr>
              <w:spacing w:line="260" w:lineRule="exact"/>
              <w:rPr>
                <w:sz w:val="24"/>
                <w:szCs w:val="24"/>
              </w:rPr>
            </w:pPr>
            <w:r>
              <w:rPr>
                <w:rFonts w:hint="eastAsia"/>
                <w:sz w:val="24"/>
                <w:szCs w:val="24"/>
              </w:rPr>
              <w:t>教育培训</w:t>
            </w:r>
            <w:r>
              <w:rPr>
                <w:sz w:val="24"/>
                <w:szCs w:val="24"/>
              </w:rPr>
              <w:t xml:space="preserve">      </w:t>
            </w:r>
          </w:p>
          <w:p>
            <w:pPr>
              <w:spacing w:line="260" w:lineRule="exact"/>
              <w:ind w:firstLine="120" w:firstLineChars="50"/>
              <w:rPr>
                <w:rFonts w:cs="Times New Roman"/>
                <w:sz w:val="24"/>
                <w:szCs w:val="24"/>
              </w:rPr>
            </w:pPr>
            <w:r>
              <w:rPr>
                <w:rFonts w:hint="eastAsia"/>
                <w:sz w:val="24"/>
                <w:szCs w:val="24"/>
              </w:rPr>
              <w:t>与</w:t>
            </w:r>
          </w:p>
          <w:p>
            <w:pPr>
              <w:spacing w:line="260" w:lineRule="exact"/>
              <w:rPr>
                <w:rFonts w:cs="Times New Roman"/>
                <w:sz w:val="24"/>
                <w:szCs w:val="24"/>
              </w:rPr>
            </w:pPr>
            <w:r>
              <w:rPr>
                <w:rFonts w:hint="eastAsia"/>
                <w:sz w:val="24"/>
                <w:szCs w:val="24"/>
              </w:rPr>
              <w:t>考核</w:t>
            </w:r>
          </w:p>
        </w:tc>
        <w:tc>
          <w:tcPr>
            <w:tcW w:w="5008" w:type="dxa"/>
          </w:tcPr>
          <w:p>
            <w:pPr>
              <w:rPr>
                <w:rFonts w:cs="Times New Roman"/>
                <w:sz w:val="24"/>
                <w:szCs w:val="24"/>
              </w:rPr>
            </w:pPr>
            <w:r>
              <w:rPr>
                <w:rFonts w:hint="eastAsia"/>
                <w:sz w:val="24"/>
                <w:szCs w:val="24"/>
              </w:rPr>
              <w:t>制定并实施安全教育培训计划，有记录台账。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80" w:lineRule="exact"/>
              <w:jc w:val="center"/>
              <w:rPr>
                <w:sz w:val="28"/>
                <w:szCs w:val="28"/>
              </w:rPr>
            </w:pPr>
            <w:r>
              <w:rPr>
                <w:sz w:val="28"/>
                <w:szCs w:val="28"/>
              </w:rPr>
              <w:t>11</w:t>
            </w:r>
          </w:p>
        </w:tc>
        <w:tc>
          <w:tcPr>
            <w:tcW w:w="718" w:type="dxa"/>
            <w:vMerge w:val="continue"/>
          </w:tcPr>
          <w:p>
            <w:pPr>
              <w:spacing w:line="26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主要负责人和安全管理人员经安全生产监督管理部门考核合格，并取得相应合格证书。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12</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特种作业人员考核合格，取得操作资格证书。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13</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从业人员经安全教育和培训，并考试合格。</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14</w:t>
            </w:r>
          </w:p>
        </w:tc>
        <w:tc>
          <w:tcPr>
            <w:tcW w:w="718" w:type="dxa"/>
            <w:vMerge w:val="restart"/>
          </w:tcPr>
          <w:p>
            <w:pPr>
              <w:rPr>
                <w:rFonts w:cs="Times New Roman"/>
                <w:sz w:val="24"/>
                <w:szCs w:val="24"/>
              </w:rPr>
            </w:pPr>
            <w:r>
              <w:rPr>
                <w:rFonts w:hint="eastAsia"/>
                <w:sz w:val="24"/>
                <w:szCs w:val="24"/>
              </w:rPr>
              <w:t>劳动防护</w:t>
            </w:r>
          </w:p>
        </w:tc>
        <w:tc>
          <w:tcPr>
            <w:tcW w:w="5008" w:type="dxa"/>
          </w:tcPr>
          <w:p>
            <w:pPr>
              <w:rPr>
                <w:rFonts w:cs="Times New Roman"/>
                <w:sz w:val="24"/>
                <w:szCs w:val="24"/>
              </w:rPr>
            </w:pPr>
            <w:r>
              <w:rPr>
                <w:rFonts w:hint="eastAsia"/>
                <w:sz w:val="24"/>
                <w:szCs w:val="24"/>
              </w:rPr>
              <w:t>为从业人员配备劳保用品，并督促正确穿戴。</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15</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危险性较大矿用产品，应取得矿用安全标志。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16</w:t>
            </w:r>
          </w:p>
        </w:tc>
        <w:tc>
          <w:tcPr>
            <w:tcW w:w="718" w:type="dxa"/>
            <w:vMerge w:val="restart"/>
          </w:tcPr>
          <w:p>
            <w:pPr>
              <w:ind w:left="31680" w:hanging="120" w:hangingChars="50"/>
              <w:rPr>
                <w:rFonts w:cs="Times New Roman"/>
                <w:sz w:val="24"/>
                <w:szCs w:val="24"/>
              </w:rPr>
            </w:pPr>
          </w:p>
          <w:p>
            <w:pPr>
              <w:ind w:left="31680" w:hanging="120" w:hangingChars="50"/>
              <w:rPr>
                <w:rFonts w:cs="Times New Roman"/>
                <w:sz w:val="24"/>
                <w:szCs w:val="24"/>
              </w:rPr>
            </w:pPr>
            <w:r>
              <w:rPr>
                <w:rFonts w:hint="eastAsia"/>
                <w:sz w:val="24"/>
                <w:szCs w:val="24"/>
              </w:rPr>
              <w:t>预案与</w:t>
            </w:r>
          </w:p>
          <w:p>
            <w:pPr>
              <w:rPr>
                <w:rFonts w:cs="Times New Roman"/>
                <w:sz w:val="24"/>
                <w:szCs w:val="24"/>
              </w:rPr>
            </w:pPr>
            <w:r>
              <w:rPr>
                <w:rFonts w:hint="eastAsia"/>
                <w:sz w:val="24"/>
                <w:szCs w:val="24"/>
              </w:rPr>
              <w:t>救援</w:t>
            </w:r>
          </w:p>
        </w:tc>
        <w:tc>
          <w:tcPr>
            <w:tcW w:w="5008" w:type="dxa"/>
          </w:tcPr>
          <w:p>
            <w:pPr>
              <w:rPr>
                <w:rFonts w:cs="Times New Roman"/>
                <w:sz w:val="24"/>
                <w:szCs w:val="24"/>
              </w:rPr>
            </w:pPr>
            <w:r>
              <w:rPr>
                <w:rFonts w:hint="eastAsia"/>
                <w:sz w:val="24"/>
                <w:szCs w:val="24"/>
              </w:rPr>
              <w:t>制定事故应急救援预案并按规定评审、备案。</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17</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建立应急救援组织</w:t>
            </w:r>
            <w:r>
              <w:rPr>
                <w:sz w:val="24"/>
                <w:szCs w:val="24"/>
              </w:rPr>
              <w:t>,</w:t>
            </w:r>
            <w:r>
              <w:rPr>
                <w:rFonts w:hint="eastAsia"/>
                <w:sz w:val="24"/>
                <w:szCs w:val="24"/>
              </w:rPr>
              <w:t>配备必要器材；生产规模较小应当指定兼职的应急救援人员，并与邻近的矿山救护队或者其他应急组织签订救护协议。</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40" w:lineRule="exact"/>
              <w:jc w:val="center"/>
              <w:rPr>
                <w:sz w:val="28"/>
                <w:szCs w:val="28"/>
              </w:rPr>
            </w:pPr>
            <w:r>
              <w:rPr>
                <w:sz w:val="28"/>
                <w:szCs w:val="28"/>
              </w:rPr>
              <w:t>18</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每年进行一次事故应急演练，每半年至少组织一次现场处置方案演练，并保留演练材料。</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19</w:t>
            </w:r>
          </w:p>
        </w:tc>
        <w:tc>
          <w:tcPr>
            <w:tcW w:w="718" w:type="dxa"/>
            <w:vMerge w:val="restart"/>
            <w:vAlign w:val="center"/>
          </w:tcPr>
          <w:p>
            <w:pPr>
              <w:jc w:val="center"/>
              <w:rPr>
                <w:rFonts w:cs="Times New Roman"/>
                <w:sz w:val="24"/>
                <w:szCs w:val="24"/>
              </w:rPr>
            </w:pPr>
            <w:r>
              <w:rPr>
                <w:rFonts w:hint="eastAsia"/>
                <w:sz w:val="24"/>
                <w:szCs w:val="24"/>
              </w:rPr>
              <w:t>安全生产保障条件</w:t>
            </w:r>
          </w:p>
        </w:tc>
        <w:tc>
          <w:tcPr>
            <w:tcW w:w="5008" w:type="dxa"/>
          </w:tcPr>
          <w:p>
            <w:pPr>
              <w:rPr>
                <w:rFonts w:cs="Times New Roman"/>
                <w:sz w:val="24"/>
                <w:szCs w:val="24"/>
              </w:rPr>
            </w:pPr>
            <w:r>
              <w:rPr>
                <w:rFonts w:hint="eastAsia"/>
                <w:sz w:val="24"/>
                <w:szCs w:val="24"/>
              </w:rPr>
              <w:t>周边安全距离符合相关法规、标准的要求。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20</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生产能力、强度、定员不超过设计要求。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21</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及时淘汰落后生产工艺和设备。</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960" w:lineRule="exact"/>
              <w:jc w:val="center"/>
              <w:rPr>
                <w:sz w:val="28"/>
                <w:szCs w:val="28"/>
              </w:rPr>
            </w:pPr>
            <w:r>
              <w:rPr>
                <w:sz w:val="28"/>
                <w:szCs w:val="28"/>
              </w:rPr>
              <w:t>22</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两个以上单位在同一作业区域内进行生产经营活动，可能危及对方生产安全的，应当签订安全生产管理协议，明确各自的安全管理职责和应当采取的措施，并指定专职安全生产管理人员进行安全检查与协调。</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80" w:lineRule="exact"/>
              <w:jc w:val="center"/>
              <w:rPr>
                <w:sz w:val="28"/>
                <w:szCs w:val="28"/>
              </w:rPr>
            </w:pPr>
            <w:r>
              <w:rPr>
                <w:sz w:val="28"/>
                <w:szCs w:val="28"/>
              </w:rPr>
              <w:t>23</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安全生产标准化系统要持续运行，标准化体系与实际运行体系不得存在“两张皮”等现象。</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40" w:lineRule="exact"/>
              <w:jc w:val="center"/>
              <w:rPr>
                <w:sz w:val="28"/>
                <w:szCs w:val="28"/>
              </w:rPr>
            </w:pPr>
            <w:r>
              <w:rPr>
                <w:sz w:val="28"/>
                <w:szCs w:val="28"/>
              </w:rPr>
              <w:t>24</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危险区域部位，应设置安全警示标志及照明，矿区边界设置可靠的围栏或醒目的警示标志。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25</w:t>
            </w:r>
          </w:p>
        </w:tc>
        <w:tc>
          <w:tcPr>
            <w:tcW w:w="718" w:type="dxa"/>
            <w:vMerge w:val="continue"/>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外包工程安全管理符合安监总局</w:t>
            </w:r>
            <w:r>
              <w:rPr>
                <w:sz w:val="24"/>
                <w:szCs w:val="24"/>
              </w:rPr>
              <w:t>62</w:t>
            </w:r>
            <w:r>
              <w:rPr>
                <w:rFonts w:hint="eastAsia"/>
                <w:sz w:val="24"/>
                <w:szCs w:val="24"/>
              </w:rPr>
              <w:t>号令规定。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320" w:lineRule="exact"/>
        <w:jc w:val="center"/>
        <w:rPr>
          <w:rFonts w:cs="Times New Roman"/>
          <w:sz w:val="18"/>
          <w:szCs w:val="18"/>
        </w:rPr>
      </w:pPr>
      <w:r>
        <w:rPr>
          <w:rFonts w:cs="Times New Roman"/>
          <w:b/>
          <w:bCs/>
          <w:sz w:val="32"/>
          <w:szCs w:val="32"/>
        </w:rPr>
        <w:br w:type="page"/>
      </w:r>
      <w:r>
        <w:rPr>
          <w:rFonts w:hint="eastAsia"/>
          <w:b/>
          <w:bCs/>
          <w:sz w:val="32"/>
          <w:szCs w:val="32"/>
        </w:rPr>
        <w:t>三、非煤矿山安全检查清单</w:t>
      </w:r>
      <w:r>
        <w:rPr>
          <w:rFonts w:hint="eastAsia"/>
          <w:sz w:val="32"/>
          <w:szCs w:val="32"/>
        </w:rPr>
        <w:t>（续）</w:t>
      </w:r>
    </w:p>
    <w:tbl>
      <w:tblPr>
        <w:tblStyle w:val="5"/>
        <w:tblW w:w="91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495"/>
        <w:gridCol w:w="718"/>
        <w:gridCol w:w="5005"/>
        <w:gridCol w:w="552"/>
        <w:gridCol w:w="54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gridSpan w:val="2"/>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Align w:val="center"/>
          </w:tcPr>
          <w:p>
            <w:pPr>
              <w:spacing w:line="480" w:lineRule="exact"/>
              <w:jc w:val="center"/>
              <w:rPr>
                <w:sz w:val="28"/>
                <w:szCs w:val="28"/>
              </w:rPr>
            </w:pPr>
            <w:r>
              <w:rPr>
                <w:sz w:val="28"/>
                <w:szCs w:val="28"/>
              </w:rPr>
              <w:t>26</w:t>
            </w:r>
          </w:p>
        </w:tc>
        <w:tc>
          <w:tcPr>
            <w:tcW w:w="718" w:type="dxa"/>
            <w:vMerge w:val="restart"/>
          </w:tcPr>
          <w:p>
            <w:pPr>
              <w:spacing w:line="400" w:lineRule="exact"/>
              <w:rPr>
                <w:rFonts w:cs="Times New Roman"/>
                <w:sz w:val="24"/>
                <w:szCs w:val="24"/>
              </w:rPr>
            </w:pPr>
            <w:r>
              <w:rPr>
                <w:rFonts w:hint="eastAsia"/>
                <w:sz w:val="24"/>
                <w:szCs w:val="24"/>
              </w:rPr>
              <w:t>爆破作业</w:t>
            </w:r>
          </w:p>
        </w:tc>
        <w:tc>
          <w:tcPr>
            <w:tcW w:w="5008" w:type="dxa"/>
          </w:tcPr>
          <w:p>
            <w:pPr>
              <w:spacing w:line="260" w:lineRule="exact"/>
              <w:rPr>
                <w:rFonts w:cs="Times New Roman"/>
                <w:sz w:val="24"/>
                <w:szCs w:val="24"/>
              </w:rPr>
            </w:pPr>
            <w:r>
              <w:rPr>
                <w:rFonts w:hint="eastAsia"/>
                <w:sz w:val="24"/>
                <w:szCs w:val="24"/>
              </w:rPr>
              <w:t>民爆器材库应取得公安的《爆破器材贮存许可证》；爆破作业应具有爆破作业单位许可证。</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Align w:val="center"/>
          </w:tcPr>
          <w:p>
            <w:pPr>
              <w:spacing w:line="280" w:lineRule="exact"/>
              <w:jc w:val="center"/>
              <w:rPr>
                <w:sz w:val="28"/>
                <w:szCs w:val="28"/>
              </w:rPr>
            </w:pPr>
            <w:r>
              <w:rPr>
                <w:sz w:val="28"/>
                <w:szCs w:val="28"/>
              </w:rPr>
              <w:t>27</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爆破作业、安全距离和器材管理应符合规定。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Align w:val="center"/>
          </w:tcPr>
          <w:p>
            <w:pPr>
              <w:spacing w:line="280" w:lineRule="exact"/>
              <w:jc w:val="center"/>
              <w:rPr>
                <w:sz w:val="28"/>
                <w:szCs w:val="28"/>
              </w:rPr>
            </w:pPr>
            <w:r>
              <w:rPr>
                <w:sz w:val="28"/>
                <w:szCs w:val="28"/>
              </w:rPr>
              <w:t>28</w:t>
            </w:r>
          </w:p>
        </w:tc>
        <w:tc>
          <w:tcPr>
            <w:tcW w:w="718" w:type="dxa"/>
          </w:tcPr>
          <w:p>
            <w:pPr>
              <w:rPr>
                <w:rFonts w:cs="Times New Roman"/>
                <w:sz w:val="24"/>
                <w:szCs w:val="24"/>
              </w:rPr>
            </w:pPr>
          </w:p>
        </w:tc>
        <w:tc>
          <w:tcPr>
            <w:tcW w:w="5008" w:type="dxa"/>
          </w:tcPr>
          <w:p>
            <w:pPr>
              <w:rPr>
                <w:rFonts w:cs="Times New Roman"/>
                <w:sz w:val="24"/>
                <w:szCs w:val="24"/>
              </w:rPr>
            </w:pPr>
            <w:r>
              <w:rPr>
                <w:rFonts w:hint="eastAsia"/>
                <w:sz w:val="24"/>
                <w:szCs w:val="24"/>
              </w:rPr>
              <w:t>爆破作业采用中深孔爆破（饰面建材矿除外）。</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Align w:val="center"/>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29</w:t>
            </w:r>
          </w:p>
        </w:tc>
        <w:tc>
          <w:tcPr>
            <w:tcW w:w="718" w:type="dxa"/>
          </w:tcPr>
          <w:p>
            <w:pPr>
              <w:rPr>
                <w:rFonts w:cs="Times New Roman"/>
                <w:sz w:val="24"/>
                <w:szCs w:val="24"/>
              </w:rPr>
            </w:pPr>
          </w:p>
          <w:p>
            <w:pPr>
              <w:rPr>
                <w:rFonts w:cs="Times New Roman"/>
                <w:sz w:val="24"/>
                <w:szCs w:val="24"/>
              </w:rPr>
            </w:pPr>
            <w:r>
              <w:rPr>
                <w:rFonts w:hint="eastAsia"/>
                <w:sz w:val="24"/>
                <w:szCs w:val="24"/>
              </w:rPr>
              <w:t>排土场管理</w:t>
            </w:r>
          </w:p>
        </w:tc>
        <w:tc>
          <w:tcPr>
            <w:tcW w:w="5008" w:type="dxa"/>
          </w:tcPr>
          <w:p>
            <w:pPr>
              <w:spacing w:line="240" w:lineRule="exact"/>
              <w:rPr>
                <w:rFonts w:cs="Times New Roman"/>
              </w:rPr>
            </w:pPr>
            <w:r>
              <w:rPr>
                <w:rFonts w:hint="eastAsia"/>
              </w:rPr>
              <w:t>排土场满足下列要求</w:t>
            </w:r>
            <w:r>
              <w:t>:1.</w:t>
            </w:r>
            <w:r>
              <w:rPr>
                <w:rFonts w:hint="eastAsia"/>
              </w:rPr>
              <w:t>由有资质的中介机构进行设计；</w:t>
            </w:r>
            <w:r>
              <w:t>2.</w:t>
            </w:r>
            <w:r>
              <w:rPr>
                <w:rFonts w:hint="eastAsia"/>
              </w:rPr>
              <w:t>场址进行过专门的地质勘察；</w:t>
            </w:r>
            <w:r>
              <w:t>3.</w:t>
            </w:r>
            <w:r>
              <w:rPr>
                <w:rFonts w:hint="eastAsia"/>
              </w:rPr>
              <w:t>安全度为正常级，有符合规定的防洪措施和监测系统；</w:t>
            </w:r>
            <w:r>
              <w:t>4.</w:t>
            </w:r>
            <w:r>
              <w:rPr>
                <w:rFonts w:hint="eastAsia"/>
              </w:rPr>
              <w:t>每</w:t>
            </w:r>
            <w:r>
              <w:t>5</w:t>
            </w:r>
            <w:r>
              <w:rPr>
                <w:rFonts w:hint="eastAsia"/>
              </w:rPr>
              <w:t>年由有资质的机构进行一次勘测和稳定性分析；</w:t>
            </w:r>
            <w:r>
              <w:t>5.</w:t>
            </w:r>
            <w:r>
              <w:rPr>
                <w:rFonts w:hint="eastAsia"/>
              </w:rPr>
              <w:t>有可靠的截洪、防洪和排水设施，以及防止泥石流的措施；</w:t>
            </w:r>
            <w:r>
              <w:t>6.</w:t>
            </w:r>
            <w:r>
              <w:rPr>
                <w:rFonts w:hint="eastAsia"/>
              </w:rPr>
              <w:t>阶段高度、总堆置高度、平台宽度，以及相邻阶段同时作业的超前堆置高度，应当符合设计规定。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gridSpan w:val="2"/>
            <w:vAlign w:val="center"/>
          </w:tcPr>
          <w:p>
            <w:pPr>
              <w:spacing w:line="280" w:lineRule="exact"/>
              <w:jc w:val="center"/>
              <w:rPr>
                <w:sz w:val="28"/>
                <w:szCs w:val="28"/>
              </w:rPr>
            </w:pPr>
            <w:r>
              <w:rPr>
                <w:sz w:val="28"/>
                <w:szCs w:val="28"/>
              </w:rPr>
              <w:t>30</w:t>
            </w:r>
          </w:p>
        </w:tc>
        <w:tc>
          <w:tcPr>
            <w:tcW w:w="718" w:type="dxa"/>
            <w:vMerge w:val="restart"/>
            <w:vAlign w:val="center"/>
          </w:tcPr>
          <w:p>
            <w:pPr>
              <w:jc w:val="center"/>
              <w:rPr>
                <w:rFonts w:cs="Times New Roman"/>
                <w:sz w:val="24"/>
                <w:szCs w:val="24"/>
              </w:rPr>
            </w:pPr>
            <w:r>
              <w:rPr>
                <w:rFonts w:hint="eastAsia"/>
                <w:sz w:val="24"/>
                <w:szCs w:val="24"/>
              </w:rPr>
              <w:t>矿场边坡作业管理</w:t>
            </w:r>
          </w:p>
        </w:tc>
        <w:tc>
          <w:tcPr>
            <w:tcW w:w="5008" w:type="dxa"/>
          </w:tcPr>
          <w:p>
            <w:pPr>
              <w:rPr>
                <w:rFonts w:cs="Times New Roman"/>
                <w:sz w:val="24"/>
                <w:szCs w:val="24"/>
              </w:rPr>
            </w:pPr>
            <w:r>
              <w:rPr>
                <w:rFonts w:hint="eastAsia"/>
                <w:sz w:val="24"/>
                <w:szCs w:val="24"/>
              </w:rPr>
              <w:t>采矿方法应符合设计要求。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31</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按设计实行自上而下、分台阶</w:t>
            </w:r>
            <w:r>
              <w:rPr>
                <w:sz w:val="24"/>
                <w:szCs w:val="24"/>
              </w:rPr>
              <w:t>(</w:t>
            </w:r>
            <w:r>
              <w:rPr>
                <w:rFonts w:hint="eastAsia"/>
                <w:sz w:val="24"/>
                <w:szCs w:val="24"/>
              </w:rPr>
              <w:t>分层</w:t>
            </w:r>
            <w:r>
              <w:rPr>
                <w:sz w:val="24"/>
                <w:szCs w:val="24"/>
              </w:rPr>
              <w:t>)</w:t>
            </w:r>
            <w:r>
              <w:rPr>
                <w:rFonts w:hint="eastAsia"/>
                <w:sz w:val="24"/>
                <w:szCs w:val="24"/>
              </w:rPr>
              <w:t>开采，严禁掏采，不存在欠剥离现象；台阶高度、平台宽度、边坡角度应符合设计及相关要求。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32</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工作帮和最终边坡面无危石、浮石和伞檐等。</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97" w:hRule="atLeast"/>
        </w:trPr>
        <w:tc>
          <w:tcPr>
            <w:tcW w:w="496" w:type="dxa"/>
            <w:vAlign w:val="center"/>
          </w:tcPr>
          <w:p>
            <w:pPr>
              <w:spacing w:line="280" w:lineRule="exact"/>
              <w:jc w:val="center"/>
              <w:rPr>
                <w:sz w:val="28"/>
                <w:szCs w:val="28"/>
              </w:rPr>
            </w:pPr>
            <w:r>
              <w:rPr>
                <w:sz w:val="28"/>
                <w:szCs w:val="28"/>
              </w:rPr>
              <w:t>33</w:t>
            </w:r>
          </w:p>
        </w:tc>
        <w:tc>
          <w:tcPr>
            <w:tcW w:w="718" w:type="dxa"/>
            <w:vMerge w:val="continue"/>
          </w:tcPr>
          <w:p>
            <w:pP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建立边坡管理和检查制度，大、中型矿山或边坡潜在危险性大的矿山还应满足：</w:t>
            </w:r>
            <w:r>
              <w:rPr>
                <w:sz w:val="24"/>
                <w:szCs w:val="24"/>
              </w:rPr>
              <w:t>1.</w:t>
            </w:r>
            <w:r>
              <w:rPr>
                <w:rFonts w:hint="eastAsia"/>
                <w:sz w:val="24"/>
                <w:szCs w:val="24"/>
              </w:rPr>
              <w:t>建立边坡检测系统；</w:t>
            </w:r>
            <w:r>
              <w:rPr>
                <w:sz w:val="24"/>
                <w:szCs w:val="24"/>
              </w:rPr>
              <w:t>2.</w:t>
            </w:r>
            <w:r>
              <w:rPr>
                <w:rFonts w:hint="eastAsia"/>
                <w:sz w:val="24"/>
                <w:szCs w:val="24"/>
              </w:rPr>
              <w:t>对边坡重点部位和有潜在滑坡危险的地段采取有效的防治措施；</w:t>
            </w:r>
            <w:r>
              <w:rPr>
                <w:sz w:val="24"/>
                <w:szCs w:val="24"/>
              </w:rPr>
              <w:t>3.</w:t>
            </w:r>
            <w:r>
              <w:rPr>
                <w:rFonts w:hint="eastAsia"/>
                <w:sz w:val="24"/>
                <w:szCs w:val="24"/>
              </w:rPr>
              <w:t>每</w:t>
            </w:r>
            <w:r>
              <w:rPr>
                <w:sz w:val="24"/>
                <w:szCs w:val="24"/>
              </w:rPr>
              <w:t>5</w:t>
            </w:r>
            <w:r>
              <w:rPr>
                <w:rFonts w:hint="eastAsia"/>
                <w:sz w:val="24"/>
                <w:szCs w:val="24"/>
              </w:rPr>
              <w:t>年由有资质的机构进行一次勘测和稳定性分析。</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81" w:hRule="atLeast"/>
        </w:trPr>
        <w:tc>
          <w:tcPr>
            <w:tcW w:w="496" w:type="dxa"/>
            <w:vAlign w:val="center"/>
          </w:tcPr>
          <w:p>
            <w:pPr>
              <w:spacing w:line="280" w:lineRule="exact"/>
              <w:jc w:val="center"/>
              <w:rPr>
                <w:sz w:val="28"/>
                <w:szCs w:val="28"/>
              </w:rPr>
            </w:pPr>
            <w:r>
              <w:rPr>
                <w:sz w:val="28"/>
                <w:szCs w:val="28"/>
              </w:rPr>
              <w:t>34</w:t>
            </w:r>
          </w:p>
        </w:tc>
        <w:tc>
          <w:tcPr>
            <w:tcW w:w="718" w:type="dxa"/>
            <w:vMerge w:val="continue"/>
          </w:tcPr>
          <w:p>
            <w:pP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采用机械铲装、机械二次破碎。</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460" w:lineRule="exact"/>
              <w:jc w:val="center"/>
              <w:rPr>
                <w:sz w:val="28"/>
                <w:szCs w:val="28"/>
              </w:rPr>
            </w:pPr>
            <w:r>
              <w:rPr>
                <w:sz w:val="28"/>
                <w:szCs w:val="28"/>
              </w:rPr>
              <w:t>35</w:t>
            </w:r>
          </w:p>
        </w:tc>
        <w:tc>
          <w:tcPr>
            <w:tcW w:w="718" w:type="dxa"/>
          </w:tcPr>
          <w:p>
            <w:pPr>
              <w:spacing w:line="260" w:lineRule="exact"/>
              <w:rPr>
                <w:rFonts w:cs="Times New Roman"/>
                <w:sz w:val="24"/>
                <w:szCs w:val="24"/>
              </w:rPr>
            </w:pPr>
            <w:r>
              <w:rPr>
                <w:rFonts w:hint="eastAsia"/>
                <w:sz w:val="24"/>
                <w:szCs w:val="24"/>
              </w:rPr>
              <w:t>隐患治理</w:t>
            </w:r>
          </w:p>
        </w:tc>
        <w:tc>
          <w:tcPr>
            <w:tcW w:w="5008" w:type="dxa"/>
          </w:tcPr>
          <w:p>
            <w:pPr>
              <w:spacing w:line="260" w:lineRule="exact"/>
              <w:rPr>
                <w:rFonts w:cs="Times New Roman"/>
                <w:sz w:val="24"/>
                <w:szCs w:val="24"/>
              </w:rPr>
            </w:pPr>
            <w:r>
              <w:rPr>
                <w:rFonts w:hint="eastAsia"/>
                <w:sz w:val="24"/>
                <w:szCs w:val="24"/>
              </w:rPr>
              <w:t>隐患排查治理符合法规和标准化体系要求，记录台帐齐全；隐患排查治理实现闭环管理。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36</w:t>
            </w:r>
          </w:p>
        </w:tc>
        <w:tc>
          <w:tcPr>
            <w:tcW w:w="718" w:type="dxa"/>
            <w:vMerge w:val="restart"/>
          </w:tcPr>
          <w:p>
            <w:pPr>
              <w:spacing w:line="400" w:lineRule="exact"/>
              <w:rPr>
                <w:rFonts w:cs="Times New Roman"/>
                <w:sz w:val="24"/>
                <w:szCs w:val="24"/>
              </w:rPr>
            </w:pPr>
            <w:r>
              <w:rPr>
                <w:rFonts w:hint="eastAsia"/>
                <w:sz w:val="24"/>
                <w:szCs w:val="24"/>
              </w:rPr>
              <w:t>设备管理</w:t>
            </w:r>
          </w:p>
        </w:tc>
        <w:tc>
          <w:tcPr>
            <w:tcW w:w="5008" w:type="dxa"/>
          </w:tcPr>
          <w:p>
            <w:pPr>
              <w:rPr>
                <w:rFonts w:cs="Times New Roman"/>
                <w:sz w:val="24"/>
                <w:szCs w:val="24"/>
              </w:rPr>
            </w:pPr>
            <w:r>
              <w:rPr>
                <w:rFonts w:hint="eastAsia"/>
                <w:sz w:val="24"/>
                <w:szCs w:val="24"/>
              </w:rPr>
              <w:t>对安全设备、设施和器材进行经常性维护、保养和定期检查检测，并做好有关记录。</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37</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设备的裸露转动部分，应设防护罩或栅栏。</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38</w:t>
            </w:r>
          </w:p>
        </w:tc>
        <w:tc>
          <w:tcPr>
            <w:tcW w:w="718" w:type="dxa"/>
          </w:tcPr>
          <w:p>
            <w:pPr>
              <w:spacing w:line="280" w:lineRule="exact"/>
              <w:rPr>
                <w:rFonts w:cs="Times New Roman"/>
                <w:sz w:val="24"/>
                <w:szCs w:val="24"/>
              </w:rPr>
            </w:pPr>
            <w:r>
              <w:rPr>
                <w:rFonts w:hint="eastAsia"/>
                <w:sz w:val="24"/>
                <w:szCs w:val="24"/>
              </w:rPr>
              <w:t>高处作业</w:t>
            </w:r>
          </w:p>
        </w:tc>
        <w:tc>
          <w:tcPr>
            <w:tcW w:w="5008" w:type="dxa"/>
          </w:tcPr>
          <w:p>
            <w:pPr>
              <w:spacing w:line="280" w:lineRule="exact"/>
              <w:rPr>
                <w:rFonts w:cs="Times New Roman"/>
                <w:sz w:val="24"/>
                <w:szCs w:val="24"/>
              </w:rPr>
            </w:pPr>
            <w:r>
              <w:rPr>
                <w:rFonts w:hint="eastAsia"/>
                <w:sz w:val="24"/>
                <w:szCs w:val="24"/>
              </w:rPr>
              <w:t>高处作业时，作业人员应佩戴安全带或设置安全网、护栏等防护设施。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39</w:t>
            </w:r>
          </w:p>
        </w:tc>
        <w:tc>
          <w:tcPr>
            <w:tcW w:w="718" w:type="dxa"/>
            <w:vMerge w:val="restart"/>
          </w:tcPr>
          <w:p>
            <w:pPr>
              <w:rPr>
                <w:rFonts w:cs="Times New Roman"/>
                <w:sz w:val="24"/>
                <w:szCs w:val="24"/>
              </w:rPr>
            </w:pPr>
            <w:r>
              <w:rPr>
                <w:rFonts w:hint="eastAsia"/>
                <w:sz w:val="24"/>
                <w:szCs w:val="24"/>
              </w:rPr>
              <w:t>职业健康</w:t>
            </w:r>
          </w:p>
        </w:tc>
        <w:tc>
          <w:tcPr>
            <w:tcW w:w="5008" w:type="dxa"/>
          </w:tcPr>
          <w:p>
            <w:pPr>
              <w:rPr>
                <w:rFonts w:cs="Times New Roman"/>
                <w:sz w:val="24"/>
                <w:szCs w:val="24"/>
              </w:rPr>
            </w:pPr>
            <w:r>
              <w:rPr>
                <w:rFonts w:hint="eastAsia"/>
                <w:sz w:val="24"/>
                <w:szCs w:val="24"/>
              </w:rPr>
              <w:t>对所有工人进行职业健康检查，并建立档案。</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40</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实行湿式凿岩作业。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jc w:val="center"/>
              <w:rPr>
                <w:sz w:val="28"/>
                <w:szCs w:val="28"/>
              </w:rPr>
            </w:pPr>
            <w:r>
              <w:rPr>
                <w:sz w:val="28"/>
                <w:szCs w:val="28"/>
              </w:rPr>
              <w:t>41</w:t>
            </w:r>
          </w:p>
        </w:tc>
        <w:tc>
          <w:tcPr>
            <w:tcW w:w="718" w:type="dxa"/>
            <w:vMerge w:val="restart"/>
          </w:tcPr>
          <w:p>
            <w:pPr>
              <w:ind w:left="31680" w:hanging="120" w:hangingChars="50"/>
              <w:rPr>
                <w:rFonts w:cs="Times New Roman"/>
                <w:sz w:val="24"/>
                <w:szCs w:val="24"/>
              </w:rPr>
            </w:pPr>
            <w:r>
              <w:rPr>
                <w:rFonts w:hint="eastAsia"/>
                <w:sz w:val="24"/>
                <w:szCs w:val="24"/>
              </w:rPr>
              <w:t>图表与</w:t>
            </w:r>
          </w:p>
          <w:p>
            <w:pPr>
              <w:rPr>
                <w:rFonts w:cs="Times New Roman"/>
                <w:sz w:val="24"/>
                <w:szCs w:val="24"/>
              </w:rPr>
            </w:pPr>
            <w:r>
              <w:rPr>
                <w:rFonts w:hint="eastAsia"/>
                <w:sz w:val="24"/>
                <w:szCs w:val="24"/>
              </w:rPr>
              <w:t>公告</w:t>
            </w:r>
          </w:p>
        </w:tc>
        <w:tc>
          <w:tcPr>
            <w:tcW w:w="5008" w:type="dxa"/>
          </w:tcPr>
          <w:p>
            <w:pPr>
              <w:rPr>
                <w:rFonts w:cs="Times New Roman"/>
                <w:sz w:val="24"/>
                <w:szCs w:val="24"/>
              </w:rPr>
            </w:pPr>
            <w:r>
              <w:rPr>
                <w:rFonts w:hint="eastAsia"/>
                <w:sz w:val="24"/>
                <w:szCs w:val="24"/>
              </w:rPr>
              <w:t>绘制与实际相符的</w:t>
            </w:r>
            <w:r>
              <w:rPr>
                <w:sz w:val="24"/>
                <w:szCs w:val="24"/>
              </w:rPr>
              <w:t>3</w:t>
            </w:r>
            <w:r>
              <w:rPr>
                <w:rFonts w:hint="eastAsia"/>
                <w:sz w:val="24"/>
                <w:szCs w:val="24"/>
              </w:rPr>
              <w:t>种图：地形地质图；采剥工程年末图；防排水系统及排水设备布置图。</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42</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按规定设置安全生产风险公告。</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jc w:val="center"/>
              <w:rPr>
                <w:sz w:val="28"/>
                <w:szCs w:val="28"/>
              </w:rPr>
            </w:pPr>
            <w:r>
              <w:rPr>
                <w:sz w:val="28"/>
                <w:szCs w:val="28"/>
              </w:rPr>
              <w:t>43</w:t>
            </w:r>
          </w:p>
        </w:tc>
        <w:tc>
          <w:tcPr>
            <w:tcW w:w="718" w:type="dxa"/>
          </w:tcPr>
          <w:p>
            <w:pPr>
              <w:rPr>
                <w:rFonts w:cs="Times New Roman"/>
                <w:sz w:val="24"/>
                <w:szCs w:val="24"/>
              </w:rPr>
            </w:pPr>
            <w:r>
              <w:rPr>
                <w:rFonts w:hint="eastAsia"/>
                <w:sz w:val="24"/>
                <w:szCs w:val="24"/>
              </w:rPr>
              <w:t>供电系统</w:t>
            </w:r>
          </w:p>
        </w:tc>
        <w:tc>
          <w:tcPr>
            <w:tcW w:w="5008" w:type="dxa"/>
          </w:tcPr>
          <w:p>
            <w:pPr>
              <w:rPr>
                <w:rFonts w:cs="Times New Roman"/>
                <w:sz w:val="24"/>
                <w:szCs w:val="24"/>
              </w:rPr>
            </w:pPr>
            <w:r>
              <w:rPr>
                <w:rFonts w:hint="eastAsia"/>
                <w:sz w:val="24"/>
                <w:szCs w:val="24"/>
              </w:rPr>
              <w:t>矿山各个供电电压等级和供电系统的防雷保护装置符合规程要求。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jc w:val="center"/>
              <w:rPr>
                <w:sz w:val="28"/>
                <w:szCs w:val="28"/>
              </w:rPr>
            </w:pPr>
            <w:r>
              <w:rPr>
                <w:sz w:val="28"/>
                <w:szCs w:val="28"/>
              </w:rPr>
              <w:t>44</w:t>
            </w:r>
          </w:p>
        </w:tc>
        <w:tc>
          <w:tcPr>
            <w:tcW w:w="718" w:type="dxa"/>
            <w:vMerge w:val="restart"/>
            <w:vAlign w:val="center"/>
          </w:tcPr>
          <w:p>
            <w:pPr>
              <w:jc w:val="center"/>
              <w:rPr>
                <w:rFonts w:cs="Times New Roman"/>
                <w:sz w:val="24"/>
                <w:szCs w:val="24"/>
              </w:rPr>
            </w:pPr>
            <w:r>
              <w:rPr>
                <w:rFonts w:hint="eastAsia"/>
                <w:sz w:val="24"/>
                <w:szCs w:val="24"/>
              </w:rPr>
              <w:t>排水系统</w:t>
            </w:r>
          </w:p>
        </w:tc>
        <w:tc>
          <w:tcPr>
            <w:tcW w:w="5008" w:type="dxa"/>
          </w:tcPr>
          <w:p>
            <w:pPr>
              <w:rPr>
                <w:rFonts w:cs="Times New Roman"/>
                <w:sz w:val="24"/>
                <w:szCs w:val="24"/>
              </w:rPr>
            </w:pPr>
            <w:r>
              <w:rPr>
                <w:rFonts w:hint="eastAsia"/>
                <w:sz w:val="24"/>
                <w:szCs w:val="24"/>
              </w:rPr>
              <w:t>露天采场的总出入沟口、平山硐口、排水井口和工业场地等处必须采取妥善的防洪措施。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280" w:lineRule="exact"/>
              <w:jc w:val="center"/>
              <w:rPr>
                <w:sz w:val="28"/>
                <w:szCs w:val="28"/>
              </w:rPr>
            </w:pPr>
            <w:r>
              <w:rPr>
                <w:sz w:val="28"/>
                <w:szCs w:val="28"/>
              </w:rPr>
              <w:t>45</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每年制定防排水措施，并定期检查执行情况。</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jc w:val="center"/>
              <w:rPr>
                <w:sz w:val="28"/>
                <w:szCs w:val="28"/>
              </w:rPr>
            </w:pPr>
            <w:r>
              <w:rPr>
                <w:sz w:val="28"/>
                <w:szCs w:val="28"/>
              </w:rPr>
              <w:t>46</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按设计要求建立排水系统，采场上方应设截水沟，深凹露天采场有专用防洪措施。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0" w:hRule="atLeast"/>
        </w:trPr>
        <w:tc>
          <w:tcPr>
            <w:tcW w:w="496" w:type="dxa"/>
            <w:vAlign w:val="center"/>
          </w:tcPr>
          <w:p>
            <w:pPr>
              <w:spacing w:line="320" w:lineRule="exact"/>
              <w:jc w:val="center"/>
              <w:rPr>
                <w:sz w:val="28"/>
                <w:szCs w:val="28"/>
              </w:rPr>
            </w:pPr>
            <w:r>
              <w:rPr>
                <w:sz w:val="28"/>
                <w:szCs w:val="28"/>
              </w:rPr>
              <w:t>47</w:t>
            </w:r>
          </w:p>
        </w:tc>
        <w:tc>
          <w:tcPr>
            <w:tcW w:w="718" w:type="dxa"/>
          </w:tcPr>
          <w:p>
            <w:pPr>
              <w:rPr>
                <w:rFonts w:cs="Times New Roman"/>
                <w:sz w:val="24"/>
                <w:szCs w:val="24"/>
              </w:rPr>
            </w:pPr>
            <w:r>
              <w:rPr>
                <w:rFonts w:hint="eastAsia"/>
                <w:sz w:val="24"/>
                <w:szCs w:val="24"/>
              </w:rPr>
              <w:t>平台</w:t>
            </w:r>
          </w:p>
        </w:tc>
        <w:tc>
          <w:tcPr>
            <w:tcW w:w="5008" w:type="dxa"/>
          </w:tcPr>
          <w:p>
            <w:pPr>
              <w:rPr>
                <w:rFonts w:cs="Times New Roman"/>
                <w:sz w:val="24"/>
                <w:szCs w:val="24"/>
              </w:rPr>
            </w:pPr>
            <w:r>
              <w:rPr>
                <w:rFonts w:hint="eastAsia"/>
                <w:sz w:val="24"/>
                <w:szCs w:val="24"/>
              </w:rPr>
              <w:t>卸矿平台的宽度、挡车设施的设置满足要求。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360" w:lineRule="exact"/>
        <w:rPr>
          <w:rFonts w:cs="Times New Roman"/>
          <w:sz w:val="28"/>
          <w:szCs w:val="28"/>
        </w:rPr>
      </w:pPr>
      <w:r>
        <w:rPr>
          <w:rFonts w:hint="eastAsia"/>
          <w:sz w:val="28"/>
          <w:szCs w:val="28"/>
        </w:rPr>
        <w:t>监督检查单位：</w:t>
      </w:r>
    </w:p>
    <w:p>
      <w:pPr>
        <w:spacing w:line="320" w:lineRule="exact"/>
        <w:jc w:val="center"/>
        <w:rPr>
          <w:rFonts w:cs="Times New Roman"/>
          <w:b/>
          <w:bCs/>
          <w:sz w:val="32"/>
          <w:szCs w:val="32"/>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cs="Times New Roman"/>
          <w:b/>
          <w:bCs/>
          <w:sz w:val="32"/>
          <w:szCs w:val="32"/>
        </w:rPr>
        <w:br w:type="page"/>
      </w:r>
      <w:r>
        <w:rPr>
          <w:rFonts w:hint="eastAsia"/>
          <w:b/>
          <w:bCs/>
          <w:sz w:val="32"/>
          <w:szCs w:val="32"/>
        </w:rPr>
        <w:t>四、危险化学品生产、储存企业安全检查清单</w:t>
      </w:r>
    </w:p>
    <w:p>
      <w:pPr>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w:t>
            </w:r>
          </w:p>
        </w:tc>
        <w:tc>
          <w:tcPr>
            <w:tcW w:w="718" w:type="dxa"/>
          </w:tcPr>
          <w:p>
            <w:pPr>
              <w:rPr>
                <w:rFonts w:cs="Times New Roman"/>
                <w:sz w:val="24"/>
                <w:szCs w:val="24"/>
              </w:rPr>
            </w:pPr>
            <w:r>
              <w:rPr>
                <w:rFonts w:hint="eastAsia"/>
                <w:sz w:val="24"/>
                <w:szCs w:val="24"/>
              </w:rPr>
              <w:t>资质</w:t>
            </w:r>
          </w:p>
        </w:tc>
        <w:tc>
          <w:tcPr>
            <w:tcW w:w="5008" w:type="dxa"/>
          </w:tcPr>
          <w:p>
            <w:pPr>
              <w:spacing w:line="280" w:lineRule="exact"/>
              <w:rPr>
                <w:rFonts w:cs="Times New Roman"/>
                <w:sz w:val="24"/>
                <w:szCs w:val="24"/>
              </w:rPr>
            </w:pPr>
            <w:r>
              <w:rPr>
                <w:rFonts w:hint="eastAsia"/>
                <w:sz w:val="24"/>
                <w:szCs w:val="24"/>
              </w:rPr>
              <w:t>企业安全生产许可手续齐全，在有效期内。</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w:t>
            </w:r>
          </w:p>
        </w:tc>
        <w:tc>
          <w:tcPr>
            <w:tcW w:w="718" w:type="dxa"/>
            <w:vMerge w:val="restart"/>
          </w:tcPr>
          <w:p>
            <w:pPr>
              <w:rPr>
                <w:rFonts w:cs="Times New Roman"/>
                <w:sz w:val="24"/>
                <w:szCs w:val="24"/>
              </w:rPr>
            </w:pPr>
          </w:p>
          <w:p>
            <w:pPr>
              <w:rPr>
                <w:rFonts w:cs="Times New Roman"/>
                <w:sz w:val="24"/>
                <w:szCs w:val="24"/>
              </w:rPr>
            </w:pPr>
            <w:r>
              <w:rPr>
                <w:rFonts w:hint="eastAsia"/>
                <w:sz w:val="24"/>
                <w:szCs w:val="24"/>
              </w:rPr>
              <w:t>机构人员</w:t>
            </w:r>
          </w:p>
        </w:tc>
        <w:tc>
          <w:tcPr>
            <w:tcW w:w="5008" w:type="dxa"/>
          </w:tcPr>
          <w:p>
            <w:pPr>
              <w:rPr>
                <w:rFonts w:cs="Times New Roman"/>
                <w:sz w:val="24"/>
                <w:szCs w:val="24"/>
              </w:rPr>
            </w:pPr>
            <w:r>
              <w:rPr>
                <w:rFonts w:hint="eastAsia"/>
                <w:sz w:val="24"/>
                <w:szCs w:val="24"/>
              </w:rPr>
              <w:t>设置安全管理机构或配备专职安全管理人员。</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3</w:t>
            </w:r>
          </w:p>
        </w:tc>
        <w:tc>
          <w:tcPr>
            <w:tcW w:w="718" w:type="dxa"/>
            <w:vMerge w:val="continue"/>
          </w:tcPr>
          <w:p>
            <w:pPr>
              <w:rPr>
                <w:rFonts w:cs="Times New Roman"/>
                <w:sz w:val="24"/>
                <w:szCs w:val="24"/>
              </w:rPr>
            </w:pPr>
          </w:p>
        </w:tc>
        <w:tc>
          <w:tcPr>
            <w:tcW w:w="5008" w:type="dxa"/>
          </w:tcPr>
          <w:p>
            <w:pPr>
              <w:spacing w:line="280" w:lineRule="exact"/>
              <w:ind w:right="-119" w:rightChars="-54"/>
              <w:rPr>
                <w:rFonts w:cs="Times New Roman"/>
                <w:sz w:val="24"/>
                <w:szCs w:val="24"/>
              </w:rPr>
            </w:pPr>
            <w:r>
              <w:rPr>
                <w:rFonts w:hint="eastAsia"/>
                <w:sz w:val="24"/>
                <w:szCs w:val="24"/>
              </w:rPr>
              <w:t>明确主要负责人、分管负责人安全职责并履职。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4</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主要负责人、安全负责人及其他安全生产管理人员按规定经考核合格。</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5</w:t>
            </w:r>
          </w:p>
        </w:tc>
        <w:tc>
          <w:tcPr>
            <w:tcW w:w="718" w:type="dxa"/>
            <w:vMerge w:val="restart"/>
          </w:tcPr>
          <w:p>
            <w:pPr>
              <w:rPr>
                <w:rFonts w:cs="Times New Roman"/>
                <w:sz w:val="24"/>
                <w:szCs w:val="24"/>
              </w:rPr>
            </w:pPr>
          </w:p>
          <w:p>
            <w:pPr>
              <w:rPr>
                <w:rFonts w:cs="Times New Roman"/>
                <w:sz w:val="24"/>
                <w:szCs w:val="24"/>
              </w:rPr>
            </w:pPr>
            <w:r>
              <w:rPr>
                <w:rFonts w:hint="eastAsia"/>
                <w:sz w:val="24"/>
                <w:szCs w:val="24"/>
              </w:rPr>
              <w:t>培训教育</w:t>
            </w:r>
          </w:p>
        </w:tc>
        <w:tc>
          <w:tcPr>
            <w:tcW w:w="5008" w:type="dxa"/>
          </w:tcPr>
          <w:p>
            <w:pPr>
              <w:spacing w:line="280" w:lineRule="exact"/>
              <w:rPr>
                <w:rFonts w:cs="Times New Roman"/>
                <w:sz w:val="24"/>
                <w:szCs w:val="24"/>
              </w:rPr>
            </w:pPr>
            <w:r>
              <w:rPr>
                <w:rFonts w:hint="eastAsia"/>
                <w:sz w:val="24"/>
                <w:szCs w:val="24"/>
              </w:rPr>
              <w:t>对从业人员进行安全教育培训，合格者上岗。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6</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从业人员熟悉本岗位危险化学品危险特性。</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80" w:lineRule="exact"/>
              <w:jc w:val="center"/>
              <w:rPr>
                <w:sz w:val="28"/>
                <w:szCs w:val="28"/>
              </w:rPr>
            </w:pPr>
            <w:r>
              <w:rPr>
                <w:sz w:val="28"/>
                <w:szCs w:val="28"/>
              </w:rPr>
              <w:t>7</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特种作业人员经专门的安全作业培训并取得相应资格上岗作业。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80" w:lineRule="exact"/>
              <w:jc w:val="center"/>
              <w:rPr>
                <w:sz w:val="28"/>
                <w:szCs w:val="28"/>
              </w:rPr>
            </w:pPr>
            <w:r>
              <w:rPr>
                <w:sz w:val="28"/>
                <w:szCs w:val="28"/>
              </w:rPr>
              <w:t>8</w:t>
            </w:r>
          </w:p>
        </w:tc>
        <w:tc>
          <w:tcPr>
            <w:tcW w:w="718" w:type="dxa"/>
          </w:tcPr>
          <w:p>
            <w:pPr>
              <w:spacing w:line="280" w:lineRule="exact"/>
              <w:rPr>
                <w:rFonts w:cs="Times New Roman"/>
                <w:sz w:val="24"/>
                <w:szCs w:val="24"/>
              </w:rPr>
            </w:pPr>
            <w:r>
              <w:rPr>
                <w:rFonts w:hint="eastAsia"/>
                <w:sz w:val="24"/>
                <w:szCs w:val="24"/>
              </w:rPr>
              <w:t>承包租赁</w:t>
            </w:r>
          </w:p>
        </w:tc>
        <w:tc>
          <w:tcPr>
            <w:tcW w:w="5008" w:type="dxa"/>
          </w:tcPr>
          <w:p>
            <w:pPr>
              <w:spacing w:line="300" w:lineRule="exact"/>
              <w:rPr>
                <w:rFonts w:cs="Times New Roman"/>
                <w:sz w:val="24"/>
                <w:szCs w:val="24"/>
              </w:rPr>
            </w:pPr>
            <w:r>
              <w:rPr>
                <w:rFonts w:hint="eastAsia"/>
                <w:sz w:val="24"/>
                <w:szCs w:val="24"/>
              </w:rPr>
              <w:t>不得将项目、场所、设备发包或者出租给不具备安全条件或者相应资质的单位或者个人。</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9</w:t>
            </w:r>
          </w:p>
        </w:tc>
        <w:tc>
          <w:tcPr>
            <w:tcW w:w="718" w:type="dxa"/>
            <w:vMerge w:val="restart"/>
            <w:vAlign w:val="center"/>
          </w:tcPr>
          <w:p>
            <w:pPr>
              <w:jc w:val="center"/>
              <w:rPr>
                <w:rFonts w:cs="Times New Roman"/>
                <w:sz w:val="24"/>
                <w:szCs w:val="24"/>
              </w:rPr>
            </w:pPr>
            <w:r>
              <w:rPr>
                <w:rFonts w:hint="eastAsia"/>
                <w:sz w:val="24"/>
                <w:szCs w:val="24"/>
              </w:rPr>
              <w:t>化工工艺管理</w:t>
            </w:r>
          </w:p>
        </w:tc>
        <w:tc>
          <w:tcPr>
            <w:tcW w:w="5008" w:type="dxa"/>
          </w:tcPr>
          <w:p>
            <w:pPr>
              <w:spacing w:line="300" w:lineRule="exact"/>
              <w:rPr>
                <w:rFonts w:cs="Times New Roman"/>
                <w:sz w:val="24"/>
                <w:szCs w:val="24"/>
              </w:rPr>
            </w:pPr>
            <w:r>
              <w:rPr>
                <w:rFonts w:hint="eastAsia"/>
                <w:sz w:val="24"/>
                <w:szCs w:val="24"/>
              </w:rPr>
              <w:t>不得将火种带入易燃易爆场所，员工不得脱岗、睡岗及酒后上岗。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10</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化工装置经过正规设计，落实“三同时”。</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11</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新开发的危险化学品生产工艺经逐级放大试验到工业化生产或首次使用的化工工艺经省级人民政府有关部门组织安全可靠性论证。</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12</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按规定制定操作规程和工艺控制指标。</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13</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生产、储存装置不得超温、超压、超液位运行。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560" w:lineRule="exact"/>
              <w:jc w:val="center"/>
              <w:rPr>
                <w:sz w:val="28"/>
                <w:szCs w:val="28"/>
              </w:rPr>
            </w:pPr>
            <w:r>
              <w:rPr>
                <w:sz w:val="28"/>
                <w:szCs w:val="28"/>
              </w:rPr>
              <w:t>14</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在厂房、围堤、窨井等场所设置有毒有害气体排放口要采取有效防范措施（主要指液化烃、液氨、液氯、硫化氢等易燃易爆及有毒介质）。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15</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液化烃、液氨、液氯等易燃易爆、有毒有害液化气体的充装应使用万向节管道充装系统。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16</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浮顶储罐运行中浮盘不得落底。</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17</w:t>
            </w:r>
          </w:p>
        </w:tc>
        <w:tc>
          <w:tcPr>
            <w:tcW w:w="718" w:type="dxa"/>
            <w:vMerge w:val="restart"/>
            <w:vAlign w:val="center"/>
          </w:tcPr>
          <w:p>
            <w:pPr>
              <w:jc w:val="center"/>
              <w:rPr>
                <w:rFonts w:cs="Times New Roman"/>
                <w:sz w:val="24"/>
                <w:szCs w:val="24"/>
              </w:rPr>
            </w:pPr>
            <w:r>
              <w:rPr>
                <w:rFonts w:hint="eastAsia"/>
                <w:sz w:val="24"/>
                <w:szCs w:val="24"/>
              </w:rPr>
              <w:t>设备设施管理</w:t>
            </w:r>
          </w:p>
        </w:tc>
        <w:tc>
          <w:tcPr>
            <w:tcW w:w="5008" w:type="dxa"/>
          </w:tcPr>
          <w:p>
            <w:pPr>
              <w:spacing w:line="300" w:lineRule="exact"/>
              <w:rPr>
                <w:rFonts w:cs="Times New Roman"/>
                <w:sz w:val="24"/>
                <w:szCs w:val="24"/>
              </w:rPr>
            </w:pPr>
            <w:r>
              <w:rPr>
                <w:rFonts w:hint="eastAsia"/>
                <w:sz w:val="24"/>
                <w:szCs w:val="24"/>
              </w:rPr>
              <w:t>安全设备的安装、使用、检测、维修、改造和报废应符合国家标准或行业标准；不得使用国家明令淘汰的危及生产安全的工艺、设备。</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18</w:t>
            </w:r>
          </w:p>
        </w:tc>
        <w:tc>
          <w:tcPr>
            <w:tcW w:w="718" w:type="dxa"/>
            <w:vMerge w:val="continue"/>
          </w:tcPr>
          <w:p>
            <w:pPr>
              <w:rPr>
                <w:rFonts w:cs="Times New Roman"/>
                <w:sz w:val="24"/>
                <w:szCs w:val="24"/>
              </w:rPr>
            </w:pPr>
          </w:p>
        </w:tc>
        <w:tc>
          <w:tcPr>
            <w:tcW w:w="5008" w:type="dxa"/>
          </w:tcPr>
          <w:p>
            <w:pPr>
              <w:tabs>
                <w:tab w:val="center" w:pos="4153"/>
                <w:tab w:val="right" w:pos="8306"/>
              </w:tabs>
              <w:adjustRightInd w:val="0"/>
              <w:snapToGrid w:val="0"/>
              <w:spacing w:line="300" w:lineRule="exact"/>
              <w:rPr>
                <w:rFonts w:cs="Times New Roman"/>
                <w:sz w:val="24"/>
                <w:szCs w:val="24"/>
              </w:rPr>
            </w:pPr>
            <w:r>
              <w:rPr>
                <w:rFonts w:hint="eastAsia"/>
                <w:sz w:val="24"/>
                <w:szCs w:val="24"/>
              </w:rPr>
              <w:t>油气储罐应符合：（</w:t>
            </w:r>
            <w:r>
              <w:rPr>
                <w:sz w:val="24"/>
                <w:szCs w:val="24"/>
              </w:rPr>
              <w:t>1</w:t>
            </w:r>
            <w:r>
              <w:rPr>
                <w:rFonts w:hint="eastAsia"/>
                <w:sz w:val="24"/>
                <w:szCs w:val="24"/>
              </w:rPr>
              <w:t>）液化烃储罐应设液位计、温度计、压力表、安全阀，以及高液位报警和高高液位自动连锁切断进料措施；全冷冻式液化烃储罐还应设真空泄放设施和高、低温度检测，并应与自动控制系统相联；（</w:t>
            </w:r>
            <w:r>
              <w:rPr>
                <w:sz w:val="24"/>
                <w:szCs w:val="24"/>
              </w:rPr>
              <w:t>2</w:t>
            </w:r>
            <w:r>
              <w:rPr>
                <w:rFonts w:hint="eastAsia"/>
                <w:sz w:val="24"/>
                <w:szCs w:val="24"/>
              </w:rPr>
              <w:t>）气柜应设上、下限位报警装置，并宜设进出管道自动联锁切断装置；（</w:t>
            </w:r>
            <w:r>
              <w:rPr>
                <w:sz w:val="24"/>
                <w:szCs w:val="24"/>
              </w:rPr>
              <w:t>3</w:t>
            </w:r>
            <w:r>
              <w:rPr>
                <w:rFonts w:hint="eastAsia"/>
                <w:sz w:val="24"/>
                <w:szCs w:val="24"/>
              </w:rPr>
              <w:t>）液化石油气球形储罐液相进出口应设置紧急切断阀，其位置宜靠近球形储罐；（</w:t>
            </w:r>
            <w:r>
              <w:rPr>
                <w:sz w:val="24"/>
                <w:szCs w:val="24"/>
              </w:rPr>
              <w:t>4</w:t>
            </w:r>
            <w:r>
              <w:rPr>
                <w:rFonts w:hint="eastAsia"/>
                <w:sz w:val="24"/>
                <w:szCs w:val="24"/>
              </w:rPr>
              <w:t>）丙烯、丙烷、混合</w:t>
            </w:r>
            <w:r>
              <w:rPr>
                <w:sz w:val="24"/>
                <w:szCs w:val="24"/>
              </w:rPr>
              <w:t>C</w:t>
            </w:r>
            <w:r>
              <w:rPr>
                <w:sz w:val="24"/>
                <w:szCs w:val="24"/>
                <w:vertAlign w:val="subscript"/>
              </w:rPr>
              <w:t>4</w:t>
            </w:r>
            <w:r>
              <w:rPr>
                <w:rFonts w:hint="eastAsia"/>
                <w:sz w:val="24"/>
                <w:szCs w:val="24"/>
              </w:rPr>
              <w:t>、抽余</w:t>
            </w:r>
            <w:r>
              <w:rPr>
                <w:sz w:val="24"/>
                <w:szCs w:val="24"/>
              </w:rPr>
              <w:t>C</w:t>
            </w:r>
            <w:r>
              <w:rPr>
                <w:sz w:val="24"/>
                <w:szCs w:val="24"/>
                <w:vertAlign w:val="subscript"/>
              </w:rPr>
              <w:t>4</w:t>
            </w:r>
            <w:r>
              <w:rPr>
                <w:rFonts w:hint="eastAsia"/>
                <w:sz w:val="24"/>
                <w:szCs w:val="24"/>
              </w:rPr>
              <w:t>及液化石油气的球形储罐应设置注水措施。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19</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涉及危险化工工艺、重点监管危险化学品的装置应设置自动化控制系统；或者涉及危险化工工艺的大型化工装置应设置紧急停车系统。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320" w:lineRule="exact"/>
        <w:jc w:val="center"/>
        <w:rPr>
          <w:rFonts w:cs="Times New Roman"/>
          <w:b/>
          <w:bCs/>
          <w:sz w:val="32"/>
          <w:szCs w:val="32"/>
        </w:rPr>
      </w:pPr>
      <w:r>
        <w:rPr>
          <w:rFonts w:cs="Times New Roman"/>
          <w:b/>
          <w:bCs/>
          <w:sz w:val="32"/>
          <w:szCs w:val="32"/>
        </w:rPr>
        <w:br w:type="page"/>
      </w:r>
      <w:r>
        <w:rPr>
          <w:rFonts w:hint="eastAsia"/>
          <w:b/>
          <w:bCs/>
          <w:sz w:val="32"/>
          <w:szCs w:val="32"/>
        </w:rPr>
        <w:t>四、危险化学品生产、储存企业安全检查清单</w:t>
      </w:r>
      <w:r>
        <w:rPr>
          <w:rFonts w:hint="eastAsia"/>
          <w:sz w:val="32"/>
          <w:szCs w:val="32"/>
        </w:rPr>
        <w:t>（续）</w:t>
      </w:r>
    </w:p>
    <w:p>
      <w:pPr>
        <w:rPr>
          <w:rFonts w:cs="Times New Roman"/>
          <w:b/>
          <w:bCs/>
          <w:sz w:val="18"/>
          <w:szCs w:val="18"/>
        </w:rPr>
      </w:pP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jc w:val="center"/>
              <w:rPr>
                <w:rFonts w:cs="Times New Roman"/>
                <w:sz w:val="24"/>
                <w:szCs w:val="24"/>
              </w:rPr>
            </w:pPr>
            <w:r>
              <w:rPr>
                <w:sz w:val="28"/>
                <w:szCs w:val="28"/>
              </w:rPr>
              <w:t>20</w:t>
            </w:r>
          </w:p>
        </w:tc>
        <w:tc>
          <w:tcPr>
            <w:tcW w:w="718" w:type="dxa"/>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有毒有害、可燃气体泄漏检测报警系统按标准设置、使用或定期检测校验；报警信号发送至有操作人员的控制室、现场进行报警。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21</w:t>
            </w:r>
          </w:p>
        </w:tc>
        <w:tc>
          <w:tcPr>
            <w:tcW w:w="718" w:type="dxa"/>
            <w:vMerge w:val="restart"/>
          </w:tcPr>
          <w:p>
            <w:pPr>
              <w:rPr>
                <w:rFonts w:cs="Times New Roman"/>
                <w:sz w:val="24"/>
                <w:szCs w:val="24"/>
              </w:rPr>
            </w:pPr>
          </w:p>
          <w:p>
            <w:pPr>
              <w:rPr>
                <w:rFonts w:cs="Times New Roman"/>
                <w:sz w:val="24"/>
                <w:szCs w:val="24"/>
              </w:rPr>
            </w:pPr>
            <w:r>
              <w:rPr>
                <w:rFonts w:hint="eastAsia"/>
                <w:sz w:val="24"/>
                <w:szCs w:val="24"/>
              </w:rPr>
              <w:t>设备设施管理</w:t>
            </w:r>
          </w:p>
        </w:tc>
        <w:tc>
          <w:tcPr>
            <w:tcW w:w="5008" w:type="dxa"/>
          </w:tcPr>
          <w:p>
            <w:pPr>
              <w:spacing w:line="280" w:lineRule="exact"/>
              <w:rPr>
                <w:rFonts w:cs="Times New Roman"/>
                <w:sz w:val="24"/>
                <w:szCs w:val="24"/>
              </w:rPr>
            </w:pPr>
            <w:r>
              <w:rPr>
                <w:rFonts w:hint="eastAsia"/>
                <w:sz w:val="24"/>
                <w:szCs w:val="24"/>
              </w:rPr>
              <w:t>安全联锁未正常投用或未审批摘除以及经审批后临时摘除超过一个月要恢复。</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22</w:t>
            </w:r>
          </w:p>
        </w:tc>
        <w:tc>
          <w:tcPr>
            <w:tcW w:w="718" w:type="dxa"/>
            <w:vMerge w:val="continue"/>
          </w:tcPr>
          <w:p>
            <w:pP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工艺或安全仪表报警时要及时处置。</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23</w:t>
            </w:r>
          </w:p>
        </w:tc>
        <w:tc>
          <w:tcPr>
            <w:tcW w:w="718" w:type="dxa"/>
            <w:vMerge w:val="continue"/>
          </w:tcPr>
          <w:p>
            <w:pP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在用装置安全阀或泄压排放系统正常投用。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24</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涉及放热反应危险化工工艺装置应设置双重电源供电或控制系统设置不间断电源（</w:t>
            </w:r>
            <w:r>
              <w:rPr>
                <w:sz w:val="24"/>
                <w:szCs w:val="24"/>
              </w:rPr>
              <w:t>UPS</w:t>
            </w:r>
            <w:r>
              <w:rPr>
                <w:rFonts w:hint="eastAsia"/>
                <w:sz w:val="24"/>
                <w:szCs w:val="24"/>
              </w:rPr>
              <w:t>）。</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25</w:t>
            </w:r>
          </w:p>
        </w:tc>
        <w:tc>
          <w:tcPr>
            <w:tcW w:w="718" w:type="dxa"/>
            <w:vMerge w:val="restart"/>
            <w:vAlign w:val="center"/>
          </w:tcPr>
          <w:p>
            <w:pPr>
              <w:jc w:val="center"/>
              <w:rPr>
                <w:rFonts w:cs="Times New Roman"/>
                <w:sz w:val="24"/>
                <w:szCs w:val="24"/>
              </w:rPr>
            </w:pPr>
            <w:r>
              <w:rPr>
                <w:rFonts w:hint="eastAsia"/>
                <w:sz w:val="24"/>
                <w:szCs w:val="24"/>
              </w:rPr>
              <w:t>化工安全管理</w:t>
            </w:r>
          </w:p>
        </w:tc>
        <w:tc>
          <w:tcPr>
            <w:tcW w:w="5008" w:type="dxa"/>
          </w:tcPr>
          <w:p>
            <w:pPr>
              <w:spacing w:line="280" w:lineRule="exact"/>
              <w:rPr>
                <w:rFonts w:cs="Times New Roman"/>
                <w:sz w:val="24"/>
                <w:szCs w:val="24"/>
              </w:rPr>
            </w:pPr>
            <w:r>
              <w:rPr>
                <w:rFonts w:hint="eastAsia"/>
                <w:sz w:val="24"/>
                <w:szCs w:val="24"/>
              </w:rPr>
              <w:t>执行安全管理人员、重要设施变更管理制度。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26</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危险化学品生产装置、罐区、仓库等设施与周边的安全距离符合要求。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80" w:lineRule="exact"/>
              <w:jc w:val="center"/>
              <w:rPr>
                <w:sz w:val="28"/>
                <w:szCs w:val="28"/>
              </w:rPr>
            </w:pPr>
            <w:r>
              <w:rPr>
                <w:sz w:val="28"/>
                <w:szCs w:val="28"/>
              </w:rPr>
              <w:t>27</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化工控制室或机柜间面向具有火灾、爆炸危险性装置一侧不得有门窗。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28</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生产、经营、储存、使用危险化学品的车间、仓库与员工宿舍不得在同一座建筑内或与员工宿舍的距离应符合安全要求。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29</w:t>
            </w:r>
          </w:p>
        </w:tc>
        <w:tc>
          <w:tcPr>
            <w:tcW w:w="718" w:type="dxa"/>
            <w:vMerge w:val="continue"/>
          </w:tcPr>
          <w:p>
            <w:pPr>
              <w:rPr>
                <w:rFonts w:cs="Times New Roman"/>
                <w:sz w:val="24"/>
                <w:szCs w:val="24"/>
              </w:rPr>
            </w:pPr>
          </w:p>
        </w:tc>
        <w:tc>
          <w:tcPr>
            <w:tcW w:w="5008" w:type="dxa"/>
          </w:tcPr>
          <w:p>
            <w:pPr>
              <w:spacing w:line="300" w:lineRule="exact"/>
              <w:ind w:left="-139" w:leftChars="-63" w:right="-119" w:rightChars="-54"/>
              <w:rPr>
                <w:rFonts w:cs="Times New Roman"/>
                <w:sz w:val="24"/>
                <w:szCs w:val="24"/>
              </w:rPr>
            </w:pPr>
            <w:r>
              <w:rPr>
                <w:rFonts w:hint="eastAsia"/>
                <w:sz w:val="24"/>
                <w:szCs w:val="24"/>
              </w:rPr>
              <w:t>危险化学品按照标准分区、分类、分库存放，不得超量、超品种以及相互禁忌物质混放混存。</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30</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危险化学品厂际输送管道不得存在违章占压、安全距离不足和违规交叉穿越问题。光气、氯气等剧毒品管道不得穿（跨）越公共区域。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31</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动火作业按规定进行可燃气体分析；受限空间作业按规定进行可燃气体、氧含量和有毒气体分析；以及作业过程有人监护。</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32</w:t>
            </w:r>
          </w:p>
        </w:tc>
        <w:tc>
          <w:tcPr>
            <w:tcW w:w="718" w:type="dxa"/>
            <w:vMerge w:val="continue"/>
          </w:tcPr>
          <w:p>
            <w:pPr>
              <w:rPr>
                <w:rFonts w:cs="Times New Roman"/>
                <w:sz w:val="24"/>
                <w:szCs w:val="24"/>
              </w:rPr>
            </w:pPr>
          </w:p>
        </w:tc>
        <w:tc>
          <w:tcPr>
            <w:tcW w:w="5008" w:type="dxa"/>
          </w:tcPr>
          <w:p>
            <w:pPr>
              <w:spacing w:line="300" w:lineRule="exact"/>
              <w:ind w:left="-139" w:leftChars="-63" w:right="-119" w:rightChars="-54" w:firstLine="132" w:firstLineChars="55"/>
              <w:rPr>
                <w:rFonts w:cs="Times New Roman"/>
                <w:sz w:val="24"/>
                <w:szCs w:val="24"/>
              </w:rPr>
            </w:pPr>
            <w:r>
              <w:rPr>
                <w:rFonts w:hint="eastAsia"/>
                <w:sz w:val="24"/>
                <w:szCs w:val="24"/>
              </w:rPr>
              <w:t>脱水、装卸、倒罐作业人员不得离开现场，油气罐区同一防火堤内切水和动火不得同时进行。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33</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在有较大危险因素的生产经营场所和有关设施、设备上设置明显的安全警示标志。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34</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危险化学品生产企业应提供化学品安全技术说明书，在包装（包括外包装件）上粘贴、拴挂化学品安全标签。</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35</w:t>
            </w:r>
          </w:p>
        </w:tc>
        <w:tc>
          <w:tcPr>
            <w:tcW w:w="718" w:type="dxa"/>
            <w:vMerge w:val="continue"/>
          </w:tcPr>
          <w:p>
            <w:pP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重大危险源登记建档，或进行评估、有效监控。</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96" w:type="dxa"/>
          </w:tcPr>
          <w:p>
            <w:pPr>
              <w:spacing w:line="460" w:lineRule="exact"/>
              <w:jc w:val="center"/>
              <w:rPr>
                <w:sz w:val="28"/>
                <w:szCs w:val="28"/>
              </w:rPr>
            </w:pPr>
            <w:r>
              <w:rPr>
                <w:sz w:val="28"/>
                <w:szCs w:val="28"/>
              </w:rPr>
              <w:t>36</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对重大危险源的安全生产状况进行定期检查，采取措施消除事故隐患。</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37</w:t>
            </w:r>
          </w:p>
        </w:tc>
        <w:tc>
          <w:tcPr>
            <w:tcW w:w="718" w:type="dxa"/>
            <w:vMerge w:val="continue"/>
          </w:tcPr>
          <w:p>
            <w:pPr>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易燃易爆区域应使用防爆工具与防爆电器。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38</w:t>
            </w:r>
          </w:p>
        </w:tc>
        <w:tc>
          <w:tcPr>
            <w:tcW w:w="718" w:type="dxa"/>
            <w:vMerge w:val="continue"/>
          </w:tcPr>
          <w:p>
            <w:pPr>
              <w:rPr>
                <w:rFonts w:cs="Times New Roman"/>
                <w:sz w:val="24"/>
                <w:szCs w:val="24"/>
              </w:rPr>
            </w:pPr>
          </w:p>
        </w:tc>
        <w:tc>
          <w:tcPr>
            <w:tcW w:w="5008" w:type="dxa"/>
          </w:tcPr>
          <w:p>
            <w:pPr>
              <w:spacing w:line="300" w:lineRule="exact"/>
              <w:rPr>
                <w:rFonts w:cs="Times New Roman"/>
                <w:sz w:val="24"/>
                <w:szCs w:val="24"/>
              </w:rPr>
            </w:pPr>
            <w:r>
              <w:rPr>
                <w:rFonts w:hint="eastAsia"/>
                <w:sz w:val="24"/>
                <w:szCs w:val="24"/>
              </w:rPr>
              <w:t>在存在有毒气体的区域应配备便携式检测仪、空气呼吸器等器材和设备，且员工能正确佩戴、使用个体防护用品和应急救援器材。</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360" w:lineRule="exact"/>
        <w:ind w:firstLine="560" w:firstLineChars="200"/>
        <w:rPr>
          <w:rFonts w:cs="Times New Roman"/>
          <w:sz w:val="28"/>
          <w:szCs w:val="28"/>
        </w:rPr>
      </w:pPr>
      <w:r>
        <w:rPr>
          <w:rFonts w:hint="eastAsia"/>
          <w:sz w:val="28"/>
          <w:szCs w:val="28"/>
        </w:rPr>
        <w:t>监督检查单位：</w:t>
      </w:r>
    </w:p>
    <w:p>
      <w:pPr>
        <w:adjustRightInd w:val="0"/>
        <w:snapToGrid w:val="0"/>
        <w:rPr>
          <w:rFonts w:cs="Times New Roman"/>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cs="Times New Roman"/>
          <w:b/>
          <w:bCs/>
          <w:sz w:val="32"/>
          <w:szCs w:val="32"/>
        </w:rPr>
        <w:br w:type="page"/>
      </w:r>
    </w:p>
    <w:p>
      <w:pPr>
        <w:spacing w:line="320" w:lineRule="exact"/>
        <w:jc w:val="center"/>
        <w:rPr>
          <w:rFonts w:cs="Times New Roman"/>
          <w:b/>
          <w:bCs/>
          <w:sz w:val="32"/>
          <w:szCs w:val="32"/>
        </w:rPr>
      </w:pPr>
    </w:p>
    <w:p>
      <w:pPr>
        <w:spacing w:line="560" w:lineRule="exact"/>
        <w:rPr>
          <w:rFonts w:cs="Times New Roman"/>
          <w:b/>
          <w:bCs/>
          <w:sz w:val="18"/>
          <w:szCs w:val="18"/>
        </w:rPr>
      </w:pPr>
      <w:r>
        <w:rPr>
          <w:b/>
          <w:bCs/>
          <w:sz w:val="32"/>
          <w:szCs w:val="32"/>
        </w:rPr>
        <w:t xml:space="preserve">       </w:t>
      </w:r>
      <w:r>
        <w:rPr>
          <w:rFonts w:hint="eastAsia"/>
          <w:b/>
          <w:bCs/>
          <w:sz w:val="32"/>
          <w:szCs w:val="32"/>
          <w:lang w:eastAsia="zh-CN"/>
        </w:rPr>
        <w:t>五</w:t>
      </w:r>
      <w:r>
        <w:rPr>
          <w:rFonts w:hint="eastAsia"/>
          <w:b/>
          <w:bCs/>
          <w:sz w:val="32"/>
          <w:szCs w:val="32"/>
        </w:rPr>
        <w:t>、烟花爆竹经营（零售）单位安全检查清单</w:t>
      </w:r>
    </w:p>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33"/>
        <w:gridCol w:w="5107"/>
        <w:gridCol w:w="562"/>
        <w:gridCol w:w="55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5" w:type="dxa"/>
            <w:vMerge w:val="restart"/>
          </w:tcPr>
          <w:p>
            <w:pPr>
              <w:spacing w:line="280" w:lineRule="exact"/>
              <w:jc w:val="center"/>
              <w:rPr>
                <w:rFonts w:cs="Times New Roman"/>
                <w:sz w:val="24"/>
                <w:szCs w:val="24"/>
              </w:rPr>
            </w:pPr>
            <w:r>
              <w:rPr>
                <w:rFonts w:hint="eastAsia"/>
                <w:sz w:val="24"/>
                <w:szCs w:val="24"/>
              </w:rPr>
              <w:t>序号</w:t>
            </w:r>
          </w:p>
        </w:tc>
        <w:tc>
          <w:tcPr>
            <w:tcW w:w="733" w:type="dxa"/>
            <w:vMerge w:val="restart"/>
          </w:tcPr>
          <w:p>
            <w:pPr>
              <w:spacing w:line="280" w:lineRule="exact"/>
              <w:rPr>
                <w:rFonts w:cs="Times New Roman"/>
                <w:sz w:val="24"/>
                <w:szCs w:val="24"/>
              </w:rPr>
            </w:pPr>
            <w:r>
              <w:rPr>
                <w:rFonts w:hint="eastAsia"/>
                <w:sz w:val="24"/>
                <w:szCs w:val="24"/>
              </w:rPr>
              <w:t>检查类别</w:t>
            </w:r>
          </w:p>
        </w:tc>
        <w:tc>
          <w:tcPr>
            <w:tcW w:w="5107" w:type="dxa"/>
            <w:vMerge w:val="restart"/>
          </w:tcPr>
          <w:p>
            <w:pPr>
              <w:spacing w:line="460" w:lineRule="exact"/>
              <w:jc w:val="center"/>
              <w:rPr>
                <w:rFonts w:cs="Times New Roman"/>
                <w:sz w:val="28"/>
                <w:szCs w:val="28"/>
              </w:rPr>
            </w:pPr>
            <w:r>
              <w:rPr>
                <w:rFonts w:hint="eastAsia"/>
                <w:sz w:val="28"/>
                <w:szCs w:val="28"/>
              </w:rPr>
              <w:t>检查标准要求</w:t>
            </w:r>
          </w:p>
        </w:tc>
        <w:tc>
          <w:tcPr>
            <w:tcW w:w="1114"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41"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Merge w:val="continue"/>
          </w:tcPr>
          <w:p>
            <w:pPr>
              <w:jc w:val="center"/>
              <w:rPr>
                <w:rFonts w:cs="Times New Roman"/>
                <w:sz w:val="24"/>
                <w:szCs w:val="24"/>
              </w:rPr>
            </w:pPr>
          </w:p>
        </w:tc>
        <w:tc>
          <w:tcPr>
            <w:tcW w:w="733" w:type="dxa"/>
            <w:vMerge w:val="continue"/>
          </w:tcPr>
          <w:p>
            <w:pPr>
              <w:rPr>
                <w:rFonts w:cs="Times New Roman"/>
                <w:sz w:val="24"/>
                <w:szCs w:val="24"/>
              </w:rPr>
            </w:pPr>
          </w:p>
        </w:tc>
        <w:tc>
          <w:tcPr>
            <w:tcW w:w="5107" w:type="dxa"/>
            <w:vMerge w:val="continue"/>
          </w:tcPr>
          <w:p>
            <w:pPr>
              <w:rPr>
                <w:rFonts w:cs="Times New Roman"/>
                <w:sz w:val="24"/>
                <w:szCs w:val="24"/>
              </w:rPr>
            </w:pPr>
          </w:p>
        </w:tc>
        <w:tc>
          <w:tcPr>
            <w:tcW w:w="562" w:type="dxa"/>
          </w:tcPr>
          <w:p>
            <w:pPr>
              <w:spacing w:line="280" w:lineRule="exact"/>
              <w:jc w:val="center"/>
              <w:rPr>
                <w:rFonts w:cs="Times New Roman"/>
                <w:sz w:val="24"/>
                <w:szCs w:val="24"/>
              </w:rPr>
            </w:pPr>
            <w:r>
              <w:rPr>
                <w:rFonts w:hint="eastAsia"/>
                <w:sz w:val="24"/>
                <w:szCs w:val="24"/>
              </w:rPr>
              <w:t>是</w:t>
            </w:r>
          </w:p>
        </w:tc>
        <w:tc>
          <w:tcPr>
            <w:tcW w:w="552" w:type="dxa"/>
          </w:tcPr>
          <w:p>
            <w:pPr>
              <w:spacing w:line="280" w:lineRule="exact"/>
              <w:jc w:val="center"/>
              <w:rPr>
                <w:rFonts w:cs="Times New Roman"/>
                <w:sz w:val="24"/>
                <w:szCs w:val="24"/>
              </w:rPr>
            </w:pPr>
            <w:r>
              <w:rPr>
                <w:rFonts w:hint="eastAsia"/>
                <w:sz w:val="24"/>
                <w:szCs w:val="24"/>
              </w:rPr>
              <w:t>否</w:t>
            </w:r>
          </w:p>
        </w:tc>
        <w:tc>
          <w:tcPr>
            <w:tcW w:w="1841"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w:t>
            </w:r>
          </w:p>
        </w:tc>
        <w:tc>
          <w:tcPr>
            <w:tcW w:w="733" w:type="dxa"/>
            <w:vMerge w:val="restart"/>
            <w:vAlign w:val="center"/>
          </w:tcPr>
          <w:p>
            <w:pPr>
              <w:jc w:val="center"/>
              <w:rPr>
                <w:rFonts w:cs="Times New Roman"/>
                <w:sz w:val="24"/>
                <w:szCs w:val="24"/>
              </w:rPr>
            </w:pPr>
          </w:p>
          <w:p>
            <w:pPr>
              <w:jc w:val="center"/>
              <w:rPr>
                <w:rFonts w:cs="Times New Roman"/>
                <w:sz w:val="24"/>
                <w:szCs w:val="24"/>
              </w:rPr>
            </w:pPr>
            <w:r>
              <w:rPr>
                <w:rFonts w:hint="eastAsia"/>
                <w:sz w:val="24"/>
                <w:szCs w:val="24"/>
              </w:rPr>
              <w:t>选址条件</w:t>
            </w:r>
          </w:p>
        </w:tc>
        <w:tc>
          <w:tcPr>
            <w:tcW w:w="5107" w:type="dxa"/>
          </w:tcPr>
          <w:p>
            <w:pPr>
              <w:rPr>
                <w:rFonts w:cs="Times New Roman"/>
                <w:sz w:val="24"/>
                <w:szCs w:val="24"/>
              </w:rPr>
            </w:pPr>
            <w:r>
              <w:rPr>
                <w:rFonts w:hint="eastAsia"/>
                <w:sz w:val="24"/>
                <w:szCs w:val="24"/>
              </w:rPr>
              <w:t>符合所在地制定的零售经营布点规划。</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2</w:t>
            </w:r>
          </w:p>
        </w:tc>
        <w:tc>
          <w:tcPr>
            <w:tcW w:w="733" w:type="dxa"/>
            <w:vMerge w:val="continue"/>
            <w:vAlign w:val="center"/>
          </w:tcPr>
          <w:p>
            <w:pPr>
              <w:jc w:val="center"/>
              <w:rPr>
                <w:rFonts w:cs="Times New Roman"/>
                <w:sz w:val="24"/>
                <w:szCs w:val="24"/>
              </w:rPr>
            </w:pPr>
          </w:p>
        </w:tc>
        <w:tc>
          <w:tcPr>
            <w:tcW w:w="5107" w:type="dxa"/>
          </w:tcPr>
          <w:p>
            <w:pPr>
              <w:rPr>
                <w:rFonts w:cs="Times New Roman"/>
                <w:sz w:val="24"/>
                <w:szCs w:val="24"/>
              </w:rPr>
            </w:pPr>
            <w:r>
              <w:rPr>
                <w:rFonts w:hint="eastAsia"/>
                <w:sz w:val="24"/>
                <w:szCs w:val="24"/>
              </w:rPr>
              <w:t>不得与居民居住场所设置在同一建筑物内。</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3</w:t>
            </w:r>
          </w:p>
        </w:tc>
        <w:tc>
          <w:tcPr>
            <w:tcW w:w="733" w:type="dxa"/>
            <w:vMerge w:val="continue"/>
            <w:vAlign w:val="center"/>
          </w:tcPr>
          <w:p>
            <w:pPr>
              <w:jc w:val="center"/>
              <w:rPr>
                <w:rFonts w:cs="Times New Roman"/>
                <w:sz w:val="24"/>
                <w:szCs w:val="24"/>
              </w:rPr>
            </w:pPr>
          </w:p>
        </w:tc>
        <w:tc>
          <w:tcPr>
            <w:tcW w:w="5107" w:type="dxa"/>
          </w:tcPr>
          <w:p>
            <w:pPr>
              <w:rPr>
                <w:rFonts w:cs="Times New Roman"/>
                <w:sz w:val="24"/>
                <w:szCs w:val="24"/>
              </w:rPr>
            </w:pPr>
            <w:r>
              <w:rPr>
                <w:rFonts w:hint="eastAsia"/>
                <w:sz w:val="24"/>
                <w:szCs w:val="24"/>
              </w:rPr>
              <w:t>零售场所的面积不小于</w:t>
            </w:r>
            <w:r>
              <w:rPr>
                <w:sz w:val="24"/>
                <w:szCs w:val="24"/>
              </w:rPr>
              <w:t>10</w:t>
            </w:r>
            <w:r>
              <w:rPr>
                <w:rFonts w:hint="eastAsia"/>
                <w:sz w:val="24"/>
                <w:szCs w:val="24"/>
              </w:rPr>
              <w:t>平方米。</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4</w:t>
            </w:r>
          </w:p>
        </w:tc>
        <w:tc>
          <w:tcPr>
            <w:tcW w:w="733" w:type="dxa"/>
            <w:vMerge w:val="continue"/>
            <w:vAlign w:val="center"/>
          </w:tcPr>
          <w:p>
            <w:pPr>
              <w:jc w:val="center"/>
              <w:rPr>
                <w:rFonts w:cs="Times New Roman"/>
                <w:sz w:val="24"/>
                <w:szCs w:val="24"/>
              </w:rPr>
            </w:pPr>
          </w:p>
        </w:tc>
        <w:tc>
          <w:tcPr>
            <w:tcW w:w="5107" w:type="dxa"/>
          </w:tcPr>
          <w:p>
            <w:pPr>
              <w:rPr>
                <w:rFonts w:cs="Times New Roman"/>
                <w:sz w:val="24"/>
                <w:szCs w:val="24"/>
              </w:rPr>
            </w:pPr>
            <w:r>
              <w:rPr>
                <w:rFonts w:hint="eastAsia"/>
                <w:sz w:val="24"/>
                <w:szCs w:val="24"/>
              </w:rPr>
              <w:t>其周边</w:t>
            </w:r>
            <w:r>
              <w:rPr>
                <w:sz w:val="24"/>
                <w:szCs w:val="24"/>
              </w:rPr>
              <w:t>50</w:t>
            </w:r>
            <w:r>
              <w:rPr>
                <w:rFonts w:hint="eastAsia"/>
                <w:sz w:val="24"/>
                <w:szCs w:val="24"/>
              </w:rPr>
              <w:t>米范围内没有其他烟花爆竹零售点。</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460" w:lineRule="exact"/>
              <w:jc w:val="center"/>
              <w:rPr>
                <w:sz w:val="28"/>
                <w:szCs w:val="28"/>
              </w:rPr>
            </w:pPr>
            <w:r>
              <w:rPr>
                <w:sz w:val="28"/>
                <w:szCs w:val="28"/>
              </w:rPr>
              <w:t>5</w:t>
            </w:r>
          </w:p>
        </w:tc>
        <w:tc>
          <w:tcPr>
            <w:tcW w:w="733" w:type="dxa"/>
            <w:vMerge w:val="continue"/>
            <w:vAlign w:val="center"/>
          </w:tcPr>
          <w:p>
            <w:pPr>
              <w:jc w:val="center"/>
              <w:rPr>
                <w:rFonts w:cs="Times New Roman"/>
                <w:sz w:val="24"/>
                <w:szCs w:val="24"/>
              </w:rPr>
            </w:pPr>
          </w:p>
        </w:tc>
        <w:tc>
          <w:tcPr>
            <w:tcW w:w="5107" w:type="dxa"/>
          </w:tcPr>
          <w:p>
            <w:pPr>
              <w:spacing w:line="320" w:lineRule="exact"/>
              <w:rPr>
                <w:rFonts w:cs="Times New Roman"/>
                <w:sz w:val="24"/>
                <w:szCs w:val="24"/>
              </w:rPr>
            </w:pPr>
            <w:r>
              <w:rPr>
                <w:rFonts w:hint="eastAsia"/>
                <w:sz w:val="24"/>
                <w:szCs w:val="24"/>
              </w:rPr>
              <w:t>并与人员密集场所、易燃易爆场所等重点建筑物保持</w:t>
            </w:r>
            <w:r>
              <w:rPr>
                <w:sz w:val="24"/>
                <w:szCs w:val="24"/>
              </w:rPr>
              <w:t>100</w:t>
            </w:r>
            <w:r>
              <w:rPr>
                <w:rFonts w:hint="eastAsia"/>
                <w:sz w:val="24"/>
                <w:szCs w:val="24"/>
              </w:rPr>
              <w:t>米以上的安全距离</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6</w:t>
            </w:r>
          </w:p>
        </w:tc>
        <w:tc>
          <w:tcPr>
            <w:tcW w:w="733" w:type="dxa"/>
            <w:vMerge w:val="restart"/>
            <w:vAlign w:val="center"/>
          </w:tcPr>
          <w:p>
            <w:pPr>
              <w:rPr>
                <w:rFonts w:cs="Times New Roman"/>
                <w:sz w:val="24"/>
                <w:szCs w:val="24"/>
              </w:rPr>
            </w:pPr>
            <w:r>
              <w:rPr>
                <w:rFonts w:hint="eastAsia"/>
                <w:sz w:val="24"/>
                <w:szCs w:val="24"/>
              </w:rPr>
              <w:t>资质条件</w:t>
            </w:r>
          </w:p>
        </w:tc>
        <w:tc>
          <w:tcPr>
            <w:tcW w:w="5107" w:type="dxa"/>
          </w:tcPr>
          <w:p>
            <w:pPr>
              <w:spacing w:line="280" w:lineRule="exact"/>
              <w:rPr>
                <w:rFonts w:cs="Times New Roman"/>
                <w:sz w:val="24"/>
                <w:szCs w:val="24"/>
              </w:rPr>
            </w:pPr>
            <w:r>
              <w:rPr>
                <w:rFonts w:hint="eastAsia"/>
                <w:sz w:val="24"/>
                <w:szCs w:val="24"/>
              </w:rPr>
              <w:t>《烟花爆竹经营</w:t>
            </w:r>
            <w:r>
              <w:rPr>
                <w:sz w:val="24"/>
                <w:szCs w:val="24"/>
              </w:rPr>
              <w:t>(</w:t>
            </w:r>
            <w:r>
              <w:rPr>
                <w:rFonts w:hint="eastAsia"/>
                <w:sz w:val="24"/>
                <w:szCs w:val="24"/>
              </w:rPr>
              <w:t>零售</w:t>
            </w:r>
            <w:r>
              <w:rPr>
                <w:sz w:val="24"/>
                <w:szCs w:val="24"/>
              </w:rPr>
              <w:t>)</w:t>
            </w:r>
            <w:r>
              <w:rPr>
                <w:rFonts w:hint="eastAsia"/>
                <w:sz w:val="24"/>
                <w:szCs w:val="24"/>
              </w:rPr>
              <w:t>许可证》、《营业执照》在有效期内。</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460" w:lineRule="exact"/>
              <w:jc w:val="center"/>
              <w:rPr>
                <w:sz w:val="28"/>
                <w:szCs w:val="28"/>
              </w:rPr>
            </w:pPr>
            <w:r>
              <w:rPr>
                <w:sz w:val="28"/>
                <w:szCs w:val="28"/>
              </w:rPr>
              <w:t>7</w:t>
            </w:r>
          </w:p>
        </w:tc>
        <w:tc>
          <w:tcPr>
            <w:tcW w:w="733" w:type="dxa"/>
            <w:vMerge w:val="continue"/>
            <w:vAlign w:val="center"/>
          </w:tcPr>
          <w:p>
            <w:pPr>
              <w:jc w:val="cente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不得转让、买卖、出租、出借、冒用或者伪造《烟花爆竹经营（零售）许可证》。</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8</w:t>
            </w:r>
          </w:p>
        </w:tc>
        <w:tc>
          <w:tcPr>
            <w:tcW w:w="733" w:type="dxa"/>
            <w:vMerge w:val="continue"/>
            <w:vAlign w:val="center"/>
          </w:tcPr>
          <w:p>
            <w:pPr>
              <w:jc w:val="cente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主要负责人和销售人员经过安全知识培训考核合格。</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9</w:t>
            </w:r>
          </w:p>
        </w:tc>
        <w:tc>
          <w:tcPr>
            <w:tcW w:w="733" w:type="dxa"/>
            <w:vMerge w:val="restart"/>
            <w:vAlign w:val="center"/>
          </w:tcPr>
          <w:p>
            <w:pPr>
              <w:jc w:val="center"/>
              <w:rPr>
                <w:rFonts w:cs="Times New Roman"/>
                <w:sz w:val="24"/>
                <w:szCs w:val="24"/>
              </w:rPr>
            </w:pPr>
            <w:r>
              <w:rPr>
                <w:rFonts w:hint="eastAsia"/>
                <w:sz w:val="24"/>
                <w:szCs w:val="24"/>
              </w:rPr>
              <w:t>场所设施安全</w:t>
            </w:r>
          </w:p>
        </w:tc>
        <w:tc>
          <w:tcPr>
            <w:tcW w:w="5107" w:type="dxa"/>
          </w:tcPr>
          <w:p>
            <w:pPr>
              <w:spacing w:line="280" w:lineRule="exact"/>
              <w:rPr>
                <w:rFonts w:cs="Times New Roman"/>
                <w:sz w:val="24"/>
                <w:szCs w:val="24"/>
              </w:rPr>
            </w:pPr>
            <w:r>
              <w:rPr>
                <w:rFonts w:hint="eastAsia"/>
                <w:sz w:val="24"/>
                <w:szCs w:val="24"/>
              </w:rPr>
              <w:t>零售场所配备两具</w:t>
            </w:r>
            <w:r>
              <w:rPr>
                <w:sz w:val="24"/>
                <w:szCs w:val="24"/>
              </w:rPr>
              <w:t>5Kg</w:t>
            </w:r>
            <w:r>
              <w:rPr>
                <w:rFonts w:hint="eastAsia"/>
                <w:sz w:val="24"/>
                <w:szCs w:val="24"/>
              </w:rPr>
              <w:t>及以上的磷酸铵盐干粉灭火器。</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10</w:t>
            </w:r>
          </w:p>
        </w:tc>
        <w:tc>
          <w:tcPr>
            <w:tcW w:w="733" w:type="dxa"/>
            <w:vMerge w:val="continue"/>
            <w:vAlign w:val="center"/>
          </w:tcPr>
          <w:p>
            <w:pPr>
              <w:jc w:val="cente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零售场所储备有</w:t>
            </w:r>
            <w:r>
              <w:rPr>
                <w:sz w:val="24"/>
                <w:szCs w:val="24"/>
              </w:rPr>
              <w:t>50Kg</w:t>
            </w:r>
            <w:r>
              <w:rPr>
                <w:rFonts w:hint="eastAsia"/>
                <w:sz w:val="24"/>
                <w:szCs w:val="24"/>
              </w:rPr>
              <w:t>以上消防用水。</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11</w:t>
            </w:r>
          </w:p>
        </w:tc>
        <w:tc>
          <w:tcPr>
            <w:tcW w:w="733" w:type="dxa"/>
            <w:vMerge w:val="continue"/>
            <w:vAlign w:val="center"/>
          </w:tcPr>
          <w:p>
            <w:pPr>
              <w:jc w:val="cente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照明、线路布设符合防爆防火安全要求。</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12</w:t>
            </w:r>
          </w:p>
        </w:tc>
        <w:tc>
          <w:tcPr>
            <w:tcW w:w="733" w:type="dxa"/>
            <w:vMerge w:val="continue"/>
            <w:vAlign w:val="center"/>
          </w:tcPr>
          <w:p>
            <w:pPr>
              <w:jc w:val="cente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张贴明显的防火防爆、严禁烟火等警示标志。</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13</w:t>
            </w:r>
          </w:p>
        </w:tc>
        <w:tc>
          <w:tcPr>
            <w:tcW w:w="733" w:type="dxa"/>
            <w:vMerge w:val="continue"/>
            <w:vAlign w:val="center"/>
          </w:tcPr>
          <w:p>
            <w:pPr>
              <w:jc w:val="center"/>
              <w:rPr>
                <w:rFonts w:cs="Times New Roman"/>
                <w:sz w:val="24"/>
                <w:szCs w:val="24"/>
              </w:rPr>
            </w:pPr>
          </w:p>
        </w:tc>
        <w:tc>
          <w:tcPr>
            <w:tcW w:w="5107" w:type="dxa"/>
          </w:tcPr>
          <w:p>
            <w:pPr>
              <w:spacing w:line="320" w:lineRule="exact"/>
              <w:rPr>
                <w:rFonts w:cs="Times New Roman"/>
                <w:sz w:val="24"/>
                <w:szCs w:val="24"/>
              </w:rPr>
            </w:pPr>
            <w:r>
              <w:rPr>
                <w:rFonts w:hint="eastAsia"/>
                <w:sz w:val="24"/>
                <w:szCs w:val="24"/>
              </w:rPr>
              <w:t>经营场所内不得存在明火或高温高热辐射源（如煤气灶、电磁炉、电水壶、取暖器具等）。</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vAlign w:val="center"/>
          </w:tcPr>
          <w:p>
            <w:pPr>
              <w:spacing w:line="280" w:lineRule="exact"/>
              <w:jc w:val="center"/>
              <w:rPr>
                <w:sz w:val="28"/>
                <w:szCs w:val="28"/>
              </w:rPr>
            </w:pPr>
            <w:r>
              <w:rPr>
                <w:sz w:val="28"/>
                <w:szCs w:val="28"/>
              </w:rPr>
              <w:t>14</w:t>
            </w:r>
          </w:p>
        </w:tc>
        <w:tc>
          <w:tcPr>
            <w:tcW w:w="733" w:type="dxa"/>
            <w:vMerge w:val="restart"/>
            <w:vAlign w:val="center"/>
          </w:tcPr>
          <w:p>
            <w:pPr>
              <w:jc w:val="center"/>
              <w:rPr>
                <w:rFonts w:cs="Times New Roman"/>
                <w:sz w:val="24"/>
                <w:szCs w:val="24"/>
              </w:rPr>
            </w:pPr>
          </w:p>
          <w:p>
            <w:pPr>
              <w:jc w:val="center"/>
              <w:rPr>
                <w:rFonts w:cs="Times New Roman"/>
                <w:sz w:val="24"/>
                <w:szCs w:val="24"/>
              </w:rPr>
            </w:pPr>
            <w:r>
              <w:rPr>
                <w:rFonts w:hint="eastAsia"/>
                <w:sz w:val="24"/>
                <w:szCs w:val="24"/>
              </w:rPr>
              <w:t>零售经营安全</w:t>
            </w:r>
          </w:p>
        </w:tc>
        <w:tc>
          <w:tcPr>
            <w:tcW w:w="5107" w:type="dxa"/>
          </w:tcPr>
          <w:p>
            <w:pPr>
              <w:spacing w:line="280" w:lineRule="exact"/>
              <w:rPr>
                <w:rFonts w:cs="Times New Roman"/>
                <w:sz w:val="24"/>
                <w:szCs w:val="24"/>
              </w:rPr>
            </w:pPr>
            <w:r>
              <w:rPr>
                <w:rFonts w:hint="eastAsia" w:ascii="新宋体" w:hAnsi="新宋体" w:eastAsia="新宋体" w:cs="新宋体"/>
                <w:sz w:val="24"/>
                <w:szCs w:val="24"/>
              </w:rPr>
              <w:t>实</w:t>
            </w:r>
            <w:r>
              <w:rPr>
                <w:rFonts w:hint="eastAsia"/>
                <w:sz w:val="24"/>
                <w:szCs w:val="24"/>
              </w:rPr>
              <w:t>行专店、安排专人销售。</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tcPr>
          <w:p>
            <w:pPr>
              <w:spacing w:line="460" w:lineRule="exact"/>
              <w:jc w:val="center"/>
              <w:rPr>
                <w:sz w:val="28"/>
                <w:szCs w:val="28"/>
              </w:rPr>
            </w:pPr>
            <w:r>
              <w:rPr>
                <w:sz w:val="28"/>
                <w:szCs w:val="28"/>
              </w:rPr>
              <w:t>15</w:t>
            </w:r>
          </w:p>
        </w:tc>
        <w:tc>
          <w:tcPr>
            <w:tcW w:w="733" w:type="dxa"/>
            <w:vMerge w:val="continue"/>
          </w:tcPr>
          <w:p>
            <w:pPr>
              <w:rPr>
                <w:rFonts w:cs="Times New Roman"/>
                <w:sz w:val="24"/>
                <w:szCs w:val="24"/>
              </w:rPr>
            </w:pPr>
          </w:p>
        </w:tc>
        <w:tc>
          <w:tcPr>
            <w:tcW w:w="5107" w:type="dxa"/>
          </w:tcPr>
          <w:p>
            <w:pPr>
              <w:spacing w:line="320" w:lineRule="exact"/>
              <w:rPr>
                <w:rFonts w:cs="Times New Roman"/>
                <w:sz w:val="24"/>
                <w:szCs w:val="24"/>
              </w:rPr>
            </w:pPr>
            <w:r>
              <w:rPr>
                <w:rFonts w:hint="eastAsia"/>
                <w:sz w:val="24"/>
                <w:szCs w:val="24"/>
              </w:rPr>
              <w:t>存放的烟花爆竹品种和数量不得超过烟花爆竹经营许可证载明的范围和限量。</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tcPr>
          <w:p>
            <w:pPr>
              <w:spacing w:line="280" w:lineRule="exact"/>
              <w:jc w:val="center"/>
              <w:rPr>
                <w:sz w:val="28"/>
                <w:szCs w:val="28"/>
              </w:rPr>
            </w:pPr>
            <w:r>
              <w:rPr>
                <w:sz w:val="28"/>
                <w:szCs w:val="28"/>
              </w:rPr>
              <w:t>16</w:t>
            </w:r>
          </w:p>
        </w:tc>
        <w:tc>
          <w:tcPr>
            <w:tcW w:w="733" w:type="dxa"/>
            <w:vMerge w:val="continue"/>
          </w:tcPr>
          <w:p>
            <w:pPr>
              <w:rPr>
                <w:rFonts w:cs="Times New Roman"/>
                <w:sz w:val="24"/>
                <w:szCs w:val="24"/>
              </w:rPr>
            </w:pPr>
          </w:p>
        </w:tc>
        <w:tc>
          <w:tcPr>
            <w:tcW w:w="5107" w:type="dxa"/>
          </w:tcPr>
          <w:p>
            <w:pPr>
              <w:spacing w:line="280" w:lineRule="exact"/>
              <w:rPr>
                <w:rFonts w:cs="Times New Roman"/>
                <w:sz w:val="24"/>
                <w:szCs w:val="24"/>
              </w:rPr>
            </w:pPr>
            <w:r>
              <w:rPr>
                <w:rFonts w:hint="eastAsia"/>
                <w:sz w:val="24"/>
                <w:szCs w:val="24"/>
              </w:rPr>
              <w:t>货架高不超过</w:t>
            </w:r>
            <w:r>
              <w:rPr>
                <w:sz w:val="24"/>
                <w:szCs w:val="24"/>
              </w:rPr>
              <w:t>1.8m,</w:t>
            </w:r>
            <w:r>
              <w:rPr>
                <w:rFonts w:hint="eastAsia"/>
                <w:sz w:val="24"/>
                <w:szCs w:val="24"/>
              </w:rPr>
              <w:t>烟花爆竹堆垛最高点不超过</w:t>
            </w:r>
            <w:r>
              <w:rPr>
                <w:sz w:val="24"/>
                <w:szCs w:val="24"/>
              </w:rPr>
              <w:t>2.5m</w:t>
            </w:r>
            <w:r>
              <w:rPr>
                <w:rFonts w:hint="eastAsia"/>
                <w:sz w:val="24"/>
                <w:szCs w:val="24"/>
              </w:rPr>
              <w:t>。</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tcPr>
          <w:p>
            <w:pPr>
              <w:spacing w:line="460" w:lineRule="exact"/>
              <w:jc w:val="center"/>
              <w:rPr>
                <w:sz w:val="28"/>
                <w:szCs w:val="28"/>
              </w:rPr>
            </w:pPr>
            <w:r>
              <w:rPr>
                <w:sz w:val="28"/>
                <w:szCs w:val="28"/>
              </w:rPr>
              <w:t>17</w:t>
            </w:r>
          </w:p>
        </w:tc>
        <w:tc>
          <w:tcPr>
            <w:tcW w:w="733" w:type="dxa"/>
            <w:vMerge w:val="continue"/>
          </w:tcPr>
          <w:p>
            <w:pPr>
              <w:rPr>
                <w:rFonts w:cs="Times New Roman"/>
                <w:sz w:val="24"/>
                <w:szCs w:val="24"/>
              </w:rPr>
            </w:pPr>
          </w:p>
        </w:tc>
        <w:tc>
          <w:tcPr>
            <w:tcW w:w="5107" w:type="dxa"/>
          </w:tcPr>
          <w:p>
            <w:pPr>
              <w:spacing w:line="320" w:lineRule="exact"/>
              <w:rPr>
                <w:rFonts w:cs="Times New Roman"/>
                <w:sz w:val="24"/>
                <w:szCs w:val="24"/>
              </w:rPr>
            </w:pPr>
            <w:r>
              <w:rPr>
                <w:rFonts w:hint="eastAsia"/>
                <w:sz w:val="24"/>
                <w:szCs w:val="24"/>
              </w:rPr>
              <w:t>不得采购和销售非法生产、经营的烟花爆竹和不符合质量标准的烟花爆竹。</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05" w:type="dxa"/>
          </w:tcPr>
          <w:p>
            <w:pPr>
              <w:spacing w:line="280" w:lineRule="exact"/>
              <w:jc w:val="center"/>
              <w:rPr>
                <w:sz w:val="28"/>
                <w:szCs w:val="28"/>
              </w:rPr>
            </w:pPr>
            <w:r>
              <w:rPr>
                <w:sz w:val="28"/>
                <w:szCs w:val="28"/>
              </w:rPr>
              <w:t>18</w:t>
            </w:r>
          </w:p>
        </w:tc>
        <w:tc>
          <w:tcPr>
            <w:tcW w:w="733" w:type="dxa"/>
            <w:vMerge w:val="continue"/>
          </w:tcPr>
          <w:p>
            <w:pPr>
              <w:spacing w:line="400" w:lineRule="exact"/>
              <w:rPr>
                <w:rFonts w:cs="Times New Roman"/>
                <w:sz w:val="24"/>
                <w:szCs w:val="24"/>
              </w:rPr>
            </w:pPr>
          </w:p>
        </w:tc>
        <w:tc>
          <w:tcPr>
            <w:tcW w:w="5107" w:type="dxa"/>
          </w:tcPr>
          <w:p>
            <w:pPr>
              <w:spacing w:line="280" w:lineRule="exact"/>
              <w:rPr>
                <w:rFonts w:cs="Times New Roman"/>
                <w:sz w:val="24"/>
                <w:szCs w:val="24"/>
              </w:rPr>
            </w:pPr>
            <w:r>
              <w:rPr>
                <w:rFonts w:hint="eastAsia"/>
                <w:snapToGrid w:val="0"/>
                <w:color w:val="000000"/>
                <w:sz w:val="24"/>
                <w:szCs w:val="24"/>
              </w:rPr>
              <w:t>烟花爆竹批发公司配货单要留存</w:t>
            </w:r>
            <w:r>
              <w:rPr>
                <w:snapToGrid w:val="0"/>
                <w:color w:val="000000"/>
                <w:sz w:val="24"/>
                <w:szCs w:val="24"/>
              </w:rPr>
              <w:t>1</w:t>
            </w:r>
            <w:r>
              <w:rPr>
                <w:rFonts w:hint="eastAsia"/>
                <w:snapToGrid w:val="0"/>
                <w:color w:val="000000"/>
                <w:sz w:val="24"/>
                <w:szCs w:val="24"/>
              </w:rPr>
              <w:t>年备查。</w:t>
            </w:r>
          </w:p>
        </w:tc>
        <w:tc>
          <w:tcPr>
            <w:tcW w:w="562" w:type="dxa"/>
          </w:tcPr>
          <w:p>
            <w:pPr>
              <w:spacing w:line="280" w:lineRule="exact"/>
              <w:jc w:val="center"/>
              <w:rPr>
                <w:rFonts w:cs="Times New Roman"/>
                <w:sz w:val="24"/>
                <w:szCs w:val="24"/>
              </w:rPr>
            </w:pPr>
          </w:p>
        </w:tc>
        <w:tc>
          <w:tcPr>
            <w:tcW w:w="552" w:type="dxa"/>
          </w:tcPr>
          <w:p>
            <w:pPr>
              <w:spacing w:line="280" w:lineRule="exact"/>
              <w:jc w:val="center"/>
              <w:rPr>
                <w:rFonts w:cs="Times New Roman"/>
                <w:sz w:val="24"/>
                <w:szCs w:val="24"/>
              </w:rPr>
            </w:pPr>
          </w:p>
        </w:tc>
        <w:tc>
          <w:tcPr>
            <w:tcW w:w="1841"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300" w:type="dxa"/>
            <w:gridSpan w:val="6"/>
          </w:tcPr>
          <w:p>
            <w:pPr>
              <w:rPr>
                <w:rFonts w:cs="Times New Roman"/>
                <w:sz w:val="24"/>
                <w:szCs w:val="24"/>
              </w:rPr>
            </w:pPr>
            <w:r>
              <w:rPr>
                <w:rFonts w:hint="eastAsia"/>
                <w:sz w:val="24"/>
                <w:szCs w:val="24"/>
              </w:rPr>
              <w:t>注：各县区可以在以上范围内作切合实际的调整。</w:t>
            </w:r>
          </w:p>
        </w:tc>
      </w:tr>
    </w:tbl>
    <w:p>
      <w:pPr>
        <w:spacing w:line="520" w:lineRule="exact"/>
        <w:rPr>
          <w:rFonts w:cs="Times New Roman"/>
          <w:sz w:val="28"/>
          <w:szCs w:val="28"/>
        </w:rPr>
      </w:pPr>
    </w:p>
    <w:p>
      <w:pPr>
        <w:spacing w:line="520" w:lineRule="exact"/>
        <w:rPr>
          <w:rFonts w:cs="Times New Roman"/>
          <w:sz w:val="28"/>
          <w:szCs w:val="28"/>
        </w:rPr>
      </w:pPr>
      <w:r>
        <w:rPr>
          <w:rFonts w:hint="eastAsia"/>
          <w:sz w:val="28"/>
          <w:szCs w:val="28"/>
        </w:rPr>
        <w:t>监督检查单位：</w:t>
      </w:r>
    </w:p>
    <w:p>
      <w:pPr>
        <w:spacing w:line="36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40" w:lineRule="exact"/>
        <w:jc w:val="center"/>
        <w:rPr>
          <w:rFonts w:cs="Times New Roman"/>
          <w:b/>
          <w:bCs/>
          <w:sz w:val="32"/>
          <w:szCs w:val="32"/>
        </w:rPr>
      </w:pPr>
    </w:p>
    <w:p>
      <w:pPr>
        <w:spacing w:line="540" w:lineRule="exact"/>
        <w:jc w:val="center"/>
        <w:rPr>
          <w:rFonts w:cs="Times New Roman"/>
          <w:b/>
          <w:bCs/>
          <w:sz w:val="32"/>
          <w:szCs w:val="32"/>
        </w:rPr>
      </w:pPr>
    </w:p>
    <w:p>
      <w:pPr>
        <w:spacing w:line="540" w:lineRule="exact"/>
        <w:jc w:val="both"/>
        <w:rPr>
          <w:rFonts w:cs="Times New Roman"/>
          <w:b/>
          <w:bCs/>
          <w:sz w:val="32"/>
          <w:szCs w:val="32"/>
        </w:rPr>
      </w:pPr>
    </w:p>
    <w:p>
      <w:pPr>
        <w:spacing w:line="540" w:lineRule="exact"/>
        <w:jc w:val="center"/>
        <w:rPr>
          <w:rFonts w:cs="Times New Roman"/>
          <w:b/>
          <w:bCs/>
          <w:sz w:val="24"/>
          <w:szCs w:val="24"/>
        </w:rPr>
      </w:pPr>
      <w:r>
        <w:rPr>
          <w:rFonts w:hint="eastAsia"/>
          <w:b/>
          <w:bCs/>
          <w:sz w:val="32"/>
          <w:szCs w:val="32"/>
          <w:lang w:eastAsia="zh-CN"/>
        </w:rPr>
        <w:t>六</w:t>
      </w:r>
      <w:r>
        <w:rPr>
          <w:rFonts w:hint="eastAsia"/>
          <w:b/>
          <w:bCs/>
          <w:sz w:val="32"/>
          <w:szCs w:val="32"/>
        </w:rPr>
        <w:t>、道路交通运输企业安全检查清单</w:t>
      </w:r>
    </w:p>
    <w:p>
      <w:pPr>
        <w:spacing w:line="54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8"/>
        <w:gridCol w:w="5217"/>
        <w:gridCol w:w="537"/>
        <w:gridCol w:w="5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line="280" w:lineRule="exact"/>
              <w:rPr>
                <w:rFonts w:cs="Times New Roman"/>
                <w:sz w:val="24"/>
                <w:szCs w:val="24"/>
              </w:rPr>
            </w:pPr>
            <w:r>
              <w:rPr>
                <w:rFonts w:hint="eastAsia"/>
                <w:sz w:val="24"/>
                <w:szCs w:val="24"/>
              </w:rPr>
              <w:t>序号</w:t>
            </w:r>
          </w:p>
        </w:tc>
        <w:tc>
          <w:tcPr>
            <w:tcW w:w="928" w:type="dxa"/>
            <w:vMerge w:val="restart"/>
            <w:vAlign w:val="center"/>
          </w:tcPr>
          <w:p>
            <w:pPr>
              <w:spacing w:line="260" w:lineRule="exact"/>
              <w:jc w:val="center"/>
              <w:rPr>
                <w:rFonts w:cs="Times New Roman"/>
                <w:sz w:val="24"/>
                <w:szCs w:val="24"/>
              </w:rPr>
            </w:pPr>
            <w:r>
              <w:rPr>
                <w:rFonts w:hint="eastAsia"/>
                <w:sz w:val="24"/>
                <w:szCs w:val="24"/>
              </w:rPr>
              <w:t>检查类别</w:t>
            </w:r>
          </w:p>
        </w:tc>
        <w:tc>
          <w:tcPr>
            <w:tcW w:w="5217" w:type="dxa"/>
            <w:vMerge w:val="restart"/>
            <w:vAlign w:val="center"/>
          </w:tcPr>
          <w:p>
            <w:pPr>
              <w:spacing w:line="260" w:lineRule="exact"/>
              <w:jc w:val="center"/>
              <w:rPr>
                <w:rFonts w:cs="Times New Roman"/>
                <w:sz w:val="28"/>
                <w:szCs w:val="28"/>
              </w:rPr>
            </w:pPr>
            <w:r>
              <w:rPr>
                <w:rFonts w:hint="eastAsia"/>
                <w:sz w:val="28"/>
                <w:szCs w:val="28"/>
              </w:rPr>
              <w:t>检查标准要求</w:t>
            </w:r>
          </w:p>
        </w:tc>
        <w:tc>
          <w:tcPr>
            <w:tcW w:w="1064" w:type="dxa"/>
            <w:gridSpan w:val="2"/>
            <w:vAlign w:val="center"/>
          </w:tcPr>
          <w:p>
            <w:pPr>
              <w:spacing w:line="260" w:lineRule="exact"/>
              <w:ind w:right="-112" w:rightChars="-51"/>
              <w:jc w:val="center"/>
              <w:rPr>
                <w:rFonts w:cs="Times New Roman"/>
                <w:sz w:val="24"/>
                <w:szCs w:val="24"/>
              </w:rPr>
            </w:pPr>
            <w:r>
              <w:rPr>
                <w:rFonts w:hint="eastAsia"/>
                <w:sz w:val="24"/>
                <w:szCs w:val="24"/>
              </w:rPr>
              <w:t>检查</w:t>
            </w:r>
          </w:p>
          <w:p>
            <w:pPr>
              <w:spacing w:line="260" w:lineRule="exact"/>
              <w:ind w:right="-112" w:rightChars="-51"/>
              <w:jc w:val="center"/>
              <w:rPr>
                <w:rFonts w:cs="Times New Roman"/>
                <w:sz w:val="24"/>
                <w:szCs w:val="24"/>
              </w:rPr>
            </w:pPr>
            <w:r>
              <w:rPr>
                <w:rFonts w:hint="eastAsia"/>
                <w:sz w:val="24"/>
                <w:szCs w:val="24"/>
              </w:rPr>
              <w:t>结果</w:t>
            </w:r>
          </w:p>
        </w:tc>
        <w:tc>
          <w:tcPr>
            <w:tcW w:w="1595" w:type="dxa"/>
            <w:vMerge w:val="restart"/>
            <w:vAlign w:val="center"/>
          </w:tcPr>
          <w:p>
            <w:pPr>
              <w:spacing w:line="260" w:lineRule="exact"/>
              <w:ind w:left="-277" w:leftChars="-126"/>
              <w:jc w:val="center"/>
              <w:rPr>
                <w:rFonts w:cs="Times New Roman"/>
                <w:sz w:val="28"/>
                <w:szCs w:val="28"/>
              </w:rPr>
            </w:pP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vAlign w:val="center"/>
          </w:tcPr>
          <w:p>
            <w:pPr>
              <w:widowControl/>
              <w:spacing w:line="280" w:lineRule="exact"/>
              <w:rPr>
                <w:rFonts w:cs="Times New Roman"/>
                <w:sz w:val="24"/>
                <w:szCs w:val="24"/>
              </w:rPr>
            </w:pPr>
          </w:p>
        </w:tc>
        <w:tc>
          <w:tcPr>
            <w:tcW w:w="928" w:type="dxa"/>
            <w:vMerge w:val="continue"/>
            <w:vAlign w:val="center"/>
          </w:tcPr>
          <w:p>
            <w:pPr>
              <w:widowControl/>
              <w:spacing w:line="260" w:lineRule="exact"/>
              <w:rPr>
                <w:rFonts w:cs="Times New Roman"/>
                <w:sz w:val="24"/>
                <w:szCs w:val="24"/>
              </w:rPr>
            </w:pPr>
          </w:p>
        </w:tc>
        <w:tc>
          <w:tcPr>
            <w:tcW w:w="5217" w:type="dxa"/>
            <w:vMerge w:val="continue"/>
            <w:vAlign w:val="center"/>
          </w:tcPr>
          <w:p>
            <w:pPr>
              <w:widowControl/>
              <w:spacing w:line="260" w:lineRule="exact"/>
              <w:rPr>
                <w:rFonts w:cs="Times New Roman"/>
                <w:sz w:val="28"/>
                <w:szCs w:val="28"/>
              </w:rPr>
            </w:pPr>
          </w:p>
        </w:tc>
        <w:tc>
          <w:tcPr>
            <w:tcW w:w="537" w:type="dxa"/>
            <w:vAlign w:val="center"/>
          </w:tcPr>
          <w:p>
            <w:pPr>
              <w:spacing w:line="260" w:lineRule="exact"/>
              <w:rPr>
                <w:rFonts w:cs="Times New Roman"/>
                <w:sz w:val="24"/>
                <w:szCs w:val="24"/>
              </w:rPr>
            </w:pPr>
            <w:r>
              <w:rPr>
                <w:rFonts w:hint="eastAsia"/>
                <w:sz w:val="24"/>
                <w:szCs w:val="24"/>
              </w:rPr>
              <w:t>是</w:t>
            </w:r>
          </w:p>
        </w:tc>
        <w:tc>
          <w:tcPr>
            <w:tcW w:w="527" w:type="dxa"/>
            <w:vAlign w:val="center"/>
          </w:tcPr>
          <w:p>
            <w:pPr>
              <w:spacing w:line="260" w:lineRule="exact"/>
              <w:rPr>
                <w:rFonts w:cs="Times New Roman"/>
                <w:sz w:val="24"/>
                <w:szCs w:val="24"/>
              </w:rPr>
            </w:pPr>
            <w:r>
              <w:rPr>
                <w:rFonts w:hint="eastAsia"/>
                <w:sz w:val="24"/>
                <w:szCs w:val="24"/>
              </w:rPr>
              <w:t>否</w:t>
            </w:r>
          </w:p>
        </w:tc>
        <w:tc>
          <w:tcPr>
            <w:tcW w:w="1595" w:type="dxa"/>
            <w:vMerge w:val="continue"/>
            <w:vAlign w:val="center"/>
          </w:tcPr>
          <w:p>
            <w:pPr>
              <w:widowControl/>
              <w:spacing w:line="260" w:lineRule="exact"/>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6" w:type="dxa"/>
            <w:vAlign w:val="center"/>
          </w:tcPr>
          <w:p>
            <w:pPr>
              <w:spacing w:line="280" w:lineRule="exact"/>
              <w:rPr>
                <w:sz w:val="28"/>
                <w:szCs w:val="28"/>
              </w:rPr>
            </w:pPr>
            <w:r>
              <w:rPr>
                <w:sz w:val="28"/>
                <w:szCs w:val="28"/>
              </w:rPr>
              <w:t>1</w:t>
            </w:r>
          </w:p>
        </w:tc>
        <w:tc>
          <w:tcPr>
            <w:tcW w:w="928" w:type="dxa"/>
            <w:vMerge w:val="restart"/>
            <w:vAlign w:val="center"/>
          </w:tcPr>
          <w:p>
            <w:pPr>
              <w:spacing w:line="260" w:lineRule="exact"/>
              <w:jc w:val="center"/>
              <w:rPr>
                <w:rFonts w:cs="Times New Roman"/>
                <w:sz w:val="24"/>
                <w:szCs w:val="24"/>
              </w:rPr>
            </w:pPr>
            <w:r>
              <w:rPr>
                <w:rFonts w:hint="eastAsia"/>
                <w:sz w:val="24"/>
                <w:szCs w:val="24"/>
              </w:rPr>
              <w:t>安全机构与</w:t>
            </w:r>
          </w:p>
          <w:p>
            <w:pPr>
              <w:spacing w:line="260" w:lineRule="exact"/>
              <w:jc w:val="center"/>
              <w:rPr>
                <w:rFonts w:cs="Times New Roman"/>
                <w:sz w:val="24"/>
                <w:szCs w:val="24"/>
              </w:rPr>
            </w:pPr>
            <w:r>
              <w:rPr>
                <w:rFonts w:hint="eastAsia"/>
                <w:sz w:val="24"/>
                <w:szCs w:val="24"/>
              </w:rPr>
              <w:t>人员</w:t>
            </w:r>
          </w:p>
        </w:tc>
        <w:tc>
          <w:tcPr>
            <w:tcW w:w="5217" w:type="dxa"/>
            <w:vAlign w:val="center"/>
          </w:tcPr>
          <w:p>
            <w:pPr>
              <w:spacing w:line="280" w:lineRule="exact"/>
              <w:rPr>
                <w:rFonts w:cs="Times New Roman"/>
                <w:sz w:val="24"/>
                <w:szCs w:val="24"/>
              </w:rPr>
            </w:pPr>
            <w:r>
              <w:rPr>
                <w:rFonts w:hint="eastAsia"/>
                <w:sz w:val="24"/>
                <w:szCs w:val="24"/>
              </w:rPr>
              <w:t>按规定设置安全生产管理机构，配备安全生产管理人员。</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2</w:t>
            </w:r>
          </w:p>
        </w:tc>
        <w:tc>
          <w:tcPr>
            <w:tcW w:w="928" w:type="dxa"/>
            <w:vMerge w:val="continue"/>
            <w:vAlign w:val="center"/>
          </w:tcPr>
          <w:p>
            <w:pPr>
              <w:widowControl/>
              <w:spacing w:line="26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主要负责人和安全生产管理人员，按规定参加培训考核合格。</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dxa"/>
            <w:vAlign w:val="center"/>
          </w:tcPr>
          <w:p>
            <w:pPr>
              <w:spacing w:line="280" w:lineRule="exact"/>
              <w:rPr>
                <w:sz w:val="28"/>
                <w:szCs w:val="28"/>
              </w:rPr>
            </w:pPr>
            <w:r>
              <w:rPr>
                <w:sz w:val="28"/>
                <w:szCs w:val="28"/>
              </w:rPr>
              <w:t>3</w:t>
            </w:r>
          </w:p>
        </w:tc>
        <w:tc>
          <w:tcPr>
            <w:tcW w:w="928" w:type="dxa"/>
            <w:vMerge w:val="restart"/>
            <w:vAlign w:val="center"/>
          </w:tcPr>
          <w:p>
            <w:pPr>
              <w:spacing w:line="260" w:lineRule="exact"/>
              <w:jc w:val="center"/>
              <w:rPr>
                <w:rFonts w:cs="Times New Roman"/>
                <w:sz w:val="24"/>
                <w:szCs w:val="24"/>
              </w:rPr>
            </w:pPr>
            <w:r>
              <w:rPr>
                <w:rFonts w:hint="eastAsia"/>
                <w:sz w:val="24"/>
                <w:szCs w:val="24"/>
              </w:rPr>
              <w:t>安全制度责任制与规程</w:t>
            </w:r>
          </w:p>
        </w:tc>
        <w:tc>
          <w:tcPr>
            <w:tcW w:w="5217" w:type="dxa"/>
            <w:vAlign w:val="center"/>
          </w:tcPr>
          <w:p>
            <w:pPr>
              <w:spacing w:line="280" w:lineRule="exact"/>
              <w:rPr>
                <w:rFonts w:cs="Times New Roman"/>
                <w:sz w:val="24"/>
                <w:szCs w:val="24"/>
              </w:rPr>
            </w:pPr>
            <w:r>
              <w:rPr>
                <w:rFonts w:hint="eastAsia"/>
                <w:sz w:val="24"/>
                <w:szCs w:val="24"/>
              </w:rPr>
              <w:t>建立和发布健全的安全生产规章制度。</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6" w:type="dxa"/>
            <w:vAlign w:val="center"/>
          </w:tcPr>
          <w:p>
            <w:pPr>
              <w:spacing w:line="280" w:lineRule="exact"/>
              <w:rPr>
                <w:sz w:val="28"/>
                <w:szCs w:val="28"/>
              </w:rPr>
            </w:pPr>
            <w:r>
              <w:rPr>
                <w:sz w:val="28"/>
                <w:szCs w:val="28"/>
              </w:rPr>
              <w:t>4</w:t>
            </w:r>
          </w:p>
        </w:tc>
        <w:tc>
          <w:tcPr>
            <w:tcW w:w="928" w:type="dxa"/>
            <w:vMerge w:val="continue"/>
            <w:vAlign w:val="center"/>
          </w:tcPr>
          <w:p>
            <w:pPr>
              <w:widowControl/>
              <w:spacing w:line="26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制定各部门、岗位安全责任制，逐级签订安全生产责任书，明确安全生产职责。</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6" w:type="dxa"/>
            <w:vAlign w:val="center"/>
          </w:tcPr>
          <w:p>
            <w:pPr>
              <w:spacing w:line="280" w:lineRule="exact"/>
              <w:rPr>
                <w:sz w:val="28"/>
                <w:szCs w:val="28"/>
              </w:rPr>
            </w:pPr>
            <w:r>
              <w:rPr>
                <w:sz w:val="28"/>
                <w:szCs w:val="28"/>
              </w:rPr>
              <w:t>5</w:t>
            </w:r>
          </w:p>
        </w:tc>
        <w:tc>
          <w:tcPr>
            <w:tcW w:w="928" w:type="dxa"/>
            <w:vMerge w:val="continue"/>
            <w:vAlign w:val="center"/>
          </w:tcPr>
          <w:p>
            <w:pPr>
              <w:widowControl/>
              <w:spacing w:line="26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编制和发布岗位安全操作规程。</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6</w:t>
            </w:r>
          </w:p>
        </w:tc>
        <w:tc>
          <w:tcPr>
            <w:tcW w:w="928" w:type="dxa"/>
            <w:vMerge w:val="restart"/>
            <w:vAlign w:val="center"/>
          </w:tcPr>
          <w:p>
            <w:pPr>
              <w:spacing w:line="260" w:lineRule="exact"/>
              <w:jc w:val="center"/>
              <w:rPr>
                <w:rFonts w:cs="Times New Roman"/>
                <w:sz w:val="24"/>
                <w:szCs w:val="24"/>
              </w:rPr>
            </w:pPr>
            <w:r>
              <w:rPr>
                <w:rFonts w:hint="eastAsia"/>
                <w:sz w:val="24"/>
                <w:szCs w:val="24"/>
              </w:rPr>
              <w:t>安全教育培训</w:t>
            </w:r>
          </w:p>
        </w:tc>
        <w:tc>
          <w:tcPr>
            <w:tcW w:w="5217" w:type="dxa"/>
            <w:vAlign w:val="center"/>
          </w:tcPr>
          <w:p>
            <w:pPr>
              <w:spacing w:line="280" w:lineRule="exact"/>
              <w:rPr>
                <w:rFonts w:cs="Times New Roman"/>
                <w:sz w:val="24"/>
                <w:szCs w:val="24"/>
              </w:rPr>
            </w:pPr>
            <w:r>
              <w:rPr>
                <w:rFonts w:hint="eastAsia"/>
                <w:sz w:val="24"/>
                <w:szCs w:val="24"/>
              </w:rPr>
              <w:t>对新员工进行三级安全教育，对转岗人员及时进行岗前培训，培训合格后上岗作业。</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7</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定期召开安全生产工作会议，从业人员每年按规定进行再教育。</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96" w:type="dxa"/>
            <w:vAlign w:val="center"/>
          </w:tcPr>
          <w:p>
            <w:pPr>
              <w:spacing w:line="280" w:lineRule="exact"/>
              <w:rPr>
                <w:sz w:val="28"/>
                <w:szCs w:val="28"/>
              </w:rPr>
            </w:pPr>
            <w:r>
              <w:rPr>
                <w:sz w:val="28"/>
                <w:szCs w:val="28"/>
              </w:rPr>
              <w:t>8</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建立安全生产教育和培训档案，如实记录安全生产教育和培训的时间、内容及考核结果等</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9</w:t>
            </w:r>
          </w:p>
        </w:tc>
        <w:tc>
          <w:tcPr>
            <w:tcW w:w="928" w:type="dxa"/>
            <w:vAlign w:val="center"/>
          </w:tcPr>
          <w:p>
            <w:pPr>
              <w:spacing w:line="260" w:lineRule="exact"/>
              <w:jc w:val="center"/>
              <w:rPr>
                <w:rFonts w:cs="Times New Roman"/>
                <w:sz w:val="24"/>
                <w:szCs w:val="24"/>
              </w:rPr>
            </w:pPr>
            <w:r>
              <w:rPr>
                <w:rFonts w:hint="eastAsia"/>
                <w:sz w:val="24"/>
                <w:szCs w:val="24"/>
              </w:rPr>
              <w:t>资质管理</w:t>
            </w:r>
          </w:p>
        </w:tc>
        <w:tc>
          <w:tcPr>
            <w:tcW w:w="5217" w:type="dxa"/>
            <w:vAlign w:val="center"/>
          </w:tcPr>
          <w:p>
            <w:pPr>
              <w:spacing w:line="280" w:lineRule="exact"/>
              <w:rPr>
                <w:rFonts w:cs="Times New Roman"/>
                <w:sz w:val="24"/>
                <w:szCs w:val="24"/>
              </w:rPr>
            </w:pPr>
            <w:r>
              <w:rPr>
                <w:rFonts w:hint="eastAsia"/>
                <w:sz w:val="24"/>
                <w:szCs w:val="24"/>
              </w:rPr>
              <w:t>企业取得的《道路运输经营许可证》、《营业执照》合法有效，经营范围符合要求。</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6" w:type="dxa"/>
            <w:vAlign w:val="center"/>
          </w:tcPr>
          <w:p>
            <w:pPr>
              <w:spacing w:line="280" w:lineRule="exact"/>
              <w:rPr>
                <w:sz w:val="28"/>
                <w:szCs w:val="28"/>
              </w:rPr>
            </w:pPr>
            <w:r>
              <w:rPr>
                <w:sz w:val="28"/>
                <w:szCs w:val="28"/>
              </w:rPr>
              <w:t>10</w:t>
            </w:r>
          </w:p>
        </w:tc>
        <w:tc>
          <w:tcPr>
            <w:tcW w:w="928" w:type="dxa"/>
            <w:vMerge w:val="restart"/>
            <w:vAlign w:val="center"/>
          </w:tcPr>
          <w:p>
            <w:pPr>
              <w:spacing w:line="260" w:lineRule="exact"/>
              <w:jc w:val="center"/>
              <w:rPr>
                <w:rFonts w:cs="Times New Roman"/>
                <w:sz w:val="24"/>
                <w:szCs w:val="24"/>
              </w:rPr>
            </w:pPr>
            <w:r>
              <w:rPr>
                <w:rFonts w:hint="eastAsia"/>
                <w:sz w:val="24"/>
                <w:szCs w:val="24"/>
              </w:rPr>
              <w:t>从业人员管理</w:t>
            </w:r>
          </w:p>
        </w:tc>
        <w:tc>
          <w:tcPr>
            <w:tcW w:w="5217" w:type="dxa"/>
            <w:vAlign w:val="center"/>
          </w:tcPr>
          <w:p>
            <w:pPr>
              <w:spacing w:line="280" w:lineRule="exact"/>
              <w:rPr>
                <w:rFonts w:cs="Times New Roman"/>
                <w:sz w:val="24"/>
                <w:szCs w:val="24"/>
              </w:rPr>
            </w:pPr>
            <w:r>
              <w:rPr>
                <w:rFonts w:hint="eastAsia"/>
                <w:sz w:val="24"/>
                <w:szCs w:val="24"/>
              </w:rPr>
              <w:t>驾驶员、特种作业人员及其它从业人员取得与从事的岗位相适应的资质证书。</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6" w:type="dxa"/>
            <w:vAlign w:val="center"/>
          </w:tcPr>
          <w:p>
            <w:pPr>
              <w:spacing w:line="280" w:lineRule="exact"/>
              <w:rPr>
                <w:sz w:val="28"/>
                <w:szCs w:val="28"/>
              </w:rPr>
            </w:pPr>
            <w:r>
              <w:rPr>
                <w:sz w:val="28"/>
                <w:szCs w:val="28"/>
              </w:rPr>
              <w:t>11</w:t>
            </w:r>
          </w:p>
        </w:tc>
        <w:tc>
          <w:tcPr>
            <w:tcW w:w="928" w:type="dxa"/>
            <w:vMerge w:val="continue"/>
            <w:vAlign w:val="center"/>
          </w:tcPr>
          <w:p>
            <w:pPr>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制定并落实驾驶员行车安全档案管理制度，实行一人一档。</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12</w:t>
            </w:r>
          </w:p>
        </w:tc>
        <w:tc>
          <w:tcPr>
            <w:tcW w:w="928" w:type="dxa"/>
            <w:vMerge w:val="restart"/>
            <w:vAlign w:val="center"/>
          </w:tcPr>
          <w:p>
            <w:pPr>
              <w:spacing w:line="260" w:lineRule="exact"/>
              <w:jc w:val="center"/>
              <w:rPr>
                <w:rFonts w:cs="Times New Roman"/>
                <w:sz w:val="24"/>
                <w:szCs w:val="24"/>
              </w:rPr>
            </w:pPr>
            <w:r>
              <w:rPr>
                <w:rFonts w:hint="eastAsia"/>
                <w:sz w:val="24"/>
                <w:szCs w:val="24"/>
              </w:rPr>
              <w:t>车辆管理</w:t>
            </w:r>
          </w:p>
        </w:tc>
        <w:tc>
          <w:tcPr>
            <w:tcW w:w="5217" w:type="dxa"/>
            <w:vAlign w:val="center"/>
          </w:tcPr>
          <w:p>
            <w:pPr>
              <w:spacing w:line="280" w:lineRule="exact"/>
              <w:rPr>
                <w:rFonts w:cs="Times New Roman"/>
                <w:sz w:val="24"/>
                <w:szCs w:val="24"/>
              </w:rPr>
            </w:pPr>
            <w:r>
              <w:rPr>
                <w:rFonts w:hint="eastAsia"/>
                <w:sz w:val="24"/>
                <w:szCs w:val="24"/>
              </w:rPr>
              <w:t>车辆持有效的《道路运输证》、《机动车行驶证》等证照。</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13</w:t>
            </w:r>
          </w:p>
        </w:tc>
        <w:tc>
          <w:tcPr>
            <w:tcW w:w="928" w:type="dxa"/>
            <w:vMerge w:val="continue"/>
            <w:vAlign w:val="center"/>
          </w:tcPr>
          <w:p>
            <w:pPr>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建立并落实车辆安全检查制度，做好车辆检查工作，及时发现并排除车辆故障。</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14</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建立并妥善保管车辆技术档案，相关内容记载及时、完整、准确、规范，做到一车一档。</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15</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运营车辆符合国家标准规定的使用年限或运营公里数。</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16</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维护、维修作业必须在交通运输管理部门认定的汽车维修企业进行。</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17</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严格执行车辆的强制报废制度，加强临近报废车辆的技术监管，及时处理临近报废车的安全隐患。</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 w:type="dxa"/>
            <w:vAlign w:val="center"/>
          </w:tcPr>
          <w:p>
            <w:pPr>
              <w:spacing w:line="280" w:lineRule="exact"/>
              <w:rPr>
                <w:sz w:val="28"/>
                <w:szCs w:val="28"/>
              </w:rPr>
            </w:pPr>
            <w:r>
              <w:rPr>
                <w:sz w:val="28"/>
                <w:szCs w:val="28"/>
              </w:rPr>
              <w:t>18</w:t>
            </w:r>
          </w:p>
        </w:tc>
        <w:tc>
          <w:tcPr>
            <w:tcW w:w="928" w:type="dxa"/>
            <w:vMerge w:val="restart"/>
            <w:vAlign w:val="center"/>
          </w:tcPr>
          <w:p>
            <w:pPr>
              <w:spacing w:line="260" w:lineRule="exact"/>
              <w:jc w:val="center"/>
              <w:rPr>
                <w:rFonts w:cs="Times New Roman"/>
                <w:sz w:val="24"/>
                <w:szCs w:val="24"/>
              </w:rPr>
            </w:pPr>
            <w:r>
              <w:rPr>
                <w:rFonts w:hint="eastAsia"/>
                <w:sz w:val="24"/>
                <w:szCs w:val="24"/>
              </w:rPr>
              <w:t>隐患排查</w:t>
            </w:r>
          </w:p>
          <w:p>
            <w:pPr>
              <w:spacing w:line="260" w:lineRule="exact"/>
              <w:jc w:val="center"/>
              <w:rPr>
                <w:rFonts w:cs="Times New Roman"/>
                <w:sz w:val="24"/>
                <w:szCs w:val="24"/>
              </w:rPr>
            </w:pPr>
            <w:r>
              <w:rPr>
                <w:rFonts w:hint="eastAsia"/>
                <w:sz w:val="24"/>
                <w:szCs w:val="24"/>
              </w:rPr>
              <w:t>治理</w:t>
            </w:r>
          </w:p>
        </w:tc>
        <w:tc>
          <w:tcPr>
            <w:tcW w:w="5217" w:type="dxa"/>
            <w:vAlign w:val="center"/>
          </w:tcPr>
          <w:p>
            <w:pPr>
              <w:spacing w:line="280" w:lineRule="exact"/>
              <w:rPr>
                <w:rFonts w:cs="Times New Roman"/>
                <w:sz w:val="24"/>
                <w:szCs w:val="24"/>
              </w:rPr>
            </w:pPr>
            <w:r>
              <w:rPr>
                <w:rFonts w:hint="eastAsia"/>
                <w:sz w:val="24"/>
                <w:szCs w:val="24"/>
              </w:rPr>
              <w:t>制定隐患排查治理工作方案，定期开展隐患自查自纠。</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96" w:type="dxa"/>
            <w:vAlign w:val="center"/>
          </w:tcPr>
          <w:p>
            <w:pPr>
              <w:spacing w:line="280" w:lineRule="exact"/>
              <w:rPr>
                <w:sz w:val="28"/>
                <w:szCs w:val="28"/>
              </w:rPr>
            </w:pPr>
            <w:r>
              <w:rPr>
                <w:sz w:val="28"/>
                <w:szCs w:val="28"/>
              </w:rPr>
              <w:t>19</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ind w:left="-301" w:leftChars="-137" w:firstLine="288" w:firstLineChars="120"/>
              <w:rPr>
                <w:rFonts w:cs="Times New Roman"/>
                <w:sz w:val="24"/>
                <w:szCs w:val="24"/>
              </w:rPr>
            </w:pPr>
            <w:r>
              <w:rPr>
                <w:rFonts w:hint="eastAsia"/>
                <w:sz w:val="24"/>
                <w:szCs w:val="24"/>
              </w:rPr>
              <w:t>对自查出的隐患及上级检查指出的隐患，要及时组织整改到位。</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6" w:type="dxa"/>
            <w:vAlign w:val="center"/>
          </w:tcPr>
          <w:p>
            <w:pPr>
              <w:spacing w:line="280" w:lineRule="exact"/>
              <w:rPr>
                <w:sz w:val="28"/>
                <w:szCs w:val="28"/>
              </w:rPr>
            </w:pPr>
            <w:r>
              <w:rPr>
                <w:sz w:val="28"/>
                <w:szCs w:val="28"/>
              </w:rPr>
              <w:t>20</w:t>
            </w:r>
          </w:p>
        </w:tc>
        <w:tc>
          <w:tcPr>
            <w:tcW w:w="928" w:type="dxa"/>
            <w:vMerge w:val="continue"/>
            <w:vAlign w:val="center"/>
          </w:tcPr>
          <w:p>
            <w:pPr>
              <w:widowControl/>
              <w:spacing w:line="26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隐患排查治理情况应当如实记录，建立台账。</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96" w:type="dxa"/>
            <w:vAlign w:val="center"/>
          </w:tcPr>
          <w:p>
            <w:pPr>
              <w:spacing w:line="280" w:lineRule="exact"/>
              <w:rPr>
                <w:sz w:val="28"/>
                <w:szCs w:val="28"/>
              </w:rPr>
            </w:pPr>
            <w:r>
              <w:rPr>
                <w:sz w:val="28"/>
                <w:szCs w:val="28"/>
              </w:rPr>
              <w:t>21</w:t>
            </w:r>
          </w:p>
        </w:tc>
        <w:tc>
          <w:tcPr>
            <w:tcW w:w="928" w:type="dxa"/>
            <w:vAlign w:val="center"/>
          </w:tcPr>
          <w:p>
            <w:pPr>
              <w:spacing w:line="260" w:lineRule="exact"/>
              <w:jc w:val="center"/>
              <w:rPr>
                <w:rFonts w:cs="Times New Roman"/>
                <w:sz w:val="24"/>
                <w:szCs w:val="24"/>
              </w:rPr>
            </w:pPr>
            <w:r>
              <w:rPr>
                <w:rFonts w:hint="eastAsia"/>
                <w:sz w:val="24"/>
                <w:szCs w:val="24"/>
              </w:rPr>
              <w:t>应急救援</w:t>
            </w:r>
          </w:p>
        </w:tc>
        <w:tc>
          <w:tcPr>
            <w:tcW w:w="5217" w:type="dxa"/>
            <w:vAlign w:val="center"/>
          </w:tcPr>
          <w:p>
            <w:pPr>
              <w:spacing w:line="280" w:lineRule="exact"/>
              <w:rPr>
                <w:rFonts w:cs="Times New Roman"/>
                <w:sz w:val="24"/>
                <w:szCs w:val="24"/>
              </w:rPr>
            </w:pPr>
            <w:r>
              <w:rPr>
                <w:rFonts w:hint="eastAsia"/>
                <w:sz w:val="24"/>
                <w:szCs w:val="24"/>
              </w:rPr>
              <w:t>制定事故应急救援预案，配备相应的装备、物资，建立专兼职应急救援队伍或指定专兼职应急救援人员。</w:t>
            </w:r>
          </w:p>
        </w:tc>
        <w:tc>
          <w:tcPr>
            <w:tcW w:w="537" w:type="dxa"/>
            <w:vAlign w:val="center"/>
          </w:tcPr>
          <w:p>
            <w:pPr>
              <w:spacing w:line="260" w:lineRule="exact"/>
              <w:rPr>
                <w:rFonts w:cs="Times New Roman"/>
                <w:sz w:val="24"/>
                <w:szCs w:val="24"/>
              </w:rPr>
            </w:pPr>
          </w:p>
        </w:tc>
        <w:tc>
          <w:tcPr>
            <w:tcW w:w="527" w:type="dxa"/>
            <w:vAlign w:val="center"/>
          </w:tcPr>
          <w:p>
            <w:pPr>
              <w:spacing w:line="260" w:lineRule="exact"/>
              <w:rPr>
                <w:rFonts w:cs="Times New Roman"/>
                <w:sz w:val="24"/>
                <w:szCs w:val="24"/>
              </w:rPr>
            </w:pPr>
          </w:p>
        </w:tc>
        <w:tc>
          <w:tcPr>
            <w:tcW w:w="1595" w:type="dxa"/>
            <w:vAlign w:val="center"/>
          </w:tcPr>
          <w:p>
            <w:pPr>
              <w:spacing w:line="260" w:lineRule="exact"/>
              <w:rPr>
                <w:rFonts w:cs="Times New Roman"/>
                <w:sz w:val="24"/>
                <w:szCs w:val="24"/>
              </w:rPr>
            </w:pPr>
          </w:p>
        </w:tc>
      </w:tr>
    </w:tbl>
    <w:p>
      <w:pPr>
        <w:spacing w:line="500" w:lineRule="exact"/>
        <w:jc w:val="center"/>
        <w:rPr>
          <w:rFonts w:cs="Times New Roman"/>
          <w:b/>
          <w:bCs/>
          <w:sz w:val="32"/>
          <w:szCs w:val="32"/>
        </w:rPr>
      </w:pPr>
      <w:r>
        <w:rPr>
          <w:rFonts w:hint="eastAsia"/>
          <w:b/>
          <w:bCs/>
          <w:sz w:val="32"/>
          <w:szCs w:val="32"/>
          <w:lang w:eastAsia="zh-CN"/>
        </w:rPr>
        <w:t>六</w:t>
      </w:r>
      <w:r>
        <w:rPr>
          <w:rFonts w:hint="eastAsia"/>
          <w:b/>
          <w:bCs/>
          <w:sz w:val="32"/>
          <w:szCs w:val="32"/>
        </w:rPr>
        <w:t>、道路交通运输企业安全检查清单</w:t>
      </w:r>
      <w:r>
        <w:rPr>
          <w:rFonts w:hint="eastAsia"/>
          <w:sz w:val="32"/>
          <w:szCs w:val="32"/>
        </w:rPr>
        <w:t>（续）</w:t>
      </w:r>
    </w:p>
    <w:tbl>
      <w:tblPr>
        <w:tblStyle w:val="5"/>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8"/>
        <w:gridCol w:w="5217"/>
        <w:gridCol w:w="537"/>
        <w:gridCol w:w="5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6" w:type="dxa"/>
            <w:vMerge w:val="restart"/>
            <w:vAlign w:val="center"/>
          </w:tcPr>
          <w:p>
            <w:pPr>
              <w:spacing w:line="280" w:lineRule="exact"/>
              <w:rPr>
                <w:rFonts w:cs="Times New Roman"/>
                <w:sz w:val="24"/>
                <w:szCs w:val="24"/>
              </w:rPr>
            </w:pPr>
            <w:r>
              <w:rPr>
                <w:rFonts w:hint="eastAsia"/>
                <w:sz w:val="24"/>
                <w:szCs w:val="24"/>
              </w:rPr>
              <w:t>序号</w:t>
            </w:r>
          </w:p>
        </w:tc>
        <w:tc>
          <w:tcPr>
            <w:tcW w:w="928" w:type="dxa"/>
            <w:vMerge w:val="restart"/>
            <w:vAlign w:val="center"/>
          </w:tcPr>
          <w:p>
            <w:pPr>
              <w:spacing w:line="260" w:lineRule="exact"/>
              <w:jc w:val="center"/>
              <w:rPr>
                <w:rFonts w:cs="Times New Roman"/>
                <w:sz w:val="24"/>
                <w:szCs w:val="24"/>
              </w:rPr>
            </w:pPr>
            <w:r>
              <w:rPr>
                <w:rFonts w:hint="eastAsia"/>
                <w:sz w:val="24"/>
                <w:szCs w:val="24"/>
              </w:rPr>
              <w:t>检查类别</w:t>
            </w:r>
          </w:p>
        </w:tc>
        <w:tc>
          <w:tcPr>
            <w:tcW w:w="5217" w:type="dxa"/>
            <w:vMerge w:val="restart"/>
            <w:vAlign w:val="center"/>
          </w:tcPr>
          <w:p>
            <w:pPr>
              <w:spacing w:line="260" w:lineRule="exact"/>
              <w:jc w:val="center"/>
              <w:rPr>
                <w:rFonts w:cs="Times New Roman"/>
                <w:sz w:val="28"/>
                <w:szCs w:val="28"/>
              </w:rPr>
            </w:pPr>
            <w:r>
              <w:rPr>
                <w:rFonts w:hint="eastAsia"/>
                <w:sz w:val="28"/>
                <w:szCs w:val="28"/>
              </w:rPr>
              <w:t>检查标准要求</w:t>
            </w:r>
          </w:p>
        </w:tc>
        <w:tc>
          <w:tcPr>
            <w:tcW w:w="1064" w:type="dxa"/>
            <w:gridSpan w:val="2"/>
            <w:vAlign w:val="center"/>
          </w:tcPr>
          <w:p>
            <w:pPr>
              <w:spacing w:line="260" w:lineRule="exact"/>
              <w:ind w:right="-112" w:rightChars="-51" w:firstLine="120" w:firstLineChars="50"/>
              <w:rPr>
                <w:rFonts w:cs="Times New Roman"/>
                <w:sz w:val="24"/>
                <w:szCs w:val="24"/>
              </w:rPr>
            </w:pPr>
            <w:r>
              <w:rPr>
                <w:rFonts w:hint="eastAsia"/>
                <w:sz w:val="24"/>
                <w:szCs w:val="24"/>
              </w:rPr>
              <w:t>检查</w:t>
            </w:r>
          </w:p>
          <w:p>
            <w:pPr>
              <w:spacing w:line="260" w:lineRule="exact"/>
              <w:ind w:left="-277" w:leftChars="-126"/>
              <w:jc w:val="center"/>
              <w:rPr>
                <w:rFonts w:cs="Times New Roman"/>
                <w:sz w:val="28"/>
                <w:szCs w:val="28"/>
              </w:rPr>
            </w:pPr>
            <w:r>
              <w:rPr>
                <w:sz w:val="24"/>
                <w:szCs w:val="24"/>
              </w:rPr>
              <w:t xml:space="preserve">  </w:t>
            </w:r>
            <w:r>
              <w:rPr>
                <w:rFonts w:hint="eastAsia"/>
                <w:sz w:val="24"/>
                <w:szCs w:val="24"/>
              </w:rPr>
              <w:t>结果</w:t>
            </w:r>
          </w:p>
        </w:tc>
        <w:tc>
          <w:tcPr>
            <w:tcW w:w="1595" w:type="dxa"/>
            <w:vMerge w:val="restart"/>
            <w:vAlign w:val="center"/>
          </w:tcPr>
          <w:p>
            <w:pPr>
              <w:spacing w:line="280" w:lineRule="exact"/>
              <w:ind w:firstLine="140" w:firstLineChars="50"/>
              <w:rPr>
                <w:rFonts w:cs="Times New Roman"/>
                <w:sz w:val="24"/>
                <w:szCs w:val="24"/>
              </w:rPr>
            </w:pP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 w:type="dxa"/>
            <w:vMerge w:val="continue"/>
            <w:vAlign w:val="center"/>
          </w:tcPr>
          <w:p>
            <w:pPr>
              <w:spacing w:line="280" w:lineRule="exact"/>
              <w:rPr>
                <w:rFonts w:cs="Times New Roman"/>
                <w:sz w:val="24"/>
                <w:szCs w:val="24"/>
              </w:rPr>
            </w:pPr>
          </w:p>
        </w:tc>
        <w:tc>
          <w:tcPr>
            <w:tcW w:w="928" w:type="dxa"/>
            <w:vMerge w:val="continue"/>
            <w:vAlign w:val="center"/>
          </w:tcPr>
          <w:p>
            <w:pPr>
              <w:spacing w:line="260" w:lineRule="exact"/>
              <w:jc w:val="center"/>
              <w:rPr>
                <w:rFonts w:cs="Times New Roman"/>
                <w:sz w:val="24"/>
                <w:szCs w:val="24"/>
              </w:rPr>
            </w:pPr>
          </w:p>
        </w:tc>
        <w:tc>
          <w:tcPr>
            <w:tcW w:w="5217" w:type="dxa"/>
            <w:vMerge w:val="continue"/>
            <w:vAlign w:val="center"/>
          </w:tcPr>
          <w:p>
            <w:pPr>
              <w:spacing w:line="260" w:lineRule="exact"/>
              <w:jc w:val="center"/>
              <w:rPr>
                <w:rFonts w:cs="Times New Roman"/>
                <w:sz w:val="28"/>
                <w:szCs w:val="28"/>
              </w:rPr>
            </w:pPr>
          </w:p>
        </w:tc>
        <w:tc>
          <w:tcPr>
            <w:tcW w:w="537" w:type="dxa"/>
            <w:vAlign w:val="center"/>
          </w:tcPr>
          <w:p>
            <w:pPr>
              <w:spacing w:line="260" w:lineRule="exact"/>
              <w:ind w:right="-112" w:rightChars="-51"/>
              <w:jc w:val="center"/>
              <w:rPr>
                <w:rFonts w:cs="Times New Roman"/>
                <w:sz w:val="24"/>
                <w:szCs w:val="24"/>
              </w:rPr>
            </w:pPr>
            <w:r>
              <w:rPr>
                <w:rFonts w:hint="eastAsia"/>
                <w:sz w:val="24"/>
                <w:szCs w:val="24"/>
              </w:rPr>
              <w:t>是</w:t>
            </w:r>
          </w:p>
        </w:tc>
        <w:tc>
          <w:tcPr>
            <w:tcW w:w="527" w:type="dxa"/>
            <w:vAlign w:val="center"/>
          </w:tcPr>
          <w:p>
            <w:pPr>
              <w:spacing w:line="260" w:lineRule="exact"/>
              <w:ind w:left="-277" w:leftChars="-126"/>
              <w:jc w:val="center"/>
              <w:rPr>
                <w:rFonts w:cs="Times New Roman"/>
                <w:sz w:val="24"/>
                <w:szCs w:val="24"/>
              </w:rPr>
            </w:pPr>
            <w:r>
              <w:rPr>
                <w:rFonts w:hint="eastAsia"/>
                <w:sz w:val="24"/>
                <w:szCs w:val="24"/>
              </w:rPr>
              <w:t>否</w:t>
            </w:r>
          </w:p>
        </w:tc>
        <w:tc>
          <w:tcPr>
            <w:tcW w:w="1595" w:type="dxa"/>
            <w:vMerge w:val="continue"/>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96" w:type="dxa"/>
            <w:vAlign w:val="center"/>
          </w:tcPr>
          <w:p>
            <w:pPr>
              <w:spacing w:line="280" w:lineRule="exact"/>
              <w:rPr>
                <w:sz w:val="28"/>
                <w:szCs w:val="28"/>
              </w:rPr>
            </w:pPr>
            <w:r>
              <w:rPr>
                <w:sz w:val="28"/>
                <w:szCs w:val="28"/>
              </w:rPr>
              <w:t>22</w:t>
            </w:r>
          </w:p>
        </w:tc>
        <w:tc>
          <w:tcPr>
            <w:tcW w:w="928" w:type="dxa"/>
            <w:vAlign w:val="center"/>
          </w:tcPr>
          <w:p>
            <w:pPr>
              <w:widowControl/>
              <w:jc w:val="center"/>
              <w:rPr>
                <w:rFonts w:cs="Times New Roman"/>
                <w:sz w:val="24"/>
                <w:szCs w:val="24"/>
              </w:rPr>
            </w:pPr>
            <w:r>
              <w:rPr>
                <w:rFonts w:hint="eastAsia"/>
                <w:sz w:val="24"/>
                <w:szCs w:val="24"/>
              </w:rPr>
              <w:t>应急救援</w:t>
            </w:r>
          </w:p>
        </w:tc>
        <w:tc>
          <w:tcPr>
            <w:tcW w:w="5217" w:type="dxa"/>
            <w:vAlign w:val="center"/>
          </w:tcPr>
          <w:p>
            <w:pPr>
              <w:spacing w:line="280" w:lineRule="exact"/>
              <w:rPr>
                <w:rFonts w:cs="Times New Roman"/>
                <w:sz w:val="24"/>
                <w:szCs w:val="24"/>
              </w:rPr>
            </w:pPr>
            <w:r>
              <w:rPr>
                <w:rFonts w:hint="eastAsia"/>
                <w:sz w:val="24"/>
                <w:szCs w:val="24"/>
              </w:rPr>
              <w:t>按规定开展事故应急救援演练，演练结束后对演练效果进行评审，分析存在的问题，并对应急救援预案提出修订意见。</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96" w:type="dxa"/>
            <w:vAlign w:val="center"/>
          </w:tcPr>
          <w:p>
            <w:pPr>
              <w:spacing w:line="280" w:lineRule="exact"/>
              <w:rPr>
                <w:sz w:val="28"/>
                <w:szCs w:val="28"/>
              </w:rPr>
            </w:pPr>
            <w:r>
              <w:rPr>
                <w:sz w:val="28"/>
                <w:szCs w:val="28"/>
              </w:rPr>
              <w:t>23</w:t>
            </w:r>
          </w:p>
        </w:tc>
        <w:tc>
          <w:tcPr>
            <w:tcW w:w="928" w:type="dxa"/>
            <w:vMerge w:val="restart"/>
            <w:vAlign w:val="center"/>
          </w:tcPr>
          <w:p>
            <w:pPr>
              <w:widowControl/>
              <w:jc w:val="center"/>
              <w:rPr>
                <w:rFonts w:cs="Times New Roman"/>
                <w:sz w:val="24"/>
                <w:szCs w:val="24"/>
              </w:rPr>
            </w:pPr>
            <w:r>
              <w:rPr>
                <w:rFonts w:hint="eastAsia"/>
                <w:sz w:val="24"/>
                <w:szCs w:val="24"/>
              </w:rPr>
              <w:t>事故报告处理</w:t>
            </w:r>
          </w:p>
        </w:tc>
        <w:tc>
          <w:tcPr>
            <w:tcW w:w="5217" w:type="dxa"/>
            <w:vAlign w:val="center"/>
          </w:tcPr>
          <w:p>
            <w:pPr>
              <w:spacing w:line="280" w:lineRule="exact"/>
              <w:rPr>
                <w:rFonts w:cs="Times New Roman"/>
                <w:sz w:val="24"/>
                <w:szCs w:val="24"/>
              </w:rPr>
            </w:pPr>
            <w:r>
              <w:rPr>
                <w:rFonts w:hint="eastAsia"/>
                <w:sz w:val="24"/>
                <w:szCs w:val="24"/>
              </w:rPr>
              <w:t>发生事故时及时进行事故现场处置，迅速采取有效措施，防止事故扩大，并按相关规定及时、准确、如实向有关部门报告，没有瞒报、谎报、迟报情况。</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6" w:type="dxa"/>
            <w:vAlign w:val="center"/>
          </w:tcPr>
          <w:p>
            <w:pPr>
              <w:spacing w:line="280" w:lineRule="exact"/>
              <w:rPr>
                <w:sz w:val="28"/>
                <w:szCs w:val="28"/>
              </w:rPr>
            </w:pPr>
            <w:r>
              <w:rPr>
                <w:sz w:val="28"/>
                <w:szCs w:val="28"/>
              </w:rPr>
              <w:t>24</w:t>
            </w:r>
          </w:p>
        </w:tc>
        <w:tc>
          <w:tcPr>
            <w:tcW w:w="928" w:type="dxa"/>
            <w:vMerge w:val="continue"/>
            <w:vAlign w:val="center"/>
          </w:tcPr>
          <w:p>
            <w:pPr>
              <w:widowControl/>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建立事故档案和事故管理台账</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6" w:type="dxa"/>
            <w:vAlign w:val="center"/>
          </w:tcPr>
          <w:p>
            <w:pPr>
              <w:spacing w:line="280" w:lineRule="exact"/>
              <w:rPr>
                <w:sz w:val="28"/>
                <w:szCs w:val="28"/>
              </w:rPr>
            </w:pPr>
            <w:r>
              <w:rPr>
                <w:sz w:val="28"/>
                <w:szCs w:val="28"/>
              </w:rPr>
              <w:t>24</w:t>
            </w:r>
          </w:p>
        </w:tc>
        <w:tc>
          <w:tcPr>
            <w:tcW w:w="928" w:type="dxa"/>
            <w:vAlign w:val="center"/>
          </w:tcPr>
          <w:p>
            <w:pPr>
              <w:spacing w:line="280" w:lineRule="exact"/>
              <w:jc w:val="center"/>
              <w:rPr>
                <w:rFonts w:cs="Times New Roman"/>
                <w:sz w:val="24"/>
                <w:szCs w:val="24"/>
              </w:rPr>
            </w:pPr>
            <w:r>
              <w:rPr>
                <w:rFonts w:hint="eastAsia"/>
                <w:sz w:val="24"/>
                <w:szCs w:val="24"/>
              </w:rPr>
              <w:t>职业卫生</w:t>
            </w:r>
          </w:p>
        </w:tc>
        <w:tc>
          <w:tcPr>
            <w:tcW w:w="5217" w:type="dxa"/>
            <w:vAlign w:val="center"/>
          </w:tcPr>
          <w:p>
            <w:pPr>
              <w:spacing w:line="280" w:lineRule="exact"/>
              <w:rPr>
                <w:rFonts w:cs="Times New Roman"/>
                <w:sz w:val="24"/>
                <w:szCs w:val="24"/>
              </w:rPr>
            </w:pPr>
            <w:r>
              <w:rPr>
                <w:rFonts w:hint="eastAsia"/>
                <w:sz w:val="24"/>
                <w:szCs w:val="24"/>
              </w:rPr>
              <w:t>采取防止噪声、粉尘、有毒害物质等措施，落实危害告知制度，配备和监督使用劳保用品。</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bl>
    <w:p>
      <w:pPr>
        <w:spacing w:line="500" w:lineRule="exact"/>
        <w:rPr>
          <w:rFonts w:cs="Times New Roman"/>
          <w:sz w:val="28"/>
          <w:szCs w:val="28"/>
        </w:rPr>
      </w:pPr>
    </w:p>
    <w:p>
      <w:pPr>
        <w:spacing w:line="500" w:lineRule="exact"/>
        <w:rPr>
          <w:rFonts w:cs="Times New Roman"/>
          <w:sz w:val="28"/>
          <w:szCs w:val="28"/>
        </w:rPr>
      </w:pPr>
      <w:r>
        <w:rPr>
          <w:rFonts w:hint="eastAsia"/>
          <w:sz w:val="28"/>
          <w:szCs w:val="28"/>
        </w:rPr>
        <w:t>监督检查单位：</w:t>
      </w:r>
    </w:p>
    <w:p>
      <w:pPr>
        <w:spacing w:line="50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rPr>
          <w:rFonts w:cs="Times New Roman"/>
          <w:b/>
          <w:bCs/>
          <w:sz w:val="32"/>
          <w:szCs w:val="32"/>
        </w:rPr>
      </w:pPr>
    </w:p>
    <w:p>
      <w:pPr>
        <w:spacing w:line="560" w:lineRule="exact"/>
        <w:jc w:val="center"/>
        <w:rPr>
          <w:rFonts w:cs="Times New Roman"/>
          <w:b/>
          <w:bCs/>
          <w:sz w:val="32"/>
          <w:szCs w:val="32"/>
        </w:rPr>
      </w:pPr>
      <w:r>
        <w:rPr>
          <w:rFonts w:hint="eastAsia"/>
          <w:b/>
          <w:bCs/>
          <w:sz w:val="32"/>
          <w:szCs w:val="32"/>
          <w:lang w:eastAsia="zh-CN"/>
        </w:rPr>
        <w:t>七</w:t>
      </w:r>
      <w:r>
        <w:rPr>
          <w:rFonts w:hint="eastAsia"/>
          <w:b/>
          <w:bCs/>
          <w:sz w:val="32"/>
          <w:szCs w:val="32"/>
        </w:rPr>
        <w:t>、人员密集场所安全检查清单</w:t>
      </w:r>
    </w:p>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3"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6"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1" w:type="dxa"/>
          </w:tcPr>
          <w:p>
            <w:pPr>
              <w:spacing w:line="280" w:lineRule="exact"/>
              <w:jc w:val="center"/>
              <w:rPr>
                <w:rFonts w:cs="Times New Roman"/>
                <w:sz w:val="24"/>
                <w:szCs w:val="24"/>
              </w:rPr>
            </w:pPr>
            <w:r>
              <w:rPr>
                <w:rFonts w:hint="eastAsia"/>
                <w:sz w:val="24"/>
                <w:szCs w:val="24"/>
              </w:rPr>
              <w:t>否</w:t>
            </w:r>
          </w:p>
        </w:tc>
        <w:tc>
          <w:tcPr>
            <w:tcW w:w="1806"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96" w:type="dxa"/>
            <w:vAlign w:val="center"/>
          </w:tcPr>
          <w:p>
            <w:pPr>
              <w:spacing w:line="280" w:lineRule="exact"/>
              <w:jc w:val="center"/>
              <w:rPr>
                <w:sz w:val="28"/>
                <w:szCs w:val="28"/>
              </w:rPr>
            </w:pPr>
            <w:r>
              <w:rPr>
                <w:sz w:val="28"/>
                <w:szCs w:val="28"/>
              </w:rPr>
              <w:t>1</w:t>
            </w:r>
          </w:p>
        </w:tc>
        <w:tc>
          <w:tcPr>
            <w:tcW w:w="718" w:type="dxa"/>
            <w:vAlign w:val="center"/>
          </w:tcPr>
          <w:p>
            <w:pPr>
              <w:spacing w:line="280" w:lineRule="exact"/>
              <w:jc w:val="center"/>
              <w:rPr>
                <w:rFonts w:cs="Times New Roman"/>
                <w:sz w:val="24"/>
                <w:szCs w:val="24"/>
              </w:rPr>
            </w:pPr>
            <w:r>
              <w:rPr>
                <w:rFonts w:hint="eastAsia"/>
                <w:sz w:val="24"/>
                <w:szCs w:val="24"/>
              </w:rPr>
              <w:t>行政许可备案</w:t>
            </w:r>
          </w:p>
        </w:tc>
        <w:tc>
          <w:tcPr>
            <w:tcW w:w="5008" w:type="dxa"/>
            <w:vAlign w:val="center"/>
          </w:tcPr>
          <w:p>
            <w:pPr>
              <w:rPr>
                <w:rFonts w:cs="Times New Roman"/>
                <w:color w:val="000000"/>
                <w:sz w:val="24"/>
                <w:szCs w:val="24"/>
              </w:rPr>
            </w:pPr>
            <w:r>
              <w:rPr>
                <w:rFonts w:hint="eastAsia"/>
                <w:color w:val="000000"/>
                <w:sz w:val="24"/>
                <w:szCs w:val="24"/>
              </w:rPr>
              <w:t>依法取得消防机构或住建部门行政许可、备案（包括消防设计审核、竣工验收、备案抽查、开业前消防安全检查）。</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6" w:type="dxa"/>
            <w:vAlign w:val="center"/>
          </w:tcPr>
          <w:p>
            <w:pPr>
              <w:spacing w:line="460" w:lineRule="exact"/>
              <w:jc w:val="center"/>
              <w:rPr>
                <w:sz w:val="28"/>
                <w:szCs w:val="28"/>
              </w:rPr>
            </w:pPr>
            <w:r>
              <w:rPr>
                <w:sz w:val="28"/>
                <w:szCs w:val="28"/>
              </w:rPr>
              <w:t>2</w:t>
            </w:r>
          </w:p>
        </w:tc>
        <w:tc>
          <w:tcPr>
            <w:tcW w:w="718" w:type="dxa"/>
            <w:vMerge w:val="restart"/>
            <w:vAlign w:val="center"/>
          </w:tcPr>
          <w:p>
            <w:pPr>
              <w:spacing w:line="280" w:lineRule="exact"/>
              <w:jc w:val="center"/>
              <w:rPr>
                <w:rFonts w:cs="Times New Roman"/>
                <w:sz w:val="24"/>
                <w:szCs w:val="24"/>
              </w:rPr>
            </w:pPr>
            <w:r>
              <w:rPr>
                <w:rFonts w:hint="eastAsia"/>
                <w:sz w:val="24"/>
                <w:szCs w:val="24"/>
              </w:rPr>
              <w:t>明确消防安全责任</w:t>
            </w:r>
          </w:p>
        </w:tc>
        <w:tc>
          <w:tcPr>
            <w:tcW w:w="5008" w:type="dxa"/>
          </w:tcPr>
          <w:p>
            <w:pPr>
              <w:rPr>
                <w:rFonts w:cs="Times New Roman"/>
                <w:color w:val="000000"/>
                <w:sz w:val="24"/>
                <w:szCs w:val="24"/>
              </w:rPr>
            </w:pPr>
            <w:r>
              <w:rPr>
                <w:rFonts w:hint="eastAsia"/>
                <w:color w:val="000000"/>
                <w:sz w:val="24"/>
                <w:szCs w:val="24"/>
              </w:rPr>
              <w:t>明确单位法定代表人或主要负责人为本单位消防安全责任人，全面负责本单位的消防安全工作，根据需要确定消防安全管理人。</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460" w:lineRule="exact"/>
              <w:jc w:val="center"/>
              <w:rPr>
                <w:sz w:val="28"/>
                <w:szCs w:val="28"/>
              </w:rPr>
            </w:pPr>
            <w:r>
              <w:rPr>
                <w:sz w:val="28"/>
                <w:szCs w:val="28"/>
              </w:rPr>
              <w:t>3</w:t>
            </w:r>
          </w:p>
        </w:tc>
        <w:tc>
          <w:tcPr>
            <w:tcW w:w="718" w:type="dxa"/>
            <w:vMerge w:val="continue"/>
            <w:vAlign w:val="center"/>
          </w:tcPr>
          <w:p>
            <w:pPr>
              <w:spacing w:line="280" w:lineRule="exact"/>
              <w:jc w:val="center"/>
              <w:rPr>
                <w:rFonts w:cs="Times New Roman"/>
                <w:sz w:val="24"/>
                <w:szCs w:val="24"/>
              </w:rPr>
            </w:pPr>
          </w:p>
        </w:tc>
        <w:tc>
          <w:tcPr>
            <w:tcW w:w="5008" w:type="dxa"/>
          </w:tcPr>
          <w:p>
            <w:pPr>
              <w:rPr>
                <w:rFonts w:cs="Times New Roman"/>
                <w:sz w:val="24"/>
                <w:szCs w:val="24"/>
              </w:rPr>
            </w:pPr>
            <w:r>
              <w:rPr>
                <w:rFonts w:hint="eastAsia"/>
                <w:sz w:val="24"/>
                <w:szCs w:val="24"/>
              </w:rPr>
              <w:t>明确消防安全工作归口管理职能部门及专（兼）职消防人员，具体负责实施和组织落实本单位的消防安全管理工作。</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4</w:t>
            </w:r>
          </w:p>
        </w:tc>
        <w:tc>
          <w:tcPr>
            <w:tcW w:w="718" w:type="dxa"/>
            <w:vMerge w:val="continue"/>
            <w:vAlign w:val="center"/>
          </w:tcPr>
          <w:p>
            <w:pPr>
              <w:spacing w:line="280" w:lineRule="exact"/>
              <w:jc w:val="center"/>
              <w:rPr>
                <w:rFonts w:cs="Times New Roman"/>
                <w:sz w:val="24"/>
                <w:szCs w:val="24"/>
              </w:rPr>
            </w:pPr>
          </w:p>
        </w:tc>
        <w:tc>
          <w:tcPr>
            <w:tcW w:w="5008" w:type="dxa"/>
          </w:tcPr>
          <w:p>
            <w:pPr>
              <w:rPr>
                <w:rFonts w:cs="Times New Roman"/>
                <w:color w:val="000000"/>
                <w:sz w:val="24"/>
                <w:szCs w:val="24"/>
              </w:rPr>
            </w:pPr>
            <w:r>
              <w:rPr>
                <w:rFonts w:hint="eastAsia"/>
                <w:color w:val="000000"/>
                <w:sz w:val="24"/>
                <w:szCs w:val="24"/>
              </w:rPr>
              <w:t>实行并落实逐级和岗位消防安全责任制，明确逐级和岗位消防安全职责，确定各级、各岗位的消防安全责任人。</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96" w:type="dxa"/>
            <w:vAlign w:val="center"/>
          </w:tcPr>
          <w:p>
            <w:pPr>
              <w:spacing w:line="460" w:lineRule="exact"/>
              <w:jc w:val="center"/>
              <w:rPr>
                <w:sz w:val="28"/>
                <w:szCs w:val="28"/>
              </w:rPr>
            </w:pPr>
            <w:r>
              <w:rPr>
                <w:sz w:val="28"/>
                <w:szCs w:val="28"/>
              </w:rPr>
              <w:t>5</w:t>
            </w:r>
          </w:p>
        </w:tc>
        <w:tc>
          <w:tcPr>
            <w:tcW w:w="718" w:type="dxa"/>
            <w:vMerge w:val="restart"/>
            <w:vAlign w:val="center"/>
          </w:tcPr>
          <w:p>
            <w:pPr>
              <w:spacing w:line="280" w:lineRule="exact"/>
              <w:jc w:val="center"/>
              <w:rPr>
                <w:rFonts w:cs="Times New Roman"/>
                <w:sz w:val="24"/>
                <w:szCs w:val="24"/>
              </w:rPr>
            </w:pPr>
            <w:r>
              <w:rPr>
                <w:rFonts w:hint="eastAsia"/>
                <w:sz w:val="24"/>
                <w:szCs w:val="24"/>
              </w:rPr>
              <w:t>制定消防安全制度</w:t>
            </w:r>
          </w:p>
        </w:tc>
        <w:tc>
          <w:tcPr>
            <w:tcW w:w="5008" w:type="dxa"/>
          </w:tcPr>
          <w:p>
            <w:pPr>
              <w:rPr>
                <w:rFonts w:cs="Times New Roman"/>
                <w:sz w:val="24"/>
                <w:szCs w:val="24"/>
              </w:rPr>
            </w:pPr>
            <w:r>
              <w:rPr>
                <w:rFonts w:hint="eastAsia"/>
                <w:sz w:val="24"/>
                <w:szCs w:val="24"/>
              </w:rPr>
              <w:t>制定符合单位实际的消防安全管理制度和保障消防安全的操作规程，并公布实施。</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460" w:lineRule="exact"/>
              <w:jc w:val="center"/>
              <w:rPr>
                <w:sz w:val="28"/>
                <w:szCs w:val="28"/>
              </w:rPr>
            </w:pPr>
            <w:r>
              <w:rPr>
                <w:sz w:val="28"/>
                <w:szCs w:val="28"/>
              </w:rPr>
              <w:t>6</w:t>
            </w:r>
          </w:p>
        </w:tc>
        <w:tc>
          <w:tcPr>
            <w:tcW w:w="718" w:type="dxa"/>
            <w:vMerge w:val="continue"/>
            <w:vAlign w:val="center"/>
          </w:tcPr>
          <w:p>
            <w:pPr>
              <w:spacing w:line="280" w:lineRule="exact"/>
              <w:jc w:val="center"/>
              <w:rPr>
                <w:rFonts w:cs="Times New Roman"/>
                <w:sz w:val="24"/>
                <w:szCs w:val="24"/>
              </w:rPr>
            </w:pPr>
          </w:p>
        </w:tc>
        <w:tc>
          <w:tcPr>
            <w:tcW w:w="5008" w:type="dxa"/>
          </w:tcPr>
          <w:p>
            <w:pPr>
              <w:rPr>
                <w:rFonts w:cs="Times New Roman"/>
                <w:color w:val="000000"/>
                <w:sz w:val="24"/>
                <w:szCs w:val="24"/>
              </w:rPr>
            </w:pPr>
            <w:r>
              <w:rPr>
                <w:rFonts w:hint="eastAsia"/>
                <w:color w:val="000000"/>
                <w:sz w:val="24"/>
                <w:szCs w:val="24"/>
              </w:rPr>
              <w:t>制定顾客或消费者入店（场）消防安全逃生须知、逃生通道卡片、定期宣传消防安全逃生基本知识等制度。</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460" w:lineRule="exact"/>
              <w:jc w:val="center"/>
              <w:rPr>
                <w:sz w:val="28"/>
                <w:szCs w:val="28"/>
              </w:rPr>
            </w:pPr>
            <w:r>
              <w:rPr>
                <w:sz w:val="28"/>
                <w:szCs w:val="28"/>
              </w:rPr>
              <w:t>7</w:t>
            </w:r>
          </w:p>
        </w:tc>
        <w:tc>
          <w:tcPr>
            <w:tcW w:w="718" w:type="dxa"/>
            <w:vMerge w:val="restart"/>
            <w:vAlign w:val="center"/>
          </w:tcPr>
          <w:p>
            <w:pPr>
              <w:spacing w:line="280" w:lineRule="exact"/>
              <w:jc w:val="center"/>
              <w:rPr>
                <w:rFonts w:cs="Times New Roman"/>
                <w:sz w:val="24"/>
                <w:szCs w:val="24"/>
              </w:rPr>
            </w:pPr>
            <w:r>
              <w:rPr>
                <w:rFonts w:hint="eastAsia"/>
                <w:sz w:val="24"/>
                <w:szCs w:val="24"/>
              </w:rPr>
              <w:t>加强用火管理</w:t>
            </w:r>
          </w:p>
        </w:tc>
        <w:tc>
          <w:tcPr>
            <w:tcW w:w="5008" w:type="dxa"/>
          </w:tcPr>
          <w:p>
            <w:pPr>
              <w:rPr>
                <w:rFonts w:cs="Times New Roman"/>
                <w:sz w:val="24"/>
                <w:szCs w:val="24"/>
              </w:rPr>
            </w:pPr>
            <w:r>
              <w:rPr>
                <w:rFonts w:hint="eastAsia"/>
                <w:sz w:val="24"/>
                <w:szCs w:val="24"/>
              </w:rPr>
              <w:t>禁止在具有火灾、爆炸危险的场所使用明火；因特殊情况需要进行电、气焊等明火作业的，严格实行动火证管理制度，落实现场监护人，并落实相应的消防安全措施。</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8</w:t>
            </w:r>
          </w:p>
        </w:tc>
        <w:tc>
          <w:tcPr>
            <w:tcW w:w="718" w:type="dxa"/>
            <w:vMerge w:val="continue"/>
            <w:vAlign w:val="center"/>
          </w:tcPr>
          <w:p>
            <w:pPr>
              <w:spacing w:line="280" w:lineRule="exact"/>
              <w:jc w:val="center"/>
              <w:rPr>
                <w:rFonts w:cs="Times New Roman"/>
                <w:sz w:val="24"/>
                <w:szCs w:val="24"/>
              </w:rPr>
            </w:pPr>
          </w:p>
        </w:tc>
        <w:tc>
          <w:tcPr>
            <w:tcW w:w="5008" w:type="dxa"/>
          </w:tcPr>
          <w:p>
            <w:pPr>
              <w:rPr>
                <w:rFonts w:ascii="Arial" w:hAnsi="Arial" w:cs="Arial"/>
                <w:sz w:val="24"/>
                <w:szCs w:val="24"/>
              </w:rPr>
            </w:pPr>
            <w:r>
              <w:rPr>
                <w:rFonts w:hint="eastAsia" w:ascii="Arial" w:hAnsi="Arial"/>
                <w:sz w:val="24"/>
                <w:szCs w:val="24"/>
              </w:rPr>
              <w:t>公共娱乐场所在营业期间禁止动火施工。</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6" w:type="dxa"/>
            <w:vAlign w:val="center"/>
          </w:tcPr>
          <w:p>
            <w:pPr>
              <w:spacing w:line="280" w:lineRule="exact"/>
              <w:jc w:val="center"/>
              <w:rPr>
                <w:sz w:val="28"/>
                <w:szCs w:val="28"/>
              </w:rPr>
            </w:pPr>
            <w:r>
              <w:rPr>
                <w:sz w:val="28"/>
                <w:szCs w:val="28"/>
              </w:rPr>
              <w:t>9</w:t>
            </w:r>
          </w:p>
        </w:tc>
        <w:tc>
          <w:tcPr>
            <w:tcW w:w="718" w:type="dxa"/>
            <w:vMerge w:val="restart"/>
            <w:vAlign w:val="center"/>
          </w:tcPr>
          <w:p>
            <w:pPr>
              <w:spacing w:line="280" w:lineRule="exact"/>
              <w:jc w:val="center"/>
              <w:rPr>
                <w:rFonts w:cs="Times New Roman"/>
                <w:sz w:val="24"/>
                <w:szCs w:val="24"/>
              </w:rPr>
            </w:pPr>
            <w:r>
              <w:rPr>
                <w:rFonts w:hint="eastAsia"/>
                <w:sz w:val="24"/>
                <w:szCs w:val="24"/>
              </w:rPr>
              <w:t>加强用电管理</w:t>
            </w:r>
          </w:p>
          <w:p>
            <w:pPr>
              <w:spacing w:line="280" w:lineRule="exact"/>
              <w:jc w:val="center"/>
              <w:rPr>
                <w:rFonts w:cs="Times New Roman"/>
                <w:sz w:val="24"/>
                <w:szCs w:val="24"/>
              </w:rPr>
            </w:pPr>
          </w:p>
        </w:tc>
        <w:tc>
          <w:tcPr>
            <w:tcW w:w="5008" w:type="dxa"/>
          </w:tcPr>
          <w:p>
            <w:pPr>
              <w:rPr>
                <w:rFonts w:ascii="Arial" w:hAnsi="Arial" w:cs="Arial"/>
                <w:sz w:val="24"/>
                <w:szCs w:val="24"/>
              </w:rPr>
            </w:pPr>
            <w:r>
              <w:rPr>
                <w:rFonts w:hint="eastAsia" w:ascii="Arial" w:hAnsi="Arial"/>
                <w:sz w:val="24"/>
                <w:szCs w:val="24"/>
              </w:rPr>
              <w:t>凡在防爆、防潮、防尘的场所安装电气设备时，必须符合安全要求。</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10</w:t>
            </w:r>
          </w:p>
        </w:tc>
        <w:tc>
          <w:tcPr>
            <w:tcW w:w="718" w:type="dxa"/>
            <w:vMerge w:val="continue"/>
          </w:tcPr>
          <w:p>
            <w:pPr>
              <w:spacing w:line="280" w:lineRule="exact"/>
              <w:rPr>
                <w:rFonts w:cs="Times New Roman"/>
                <w:sz w:val="24"/>
                <w:szCs w:val="24"/>
              </w:rPr>
            </w:pPr>
          </w:p>
        </w:tc>
        <w:tc>
          <w:tcPr>
            <w:tcW w:w="5008" w:type="dxa"/>
          </w:tcPr>
          <w:p>
            <w:pPr>
              <w:rPr>
                <w:rFonts w:ascii="Arial" w:hAnsi="Arial" w:cs="Arial"/>
                <w:sz w:val="24"/>
                <w:szCs w:val="24"/>
              </w:rPr>
            </w:pPr>
            <w:r>
              <w:rPr>
                <w:rFonts w:hint="eastAsia" w:ascii="Arial" w:hAnsi="Arial"/>
                <w:sz w:val="24"/>
                <w:szCs w:val="24"/>
              </w:rPr>
              <w:t>凡能发热起火的电气设备（各种镇流器、变压器等）不准直接安装在可燃的材料上。</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11</w:t>
            </w:r>
          </w:p>
        </w:tc>
        <w:tc>
          <w:tcPr>
            <w:tcW w:w="718" w:type="dxa"/>
            <w:vMerge w:val="continue"/>
          </w:tcPr>
          <w:p>
            <w:pPr>
              <w:spacing w:line="280" w:lineRule="exact"/>
              <w:rPr>
                <w:rFonts w:cs="Times New Roman"/>
                <w:sz w:val="24"/>
                <w:szCs w:val="24"/>
              </w:rPr>
            </w:pPr>
          </w:p>
        </w:tc>
        <w:tc>
          <w:tcPr>
            <w:tcW w:w="5008" w:type="dxa"/>
          </w:tcPr>
          <w:p>
            <w:pPr>
              <w:rPr>
                <w:rFonts w:ascii="Arial" w:hAnsi="Arial" w:cs="Arial"/>
                <w:sz w:val="24"/>
                <w:szCs w:val="24"/>
              </w:rPr>
            </w:pPr>
            <w:r>
              <w:rPr>
                <w:rFonts w:hint="eastAsia" w:ascii="Arial" w:hAnsi="Arial"/>
                <w:sz w:val="24"/>
                <w:szCs w:val="24"/>
              </w:rPr>
              <w:t>凡安装和修理电气设备，必须遵守有关电气规定和技术规范，不准违章作业。</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12</w:t>
            </w:r>
          </w:p>
        </w:tc>
        <w:tc>
          <w:tcPr>
            <w:tcW w:w="718" w:type="dxa"/>
            <w:vMerge w:val="continue"/>
          </w:tcPr>
          <w:p>
            <w:pPr>
              <w:spacing w:line="280" w:lineRule="exact"/>
              <w:rPr>
                <w:rFonts w:cs="Times New Roman"/>
                <w:sz w:val="24"/>
                <w:szCs w:val="24"/>
              </w:rPr>
            </w:pPr>
          </w:p>
        </w:tc>
        <w:tc>
          <w:tcPr>
            <w:tcW w:w="5008" w:type="dxa"/>
          </w:tcPr>
          <w:p>
            <w:pPr>
              <w:rPr>
                <w:rFonts w:ascii="Arial" w:hAnsi="Arial" w:cs="Arial"/>
                <w:sz w:val="24"/>
                <w:szCs w:val="24"/>
              </w:rPr>
            </w:pPr>
            <w:r>
              <w:rPr>
                <w:rFonts w:hint="eastAsia" w:ascii="Arial" w:hAnsi="Arial"/>
                <w:sz w:val="24"/>
                <w:szCs w:val="24"/>
              </w:rPr>
              <w:t>凡安装临时电气设备，必须符合临时要求，并经单位消防安全管理部门批准，用后应彻底拆除，如较长时间使用，必须正式安装。</w:t>
            </w:r>
          </w:p>
        </w:tc>
        <w:tc>
          <w:tcPr>
            <w:tcW w:w="552" w:type="dxa"/>
          </w:tcPr>
          <w:p>
            <w:pPr>
              <w:spacing w:line="280" w:lineRule="exact"/>
              <w:jc w:val="center"/>
              <w:rPr>
                <w:rFonts w:cs="Times New Roman"/>
                <w:sz w:val="24"/>
                <w:szCs w:val="24"/>
              </w:rPr>
            </w:pPr>
          </w:p>
        </w:tc>
        <w:tc>
          <w:tcPr>
            <w:tcW w:w="541" w:type="dxa"/>
          </w:tcPr>
          <w:p>
            <w:pPr>
              <w:spacing w:line="280" w:lineRule="exact"/>
              <w:jc w:val="center"/>
              <w:rPr>
                <w:rFonts w:cs="Times New Roman"/>
                <w:sz w:val="24"/>
                <w:szCs w:val="24"/>
              </w:rPr>
            </w:pPr>
          </w:p>
        </w:tc>
        <w:tc>
          <w:tcPr>
            <w:tcW w:w="1806"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13</w:t>
            </w:r>
          </w:p>
        </w:tc>
        <w:tc>
          <w:tcPr>
            <w:tcW w:w="718" w:type="dxa"/>
            <w:vMerge w:val="continue"/>
          </w:tcPr>
          <w:p>
            <w:pPr>
              <w:spacing w:line="280" w:lineRule="exact"/>
              <w:rPr>
                <w:rFonts w:cs="Times New Roman"/>
                <w:sz w:val="24"/>
                <w:szCs w:val="24"/>
              </w:rPr>
            </w:pPr>
            <w:r>
              <w:rPr>
                <w:rFonts w:hint="eastAsia"/>
                <w:sz w:val="24"/>
                <w:szCs w:val="24"/>
              </w:rPr>
              <w:t>制定灭火和应急疏散预案</w:t>
            </w:r>
          </w:p>
        </w:tc>
        <w:tc>
          <w:tcPr>
            <w:tcW w:w="5008" w:type="dxa"/>
          </w:tcPr>
          <w:p>
            <w:pPr>
              <w:spacing w:line="280" w:lineRule="exact"/>
              <w:jc w:val="center"/>
              <w:rPr>
                <w:rFonts w:cs="Times New Roman"/>
                <w:sz w:val="24"/>
                <w:szCs w:val="24"/>
              </w:rPr>
            </w:pPr>
            <w:r>
              <w:rPr>
                <w:rFonts w:hint="eastAsia"/>
                <w:sz w:val="24"/>
                <w:szCs w:val="24"/>
              </w:rPr>
              <w:t>组织机构，包括：灭火行动组、通讯联络组、疏散引导组、安全防护救护组。</w:t>
            </w:r>
          </w:p>
        </w:tc>
        <w:tc>
          <w:tcPr>
            <w:tcW w:w="552" w:type="dxa"/>
          </w:tcPr>
          <w:p>
            <w:pPr>
              <w:rPr>
                <w:rFonts w:ascii="Arial" w:hAnsi="Arial" w:cs="Arial"/>
                <w:sz w:val="24"/>
                <w:szCs w:val="24"/>
              </w:rPr>
            </w:pPr>
          </w:p>
        </w:tc>
        <w:tc>
          <w:tcPr>
            <w:tcW w:w="541" w:type="dxa"/>
          </w:tcPr>
          <w:p>
            <w:pPr>
              <w:spacing w:line="280" w:lineRule="exact"/>
              <w:jc w:val="center"/>
              <w:rPr>
                <w:rFonts w:cs="Times New Roman"/>
                <w:sz w:val="24"/>
                <w:szCs w:val="24"/>
              </w:rPr>
            </w:pPr>
          </w:p>
        </w:tc>
        <w:tc>
          <w:tcPr>
            <w:tcW w:w="1806" w:type="dxa"/>
          </w:tcPr>
          <w:p>
            <w:pPr>
              <w:spacing w:line="28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14</w:t>
            </w:r>
          </w:p>
        </w:tc>
        <w:tc>
          <w:tcPr>
            <w:tcW w:w="718" w:type="dxa"/>
            <w:vMerge w:val="continue"/>
          </w:tcPr>
          <w:p>
            <w:pPr>
              <w:spacing w:line="280" w:lineRule="exact"/>
              <w:rPr>
                <w:rFonts w:cs="Times New Roman"/>
                <w:sz w:val="24"/>
                <w:szCs w:val="24"/>
              </w:rPr>
            </w:pPr>
          </w:p>
        </w:tc>
        <w:tc>
          <w:tcPr>
            <w:tcW w:w="5008" w:type="dxa"/>
          </w:tcPr>
          <w:p>
            <w:pPr>
              <w:spacing w:line="280" w:lineRule="exact"/>
              <w:jc w:val="center"/>
              <w:rPr>
                <w:rFonts w:cs="Times New Roman"/>
                <w:sz w:val="24"/>
                <w:szCs w:val="24"/>
              </w:rPr>
            </w:pPr>
            <w:r>
              <w:rPr>
                <w:rFonts w:hint="eastAsia"/>
                <w:sz w:val="24"/>
                <w:szCs w:val="24"/>
              </w:rPr>
              <w:t>报警和接警处置程序。</w:t>
            </w:r>
          </w:p>
        </w:tc>
        <w:tc>
          <w:tcPr>
            <w:tcW w:w="552" w:type="dxa"/>
          </w:tcPr>
          <w:p>
            <w:pPr>
              <w:rPr>
                <w:rFonts w:ascii="Arial" w:hAnsi="Arial" w:cs="Arial"/>
                <w:sz w:val="24"/>
                <w:szCs w:val="24"/>
              </w:rPr>
            </w:pPr>
          </w:p>
        </w:tc>
        <w:tc>
          <w:tcPr>
            <w:tcW w:w="541" w:type="dxa"/>
          </w:tcPr>
          <w:p>
            <w:pPr>
              <w:spacing w:line="280" w:lineRule="exact"/>
              <w:jc w:val="center"/>
              <w:rPr>
                <w:rFonts w:cs="Times New Roman"/>
                <w:sz w:val="24"/>
                <w:szCs w:val="24"/>
              </w:rPr>
            </w:pPr>
          </w:p>
        </w:tc>
        <w:tc>
          <w:tcPr>
            <w:tcW w:w="1806" w:type="dxa"/>
          </w:tcPr>
          <w:p>
            <w:pPr>
              <w:spacing w:line="28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15</w:t>
            </w:r>
          </w:p>
        </w:tc>
        <w:tc>
          <w:tcPr>
            <w:tcW w:w="718" w:type="dxa"/>
            <w:vMerge w:val="continue"/>
          </w:tcPr>
          <w:p>
            <w:pPr>
              <w:spacing w:line="280" w:lineRule="exact"/>
              <w:rPr>
                <w:rFonts w:cs="Times New Roman"/>
                <w:sz w:val="24"/>
                <w:szCs w:val="24"/>
              </w:rPr>
            </w:pPr>
          </w:p>
        </w:tc>
        <w:tc>
          <w:tcPr>
            <w:tcW w:w="5008" w:type="dxa"/>
          </w:tcPr>
          <w:p>
            <w:pPr>
              <w:spacing w:line="280" w:lineRule="exact"/>
              <w:jc w:val="center"/>
              <w:rPr>
                <w:rFonts w:cs="Times New Roman"/>
                <w:sz w:val="24"/>
                <w:szCs w:val="24"/>
              </w:rPr>
            </w:pPr>
            <w:r>
              <w:rPr>
                <w:rFonts w:hint="eastAsia"/>
                <w:sz w:val="24"/>
                <w:szCs w:val="24"/>
              </w:rPr>
              <w:t>应急疏散的组织程序和措施。</w:t>
            </w:r>
          </w:p>
        </w:tc>
        <w:tc>
          <w:tcPr>
            <w:tcW w:w="552" w:type="dxa"/>
          </w:tcPr>
          <w:p>
            <w:pPr>
              <w:rPr>
                <w:rFonts w:ascii="Arial" w:hAnsi="Arial" w:cs="Arial"/>
                <w:sz w:val="24"/>
                <w:szCs w:val="24"/>
              </w:rPr>
            </w:pPr>
          </w:p>
        </w:tc>
        <w:tc>
          <w:tcPr>
            <w:tcW w:w="541" w:type="dxa"/>
          </w:tcPr>
          <w:p>
            <w:pPr>
              <w:spacing w:line="280" w:lineRule="exact"/>
              <w:jc w:val="center"/>
              <w:rPr>
                <w:rFonts w:cs="Times New Roman"/>
                <w:sz w:val="24"/>
                <w:szCs w:val="24"/>
              </w:rPr>
            </w:pPr>
          </w:p>
        </w:tc>
        <w:tc>
          <w:tcPr>
            <w:tcW w:w="1806" w:type="dxa"/>
          </w:tcPr>
          <w:p>
            <w:pPr>
              <w:spacing w:line="28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16</w:t>
            </w:r>
          </w:p>
        </w:tc>
        <w:tc>
          <w:tcPr>
            <w:tcW w:w="718" w:type="dxa"/>
            <w:vMerge w:val="continue"/>
          </w:tcPr>
          <w:p>
            <w:pPr>
              <w:spacing w:line="280" w:lineRule="exact"/>
              <w:rPr>
                <w:rFonts w:cs="Times New Roman"/>
                <w:sz w:val="24"/>
                <w:szCs w:val="24"/>
              </w:rPr>
            </w:pPr>
          </w:p>
        </w:tc>
        <w:tc>
          <w:tcPr>
            <w:tcW w:w="5008" w:type="dxa"/>
          </w:tcPr>
          <w:p>
            <w:pPr>
              <w:spacing w:line="280" w:lineRule="exact"/>
              <w:jc w:val="center"/>
              <w:rPr>
                <w:rFonts w:cs="Times New Roman"/>
                <w:sz w:val="24"/>
                <w:szCs w:val="24"/>
              </w:rPr>
            </w:pPr>
            <w:r>
              <w:rPr>
                <w:rFonts w:hint="eastAsia"/>
                <w:sz w:val="24"/>
                <w:szCs w:val="24"/>
              </w:rPr>
              <w:t>扑救初起火灾的程序和措施。</w:t>
            </w:r>
          </w:p>
        </w:tc>
        <w:tc>
          <w:tcPr>
            <w:tcW w:w="552" w:type="dxa"/>
          </w:tcPr>
          <w:p>
            <w:pPr>
              <w:rPr>
                <w:rFonts w:ascii="Arial" w:hAnsi="Arial" w:cs="Arial"/>
                <w:sz w:val="24"/>
                <w:szCs w:val="24"/>
              </w:rPr>
            </w:pPr>
          </w:p>
        </w:tc>
        <w:tc>
          <w:tcPr>
            <w:tcW w:w="541" w:type="dxa"/>
          </w:tcPr>
          <w:p>
            <w:pPr>
              <w:spacing w:line="280" w:lineRule="exact"/>
              <w:jc w:val="center"/>
              <w:rPr>
                <w:rFonts w:cs="Times New Roman"/>
                <w:sz w:val="24"/>
                <w:szCs w:val="24"/>
              </w:rPr>
            </w:pPr>
          </w:p>
        </w:tc>
        <w:tc>
          <w:tcPr>
            <w:tcW w:w="1806" w:type="dxa"/>
          </w:tcPr>
          <w:p>
            <w:pPr>
              <w:spacing w:line="28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96" w:type="dxa"/>
            <w:vAlign w:val="center"/>
          </w:tcPr>
          <w:p>
            <w:pPr>
              <w:spacing w:line="280" w:lineRule="exact"/>
              <w:jc w:val="center"/>
              <w:rPr>
                <w:sz w:val="28"/>
                <w:szCs w:val="28"/>
              </w:rPr>
            </w:pPr>
            <w:r>
              <w:rPr>
                <w:sz w:val="28"/>
                <w:szCs w:val="28"/>
              </w:rPr>
              <w:t>17</w:t>
            </w:r>
          </w:p>
        </w:tc>
        <w:tc>
          <w:tcPr>
            <w:tcW w:w="718" w:type="dxa"/>
            <w:vMerge w:val="continue"/>
          </w:tcPr>
          <w:p>
            <w:pPr>
              <w:spacing w:line="280" w:lineRule="exact"/>
              <w:rPr>
                <w:rFonts w:cs="Times New Roman"/>
                <w:sz w:val="24"/>
                <w:szCs w:val="24"/>
              </w:rPr>
            </w:pPr>
          </w:p>
        </w:tc>
        <w:tc>
          <w:tcPr>
            <w:tcW w:w="5008" w:type="dxa"/>
          </w:tcPr>
          <w:p>
            <w:pPr>
              <w:spacing w:line="280" w:lineRule="exact"/>
              <w:jc w:val="center"/>
              <w:rPr>
                <w:rFonts w:cs="Times New Roman"/>
                <w:sz w:val="24"/>
                <w:szCs w:val="24"/>
              </w:rPr>
            </w:pPr>
            <w:r>
              <w:rPr>
                <w:rFonts w:hint="eastAsia"/>
                <w:sz w:val="24"/>
                <w:szCs w:val="24"/>
              </w:rPr>
              <w:t>通讯联络、安全防护救护的程序和措施。</w:t>
            </w:r>
          </w:p>
        </w:tc>
        <w:tc>
          <w:tcPr>
            <w:tcW w:w="552" w:type="dxa"/>
          </w:tcPr>
          <w:p>
            <w:pPr>
              <w:rPr>
                <w:rFonts w:ascii="Arial" w:hAnsi="Arial" w:cs="Arial"/>
                <w:sz w:val="24"/>
                <w:szCs w:val="24"/>
              </w:rPr>
            </w:pPr>
          </w:p>
        </w:tc>
        <w:tc>
          <w:tcPr>
            <w:tcW w:w="541" w:type="dxa"/>
          </w:tcPr>
          <w:p>
            <w:pPr>
              <w:spacing w:line="280" w:lineRule="exact"/>
              <w:jc w:val="center"/>
              <w:rPr>
                <w:rFonts w:cs="Times New Roman"/>
                <w:sz w:val="24"/>
                <w:szCs w:val="24"/>
              </w:rPr>
            </w:pPr>
          </w:p>
        </w:tc>
        <w:tc>
          <w:tcPr>
            <w:tcW w:w="1806" w:type="dxa"/>
          </w:tcPr>
          <w:p>
            <w:pPr>
              <w:spacing w:line="280" w:lineRule="exact"/>
              <w:jc w:val="center"/>
              <w:rPr>
                <w:rFonts w:cs="Times New Roman"/>
                <w:sz w:val="24"/>
                <w:szCs w:val="24"/>
              </w:rPr>
            </w:pPr>
          </w:p>
        </w:tc>
      </w:tr>
    </w:tbl>
    <w:p>
      <w:pPr>
        <w:spacing w:line="560" w:lineRule="exact"/>
        <w:jc w:val="center"/>
        <w:rPr>
          <w:rFonts w:cs="Times New Roman"/>
          <w:b/>
          <w:bCs/>
          <w:sz w:val="32"/>
          <w:szCs w:val="32"/>
        </w:rPr>
      </w:pPr>
    </w:p>
    <w:p>
      <w:pPr>
        <w:spacing w:line="560" w:lineRule="exact"/>
        <w:jc w:val="center"/>
        <w:rPr>
          <w:rFonts w:cs="Times New Roman"/>
          <w:b/>
          <w:bCs/>
          <w:sz w:val="18"/>
          <w:szCs w:val="18"/>
        </w:rPr>
      </w:pPr>
      <w:r>
        <w:rPr>
          <w:rFonts w:hint="eastAsia"/>
          <w:b/>
          <w:bCs/>
          <w:sz w:val="32"/>
          <w:szCs w:val="32"/>
          <w:lang w:eastAsia="zh-CN"/>
        </w:rPr>
        <w:t>七</w:t>
      </w:r>
      <w:r>
        <w:rPr>
          <w:rFonts w:hint="eastAsia"/>
          <w:b/>
          <w:bCs/>
          <w:sz w:val="32"/>
          <w:szCs w:val="32"/>
        </w:rPr>
        <w:t>、人员密集场所安全检查清单</w:t>
      </w:r>
      <w:r>
        <w:rPr>
          <w:rFonts w:hint="eastAsia"/>
          <w:sz w:val="32"/>
          <w:szCs w:val="32"/>
        </w:rPr>
        <w:t>（续）</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60" w:lineRule="exact"/>
              <w:jc w:val="center"/>
              <w:rPr>
                <w:rFonts w:cs="Times New Roman"/>
                <w:sz w:val="24"/>
                <w:szCs w:val="24"/>
              </w:rPr>
            </w:pPr>
            <w:r>
              <w:rPr>
                <w:rFonts w:hint="eastAsia"/>
                <w:sz w:val="24"/>
                <w:szCs w:val="24"/>
              </w:rPr>
              <w:t>序号</w:t>
            </w:r>
          </w:p>
        </w:tc>
        <w:tc>
          <w:tcPr>
            <w:tcW w:w="718" w:type="dxa"/>
            <w:vMerge w:val="restart"/>
          </w:tcPr>
          <w:p>
            <w:pPr>
              <w:spacing w:line="260" w:lineRule="exact"/>
              <w:rPr>
                <w:rFonts w:cs="Times New Roman"/>
                <w:sz w:val="24"/>
                <w:szCs w:val="24"/>
              </w:rPr>
            </w:pPr>
            <w:r>
              <w:rPr>
                <w:rFonts w:hint="eastAsia"/>
                <w:sz w:val="24"/>
                <w:szCs w:val="24"/>
              </w:rPr>
              <w:t>检查类别</w:t>
            </w:r>
          </w:p>
        </w:tc>
        <w:tc>
          <w:tcPr>
            <w:tcW w:w="5008" w:type="dxa"/>
            <w:vMerge w:val="restart"/>
          </w:tcPr>
          <w:p>
            <w:pPr>
              <w:spacing w:line="320" w:lineRule="exact"/>
              <w:jc w:val="center"/>
              <w:rPr>
                <w:rFonts w:cs="Times New Roman"/>
                <w:sz w:val="28"/>
                <w:szCs w:val="28"/>
              </w:rPr>
            </w:pPr>
            <w:r>
              <w:rPr>
                <w:rFonts w:hint="eastAsia"/>
                <w:sz w:val="28"/>
                <w:szCs w:val="28"/>
              </w:rPr>
              <w:t>检查标准要求</w:t>
            </w:r>
          </w:p>
        </w:tc>
        <w:tc>
          <w:tcPr>
            <w:tcW w:w="1092" w:type="dxa"/>
            <w:gridSpan w:val="2"/>
          </w:tcPr>
          <w:p>
            <w:pPr>
              <w:spacing w:line="26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spacing w:line="260" w:lineRule="exact"/>
              <w:jc w:val="center"/>
              <w:rPr>
                <w:rFonts w:cs="Times New Roman"/>
                <w:sz w:val="24"/>
                <w:szCs w:val="24"/>
              </w:rPr>
            </w:pPr>
          </w:p>
        </w:tc>
        <w:tc>
          <w:tcPr>
            <w:tcW w:w="718" w:type="dxa"/>
            <w:vMerge w:val="continue"/>
          </w:tcPr>
          <w:p>
            <w:pPr>
              <w:spacing w:line="260" w:lineRule="exact"/>
              <w:rPr>
                <w:rFonts w:cs="Times New Roman"/>
                <w:sz w:val="24"/>
                <w:szCs w:val="24"/>
              </w:rPr>
            </w:pPr>
          </w:p>
        </w:tc>
        <w:tc>
          <w:tcPr>
            <w:tcW w:w="5008" w:type="dxa"/>
            <w:vMerge w:val="continue"/>
          </w:tcPr>
          <w:p>
            <w:pPr>
              <w:spacing w:line="260" w:lineRule="exact"/>
              <w:rPr>
                <w:rFonts w:cs="Times New Roman"/>
                <w:sz w:val="24"/>
                <w:szCs w:val="24"/>
              </w:rPr>
            </w:pPr>
          </w:p>
        </w:tc>
        <w:tc>
          <w:tcPr>
            <w:tcW w:w="552" w:type="dxa"/>
          </w:tcPr>
          <w:p>
            <w:pPr>
              <w:spacing w:line="260" w:lineRule="exact"/>
              <w:jc w:val="center"/>
              <w:rPr>
                <w:rFonts w:cs="Times New Roman"/>
                <w:sz w:val="24"/>
                <w:szCs w:val="24"/>
              </w:rPr>
            </w:pPr>
            <w:r>
              <w:rPr>
                <w:rFonts w:hint="eastAsia"/>
                <w:sz w:val="24"/>
                <w:szCs w:val="24"/>
              </w:rPr>
              <w:t>是</w:t>
            </w:r>
          </w:p>
        </w:tc>
        <w:tc>
          <w:tcPr>
            <w:tcW w:w="540" w:type="dxa"/>
          </w:tcPr>
          <w:p>
            <w:pPr>
              <w:spacing w:line="26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18</w:t>
            </w:r>
          </w:p>
        </w:tc>
        <w:tc>
          <w:tcPr>
            <w:tcW w:w="718" w:type="dxa"/>
            <w:vAlign w:val="center"/>
          </w:tcPr>
          <w:p>
            <w:pPr>
              <w:spacing w:line="280" w:lineRule="exact"/>
              <w:rPr>
                <w:rFonts w:cs="Times New Roman"/>
                <w:sz w:val="24"/>
                <w:szCs w:val="24"/>
              </w:rPr>
            </w:pPr>
            <w:r>
              <w:rPr>
                <w:rFonts w:hint="eastAsia"/>
                <w:sz w:val="24"/>
                <w:szCs w:val="24"/>
              </w:rPr>
              <w:t>按照处置程序开展演练</w:t>
            </w:r>
          </w:p>
        </w:tc>
        <w:tc>
          <w:tcPr>
            <w:tcW w:w="5008" w:type="dxa"/>
          </w:tcPr>
          <w:p>
            <w:pPr>
              <w:spacing w:line="280" w:lineRule="exact"/>
              <w:rPr>
                <w:rFonts w:cs="Times New Roman"/>
                <w:color w:val="000000"/>
                <w:sz w:val="24"/>
                <w:szCs w:val="24"/>
              </w:rPr>
            </w:pPr>
            <w:r>
              <w:rPr>
                <w:rFonts w:hint="eastAsia"/>
                <w:color w:val="000000"/>
                <w:sz w:val="24"/>
                <w:szCs w:val="24"/>
              </w:rPr>
              <w:t>消防安全重点单位应按照灭火和应急疏散预案，至少每半年进行一次演练，并根据演练情况不断完善预案。其他单位应当结合本单位实际，至少每年组织一次演练。演练时，应当设置明显标识并事先告知演练范围内的人员。</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96" w:type="dxa"/>
            <w:vAlign w:val="center"/>
          </w:tcPr>
          <w:p>
            <w:pPr>
              <w:spacing w:line="280" w:lineRule="exact"/>
              <w:jc w:val="center"/>
              <w:rPr>
                <w:sz w:val="28"/>
                <w:szCs w:val="28"/>
              </w:rPr>
            </w:pPr>
            <w:r>
              <w:rPr>
                <w:sz w:val="28"/>
                <w:szCs w:val="28"/>
              </w:rPr>
              <w:t>19</w:t>
            </w:r>
          </w:p>
        </w:tc>
        <w:tc>
          <w:tcPr>
            <w:tcW w:w="718" w:type="dxa"/>
            <w:vMerge w:val="restart"/>
            <w:vAlign w:val="center"/>
          </w:tcPr>
          <w:p>
            <w:pPr>
              <w:spacing w:line="280" w:lineRule="exact"/>
              <w:rPr>
                <w:rFonts w:cs="Times New Roman"/>
                <w:sz w:val="24"/>
                <w:szCs w:val="24"/>
              </w:rPr>
            </w:pPr>
            <w:r>
              <w:rPr>
                <w:rFonts w:hint="eastAsia"/>
                <w:sz w:val="24"/>
                <w:szCs w:val="24"/>
              </w:rPr>
              <w:t>消防设施和器材设置</w:t>
            </w:r>
          </w:p>
        </w:tc>
        <w:tc>
          <w:tcPr>
            <w:tcW w:w="5008" w:type="dxa"/>
          </w:tcPr>
          <w:p>
            <w:pPr>
              <w:spacing w:line="280" w:lineRule="exact"/>
              <w:rPr>
                <w:rFonts w:cs="Times New Roman"/>
                <w:color w:val="000000"/>
                <w:sz w:val="24"/>
                <w:szCs w:val="24"/>
              </w:rPr>
            </w:pPr>
            <w:r>
              <w:rPr>
                <w:rFonts w:hint="eastAsia"/>
                <w:color w:val="000000"/>
                <w:sz w:val="24"/>
                <w:szCs w:val="24"/>
              </w:rPr>
              <w:t>火灾自动报警系统、自动灭火系统、室内（外）消火栓、防排烟设施、应急广播系统、防火分隔设施、消防电梯等消防设施的设置应符合消防技术规范要求。</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96" w:type="dxa"/>
            <w:vAlign w:val="center"/>
          </w:tcPr>
          <w:p>
            <w:pPr>
              <w:spacing w:line="460" w:lineRule="exact"/>
              <w:jc w:val="center"/>
              <w:rPr>
                <w:sz w:val="28"/>
                <w:szCs w:val="28"/>
              </w:rPr>
            </w:pPr>
            <w:r>
              <w:rPr>
                <w:sz w:val="28"/>
                <w:szCs w:val="28"/>
              </w:rPr>
              <w:t>20</w:t>
            </w:r>
          </w:p>
        </w:tc>
        <w:tc>
          <w:tcPr>
            <w:tcW w:w="718" w:type="dxa"/>
            <w:vMerge w:val="continue"/>
            <w:vAlign w:val="center"/>
          </w:tcPr>
          <w:p>
            <w:pPr>
              <w:spacing w:line="280" w:lineRule="exact"/>
              <w:rPr>
                <w:rFonts w:cs="Times New Roman"/>
                <w:sz w:val="24"/>
                <w:szCs w:val="24"/>
              </w:rPr>
            </w:pPr>
          </w:p>
        </w:tc>
        <w:tc>
          <w:tcPr>
            <w:tcW w:w="5008" w:type="dxa"/>
            <w:vAlign w:val="center"/>
          </w:tcPr>
          <w:p>
            <w:pPr>
              <w:spacing w:line="280" w:lineRule="exact"/>
              <w:rPr>
                <w:rFonts w:cs="Times New Roman"/>
                <w:color w:val="000000"/>
                <w:sz w:val="24"/>
                <w:szCs w:val="24"/>
              </w:rPr>
            </w:pPr>
            <w:r>
              <w:rPr>
                <w:rFonts w:hint="eastAsia"/>
                <w:color w:val="000000"/>
                <w:sz w:val="24"/>
                <w:szCs w:val="24"/>
              </w:rPr>
              <w:t>灭火器配置数量充足、选型正确；放置位置明显，便于取用。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6" w:type="dxa"/>
            <w:vAlign w:val="center"/>
          </w:tcPr>
          <w:p>
            <w:pPr>
              <w:spacing w:line="460" w:lineRule="exact"/>
              <w:jc w:val="center"/>
              <w:rPr>
                <w:sz w:val="28"/>
                <w:szCs w:val="28"/>
              </w:rPr>
            </w:pPr>
            <w:r>
              <w:rPr>
                <w:sz w:val="28"/>
                <w:szCs w:val="28"/>
              </w:rPr>
              <w:t>21</w:t>
            </w:r>
          </w:p>
        </w:tc>
        <w:tc>
          <w:tcPr>
            <w:tcW w:w="718" w:type="dxa"/>
            <w:vMerge w:val="restart"/>
            <w:vAlign w:val="center"/>
          </w:tcPr>
          <w:p>
            <w:pPr>
              <w:spacing w:line="280" w:lineRule="exact"/>
              <w:rPr>
                <w:rFonts w:cs="Times New Roman"/>
                <w:sz w:val="24"/>
                <w:szCs w:val="24"/>
              </w:rPr>
            </w:pPr>
            <w:r>
              <w:rPr>
                <w:rFonts w:hint="eastAsia"/>
                <w:sz w:val="24"/>
                <w:szCs w:val="24"/>
              </w:rPr>
              <w:t>消防设施和器材维护管理</w:t>
            </w:r>
          </w:p>
        </w:tc>
        <w:tc>
          <w:tcPr>
            <w:tcW w:w="5008" w:type="dxa"/>
            <w:vAlign w:val="center"/>
          </w:tcPr>
          <w:p>
            <w:pPr>
              <w:spacing w:line="280" w:lineRule="exact"/>
              <w:rPr>
                <w:rFonts w:cs="Times New Roman"/>
                <w:color w:val="000000"/>
                <w:sz w:val="24"/>
                <w:szCs w:val="24"/>
              </w:rPr>
            </w:pPr>
            <w:r>
              <w:rPr>
                <w:rFonts w:hint="eastAsia"/>
                <w:color w:val="000000"/>
                <w:sz w:val="24"/>
                <w:szCs w:val="24"/>
              </w:rPr>
              <w:t>设有自动消防设施的单位应与具有维修保养资格的企业签订《自动消防设施维修保养合同》，并按照《建筑消防设施的维护管理》（</w:t>
            </w:r>
            <w:r>
              <w:rPr>
                <w:color w:val="000000"/>
                <w:sz w:val="24"/>
                <w:szCs w:val="24"/>
              </w:rPr>
              <w:t>GA587</w:t>
            </w:r>
            <w:r>
              <w:rPr>
                <w:rFonts w:hint="eastAsia"/>
                <w:color w:val="000000"/>
                <w:sz w:val="24"/>
                <w:szCs w:val="24"/>
              </w:rPr>
              <w:t>）的有关要求进行维修保养。</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6" w:type="dxa"/>
            <w:vAlign w:val="center"/>
          </w:tcPr>
          <w:p>
            <w:pPr>
              <w:spacing w:line="460" w:lineRule="exact"/>
              <w:jc w:val="center"/>
              <w:rPr>
                <w:sz w:val="28"/>
                <w:szCs w:val="28"/>
              </w:rPr>
            </w:pPr>
            <w:r>
              <w:rPr>
                <w:sz w:val="28"/>
                <w:szCs w:val="28"/>
              </w:rPr>
              <w:t>22</w:t>
            </w:r>
          </w:p>
        </w:tc>
        <w:tc>
          <w:tcPr>
            <w:tcW w:w="718" w:type="dxa"/>
            <w:vMerge w:val="continue"/>
            <w:vAlign w:val="center"/>
          </w:tcPr>
          <w:p>
            <w:pPr>
              <w:spacing w:line="280" w:lineRule="exact"/>
              <w:rPr>
                <w:rFonts w:cs="Times New Roman"/>
                <w:sz w:val="24"/>
                <w:szCs w:val="24"/>
              </w:rPr>
            </w:pPr>
          </w:p>
        </w:tc>
        <w:tc>
          <w:tcPr>
            <w:tcW w:w="5008" w:type="dxa"/>
            <w:vAlign w:val="center"/>
          </w:tcPr>
          <w:p>
            <w:pPr>
              <w:spacing w:line="280" w:lineRule="exact"/>
              <w:rPr>
                <w:rFonts w:cs="Times New Roman"/>
                <w:color w:val="000000"/>
                <w:sz w:val="24"/>
                <w:szCs w:val="24"/>
              </w:rPr>
            </w:pPr>
            <w:r>
              <w:rPr>
                <w:rFonts w:hint="eastAsia"/>
                <w:color w:val="000000"/>
                <w:sz w:val="24"/>
                <w:szCs w:val="24"/>
              </w:rPr>
              <w:t>灭火器检查、消火栓试压，自动消防设施、供水系统检查及设施运行情况记录齐全。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96" w:type="dxa"/>
            <w:vAlign w:val="center"/>
          </w:tcPr>
          <w:p>
            <w:pPr>
              <w:spacing w:line="460" w:lineRule="exact"/>
              <w:jc w:val="center"/>
              <w:rPr>
                <w:sz w:val="28"/>
                <w:szCs w:val="28"/>
              </w:rPr>
            </w:pPr>
            <w:r>
              <w:rPr>
                <w:sz w:val="28"/>
                <w:szCs w:val="28"/>
              </w:rPr>
              <w:t>23</w:t>
            </w:r>
          </w:p>
        </w:tc>
        <w:tc>
          <w:tcPr>
            <w:tcW w:w="718" w:type="dxa"/>
            <w:vMerge w:val="restart"/>
            <w:vAlign w:val="center"/>
          </w:tcPr>
          <w:p>
            <w:pPr>
              <w:spacing w:line="280" w:lineRule="exact"/>
              <w:rPr>
                <w:rFonts w:cs="Times New Roman"/>
                <w:sz w:val="24"/>
                <w:szCs w:val="24"/>
              </w:rPr>
            </w:pPr>
            <w:r>
              <w:rPr>
                <w:rFonts w:hint="eastAsia"/>
                <w:sz w:val="24"/>
                <w:szCs w:val="24"/>
              </w:rPr>
              <w:t>火灾自动报警系统维护管理</w:t>
            </w:r>
          </w:p>
        </w:tc>
        <w:tc>
          <w:tcPr>
            <w:tcW w:w="5008" w:type="dxa"/>
            <w:vAlign w:val="center"/>
          </w:tcPr>
          <w:p>
            <w:pPr>
              <w:spacing w:line="280" w:lineRule="exact"/>
              <w:rPr>
                <w:rFonts w:cs="Times New Roman"/>
                <w:color w:val="000000"/>
                <w:sz w:val="24"/>
                <w:szCs w:val="24"/>
              </w:rPr>
            </w:pPr>
            <w:r>
              <w:rPr>
                <w:rFonts w:hint="eastAsia"/>
                <w:color w:val="000000"/>
                <w:sz w:val="24"/>
                <w:szCs w:val="24"/>
              </w:rPr>
              <w:t>单位每日应检查集中报警控制器和区域报警控制器的功能是否正常，并填写系统运行日登记表，每季度检查系统的各个功能是否正常，并填写季度登记表。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6" w:type="dxa"/>
            <w:vAlign w:val="center"/>
          </w:tcPr>
          <w:p>
            <w:pPr>
              <w:spacing w:line="460" w:lineRule="exact"/>
              <w:jc w:val="center"/>
              <w:rPr>
                <w:sz w:val="28"/>
                <w:szCs w:val="28"/>
              </w:rPr>
            </w:pPr>
            <w:r>
              <w:rPr>
                <w:sz w:val="28"/>
                <w:szCs w:val="28"/>
              </w:rPr>
              <w:t>24</w:t>
            </w:r>
          </w:p>
        </w:tc>
        <w:tc>
          <w:tcPr>
            <w:tcW w:w="718" w:type="dxa"/>
            <w:vMerge w:val="continue"/>
          </w:tcPr>
          <w:p>
            <w:pPr>
              <w:spacing w:line="280" w:lineRule="exact"/>
              <w:rPr>
                <w:rFonts w:cs="Times New Roman"/>
                <w:sz w:val="24"/>
                <w:szCs w:val="24"/>
              </w:rPr>
            </w:pPr>
          </w:p>
        </w:tc>
        <w:tc>
          <w:tcPr>
            <w:tcW w:w="5008" w:type="dxa"/>
            <w:vAlign w:val="center"/>
          </w:tcPr>
          <w:p>
            <w:pPr>
              <w:spacing w:line="280" w:lineRule="exact"/>
              <w:rPr>
                <w:rFonts w:cs="Times New Roman"/>
                <w:color w:val="000000"/>
                <w:sz w:val="24"/>
                <w:szCs w:val="24"/>
              </w:rPr>
            </w:pPr>
            <w:r>
              <w:rPr>
                <w:rFonts w:hint="eastAsia"/>
                <w:color w:val="000000"/>
                <w:sz w:val="24"/>
                <w:szCs w:val="24"/>
              </w:rPr>
              <w:t>火灾探测器投入运行两年后，应每隔三年全部清洗一遍，对于使用环境条件较差的应每年清洗一遍，清洗应送专业维修企业进行。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96" w:type="dxa"/>
            <w:vAlign w:val="center"/>
          </w:tcPr>
          <w:p>
            <w:pPr>
              <w:spacing w:line="460" w:lineRule="exact"/>
              <w:jc w:val="center"/>
              <w:rPr>
                <w:sz w:val="28"/>
                <w:szCs w:val="28"/>
              </w:rPr>
            </w:pPr>
            <w:r>
              <w:rPr>
                <w:sz w:val="28"/>
                <w:szCs w:val="28"/>
              </w:rPr>
              <w:t>25</w:t>
            </w:r>
          </w:p>
        </w:tc>
        <w:tc>
          <w:tcPr>
            <w:tcW w:w="718" w:type="dxa"/>
            <w:vMerge w:val="continue"/>
          </w:tcPr>
          <w:p>
            <w:pPr>
              <w:spacing w:line="280" w:lineRule="exact"/>
              <w:rPr>
                <w:rFonts w:cs="Times New Roman"/>
                <w:sz w:val="24"/>
                <w:szCs w:val="24"/>
              </w:rPr>
            </w:pPr>
          </w:p>
        </w:tc>
        <w:tc>
          <w:tcPr>
            <w:tcW w:w="5008" w:type="dxa"/>
            <w:vAlign w:val="center"/>
          </w:tcPr>
          <w:p>
            <w:pPr>
              <w:spacing w:line="280" w:lineRule="exact"/>
              <w:rPr>
                <w:rFonts w:cs="Times New Roman"/>
                <w:color w:val="000000"/>
                <w:sz w:val="24"/>
                <w:szCs w:val="24"/>
              </w:rPr>
            </w:pPr>
            <w:r>
              <w:rPr>
                <w:rFonts w:hint="eastAsia"/>
                <w:color w:val="000000"/>
                <w:sz w:val="24"/>
                <w:szCs w:val="24"/>
              </w:rPr>
              <w:t>清洗后应做响应阀值及其他必要的功能试验，合格的方可继续使用。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26</w:t>
            </w:r>
          </w:p>
        </w:tc>
        <w:tc>
          <w:tcPr>
            <w:tcW w:w="718" w:type="dxa"/>
            <w:vMerge w:val="restart"/>
            <w:vAlign w:val="center"/>
          </w:tcPr>
          <w:p>
            <w:pPr>
              <w:spacing w:line="280" w:lineRule="exact"/>
              <w:rPr>
                <w:rFonts w:cs="Times New Roman"/>
                <w:sz w:val="24"/>
                <w:szCs w:val="24"/>
              </w:rPr>
            </w:pPr>
            <w:r>
              <w:rPr>
                <w:rFonts w:hint="eastAsia"/>
                <w:sz w:val="24"/>
                <w:szCs w:val="24"/>
              </w:rPr>
              <w:t>自动喷水灭火系统维护管理</w:t>
            </w:r>
          </w:p>
        </w:tc>
        <w:tc>
          <w:tcPr>
            <w:tcW w:w="5008" w:type="dxa"/>
          </w:tcPr>
          <w:p>
            <w:pPr>
              <w:spacing w:line="280" w:lineRule="exact"/>
              <w:rPr>
                <w:rFonts w:cs="Times New Roman"/>
                <w:sz w:val="24"/>
                <w:szCs w:val="24"/>
              </w:rPr>
            </w:pPr>
            <w:r>
              <w:rPr>
                <w:rFonts w:hint="eastAsia"/>
                <w:sz w:val="24"/>
                <w:szCs w:val="24"/>
              </w:rPr>
              <w:t>负责系统维护管理的专职人员每日必须巡检责任区内所有供水总控制阀、报警控制阀极其附属组件，进行外观检查和水压检查，保证系统处于无故障状态。</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27</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消防泵应每月启动运转一次，确保运转正常。</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28</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每季度应利用报警控制阀旁的放水试验阀进行一次供水水流试验。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29</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室外水泵接合器的接口与配套附件应每月检查一次，保证接口完好、无渗漏、闷盖齐全。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30</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每月应对喷头进行外观检查，发现不正常的喷头应及时更换。</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96" w:type="dxa"/>
            <w:vAlign w:val="center"/>
          </w:tcPr>
          <w:p>
            <w:pPr>
              <w:spacing w:line="460" w:lineRule="exact"/>
              <w:jc w:val="center"/>
              <w:rPr>
                <w:sz w:val="28"/>
                <w:szCs w:val="28"/>
              </w:rPr>
            </w:pPr>
            <w:r>
              <w:rPr>
                <w:sz w:val="28"/>
                <w:szCs w:val="28"/>
              </w:rPr>
              <w:t>31</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每月应对管道上的水流指示器进行试验，利用末端试水装置排水，检查其是否能及时报警。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32</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消防用的蓄水池、高位水箱、气压水罐每月应检查一次，核对其消防水位及气压水罐的气体压力，并对保证消防储备水不被他用的措施进行检查，发现有故障，应及时修理。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33</w:t>
            </w:r>
          </w:p>
        </w:tc>
        <w:tc>
          <w:tcPr>
            <w:tcW w:w="718" w:type="dxa"/>
            <w:vMerge w:val="restart"/>
            <w:vAlign w:val="center"/>
          </w:tcPr>
          <w:p>
            <w:pPr>
              <w:spacing w:line="280" w:lineRule="exact"/>
              <w:rPr>
                <w:rFonts w:cs="Times New Roman"/>
                <w:sz w:val="24"/>
                <w:szCs w:val="24"/>
              </w:rPr>
            </w:pPr>
            <w:r>
              <w:rPr>
                <w:rFonts w:hint="eastAsia"/>
                <w:sz w:val="24"/>
                <w:szCs w:val="24"/>
              </w:rPr>
              <w:t>机械防排烟设施维护管理</w:t>
            </w:r>
          </w:p>
        </w:tc>
        <w:tc>
          <w:tcPr>
            <w:tcW w:w="5008" w:type="dxa"/>
          </w:tcPr>
          <w:p>
            <w:pPr>
              <w:spacing w:line="280" w:lineRule="exact"/>
              <w:rPr>
                <w:rFonts w:cs="Times New Roman"/>
                <w:sz w:val="24"/>
                <w:szCs w:val="24"/>
              </w:rPr>
            </w:pPr>
            <w:r>
              <w:rPr>
                <w:rFonts w:hint="eastAsia"/>
                <w:sz w:val="24"/>
                <w:szCs w:val="24"/>
              </w:rPr>
              <w:t>每半年进行一次风机试运行试验，风机试运转的时间不得少于</w:t>
            </w:r>
            <w:r>
              <w:rPr>
                <w:sz w:val="24"/>
                <w:szCs w:val="24"/>
              </w:rPr>
              <w:t>30</w:t>
            </w:r>
            <w:r>
              <w:rPr>
                <w:rFonts w:hint="eastAsia"/>
                <w:sz w:val="24"/>
                <w:szCs w:val="24"/>
              </w:rPr>
              <w:t>分钟。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34</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防火阀、排烟防火阀平时处于工作状态；每半年进行一次手动、电动运行试验。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35</w:t>
            </w:r>
          </w:p>
        </w:tc>
        <w:tc>
          <w:tcPr>
            <w:tcW w:w="718" w:type="dxa"/>
            <w:vMerge w:val="continue"/>
            <w:vAlign w:val="center"/>
          </w:tcPr>
          <w:p>
            <w:pPr>
              <w:spacing w:line="280" w:lineRule="exact"/>
              <w:rPr>
                <w:rFonts w:cs="Times New Roman"/>
                <w:sz w:val="24"/>
                <w:szCs w:val="24"/>
              </w:rPr>
            </w:pPr>
          </w:p>
        </w:tc>
        <w:tc>
          <w:tcPr>
            <w:tcW w:w="5008" w:type="dxa"/>
          </w:tcPr>
          <w:p>
            <w:pPr>
              <w:spacing w:line="280" w:lineRule="exact"/>
              <w:rPr>
                <w:rFonts w:cs="Times New Roman"/>
                <w:sz w:val="24"/>
                <w:szCs w:val="24"/>
              </w:rPr>
            </w:pPr>
            <w:r>
              <w:rPr>
                <w:rFonts w:hint="eastAsia"/>
                <w:sz w:val="24"/>
                <w:szCs w:val="24"/>
              </w:rPr>
              <w:t>送风口、排烟口平时处于关闭状态，每半年进行一次手动、电动及远距离开启运行试验。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36</w:t>
            </w:r>
          </w:p>
        </w:tc>
        <w:tc>
          <w:tcPr>
            <w:tcW w:w="718" w:type="dxa"/>
            <w:vMerge w:val="restart"/>
            <w:vAlign w:val="center"/>
          </w:tcPr>
          <w:p>
            <w:pPr>
              <w:rPr>
                <w:rFonts w:cs="Times New Roman"/>
                <w:sz w:val="24"/>
                <w:szCs w:val="24"/>
              </w:rPr>
            </w:pPr>
            <w:r>
              <w:rPr>
                <w:rFonts w:hint="eastAsia"/>
                <w:sz w:val="24"/>
                <w:szCs w:val="24"/>
              </w:rPr>
              <w:t>消防安全疏散设施设置</w:t>
            </w:r>
          </w:p>
        </w:tc>
        <w:tc>
          <w:tcPr>
            <w:tcW w:w="5008" w:type="dxa"/>
          </w:tcPr>
          <w:p>
            <w:pPr>
              <w:rPr>
                <w:rFonts w:cs="Times New Roman"/>
                <w:sz w:val="24"/>
                <w:szCs w:val="24"/>
              </w:rPr>
            </w:pPr>
            <w:r>
              <w:rPr>
                <w:rFonts w:hint="eastAsia"/>
                <w:sz w:val="24"/>
                <w:szCs w:val="24"/>
              </w:rPr>
              <w:t>安全出口数量、疏散通道宽度、距离及疏散门的开启方向符合要求；疏散通道、安全出口的疏散指示标志醒目、无遮挡；火灾事故应急照明设置符合要求，完整好用。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37</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经营和生产期间，疏散通道、疏散楼梯、安全出口保持畅通，不得堵塞、占用、锁闭、分隔，公共区域的外窗、通道不得设置影响灭火救援的铁栅栏、广告（障碍物）；常闭式防火门保持常闭状态，并落实责任制。</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38</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人员密集场所的疏散门应当安装推闩式疏散门、安全控制与报警逃生门锁系统。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39</w:t>
            </w:r>
          </w:p>
        </w:tc>
        <w:tc>
          <w:tcPr>
            <w:tcW w:w="718" w:type="dxa"/>
            <w:vMerge w:val="restart"/>
            <w:vAlign w:val="center"/>
          </w:tcPr>
          <w:p>
            <w:pPr>
              <w:rPr>
                <w:rFonts w:cs="Times New Roman"/>
                <w:sz w:val="24"/>
                <w:szCs w:val="24"/>
              </w:rPr>
            </w:pPr>
            <w:r>
              <w:rPr>
                <w:rFonts w:hint="eastAsia"/>
                <w:sz w:val="24"/>
                <w:szCs w:val="24"/>
              </w:rPr>
              <w:t>消防安全疏散设施管理</w:t>
            </w:r>
          </w:p>
        </w:tc>
        <w:tc>
          <w:tcPr>
            <w:tcW w:w="5008" w:type="dxa"/>
          </w:tcPr>
          <w:p>
            <w:pPr>
              <w:rPr>
                <w:rFonts w:cs="Times New Roman"/>
                <w:sz w:val="24"/>
                <w:szCs w:val="24"/>
              </w:rPr>
            </w:pPr>
            <w:r>
              <w:rPr>
                <w:rFonts w:hint="eastAsia"/>
                <w:sz w:val="24"/>
                <w:szCs w:val="24"/>
              </w:rPr>
              <w:t>每日应对所有的疏散通道和安全出口进行检查一次，确保畅通。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40</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每周应进行防火门的开关、防火卷帘的升降、应急灯的指示和疏散指示标志的方向及供电情况检查，确保指示标志指示方向与人员疏散方向一致并完好有效。</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41</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每半年应对防火门的铰链、闭门器及防火卷帘的轨道、卷门机轴进行润滑保养。</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42</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每年应对应急灯和疏散指示标志进行功能和安全性检查，并进行充放电试验，保证亮度不低于</w:t>
            </w:r>
            <w:r>
              <w:rPr>
                <w:sz w:val="24"/>
                <w:szCs w:val="24"/>
              </w:rPr>
              <w:t>0.5LX</w:t>
            </w:r>
            <w:r>
              <w:rPr>
                <w:rFonts w:hint="eastAsia"/>
                <w:sz w:val="24"/>
                <w:szCs w:val="24"/>
              </w:rPr>
              <w:t>。</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43</w:t>
            </w:r>
          </w:p>
        </w:tc>
        <w:tc>
          <w:tcPr>
            <w:tcW w:w="718" w:type="dxa"/>
            <w:vMerge w:val="restart"/>
            <w:vAlign w:val="center"/>
          </w:tcPr>
          <w:p>
            <w:pPr>
              <w:rPr>
                <w:rFonts w:cs="Times New Roman"/>
                <w:sz w:val="24"/>
                <w:szCs w:val="24"/>
              </w:rPr>
            </w:pPr>
            <w:r>
              <w:rPr>
                <w:rFonts w:hint="eastAsia"/>
                <w:sz w:val="24"/>
                <w:szCs w:val="24"/>
              </w:rPr>
              <w:t>消防控制室（值班室）设置</w:t>
            </w:r>
          </w:p>
        </w:tc>
        <w:tc>
          <w:tcPr>
            <w:tcW w:w="5008" w:type="dxa"/>
          </w:tcPr>
          <w:p>
            <w:pPr>
              <w:rPr>
                <w:rFonts w:cs="Times New Roman"/>
                <w:sz w:val="24"/>
                <w:szCs w:val="24"/>
              </w:rPr>
            </w:pPr>
            <w:r>
              <w:rPr>
                <w:rFonts w:hint="eastAsia"/>
                <w:sz w:val="24"/>
                <w:szCs w:val="24"/>
              </w:rPr>
              <w:t>设有自动消防设施的单位应设消防控制室（或消防监控中心），其设置应符合技术规范要求，其他单位应设值班室；消防控制室（值班室）应设可直接拨打“</w:t>
            </w:r>
            <w:r>
              <w:rPr>
                <w:sz w:val="24"/>
                <w:szCs w:val="24"/>
              </w:rPr>
              <w:t>119</w:t>
            </w:r>
            <w:r>
              <w:rPr>
                <w:rFonts w:hint="eastAsia"/>
                <w:sz w:val="24"/>
                <w:szCs w:val="24"/>
              </w:rPr>
              <w:t>”电话及单位通讯联络。</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44</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消防控制室（值班室）宜设在建筑首层或地下一层，防火分隔符合规范要求，并应设直通室外的安全出口，门上应设“消防控制室（值班室）”标志灯或标志牌。</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6" w:type="dxa"/>
            <w:vAlign w:val="center"/>
          </w:tcPr>
          <w:p>
            <w:pPr>
              <w:spacing w:line="280" w:lineRule="exact"/>
              <w:jc w:val="center"/>
              <w:rPr>
                <w:sz w:val="28"/>
                <w:szCs w:val="28"/>
              </w:rPr>
            </w:pPr>
            <w:r>
              <w:rPr>
                <w:sz w:val="28"/>
                <w:szCs w:val="28"/>
              </w:rPr>
              <w:t>45</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应在醒目位置悬挂《消防控制室管理及应急程序》。</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46</w:t>
            </w:r>
          </w:p>
        </w:tc>
        <w:tc>
          <w:tcPr>
            <w:tcW w:w="718" w:type="dxa"/>
            <w:vMerge w:val="restart"/>
            <w:vAlign w:val="center"/>
          </w:tcPr>
          <w:p>
            <w:pPr>
              <w:rPr>
                <w:rFonts w:cs="Times New Roman"/>
                <w:sz w:val="24"/>
                <w:szCs w:val="24"/>
              </w:rPr>
            </w:pPr>
            <w:r>
              <w:rPr>
                <w:rFonts w:hint="eastAsia"/>
                <w:sz w:val="24"/>
                <w:szCs w:val="24"/>
              </w:rPr>
              <w:t>消防控制室（值班室）管理</w:t>
            </w:r>
          </w:p>
        </w:tc>
        <w:tc>
          <w:tcPr>
            <w:tcW w:w="5008" w:type="dxa"/>
          </w:tcPr>
          <w:p>
            <w:pPr>
              <w:rPr>
                <w:rFonts w:cs="Times New Roman"/>
                <w:sz w:val="24"/>
                <w:szCs w:val="24"/>
              </w:rPr>
            </w:pPr>
            <w:r>
              <w:rPr>
                <w:rFonts w:hint="eastAsia"/>
                <w:sz w:val="24"/>
                <w:szCs w:val="24"/>
              </w:rPr>
              <w:t>消防控制室必须</w:t>
            </w:r>
            <w:r>
              <w:rPr>
                <w:sz w:val="24"/>
                <w:szCs w:val="24"/>
              </w:rPr>
              <w:t>24</w:t>
            </w:r>
            <w:r>
              <w:rPr>
                <w:rFonts w:hint="eastAsia"/>
                <w:sz w:val="24"/>
                <w:szCs w:val="24"/>
              </w:rPr>
              <w:t>小时设专人值班，每班不应少于</w:t>
            </w:r>
            <w:r>
              <w:rPr>
                <w:sz w:val="24"/>
                <w:szCs w:val="24"/>
              </w:rPr>
              <w:t>2</w:t>
            </w:r>
            <w:r>
              <w:rPr>
                <w:rFonts w:hint="eastAsia"/>
                <w:sz w:val="24"/>
                <w:szCs w:val="24"/>
              </w:rPr>
              <w:t>人，每班连续工作时间不应超过</w:t>
            </w:r>
            <w:r>
              <w:rPr>
                <w:sz w:val="24"/>
                <w:szCs w:val="24"/>
              </w:rPr>
              <w:t>12</w:t>
            </w:r>
            <w:r>
              <w:rPr>
                <w:rFonts w:hint="eastAsia"/>
                <w:sz w:val="24"/>
                <w:szCs w:val="24"/>
              </w:rPr>
              <w:t>小时。</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47</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消防控制室操作（值班）人员应经常对消防控制室设备及通讯器材等进行检查，定期做好各系统功能试验并记录齐全，确保消防设施各系统运行状况良好。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48</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消防控制室（值班室）人员应做好交接班工作，认真填写值班记录。</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6" w:type="dxa"/>
            <w:vAlign w:val="center"/>
          </w:tcPr>
          <w:p>
            <w:pPr>
              <w:spacing w:line="460" w:lineRule="exact"/>
              <w:jc w:val="center"/>
              <w:rPr>
                <w:sz w:val="28"/>
                <w:szCs w:val="28"/>
              </w:rPr>
            </w:pPr>
            <w:r>
              <w:rPr>
                <w:sz w:val="28"/>
                <w:szCs w:val="28"/>
              </w:rPr>
              <w:t>49</w:t>
            </w:r>
          </w:p>
        </w:tc>
        <w:tc>
          <w:tcPr>
            <w:tcW w:w="718" w:type="dxa"/>
            <w:vMerge w:val="restart"/>
            <w:vAlign w:val="center"/>
          </w:tcPr>
          <w:p>
            <w:pPr>
              <w:rPr>
                <w:rFonts w:cs="Times New Roman"/>
                <w:sz w:val="24"/>
                <w:szCs w:val="24"/>
              </w:rPr>
            </w:pPr>
            <w:r>
              <w:rPr>
                <w:rFonts w:hint="eastAsia"/>
                <w:sz w:val="24"/>
                <w:szCs w:val="24"/>
              </w:rPr>
              <w:t>消防标识设置要求</w:t>
            </w:r>
          </w:p>
        </w:tc>
        <w:tc>
          <w:tcPr>
            <w:tcW w:w="5008" w:type="dxa"/>
            <w:vAlign w:val="center"/>
          </w:tcPr>
          <w:p>
            <w:pPr>
              <w:rPr>
                <w:rFonts w:cs="Times New Roman"/>
                <w:sz w:val="24"/>
                <w:szCs w:val="24"/>
              </w:rPr>
            </w:pPr>
            <w:r>
              <w:rPr>
                <w:rFonts w:hint="eastAsia"/>
                <w:sz w:val="24"/>
                <w:szCs w:val="24"/>
              </w:rPr>
              <w:t>消防安全布局标识。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50</w:t>
            </w:r>
          </w:p>
        </w:tc>
        <w:tc>
          <w:tcPr>
            <w:tcW w:w="718" w:type="dxa"/>
            <w:vMerge w:val="continue"/>
          </w:tcPr>
          <w:p>
            <w:pPr>
              <w:rPr>
                <w:rFonts w:cs="Times New Roman"/>
                <w:sz w:val="24"/>
                <w:szCs w:val="24"/>
              </w:rPr>
            </w:pPr>
          </w:p>
        </w:tc>
        <w:tc>
          <w:tcPr>
            <w:tcW w:w="5008" w:type="dxa"/>
            <w:vAlign w:val="center"/>
          </w:tcPr>
          <w:p>
            <w:pPr>
              <w:rPr>
                <w:rFonts w:cs="Times New Roman"/>
                <w:sz w:val="24"/>
                <w:szCs w:val="24"/>
              </w:rPr>
            </w:pPr>
            <w:r>
              <w:rPr>
                <w:rFonts w:hint="eastAsia"/>
                <w:sz w:val="24"/>
                <w:szCs w:val="24"/>
              </w:rPr>
              <w:t>消防设施标识。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51</w:t>
            </w:r>
          </w:p>
        </w:tc>
        <w:tc>
          <w:tcPr>
            <w:tcW w:w="718" w:type="dxa"/>
            <w:vMerge w:val="continue"/>
          </w:tcPr>
          <w:p>
            <w:pPr>
              <w:rPr>
                <w:rFonts w:cs="Times New Roman"/>
                <w:sz w:val="24"/>
                <w:szCs w:val="24"/>
              </w:rPr>
            </w:pPr>
          </w:p>
        </w:tc>
        <w:tc>
          <w:tcPr>
            <w:tcW w:w="5008" w:type="dxa"/>
            <w:vAlign w:val="center"/>
          </w:tcPr>
          <w:p>
            <w:pPr>
              <w:rPr>
                <w:rFonts w:cs="Times New Roman"/>
                <w:sz w:val="24"/>
                <w:szCs w:val="24"/>
              </w:rPr>
            </w:pPr>
            <w:r>
              <w:rPr>
                <w:rFonts w:hint="eastAsia"/>
                <w:sz w:val="24"/>
                <w:szCs w:val="24"/>
              </w:rPr>
              <w:t>危险场所标识。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52</w:t>
            </w:r>
          </w:p>
        </w:tc>
        <w:tc>
          <w:tcPr>
            <w:tcW w:w="718" w:type="dxa"/>
            <w:vMerge w:val="continue"/>
          </w:tcPr>
          <w:p>
            <w:pPr>
              <w:rPr>
                <w:rFonts w:cs="Times New Roman"/>
                <w:sz w:val="24"/>
                <w:szCs w:val="24"/>
              </w:rPr>
            </w:pPr>
          </w:p>
        </w:tc>
        <w:tc>
          <w:tcPr>
            <w:tcW w:w="5008" w:type="dxa"/>
            <w:vAlign w:val="center"/>
          </w:tcPr>
          <w:p>
            <w:pPr>
              <w:rPr>
                <w:rFonts w:cs="Times New Roman"/>
                <w:sz w:val="24"/>
                <w:szCs w:val="24"/>
              </w:rPr>
            </w:pPr>
            <w:r>
              <w:rPr>
                <w:rFonts w:hint="eastAsia"/>
                <w:sz w:val="24"/>
                <w:szCs w:val="24"/>
              </w:rPr>
              <w:t>消防安全疏散标识。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53</w:t>
            </w:r>
          </w:p>
        </w:tc>
        <w:tc>
          <w:tcPr>
            <w:tcW w:w="718" w:type="dxa"/>
            <w:vMerge w:val="continue"/>
          </w:tcPr>
          <w:p>
            <w:pPr>
              <w:rPr>
                <w:rFonts w:cs="Times New Roman"/>
                <w:sz w:val="24"/>
                <w:szCs w:val="24"/>
              </w:rPr>
            </w:pPr>
          </w:p>
        </w:tc>
        <w:tc>
          <w:tcPr>
            <w:tcW w:w="5008" w:type="dxa"/>
            <w:vAlign w:val="center"/>
          </w:tcPr>
          <w:p>
            <w:pPr>
              <w:rPr>
                <w:rFonts w:cs="Times New Roman"/>
                <w:sz w:val="24"/>
                <w:szCs w:val="24"/>
              </w:rPr>
            </w:pPr>
            <w:r>
              <w:rPr>
                <w:rFonts w:hint="eastAsia"/>
                <w:sz w:val="24"/>
                <w:szCs w:val="24"/>
              </w:rPr>
              <w:t>消防宣传标识。</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54</w:t>
            </w:r>
          </w:p>
        </w:tc>
        <w:tc>
          <w:tcPr>
            <w:tcW w:w="718" w:type="dxa"/>
            <w:vMerge w:val="restart"/>
            <w:vAlign w:val="center"/>
          </w:tcPr>
          <w:p>
            <w:pPr>
              <w:rPr>
                <w:rFonts w:cs="Times New Roman"/>
                <w:sz w:val="24"/>
                <w:szCs w:val="24"/>
              </w:rPr>
            </w:pPr>
            <w:r>
              <w:rPr>
                <w:rFonts w:hint="eastAsia"/>
                <w:sz w:val="24"/>
                <w:szCs w:val="24"/>
              </w:rPr>
              <w:t>消防标识维护管理</w:t>
            </w:r>
          </w:p>
        </w:tc>
        <w:tc>
          <w:tcPr>
            <w:tcW w:w="5008" w:type="dxa"/>
          </w:tcPr>
          <w:p>
            <w:pPr>
              <w:rPr>
                <w:rFonts w:cs="Times New Roman"/>
                <w:sz w:val="24"/>
                <w:szCs w:val="24"/>
              </w:rPr>
            </w:pPr>
            <w:r>
              <w:rPr>
                <w:rFonts w:hint="eastAsia"/>
                <w:sz w:val="24"/>
                <w:szCs w:val="24"/>
              </w:rPr>
              <w:t>单位应加强对消防标识的维护管理，如有破损、模糊、缺失的，应及时更换、翻新。</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55</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消防设施器材标识需要标明维护责任人、检查维护时间的，维护责任人变更及每次检查维护后，应及时更新。</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56</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国家标准及本标准对消防标识有规格、尺寸规定的，应按照规定制作；没有规定的，可由单位根据自身实际自行规定。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57</w:t>
            </w:r>
          </w:p>
        </w:tc>
        <w:tc>
          <w:tcPr>
            <w:tcW w:w="718" w:type="dxa"/>
            <w:vMerge w:val="restart"/>
            <w:vAlign w:val="center"/>
          </w:tcPr>
          <w:p>
            <w:pPr>
              <w:rPr>
                <w:rFonts w:cs="Times New Roman"/>
                <w:sz w:val="24"/>
                <w:szCs w:val="24"/>
              </w:rPr>
            </w:pPr>
            <w:r>
              <w:rPr>
                <w:rFonts w:hint="eastAsia"/>
                <w:sz w:val="24"/>
                <w:szCs w:val="24"/>
              </w:rPr>
              <w:t>消防安全培训</w:t>
            </w:r>
          </w:p>
        </w:tc>
        <w:tc>
          <w:tcPr>
            <w:tcW w:w="5008" w:type="dxa"/>
          </w:tcPr>
          <w:p>
            <w:pPr>
              <w:rPr>
                <w:rFonts w:cs="Times New Roman"/>
                <w:sz w:val="24"/>
                <w:szCs w:val="24"/>
              </w:rPr>
            </w:pPr>
            <w:r>
              <w:rPr>
                <w:rFonts w:hint="eastAsia"/>
                <w:sz w:val="24"/>
                <w:szCs w:val="24"/>
              </w:rPr>
              <w:t>单位对每名员工应当至少每年进行一次消防安全培训，人员密集场所对员工的消防安全培训应当至少每半年进行一次，培训的内容还应当包括组织、引导在场群众疏散的知识和技能。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58</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单位应当组织新上岗和进入新岗位的员工进行上岗前的消防安全培训。</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6" w:type="dxa"/>
            <w:vAlign w:val="center"/>
          </w:tcPr>
          <w:p>
            <w:pPr>
              <w:spacing w:line="280" w:lineRule="exact"/>
              <w:jc w:val="center"/>
              <w:rPr>
                <w:sz w:val="28"/>
                <w:szCs w:val="28"/>
              </w:rPr>
            </w:pPr>
            <w:r>
              <w:rPr>
                <w:sz w:val="28"/>
                <w:szCs w:val="28"/>
              </w:rPr>
              <w:t>59</w:t>
            </w:r>
          </w:p>
        </w:tc>
        <w:tc>
          <w:tcPr>
            <w:tcW w:w="718" w:type="dxa"/>
            <w:vMerge w:val="continue"/>
            <w:vAlign w:val="center"/>
          </w:tcPr>
          <w:p>
            <w:pPr>
              <w:rPr>
                <w:rFonts w:cs="Times New Roman"/>
                <w:sz w:val="24"/>
                <w:szCs w:val="24"/>
              </w:rPr>
            </w:pPr>
          </w:p>
        </w:tc>
        <w:tc>
          <w:tcPr>
            <w:tcW w:w="5008" w:type="dxa"/>
          </w:tcPr>
          <w:p>
            <w:pPr>
              <w:rPr>
                <w:rFonts w:cs="Times New Roman"/>
                <w:sz w:val="24"/>
                <w:szCs w:val="24"/>
              </w:rPr>
            </w:pPr>
            <w:r>
              <w:rPr>
                <w:rFonts w:hint="eastAsia"/>
                <w:sz w:val="24"/>
                <w:szCs w:val="24"/>
              </w:rPr>
              <w:t>消防控制室的值班、操作人员应当经公安消防机构培训合格后持证上岗，熟练掌握《消防控制室管理及应急程序》。电气焊工、电工、锅炉工、电梯维修工、仓库保管员等特殊工种人员要经有关部门培训合格后持证上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60</w:t>
            </w:r>
          </w:p>
        </w:tc>
        <w:tc>
          <w:tcPr>
            <w:tcW w:w="718" w:type="dxa"/>
            <w:vAlign w:val="center"/>
          </w:tcPr>
          <w:p>
            <w:pPr>
              <w:rPr>
                <w:rFonts w:cs="Times New Roman"/>
                <w:sz w:val="24"/>
                <w:szCs w:val="24"/>
              </w:rPr>
            </w:pPr>
            <w:r>
              <w:rPr>
                <w:rFonts w:hint="eastAsia"/>
                <w:sz w:val="24"/>
                <w:szCs w:val="24"/>
              </w:rPr>
              <w:t>建立健全消防档案</w:t>
            </w:r>
          </w:p>
        </w:tc>
        <w:tc>
          <w:tcPr>
            <w:tcW w:w="5008" w:type="dxa"/>
          </w:tcPr>
          <w:p>
            <w:pPr>
              <w:rPr>
                <w:rFonts w:cs="Times New Roman"/>
                <w:sz w:val="24"/>
                <w:szCs w:val="24"/>
              </w:rPr>
            </w:pPr>
            <w:r>
              <w:rPr>
                <w:rFonts w:hint="eastAsia"/>
                <w:sz w:val="24"/>
                <w:szCs w:val="24"/>
              </w:rPr>
              <w:t>消防档案包括消防安全基本情况和消防安全管理情况。消防档案应当详实，全面反映单位消防工作的基本情况，根据情况变化及时更新录入“户籍化”消防安全管理信息系统。</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19" w:type="dxa"/>
            <w:gridSpan w:val="6"/>
          </w:tcPr>
          <w:p>
            <w:pPr>
              <w:rPr>
                <w:rFonts w:cs="Times New Roman"/>
                <w:sz w:val="24"/>
                <w:szCs w:val="24"/>
              </w:rPr>
            </w:pPr>
            <w:r>
              <w:rPr>
                <w:rFonts w:hint="eastAsia"/>
                <w:sz w:val="24"/>
                <w:szCs w:val="24"/>
              </w:rPr>
              <w:t>注：人员密集公共场所包括：</w:t>
            </w:r>
            <w:r>
              <w:rPr>
                <w:rFonts w:cs="Times New Roman"/>
                <w:sz w:val="24"/>
                <w:szCs w:val="24"/>
              </w:rPr>
              <w:br w:type="textWrapping"/>
            </w:r>
            <w:r>
              <w:rPr>
                <w:rFonts w:hint="eastAsia"/>
                <w:sz w:val="24"/>
                <w:szCs w:val="24"/>
              </w:rPr>
              <w:t>（</w:t>
            </w:r>
            <w:r>
              <w:rPr>
                <w:sz w:val="24"/>
                <w:szCs w:val="24"/>
              </w:rPr>
              <w:t>1</w:t>
            </w:r>
            <w:r>
              <w:rPr>
                <w:rFonts w:hint="eastAsia"/>
                <w:sz w:val="24"/>
                <w:szCs w:val="24"/>
              </w:rPr>
              <w:t>）宾馆、饭店、商场、集贸市场、体育场所、会堂、公共娱乐场所等公众聚集场所；</w:t>
            </w:r>
            <w:r>
              <w:rPr>
                <w:rFonts w:cs="Times New Roman"/>
                <w:sz w:val="24"/>
                <w:szCs w:val="24"/>
              </w:rPr>
              <w:br w:type="textWrapping"/>
            </w:r>
            <w:r>
              <w:rPr>
                <w:rFonts w:hint="eastAsia"/>
                <w:sz w:val="24"/>
                <w:szCs w:val="24"/>
              </w:rPr>
              <w:t>（</w:t>
            </w:r>
            <w:r>
              <w:rPr>
                <w:sz w:val="24"/>
                <w:szCs w:val="24"/>
              </w:rPr>
              <w:t>2</w:t>
            </w:r>
            <w:r>
              <w:rPr>
                <w:rFonts w:hint="eastAsia"/>
                <w:sz w:val="24"/>
                <w:szCs w:val="24"/>
              </w:rPr>
              <w:t>）医院、病房楼、学校的教学楼、图书馆、集体宿舍、养老院、托儿所、幼儿园；</w:t>
            </w:r>
            <w:r>
              <w:rPr>
                <w:rFonts w:cs="Times New Roman"/>
                <w:sz w:val="24"/>
                <w:szCs w:val="24"/>
              </w:rPr>
              <w:br w:type="textWrapping"/>
            </w:r>
            <w:r>
              <w:rPr>
                <w:rFonts w:hint="eastAsia"/>
                <w:sz w:val="24"/>
                <w:szCs w:val="24"/>
              </w:rPr>
              <w:t>（</w:t>
            </w:r>
            <w:r>
              <w:rPr>
                <w:sz w:val="24"/>
                <w:szCs w:val="24"/>
              </w:rPr>
              <w:t>3</w:t>
            </w:r>
            <w:r>
              <w:rPr>
                <w:rFonts w:hint="eastAsia"/>
                <w:sz w:val="24"/>
                <w:szCs w:val="24"/>
              </w:rPr>
              <w:t>）客运车站、码头、民用机场的候机楼（厅）；</w:t>
            </w:r>
            <w:r>
              <w:rPr>
                <w:rFonts w:cs="Times New Roman"/>
                <w:sz w:val="24"/>
                <w:szCs w:val="24"/>
              </w:rPr>
              <w:br w:type="textWrapping"/>
            </w:r>
            <w:r>
              <w:rPr>
                <w:rFonts w:hint="eastAsia"/>
                <w:sz w:val="24"/>
                <w:szCs w:val="24"/>
              </w:rPr>
              <w:t>（</w:t>
            </w:r>
            <w:r>
              <w:rPr>
                <w:sz w:val="24"/>
                <w:szCs w:val="24"/>
              </w:rPr>
              <w:t>4</w:t>
            </w:r>
            <w:r>
              <w:rPr>
                <w:rFonts w:hint="eastAsia"/>
                <w:sz w:val="24"/>
                <w:szCs w:val="24"/>
              </w:rPr>
              <w:t>）公共图书馆的阅览室，公共展览馆的展览厅；</w:t>
            </w:r>
            <w:r>
              <w:rPr>
                <w:rFonts w:cs="Times New Roman"/>
                <w:sz w:val="24"/>
                <w:szCs w:val="24"/>
              </w:rPr>
              <w:br w:type="textWrapping"/>
            </w:r>
            <w:r>
              <w:rPr>
                <w:rFonts w:hint="eastAsia"/>
                <w:sz w:val="24"/>
                <w:szCs w:val="24"/>
              </w:rPr>
              <w:t>（</w:t>
            </w:r>
            <w:r>
              <w:rPr>
                <w:sz w:val="24"/>
                <w:szCs w:val="24"/>
              </w:rPr>
              <w:t>5</w:t>
            </w:r>
            <w:r>
              <w:rPr>
                <w:rFonts w:hint="eastAsia"/>
                <w:sz w:val="24"/>
                <w:szCs w:val="24"/>
              </w:rPr>
              <w:t>）劳动密集型企业的生产加工车间、员工集体宿舍。</w:t>
            </w:r>
          </w:p>
        </w:tc>
      </w:tr>
    </w:tbl>
    <w:p>
      <w:pPr>
        <w:spacing w:line="400" w:lineRule="exact"/>
        <w:rPr>
          <w:rFonts w:cs="Times New Roman"/>
          <w:sz w:val="28"/>
          <w:szCs w:val="28"/>
        </w:rPr>
      </w:pPr>
    </w:p>
    <w:p>
      <w:pPr>
        <w:spacing w:line="400" w:lineRule="exact"/>
        <w:rPr>
          <w:rFonts w:cs="Times New Roman"/>
          <w:sz w:val="28"/>
          <w:szCs w:val="28"/>
        </w:rPr>
      </w:pPr>
      <w:r>
        <w:rPr>
          <w:rFonts w:hint="eastAsia"/>
          <w:sz w:val="28"/>
          <w:szCs w:val="28"/>
        </w:rPr>
        <w:t>监督检查单位：</w:t>
      </w:r>
    </w:p>
    <w:p>
      <w:pPr>
        <w:rPr>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pPr>
        <w:spacing w:line="560" w:lineRule="exact"/>
        <w:jc w:val="center"/>
        <w:rPr>
          <w:rFonts w:cs="Times New Roman"/>
          <w:b/>
          <w:bCs/>
          <w:sz w:val="32"/>
          <w:szCs w:val="32"/>
        </w:rPr>
      </w:pPr>
    </w:p>
    <w:p>
      <w:pPr>
        <w:spacing w:line="560" w:lineRule="exact"/>
        <w:jc w:val="center"/>
        <w:rPr>
          <w:rFonts w:cs="Times New Roman"/>
          <w:b/>
          <w:bCs/>
          <w:sz w:val="24"/>
          <w:szCs w:val="24"/>
        </w:rPr>
      </w:pPr>
      <w:r>
        <w:rPr>
          <w:rFonts w:hint="eastAsia"/>
          <w:b/>
          <w:bCs/>
          <w:sz w:val="32"/>
          <w:szCs w:val="32"/>
          <w:lang w:eastAsia="zh-CN"/>
        </w:rPr>
        <w:t>八</w:t>
      </w:r>
      <w:r>
        <w:rPr>
          <w:rFonts w:hint="eastAsia"/>
          <w:b/>
          <w:bCs/>
          <w:sz w:val="32"/>
          <w:szCs w:val="32"/>
        </w:rPr>
        <w:t>、混凝土搅拌站企业安全检查清单</w:t>
      </w:r>
    </w:p>
    <w:p>
      <w:pPr>
        <w:spacing w:line="54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8"/>
        <w:gridCol w:w="5217"/>
        <w:gridCol w:w="537"/>
        <w:gridCol w:w="5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line="280" w:lineRule="exact"/>
              <w:rPr>
                <w:rFonts w:cs="Times New Roman"/>
                <w:sz w:val="24"/>
                <w:szCs w:val="24"/>
              </w:rPr>
            </w:pPr>
            <w:r>
              <w:rPr>
                <w:rFonts w:hint="eastAsia"/>
                <w:sz w:val="24"/>
                <w:szCs w:val="24"/>
              </w:rPr>
              <w:t>序号</w:t>
            </w:r>
          </w:p>
        </w:tc>
        <w:tc>
          <w:tcPr>
            <w:tcW w:w="928" w:type="dxa"/>
            <w:vMerge w:val="restart"/>
            <w:vAlign w:val="center"/>
          </w:tcPr>
          <w:p>
            <w:pPr>
              <w:spacing w:line="280" w:lineRule="exact"/>
              <w:jc w:val="center"/>
              <w:rPr>
                <w:rFonts w:cs="Times New Roman"/>
                <w:sz w:val="24"/>
                <w:szCs w:val="24"/>
              </w:rPr>
            </w:pPr>
            <w:r>
              <w:rPr>
                <w:rFonts w:hint="eastAsia"/>
                <w:sz w:val="24"/>
                <w:szCs w:val="24"/>
              </w:rPr>
              <w:t>检查类别</w:t>
            </w:r>
          </w:p>
        </w:tc>
        <w:tc>
          <w:tcPr>
            <w:tcW w:w="5217" w:type="dxa"/>
            <w:vMerge w:val="restart"/>
            <w:vAlign w:val="center"/>
          </w:tcPr>
          <w:p>
            <w:pPr>
              <w:spacing w:line="280" w:lineRule="exact"/>
              <w:jc w:val="center"/>
              <w:rPr>
                <w:rFonts w:cs="Times New Roman"/>
                <w:sz w:val="28"/>
                <w:szCs w:val="28"/>
              </w:rPr>
            </w:pPr>
            <w:r>
              <w:rPr>
                <w:rFonts w:hint="eastAsia"/>
                <w:sz w:val="28"/>
                <w:szCs w:val="28"/>
              </w:rPr>
              <w:t>检查标准要求</w:t>
            </w:r>
          </w:p>
        </w:tc>
        <w:tc>
          <w:tcPr>
            <w:tcW w:w="1064" w:type="dxa"/>
            <w:gridSpan w:val="2"/>
            <w:vAlign w:val="center"/>
          </w:tcPr>
          <w:p>
            <w:pPr>
              <w:spacing w:line="280" w:lineRule="exact"/>
              <w:ind w:right="-112" w:rightChars="-51"/>
              <w:jc w:val="center"/>
              <w:rPr>
                <w:rFonts w:cs="Times New Roman"/>
                <w:sz w:val="24"/>
                <w:szCs w:val="24"/>
              </w:rPr>
            </w:pPr>
            <w:r>
              <w:rPr>
                <w:rFonts w:hint="eastAsia"/>
                <w:sz w:val="24"/>
                <w:szCs w:val="24"/>
              </w:rPr>
              <w:t>检查</w:t>
            </w:r>
          </w:p>
          <w:p>
            <w:pPr>
              <w:spacing w:line="280" w:lineRule="exact"/>
              <w:ind w:right="-112" w:rightChars="-51"/>
              <w:jc w:val="center"/>
              <w:rPr>
                <w:rFonts w:cs="Times New Roman"/>
                <w:sz w:val="24"/>
                <w:szCs w:val="24"/>
              </w:rPr>
            </w:pPr>
            <w:r>
              <w:rPr>
                <w:rFonts w:hint="eastAsia"/>
                <w:sz w:val="24"/>
                <w:szCs w:val="24"/>
              </w:rPr>
              <w:t>结果</w:t>
            </w:r>
          </w:p>
        </w:tc>
        <w:tc>
          <w:tcPr>
            <w:tcW w:w="1595" w:type="dxa"/>
            <w:vMerge w:val="restart"/>
            <w:vAlign w:val="center"/>
          </w:tcPr>
          <w:p>
            <w:pPr>
              <w:spacing w:line="280" w:lineRule="exact"/>
              <w:ind w:left="-277" w:leftChars="-126"/>
              <w:jc w:val="center"/>
              <w:rPr>
                <w:rFonts w:cs="Times New Roman"/>
                <w:sz w:val="28"/>
                <w:szCs w:val="28"/>
              </w:rPr>
            </w:pP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vAlign w:val="center"/>
          </w:tcPr>
          <w:p>
            <w:pPr>
              <w:widowControl/>
              <w:spacing w:line="280" w:lineRule="exact"/>
              <w:rPr>
                <w:rFonts w:cs="Times New Roman"/>
                <w:sz w:val="24"/>
                <w:szCs w:val="24"/>
              </w:rPr>
            </w:pPr>
          </w:p>
        </w:tc>
        <w:tc>
          <w:tcPr>
            <w:tcW w:w="928" w:type="dxa"/>
            <w:vMerge w:val="continue"/>
            <w:vAlign w:val="center"/>
          </w:tcPr>
          <w:p>
            <w:pPr>
              <w:widowControl/>
              <w:spacing w:line="280" w:lineRule="exact"/>
              <w:rPr>
                <w:rFonts w:cs="Times New Roman"/>
                <w:sz w:val="24"/>
                <w:szCs w:val="24"/>
              </w:rPr>
            </w:pPr>
          </w:p>
        </w:tc>
        <w:tc>
          <w:tcPr>
            <w:tcW w:w="5217" w:type="dxa"/>
            <w:vMerge w:val="continue"/>
            <w:vAlign w:val="center"/>
          </w:tcPr>
          <w:p>
            <w:pPr>
              <w:widowControl/>
              <w:spacing w:line="280" w:lineRule="exact"/>
              <w:rPr>
                <w:rFonts w:cs="Times New Roman"/>
                <w:sz w:val="28"/>
                <w:szCs w:val="28"/>
              </w:rPr>
            </w:pPr>
          </w:p>
        </w:tc>
        <w:tc>
          <w:tcPr>
            <w:tcW w:w="537" w:type="dxa"/>
            <w:vAlign w:val="center"/>
          </w:tcPr>
          <w:p>
            <w:pPr>
              <w:spacing w:line="280" w:lineRule="exact"/>
              <w:rPr>
                <w:rFonts w:cs="Times New Roman"/>
                <w:sz w:val="24"/>
                <w:szCs w:val="24"/>
              </w:rPr>
            </w:pPr>
            <w:r>
              <w:rPr>
                <w:rFonts w:hint="eastAsia"/>
                <w:sz w:val="24"/>
                <w:szCs w:val="24"/>
              </w:rPr>
              <w:t>是</w:t>
            </w:r>
          </w:p>
        </w:tc>
        <w:tc>
          <w:tcPr>
            <w:tcW w:w="527" w:type="dxa"/>
            <w:vAlign w:val="center"/>
          </w:tcPr>
          <w:p>
            <w:pPr>
              <w:spacing w:line="280" w:lineRule="exact"/>
              <w:rPr>
                <w:rFonts w:cs="Times New Roman"/>
                <w:sz w:val="24"/>
                <w:szCs w:val="24"/>
              </w:rPr>
            </w:pPr>
            <w:r>
              <w:rPr>
                <w:rFonts w:hint="eastAsia"/>
                <w:sz w:val="24"/>
                <w:szCs w:val="24"/>
              </w:rPr>
              <w:t>否</w:t>
            </w:r>
          </w:p>
        </w:tc>
        <w:tc>
          <w:tcPr>
            <w:tcW w:w="1595" w:type="dxa"/>
            <w:vMerge w:val="continue"/>
            <w:vAlign w:val="center"/>
          </w:tcPr>
          <w:p>
            <w:pPr>
              <w:widowControl/>
              <w:spacing w:line="280" w:lineRule="exact"/>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6" w:type="dxa"/>
            <w:vAlign w:val="center"/>
          </w:tcPr>
          <w:p>
            <w:pPr>
              <w:spacing w:line="280" w:lineRule="exact"/>
              <w:rPr>
                <w:sz w:val="28"/>
                <w:szCs w:val="28"/>
              </w:rPr>
            </w:pPr>
            <w:r>
              <w:rPr>
                <w:sz w:val="28"/>
                <w:szCs w:val="28"/>
              </w:rPr>
              <w:t>1</w:t>
            </w:r>
          </w:p>
        </w:tc>
        <w:tc>
          <w:tcPr>
            <w:tcW w:w="928" w:type="dxa"/>
            <w:vMerge w:val="restart"/>
            <w:vAlign w:val="center"/>
          </w:tcPr>
          <w:p>
            <w:pPr>
              <w:spacing w:line="280" w:lineRule="exact"/>
              <w:jc w:val="center"/>
              <w:rPr>
                <w:rFonts w:cs="Times New Roman"/>
                <w:sz w:val="24"/>
                <w:szCs w:val="24"/>
              </w:rPr>
            </w:pPr>
            <w:r>
              <w:rPr>
                <w:rFonts w:hint="eastAsia"/>
                <w:sz w:val="24"/>
                <w:szCs w:val="24"/>
              </w:rPr>
              <w:t>安全机构与</w:t>
            </w:r>
          </w:p>
          <w:p>
            <w:pPr>
              <w:spacing w:line="280" w:lineRule="exact"/>
              <w:jc w:val="center"/>
              <w:rPr>
                <w:rFonts w:cs="Times New Roman"/>
                <w:sz w:val="24"/>
                <w:szCs w:val="24"/>
              </w:rPr>
            </w:pPr>
            <w:r>
              <w:rPr>
                <w:rFonts w:hint="eastAsia"/>
                <w:sz w:val="24"/>
                <w:szCs w:val="24"/>
              </w:rPr>
              <w:t>人员</w:t>
            </w:r>
          </w:p>
        </w:tc>
        <w:tc>
          <w:tcPr>
            <w:tcW w:w="5217" w:type="dxa"/>
            <w:vAlign w:val="center"/>
          </w:tcPr>
          <w:p>
            <w:pPr>
              <w:spacing w:line="280" w:lineRule="exact"/>
              <w:rPr>
                <w:rFonts w:cs="Times New Roman"/>
                <w:sz w:val="24"/>
                <w:szCs w:val="24"/>
              </w:rPr>
            </w:pPr>
            <w:r>
              <w:rPr>
                <w:rFonts w:hint="eastAsia"/>
                <w:sz w:val="24"/>
                <w:szCs w:val="24"/>
              </w:rPr>
              <w:t>按规定设置安全生产管理机构，配备安全生产管理人员。</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2</w:t>
            </w:r>
          </w:p>
        </w:tc>
        <w:tc>
          <w:tcPr>
            <w:tcW w:w="928" w:type="dxa"/>
            <w:vMerge w:val="continue"/>
            <w:vAlign w:val="center"/>
          </w:tcPr>
          <w:p>
            <w:pPr>
              <w:widowControl/>
              <w:spacing w:line="28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企业主要负责人和安全生产管理人员，按规定参加培训考核合格。</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dxa"/>
            <w:vAlign w:val="center"/>
          </w:tcPr>
          <w:p>
            <w:pPr>
              <w:spacing w:line="280" w:lineRule="exact"/>
              <w:rPr>
                <w:sz w:val="28"/>
                <w:szCs w:val="28"/>
              </w:rPr>
            </w:pPr>
            <w:r>
              <w:rPr>
                <w:sz w:val="28"/>
                <w:szCs w:val="28"/>
              </w:rPr>
              <w:t>3</w:t>
            </w:r>
          </w:p>
        </w:tc>
        <w:tc>
          <w:tcPr>
            <w:tcW w:w="928" w:type="dxa"/>
            <w:vMerge w:val="restart"/>
            <w:vAlign w:val="center"/>
          </w:tcPr>
          <w:p>
            <w:pPr>
              <w:spacing w:line="280" w:lineRule="exact"/>
              <w:jc w:val="center"/>
              <w:rPr>
                <w:rFonts w:cs="Times New Roman"/>
                <w:sz w:val="24"/>
                <w:szCs w:val="24"/>
              </w:rPr>
            </w:pPr>
            <w:r>
              <w:rPr>
                <w:rFonts w:hint="eastAsia"/>
                <w:sz w:val="24"/>
                <w:szCs w:val="24"/>
              </w:rPr>
              <w:t>安全制度责任制与规程</w:t>
            </w:r>
          </w:p>
        </w:tc>
        <w:tc>
          <w:tcPr>
            <w:tcW w:w="5217" w:type="dxa"/>
            <w:vAlign w:val="center"/>
          </w:tcPr>
          <w:p>
            <w:pPr>
              <w:spacing w:line="280" w:lineRule="exact"/>
              <w:rPr>
                <w:rFonts w:cs="Times New Roman"/>
                <w:sz w:val="24"/>
                <w:szCs w:val="24"/>
              </w:rPr>
            </w:pPr>
            <w:r>
              <w:rPr>
                <w:rFonts w:hint="eastAsia"/>
                <w:sz w:val="24"/>
                <w:szCs w:val="24"/>
              </w:rPr>
              <w:t>建立和发布健全的安全生产规章制度。</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6" w:type="dxa"/>
            <w:vAlign w:val="center"/>
          </w:tcPr>
          <w:p>
            <w:pPr>
              <w:spacing w:line="280" w:lineRule="exact"/>
              <w:rPr>
                <w:sz w:val="28"/>
                <w:szCs w:val="28"/>
              </w:rPr>
            </w:pPr>
            <w:r>
              <w:rPr>
                <w:sz w:val="28"/>
                <w:szCs w:val="28"/>
              </w:rPr>
              <w:t>4</w:t>
            </w:r>
          </w:p>
        </w:tc>
        <w:tc>
          <w:tcPr>
            <w:tcW w:w="928" w:type="dxa"/>
            <w:vMerge w:val="continue"/>
            <w:vAlign w:val="center"/>
          </w:tcPr>
          <w:p>
            <w:pPr>
              <w:widowControl/>
              <w:spacing w:line="28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制定各部门、岗位安全责任制，逐级签订安全生产责任书，明确安全生产职责。</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6" w:type="dxa"/>
            <w:vAlign w:val="center"/>
          </w:tcPr>
          <w:p>
            <w:pPr>
              <w:spacing w:line="280" w:lineRule="exact"/>
              <w:rPr>
                <w:sz w:val="28"/>
                <w:szCs w:val="28"/>
              </w:rPr>
            </w:pPr>
            <w:r>
              <w:rPr>
                <w:sz w:val="28"/>
                <w:szCs w:val="28"/>
              </w:rPr>
              <w:t>5</w:t>
            </w:r>
          </w:p>
        </w:tc>
        <w:tc>
          <w:tcPr>
            <w:tcW w:w="928" w:type="dxa"/>
            <w:vMerge w:val="continue"/>
            <w:vAlign w:val="center"/>
          </w:tcPr>
          <w:p>
            <w:pPr>
              <w:widowControl/>
              <w:spacing w:line="28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建立、健全所有工种的岗位安全操作规程。</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6</w:t>
            </w:r>
          </w:p>
        </w:tc>
        <w:tc>
          <w:tcPr>
            <w:tcW w:w="928" w:type="dxa"/>
            <w:vMerge w:val="restart"/>
            <w:vAlign w:val="center"/>
          </w:tcPr>
          <w:p>
            <w:pPr>
              <w:spacing w:line="280" w:lineRule="exact"/>
              <w:jc w:val="center"/>
              <w:rPr>
                <w:rFonts w:cs="Times New Roman"/>
                <w:sz w:val="24"/>
                <w:szCs w:val="24"/>
              </w:rPr>
            </w:pPr>
            <w:r>
              <w:rPr>
                <w:rFonts w:hint="eastAsia"/>
                <w:sz w:val="24"/>
                <w:szCs w:val="24"/>
              </w:rPr>
              <w:t>安全教育培训</w:t>
            </w:r>
          </w:p>
        </w:tc>
        <w:tc>
          <w:tcPr>
            <w:tcW w:w="5217" w:type="dxa"/>
            <w:vAlign w:val="center"/>
          </w:tcPr>
          <w:p>
            <w:pPr>
              <w:spacing w:line="280" w:lineRule="exact"/>
              <w:rPr>
                <w:rFonts w:cs="Times New Roman"/>
                <w:sz w:val="24"/>
                <w:szCs w:val="24"/>
              </w:rPr>
            </w:pPr>
            <w:r>
              <w:rPr>
                <w:rFonts w:hint="eastAsia"/>
                <w:sz w:val="24"/>
                <w:szCs w:val="24"/>
              </w:rPr>
              <w:t>对新员工进行三级安全教育，对转岗人员及时进行岗前培训，培训合格后上岗作业。</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7</w:t>
            </w:r>
          </w:p>
        </w:tc>
        <w:tc>
          <w:tcPr>
            <w:tcW w:w="928" w:type="dxa"/>
            <w:vMerge w:val="continue"/>
            <w:vAlign w:val="center"/>
          </w:tcPr>
          <w:p>
            <w:pPr>
              <w:widowControl/>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定期召开安全生产工作会议，从业人员每年按规定进行再教育。</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96" w:type="dxa"/>
            <w:vAlign w:val="center"/>
          </w:tcPr>
          <w:p>
            <w:pPr>
              <w:spacing w:line="280" w:lineRule="exact"/>
              <w:rPr>
                <w:sz w:val="28"/>
                <w:szCs w:val="28"/>
              </w:rPr>
            </w:pPr>
            <w:r>
              <w:rPr>
                <w:sz w:val="28"/>
                <w:szCs w:val="28"/>
              </w:rPr>
              <w:t>8</w:t>
            </w:r>
          </w:p>
        </w:tc>
        <w:tc>
          <w:tcPr>
            <w:tcW w:w="928" w:type="dxa"/>
            <w:vMerge w:val="continue"/>
            <w:vAlign w:val="center"/>
          </w:tcPr>
          <w:p>
            <w:pPr>
              <w:widowControl/>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建立安全生产教育和培训档案，如实记录安全生产教育和培训的时间、内容及考核结果等</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96" w:type="dxa"/>
            <w:vAlign w:val="center"/>
          </w:tcPr>
          <w:p>
            <w:pPr>
              <w:spacing w:line="280" w:lineRule="exact"/>
              <w:rPr>
                <w:sz w:val="28"/>
                <w:szCs w:val="28"/>
              </w:rPr>
            </w:pPr>
            <w:r>
              <w:rPr>
                <w:sz w:val="28"/>
                <w:szCs w:val="28"/>
              </w:rPr>
              <w:t>9</w:t>
            </w:r>
          </w:p>
        </w:tc>
        <w:tc>
          <w:tcPr>
            <w:tcW w:w="928" w:type="dxa"/>
            <w:vMerge w:val="restart"/>
            <w:vAlign w:val="center"/>
          </w:tcPr>
          <w:p>
            <w:pPr>
              <w:spacing w:line="280" w:lineRule="exact"/>
              <w:jc w:val="center"/>
              <w:rPr>
                <w:rFonts w:cs="Times New Roman"/>
                <w:sz w:val="24"/>
                <w:szCs w:val="24"/>
              </w:rPr>
            </w:pPr>
            <w:r>
              <w:rPr>
                <w:rFonts w:hint="eastAsia"/>
                <w:sz w:val="24"/>
                <w:szCs w:val="24"/>
              </w:rPr>
              <w:t>作业安全</w:t>
            </w:r>
          </w:p>
        </w:tc>
        <w:tc>
          <w:tcPr>
            <w:tcW w:w="5217" w:type="dxa"/>
            <w:vAlign w:val="center"/>
          </w:tcPr>
          <w:p>
            <w:pPr>
              <w:spacing w:line="280" w:lineRule="exact"/>
              <w:rPr>
                <w:rFonts w:cs="Times New Roman"/>
                <w:sz w:val="24"/>
                <w:szCs w:val="24"/>
              </w:rPr>
            </w:pPr>
            <w:r>
              <w:rPr>
                <w:rFonts w:hint="eastAsia"/>
                <w:sz w:val="24"/>
                <w:szCs w:val="24"/>
              </w:rPr>
              <w:t>对进入受限空间作业、临时用电作业、高处作业、起重作业、设备检维修作业、断路作业等危险性作业活动实施作业许可管理，严格履行审批手续，落实安全防范措施。</w:t>
            </w:r>
          </w:p>
        </w:tc>
        <w:tc>
          <w:tcPr>
            <w:tcW w:w="537" w:type="dxa"/>
            <w:vMerge w:val="restart"/>
            <w:vAlign w:val="center"/>
          </w:tcPr>
          <w:p>
            <w:pPr>
              <w:spacing w:line="280" w:lineRule="exact"/>
              <w:rPr>
                <w:rFonts w:cs="Times New Roman"/>
                <w:sz w:val="24"/>
                <w:szCs w:val="24"/>
              </w:rPr>
            </w:pPr>
          </w:p>
        </w:tc>
        <w:tc>
          <w:tcPr>
            <w:tcW w:w="527" w:type="dxa"/>
            <w:vMerge w:val="restart"/>
            <w:vAlign w:val="center"/>
          </w:tcPr>
          <w:p>
            <w:pPr>
              <w:spacing w:line="280" w:lineRule="exact"/>
              <w:rPr>
                <w:rFonts w:cs="Times New Roman"/>
                <w:sz w:val="24"/>
                <w:szCs w:val="24"/>
              </w:rPr>
            </w:pPr>
          </w:p>
        </w:tc>
        <w:tc>
          <w:tcPr>
            <w:tcW w:w="1595" w:type="dxa"/>
            <w:vMerge w:val="restart"/>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96" w:type="dxa"/>
            <w:vAlign w:val="center"/>
          </w:tcPr>
          <w:p>
            <w:pPr>
              <w:spacing w:line="280" w:lineRule="exact"/>
              <w:rPr>
                <w:sz w:val="28"/>
                <w:szCs w:val="28"/>
              </w:rPr>
            </w:pPr>
            <w:r>
              <w:rPr>
                <w:sz w:val="28"/>
                <w:szCs w:val="28"/>
              </w:rPr>
              <w:t>10</w:t>
            </w:r>
          </w:p>
        </w:tc>
        <w:tc>
          <w:tcPr>
            <w:tcW w:w="928" w:type="dxa"/>
            <w:vMerge w:val="continue"/>
            <w:vAlign w:val="center"/>
          </w:tcPr>
          <w:p>
            <w:pPr>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按有关规定，在厂内道路设置限速、限高、禁行等标志；在检维修、施工、吊装等作业现场设置警戒区域和安全标志。</w:t>
            </w:r>
          </w:p>
        </w:tc>
        <w:tc>
          <w:tcPr>
            <w:tcW w:w="537" w:type="dxa"/>
            <w:vMerge w:val="continue"/>
            <w:vAlign w:val="center"/>
          </w:tcPr>
          <w:p>
            <w:pPr>
              <w:spacing w:line="280" w:lineRule="exact"/>
              <w:rPr>
                <w:rFonts w:cs="Times New Roman"/>
                <w:sz w:val="24"/>
                <w:szCs w:val="24"/>
              </w:rPr>
            </w:pPr>
          </w:p>
        </w:tc>
        <w:tc>
          <w:tcPr>
            <w:tcW w:w="527" w:type="dxa"/>
            <w:vMerge w:val="continue"/>
            <w:vAlign w:val="center"/>
          </w:tcPr>
          <w:p>
            <w:pPr>
              <w:spacing w:line="280" w:lineRule="exact"/>
              <w:rPr>
                <w:rFonts w:cs="Times New Roman"/>
                <w:sz w:val="24"/>
                <w:szCs w:val="24"/>
              </w:rPr>
            </w:pPr>
          </w:p>
        </w:tc>
        <w:tc>
          <w:tcPr>
            <w:tcW w:w="1595" w:type="dxa"/>
            <w:vMerge w:val="continue"/>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6" w:type="dxa"/>
            <w:vAlign w:val="center"/>
          </w:tcPr>
          <w:p>
            <w:pPr>
              <w:spacing w:line="280" w:lineRule="exact"/>
              <w:rPr>
                <w:sz w:val="28"/>
                <w:szCs w:val="28"/>
              </w:rPr>
            </w:pPr>
            <w:r>
              <w:rPr>
                <w:sz w:val="28"/>
                <w:szCs w:val="28"/>
              </w:rPr>
              <w:t>11</w:t>
            </w:r>
          </w:p>
        </w:tc>
        <w:tc>
          <w:tcPr>
            <w:tcW w:w="928" w:type="dxa"/>
            <w:vMerge w:val="restart"/>
            <w:vAlign w:val="center"/>
          </w:tcPr>
          <w:p>
            <w:pPr>
              <w:spacing w:line="280" w:lineRule="exact"/>
              <w:jc w:val="center"/>
              <w:rPr>
                <w:rFonts w:cs="Times New Roman"/>
                <w:sz w:val="24"/>
                <w:szCs w:val="24"/>
              </w:rPr>
            </w:pPr>
            <w:r>
              <w:rPr>
                <w:rFonts w:hint="eastAsia"/>
                <w:sz w:val="24"/>
                <w:szCs w:val="24"/>
              </w:rPr>
              <w:t>从业人员管理</w:t>
            </w:r>
          </w:p>
        </w:tc>
        <w:tc>
          <w:tcPr>
            <w:tcW w:w="5217" w:type="dxa"/>
            <w:vAlign w:val="center"/>
          </w:tcPr>
          <w:p>
            <w:pPr>
              <w:spacing w:line="280" w:lineRule="exact"/>
              <w:rPr>
                <w:rFonts w:cs="Times New Roman"/>
                <w:sz w:val="24"/>
                <w:szCs w:val="24"/>
              </w:rPr>
            </w:pPr>
            <w:r>
              <w:rPr>
                <w:rFonts w:hint="eastAsia"/>
                <w:sz w:val="24"/>
                <w:szCs w:val="24"/>
              </w:rPr>
              <w:t>驾驶员、特种作业人员及其它从业人员取得与从事的岗位相适应的资质证书，持证上岗。</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6" w:type="dxa"/>
            <w:vAlign w:val="center"/>
          </w:tcPr>
          <w:p>
            <w:pPr>
              <w:spacing w:line="280" w:lineRule="exact"/>
              <w:rPr>
                <w:sz w:val="28"/>
                <w:szCs w:val="28"/>
              </w:rPr>
            </w:pPr>
            <w:r>
              <w:rPr>
                <w:sz w:val="28"/>
                <w:szCs w:val="28"/>
              </w:rPr>
              <w:t>12</w:t>
            </w:r>
          </w:p>
        </w:tc>
        <w:tc>
          <w:tcPr>
            <w:tcW w:w="928" w:type="dxa"/>
            <w:vMerge w:val="continue"/>
            <w:vAlign w:val="center"/>
          </w:tcPr>
          <w:p>
            <w:pPr>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建立特种作业人员档案和台账。</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96" w:type="dxa"/>
            <w:vAlign w:val="center"/>
          </w:tcPr>
          <w:p>
            <w:pPr>
              <w:spacing w:line="280" w:lineRule="exact"/>
              <w:rPr>
                <w:sz w:val="28"/>
                <w:szCs w:val="28"/>
              </w:rPr>
            </w:pPr>
            <w:r>
              <w:rPr>
                <w:sz w:val="28"/>
                <w:szCs w:val="28"/>
              </w:rPr>
              <w:t>13</w:t>
            </w:r>
          </w:p>
        </w:tc>
        <w:tc>
          <w:tcPr>
            <w:tcW w:w="928" w:type="dxa"/>
            <w:vMerge w:val="continue"/>
            <w:vAlign w:val="center"/>
          </w:tcPr>
          <w:p>
            <w:pPr>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依法参加工伤社会保险，为从业人员缴纳工伤保险费。</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14</w:t>
            </w:r>
          </w:p>
        </w:tc>
        <w:tc>
          <w:tcPr>
            <w:tcW w:w="928" w:type="dxa"/>
            <w:vMerge w:val="restart"/>
            <w:vAlign w:val="center"/>
          </w:tcPr>
          <w:p>
            <w:pPr>
              <w:spacing w:line="280" w:lineRule="exact"/>
              <w:jc w:val="center"/>
              <w:rPr>
                <w:rFonts w:cs="Times New Roman"/>
                <w:sz w:val="24"/>
                <w:szCs w:val="24"/>
              </w:rPr>
            </w:pPr>
            <w:r>
              <w:rPr>
                <w:rFonts w:hint="eastAsia"/>
                <w:sz w:val="24"/>
                <w:szCs w:val="24"/>
              </w:rPr>
              <w:t>设备管理</w:t>
            </w:r>
          </w:p>
        </w:tc>
        <w:tc>
          <w:tcPr>
            <w:tcW w:w="5217" w:type="dxa"/>
            <w:vAlign w:val="center"/>
          </w:tcPr>
          <w:p>
            <w:pPr>
              <w:spacing w:line="280" w:lineRule="exact"/>
              <w:rPr>
                <w:rFonts w:cs="Times New Roman"/>
                <w:sz w:val="24"/>
                <w:szCs w:val="24"/>
              </w:rPr>
            </w:pPr>
            <w:r>
              <w:rPr>
                <w:rFonts w:hint="eastAsia"/>
                <w:sz w:val="24"/>
                <w:szCs w:val="24"/>
              </w:rPr>
              <w:t>运输车辆：持有效《机动车行驶证》按时年检；建立并落实车辆安全检查制度，做好车辆检查工作，及时发现并排除车辆故障；建立并妥善保管车辆技术档案，相关内容记载及时、完整、准确、规范，做到一车一档。</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496" w:type="dxa"/>
            <w:vAlign w:val="center"/>
          </w:tcPr>
          <w:p>
            <w:pPr>
              <w:spacing w:line="280" w:lineRule="exact"/>
              <w:rPr>
                <w:sz w:val="28"/>
                <w:szCs w:val="28"/>
              </w:rPr>
            </w:pPr>
            <w:r>
              <w:rPr>
                <w:sz w:val="28"/>
                <w:szCs w:val="28"/>
              </w:rPr>
              <w:t>15</w:t>
            </w:r>
          </w:p>
        </w:tc>
        <w:tc>
          <w:tcPr>
            <w:tcW w:w="928" w:type="dxa"/>
            <w:vMerge w:val="continue"/>
            <w:vAlign w:val="center"/>
          </w:tcPr>
          <w:p>
            <w:pPr>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sz w:val="24"/>
                <w:szCs w:val="24"/>
              </w:rPr>
              <w:t xml:space="preserve"> </w:t>
            </w:r>
            <w:r>
              <w:rPr>
                <w:rFonts w:hint="eastAsia"/>
                <w:sz w:val="24"/>
                <w:szCs w:val="24"/>
              </w:rPr>
              <w:t>装载机械：机械传动部位防护装置齐全可靠，制动、保护、联锁、安全保险装置齐全可靠；通道、梯台、护网（栏）符合标准规定，所有启动和停止装置应有明显标志并易于接近，并有必要的预警信号；给料或转运料斗及料槽开口位置设防护装置，在无安全措施的条件下严禁人工疏通，严禁输送设施设备运行时进行维护调整、人体接近或触摸运转的部位。</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bl>
    <w:p>
      <w:pPr>
        <w:spacing w:line="280" w:lineRule="exact"/>
        <w:rPr>
          <w:rFonts w:cs="Times New Roman"/>
          <w:sz w:val="28"/>
          <w:szCs w:val="28"/>
        </w:rPr>
      </w:pPr>
    </w:p>
    <w:p>
      <w:pPr>
        <w:spacing w:line="560" w:lineRule="exact"/>
        <w:jc w:val="center"/>
        <w:rPr>
          <w:rFonts w:cs="Times New Roman"/>
          <w:b/>
          <w:bCs/>
          <w:sz w:val="24"/>
          <w:szCs w:val="24"/>
        </w:rPr>
      </w:pPr>
      <w:r>
        <w:rPr>
          <w:rFonts w:hint="eastAsia"/>
          <w:b/>
          <w:bCs/>
          <w:sz w:val="32"/>
          <w:szCs w:val="32"/>
          <w:lang w:eastAsia="zh-CN"/>
        </w:rPr>
        <w:t>八</w:t>
      </w:r>
      <w:r>
        <w:rPr>
          <w:rFonts w:hint="eastAsia"/>
          <w:b/>
          <w:bCs/>
          <w:sz w:val="32"/>
          <w:szCs w:val="32"/>
        </w:rPr>
        <w:t>、混凝土搅拌站企业安全检查清单</w:t>
      </w:r>
      <w:r>
        <w:rPr>
          <w:rFonts w:hint="eastAsia"/>
          <w:sz w:val="32"/>
          <w:szCs w:val="32"/>
        </w:rPr>
        <w:t>（续）</w:t>
      </w:r>
    </w:p>
    <w:p>
      <w:pPr>
        <w:spacing w:line="540" w:lineRule="exact"/>
        <w:rPr>
          <w:rFonts w:cs="Times New Roman"/>
          <w:b/>
          <w:bCs/>
          <w:sz w:val="18"/>
          <w:szCs w:val="18"/>
        </w:rPr>
      </w:pPr>
    </w:p>
    <w:tbl>
      <w:tblPr>
        <w:tblStyle w:val="5"/>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8"/>
        <w:gridCol w:w="5217"/>
        <w:gridCol w:w="537"/>
        <w:gridCol w:w="5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line="280" w:lineRule="exact"/>
              <w:rPr>
                <w:rFonts w:cs="Times New Roman"/>
                <w:sz w:val="24"/>
                <w:szCs w:val="24"/>
              </w:rPr>
            </w:pPr>
            <w:r>
              <w:rPr>
                <w:rFonts w:hint="eastAsia"/>
                <w:sz w:val="24"/>
                <w:szCs w:val="24"/>
              </w:rPr>
              <w:t>序号</w:t>
            </w:r>
          </w:p>
        </w:tc>
        <w:tc>
          <w:tcPr>
            <w:tcW w:w="928" w:type="dxa"/>
            <w:vMerge w:val="restart"/>
            <w:vAlign w:val="center"/>
          </w:tcPr>
          <w:p>
            <w:pPr>
              <w:spacing w:line="280" w:lineRule="exact"/>
              <w:jc w:val="center"/>
              <w:rPr>
                <w:rFonts w:cs="Times New Roman"/>
                <w:sz w:val="24"/>
                <w:szCs w:val="24"/>
              </w:rPr>
            </w:pPr>
            <w:r>
              <w:rPr>
                <w:rFonts w:hint="eastAsia"/>
                <w:sz w:val="24"/>
                <w:szCs w:val="24"/>
              </w:rPr>
              <w:t>检查类别</w:t>
            </w:r>
          </w:p>
        </w:tc>
        <w:tc>
          <w:tcPr>
            <w:tcW w:w="5217" w:type="dxa"/>
            <w:vMerge w:val="restart"/>
            <w:vAlign w:val="center"/>
          </w:tcPr>
          <w:p>
            <w:pPr>
              <w:spacing w:line="280" w:lineRule="exact"/>
              <w:jc w:val="center"/>
              <w:rPr>
                <w:rFonts w:cs="Times New Roman"/>
                <w:sz w:val="28"/>
                <w:szCs w:val="28"/>
              </w:rPr>
            </w:pPr>
            <w:r>
              <w:rPr>
                <w:rFonts w:hint="eastAsia"/>
                <w:sz w:val="28"/>
                <w:szCs w:val="28"/>
              </w:rPr>
              <w:t>检查标准要求</w:t>
            </w:r>
          </w:p>
        </w:tc>
        <w:tc>
          <w:tcPr>
            <w:tcW w:w="1064" w:type="dxa"/>
            <w:gridSpan w:val="2"/>
            <w:vAlign w:val="center"/>
          </w:tcPr>
          <w:p>
            <w:pPr>
              <w:spacing w:line="280" w:lineRule="exact"/>
              <w:ind w:right="-112" w:rightChars="-51"/>
              <w:jc w:val="center"/>
              <w:rPr>
                <w:rFonts w:cs="Times New Roman"/>
                <w:sz w:val="24"/>
                <w:szCs w:val="24"/>
              </w:rPr>
            </w:pPr>
            <w:r>
              <w:rPr>
                <w:rFonts w:hint="eastAsia"/>
                <w:sz w:val="24"/>
                <w:szCs w:val="24"/>
              </w:rPr>
              <w:t>检查</w:t>
            </w:r>
          </w:p>
          <w:p>
            <w:pPr>
              <w:spacing w:line="280" w:lineRule="exact"/>
              <w:ind w:right="-112" w:rightChars="-51"/>
              <w:jc w:val="center"/>
              <w:rPr>
                <w:rFonts w:cs="Times New Roman"/>
                <w:sz w:val="24"/>
                <w:szCs w:val="24"/>
              </w:rPr>
            </w:pPr>
            <w:r>
              <w:rPr>
                <w:rFonts w:hint="eastAsia"/>
                <w:sz w:val="24"/>
                <w:szCs w:val="24"/>
              </w:rPr>
              <w:t>结果</w:t>
            </w:r>
          </w:p>
        </w:tc>
        <w:tc>
          <w:tcPr>
            <w:tcW w:w="1595" w:type="dxa"/>
            <w:vMerge w:val="restart"/>
            <w:vAlign w:val="center"/>
          </w:tcPr>
          <w:p>
            <w:pPr>
              <w:spacing w:line="280" w:lineRule="exact"/>
              <w:ind w:left="-277" w:leftChars="-126"/>
              <w:jc w:val="center"/>
              <w:rPr>
                <w:rFonts w:cs="Times New Roman"/>
                <w:sz w:val="28"/>
                <w:szCs w:val="28"/>
              </w:rPr>
            </w:pP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vAlign w:val="center"/>
          </w:tcPr>
          <w:p>
            <w:pPr>
              <w:widowControl/>
              <w:spacing w:line="280" w:lineRule="exact"/>
              <w:rPr>
                <w:rFonts w:cs="Times New Roman"/>
                <w:sz w:val="24"/>
                <w:szCs w:val="24"/>
              </w:rPr>
            </w:pPr>
          </w:p>
        </w:tc>
        <w:tc>
          <w:tcPr>
            <w:tcW w:w="928" w:type="dxa"/>
            <w:vMerge w:val="continue"/>
            <w:vAlign w:val="center"/>
          </w:tcPr>
          <w:p>
            <w:pPr>
              <w:widowControl/>
              <w:spacing w:line="280" w:lineRule="exact"/>
              <w:rPr>
                <w:rFonts w:cs="Times New Roman"/>
                <w:sz w:val="24"/>
                <w:szCs w:val="24"/>
              </w:rPr>
            </w:pPr>
          </w:p>
        </w:tc>
        <w:tc>
          <w:tcPr>
            <w:tcW w:w="5217" w:type="dxa"/>
            <w:vMerge w:val="continue"/>
            <w:vAlign w:val="center"/>
          </w:tcPr>
          <w:p>
            <w:pPr>
              <w:widowControl/>
              <w:spacing w:line="280" w:lineRule="exact"/>
              <w:rPr>
                <w:rFonts w:cs="Times New Roman"/>
                <w:sz w:val="28"/>
                <w:szCs w:val="28"/>
              </w:rPr>
            </w:pPr>
          </w:p>
        </w:tc>
        <w:tc>
          <w:tcPr>
            <w:tcW w:w="537" w:type="dxa"/>
            <w:vAlign w:val="center"/>
          </w:tcPr>
          <w:p>
            <w:pPr>
              <w:spacing w:line="280" w:lineRule="exact"/>
              <w:rPr>
                <w:rFonts w:cs="Times New Roman"/>
                <w:sz w:val="24"/>
                <w:szCs w:val="24"/>
              </w:rPr>
            </w:pPr>
            <w:r>
              <w:rPr>
                <w:rFonts w:hint="eastAsia"/>
                <w:sz w:val="24"/>
                <w:szCs w:val="24"/>
              </w:rPr>
              <w:t>是</w:t>
            </w:r>
          </w:p>
        </w:tc>
        <w:tc>
          <w:tcPr>
            <w:tcW w:w="527" w:type="dxa"/>
            <w:vAlign w:val="center"/>
          </w:tcPr>
          <w:p>
            <w:pPr>
              <w:spacing w:line="280" w:lineRule="exact"/>
              <w:rPr>
                <w:rFonts w:cs="Times New Roman"/>
                <w:sz w:val="24"/>
                <w:szCs w:val="24"/>
              </w:rPr>
            </w:pPr>
            <w:r>
              <w:rPr>
                <w:rFonts w:hint="eastAsia"/>
                <w:sz w:val="24"/>
                <w:szCs w:val="24"/>
              </w:rPr>
              <w:t>否</w:t>
            </w:r>
          </w:p>
        </w:tc>
        <w:tc>
          <w:tcPr>
            <w:tcW w:w="1595" w:type="dxa"/>
            <w:vMerge w:val="continue"/>
            <w:vAlign w:val="center"/>
          </w:tcPr>
          <w:p>
            <w:pPr>
              <w:widowControl/>
              <w:spacing w:line="280" w:lineRule="exact"/>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6" w:type="dxa"/>
            <w:vAlign w:val="center"/>
          </w:tcPr>
          <w:p>
            <w:pPr>
              <w:spacing w:line="280" w:lineRule="exact"/>
              <w:rPr>
                <w:sz w:val="28"/>
                <w:szCs w:val="28"/>
              </w:rPr>
            </w:pPr>
            <w:r>
              <w:rPr>
                <w:sz w:val="28"/>
                <w:szCs w:val="28"/>
              </w:rPr>
              <w:t>16</w:t>
            </w:r>
          </w:p>
        </w:tc>
        <w:tc>
          <w:tcPr>
            <w:tcW w:w="928" w:type="dxa"/>
            <w:vAlign w:val="center"/>
          </w:tcPr>
          <w:p>
            <w:pPr>
              <w:spacing w:line="280" w:lineRule="exact"/>
              <w:jc w:val="center"/>
              <w:rPr>
                <w:rFonts w:cs="Times New Roman"/>
                <w:sz w:val="24"/>
                <w:szCs w:val="24"/>
              </w:rPr>
            </w:pPr>
            <w:r>
              <w:rPr>
                <w:rFonts w:hint="eastAsia"/>
                <w:sz w:val="24"/>
                <w:szCs w:val="24"/>
              </w:rPr>
              <w:t>设备管理</w:t>
            </w:r>
          </w:p>
        </w:tc>
        <w:tc>
          <w:tcPr>
            <w:tcW w:w="5217" w:type="dxa"/>
            <w:vAlign w:val="center"/>
          </w:tcPr>
          <w:p>
            <w:pPr>
              <w:spacing w:line="280" w:lineRule="exact"/>
              <w:rPr>
                <w:rFonts w:cs="Times New Roman"/>
                <w:sz w:val="24"/>
                <w:szCs w:val="24"/>
              </w:rPr>
            </w:pPr>
            <w:r>
              <w:rPr>
                <w:rFonts w:hint="eastAsia"/>
                <w:sz w:val="24"/>
                <w:szCs w:val="24"/>
              </w:rPr>
              <w:t>输送机械：传动部位防护装置齐全可靠，给料或料斗开口在无安全措施的条件下严禁人工疏通；输送、传送机械传动部位防护装置（防护罩或者防护栏）齐全可靠，严禁输送运行时进行维护调整、人体接近或触摸运转的部位；所有启动和停止装置应有明显标志并易于接近，有自动控制系统的应在现场设置手自动切换开关。</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dxa"/>
            <w:vAlign w:val="center"/>
          </w:tcPr>
          <w:p>
            <w:pPr>
              <w:spacing w:line="280" w:lineRule="exact"/>
              <w:rPr>
                <w:sz w:val="28"/>
                <w:szCs w:val="28"/>
              </w:rPr>
            </w:pPr>
            <w:r>
              <w:rPr>
                <w:sz w:val="28"/>
                <w:szCs w:val="28"/>
              </w:rPr>
              <w:t>17</w:t>
            </w:r>
          </w:p>
        </w:tc>
        <w:tc>
          <w:tcPr>
            <w:tcW w:w="928" w:type="dxa"/>
            <w:vMerge w:val="restart"/>
            <w:vAlign w:val="center"/>
          </w:tcPr>
          <w:p>
            <w:pPr>
              <w:spacing w:line="280" w:lineRule="exact"/>
              <w:jc w:val="center"/>
              <w:rPr>
                <w:rFonts w:cs="Times New Roman"/>
                <w:sz w:val="24"/>
                <w:szCs w:val="24"/>
              </w:rPr>
            </w:pPr>
            <w:r>
              <w:rPr>
                <w:rFonts w:hint="eastAsia"/>
                <w:sz w:val="24"/>
                <w:szCs w:val="24"/>
              </w:rPr>
              <w:t>隐患排查</w:t>
            </w:r>
          </w:p>
          <w:p>
            <w:pPr>
              <w:spacing w:line="280" w:lineRule="exact"/>
              <w:jc w:val="center"/>
              <w:rPr>
                <w:rFonts w:cs="Times New Roman"/>
                <w:sz w:val="24"/>
                <w:szCs w:val="24"/>
              </w:rPr>
            </w:pPr>
            <w:r>
              <w:rPr>
                <w:rFonts w:hint="eastAsia"/>
                <w:sz w:val="24"/>
                <w:szCs w:val="24"/>
              </w:rPr>
              <w:t>治理</w:t>
            </w:r>
          </w:p>
        </w:tc>
        <w:tc>
          <w:tcPr>
            <w:tcW w:w="5217" w:type="dxa"/>
            <w:vAlign w:val="center"/>
          </w:tcPr>
          <w:p>
            <w:pPr>
              <w:spacing w:line="280" w:lineRule="exact"/>
              <w:rPr>
                <w:rFonts w:cs="Times New Roman"/>
                <w:sz w:val="24"/>
                <w:szCs w:val="24"/>
              </w:rPr>
            </w:pPr>
            <w:r>
              <w:rPr>
                <w:rFonts w:hint="eastAsia"/>
                <w:sz w:val="24"/>
                <w:szCs w:val="24"/>
              </w:rPr>
              <w:t>制定隐患排查治理工作方案，企业每月至少组织一次安全检查。</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6" w:type="dxa"/>
            <w:vAlign w:val="center"/>
          </w:tcPr>
          <w:p>
            <w:pPr>
              <w:spacing w:line="280" w:lineRule="exact"/>
              <w:rPr>
                <w:sz w:val="28"/>
                <w:szCs w:val="28"/>
              </w:rPr>
            </w:pPr>
            <w:r>
              <w:rPr>
                <w:sz w:val="28"/>
                <w:szCs w:val="28"/>
              </w:rPr>
              <w:t>18</w:t>
            </w:r>
          </w:p>
        </w:tc>
        <w:tc>
          <w:tcPr>
            <w:tcW w:w="928" w:type="dxa"/>
            <w:vMerge w:val="continue"/>
            <w:vAlign w:val="center"/>
          </w:tcPr>
          <w:p>
            <w:pPr>
              <w:widowControl/>
              <w:spacing w:line="28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对自查出的隐患及上级检查指出的隐患，要及时组织整改到位。</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6" w:type="dxa"/>
            <w:vAlign w:val="center"/>
          </w:tcPr>
          <w:p>
            <w:pPr>
              <w:spacing w:line="280" w:lineRule="exact"/>
              <w:rPr>
                <w:sz w:val="28"/>
                <w:szCs w:val="28"/>
              </w:rPr>
            </w:pPr>
            <w:r>
              <w:rPr>
                <w:sz w:val="28"/>
                <w:szCs w:val="28"/>
              </w:rPr>
              <w:t>19</w:t>
            </w:r>
          </w:p>
        </w:tc>
        <w:tc>
          <w:tcPr>
            <w:tcW w:w="928" w:type="dxa"/>
            <w:vMerge w:val="continue"/>
            <w:vAlign w:val="center"/>
          </w:tcPr>
          <w:p>
            <w:pPr>
              <w:widowControl/>
              <w:spacing w:line="280" w:lineRule="exact"/>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隐患排查治理情况应当如实记录，建立台账</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20</w:t>
            </w:r>
          </w:p>
        </w:tc>
        <w:tc>
          <w:tcPr>
            <w:tcW w:w="928" w:type="dxa"/>
            <w:vMerge w:val="restart"/>
            <w:vAlign w:val="center"/>
          </w:tcPr>
          <w:p>
            <w:pPr>
              <w:spacing w:line="280" w:lineRule="exact"/>
              <w:jc w:val="center"/>
              <w:rPr>
                <w:rFonts w:cs="Times New Roman"/>
                <w:sz w:val="24"/>
                <w:szCs w:val="24"/>
              </w:rPr>
            </w:pPr>
            <w:r>
              <w:rPr>
                <w:rFonts w:hint="eastAsia"/>
                <w:sz w:val="24"/>
                <w:szCs w:val="24"/>
              </w:rPr>
              <w:t>应急救援</w:t>
            </w:r>
          </w:p>
        </w:tc>
        <w:tc>
          <w:tcPr>
            <w:tcW w:w="5217" w:type="dxa"/>
            <w:vAlign w:val="center"/>
          </w:tcPr>
          <w:p>
            <w:pPr>
              <w:spacing w:line="280" w:lineRule="exact"/>
              <w:rPr>
                <w:rFonts w:cs="Times New Roman"/>
                <w:sz w:val="24"/>
                <w:szCs w:val="24"/>
              </w:rPr>
            </w:pPr>
            <w:r>
              <w:rPr>
                <w:rFonts w:hint="eastAsia"/>
                <w:sz w:val="24"/>
                <w:szCs w:val="24"/>
              </w:rPr>
              <w:t>针对潜在的事件和突发事故，制定相应的事故应急救援预案，建立应急救援队伍，配备相应的应急救援装备、物资。</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280" w:lineRule="exact"/>
              <w:rPr>
                <w:sz w:val="28"/>
                <w:szCs w:val="28"/>
              </w:rPr>
            </w:pPr>
            <w:r>
              <w:rPr>
                <w:sz w:val="28"/>
                <w:szCs w:val="28"/>
              </w:rPr>
              <w:t>21</w:t>
            </w:r>
          </w:p>
        </w:tc>
        <w:tc>
          <w:tcPr>
            <w:tcW w:w="928" w:type="dxa"/>
            <w:vMerge w:val="continue"/>
            <w:vAlign w:val="center"/>
          </w:tcPr>
          <w:p>
            <w:pPr>
              <w:widowControl/>
              <w:spacing w:line="280" w:lineRule="exact"/>
              <w:jc w:val="center"/>
              <w:rPr>
                <w:rFonts w:cs="Times New Roman"/>
                <w:sz w:val="24"/>
                <w:szCs w:val="24"/>
              </w:rPr>
            </w:pPr>
          </w:p>
        </w:tc>
        <w:tc>
          <w:tcPr>
            <w:tcW w:w="5217" w:type="dxa"/>
            <w:vAlign w:val="center"/>
          </w:tcPr>
          <w:p>
            <w:pPr>
              <w:spacing w:line="280" w:lineRule="exact"/>
              <w:rPr>
                <w:rFonts w:cs="Times New Roman"/>
                <w:sz w:val="24"/>
                <w:szCs w:val="24"/>
              </w:rPr>
            </w:pPr>
            <w:r>
              <w:rPr>
                <w:rFonts w:hint="eastAsia"/>
                <w:sz w:val="24"/>
                <w:szCs w:val="24"/>
              </w:rPr>
              <w:t>应组织从业人员进行应急救援预案的培训，定期演练，评价演练效果，评价应急救援预案的充分性和有效性，并形成记录；针对演练发现的问题对应急预案进行评审、修改。</w:t>
            </w:r>
          </w:p>
        </w:tc>
        <w:tc>
          <w:tcPr>
            <w:tcW w:w="537" w:type="dxa"/>
            <w:vAlign w:val="center"/>
          </w:tcPr>
          <w:p>
            <w:pPr>
              <w:spacing w:line="280" w:lineRule="exact"/>
              <w:rPr>
                <w:rFonts w:cs="Times New Roman"/>
                <w:sz w:val="24"/>
                <w:szCs w:val="24"/>
              </w:rPr>
            </w:pPr>
          </w:p>
        </w:tc>
        <w:tc>
          <w:tcPr>
            <w:tcW w:w="527" w:type="dxa"/>
            <w:vAlign w:val="center"/>
          </w:tcPr>
          <w:p>
            <w:pPr>
              <w:spacing w:line="280" w:lineRule="exact"/>
              <w:rPr>
                <w:rFonts w:cs="Times New Roman"/>
                <w:sz w:val="24"/>
                <w:szCs w:val="24"/>
              </w:rPr>
            </w:pPr>
          </w:p>
        </w:tc>
        <w:tc>
          <w:tcPr>
            <w:tcW w:w="1595" w:type="dxa"/>
            <w:vAlign w:val="center"/>
          </w:tcPr>
          <w:p>
            <w:pPr>
              <w:spacing w:line="280" w:lineRule="exact"/>
              <w:rPr>
                <w:rFonts w:cs="Times New Roman"/>
                <w:sz w:val="24"/>
                <w:szCs w:val="24"/>
              </w:rPr>
            </w:pPr>
          </w:p>
        </w:tc>
      </w:tr>
    </w:tbl>
    <w:p>
      <w:pPr>
        <w:spacing w:line="280" w:lineRule="exact"/>
        <w:rPr>
          <w:rFonts w:cs="Times New Roman"/>
          <w:sz w:val="28"/>
          <w:szCs w:val="28"/>
        </w:rPr>
      </w:pPr>
    </w:p>
    <w:p>
      <w:pPr>
        <w:spacing w:line="540" w:lineRule="exact"/>
        <w:rPr>
          <w:rFonts w:cs="Times New Roman"/>
          <w:sz w:val="28"/>
          <w:szCs w:val="28"/>
        </w:rPr>
      </w:pPr>
      <w:r>
        <w:rPr>
          <w:rFonts w:hint="eastAsia"/>
          <w:sz w:val="28"/>
          <w:szCs w:val="28"/>
        </w:rPr>
        <w:t>监督检查单位：</w:t>
      </w:r>
    </w:p>
    <w:p>
      <w:pPr>
        <w:spacing w:line="54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spacing w:line="560" w:lineRule="exact"/>
        <w:rPr>
          <w:rFonts w:cs="Times New Roman"/>
          <w:b/>
          <w:bCs/>
          <w:sz w:val="32"/>
          <w:szCs w:val="32"/>
        </w:rPr>
      </w:pPr>
    </w:p>
    <w:p>
      <w:pPr>
        <w:rPr>
          <w:rFonts w:cs="Times New Roman"/>
          <w:sz w:val="28"/>
          <w:szCs w:val="28"/>
        </w:rPr>
      </w:pPr>
    </w:p>
    <w:p>
      <w:pPr>
        <w:spacing w:line="560" w:lineRule="exact"/>
        <w:jc w:val="center"/>
        <w:rPr>
          <w:rFonts w:cs="Times New Roman"/>
          <w:b/>
          <w:bCs/>
          <w:sz w:val="18"/>
          <w:szCs w:val="18"/>
        </w:rPr>
      </w:pPr>
      <w:r>
        <w:rPr>
          <w:rFonts w:hint="eastAsia"/>
          <w:b/>
          <w:bCs/>
          <w:sz w:val="32"/>
          <w:szCs w:val="32"/>
          <w:lang w:eastAsia="zh-CN"/>
        </w:rPr>
        <w:t>九</w:t>
      </w:r>
      <w:r>
        <w:rPr>
          <w:rFonts w:hint="eastAsia"/>
          <w:b/>
          <w:bCs/>
          <w:sz w:val="32"/>
          <w:szCs w:val="32"/>
        </w:rPr>
        <w:t>、有限空间作业安全检查清单</w:t>
      </w:r>
    </w:p>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126"/>
        <w:gridCol w:w="600"/>
        <w:gridCol w:w="54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126" w:type="dxa"/>
            <w:vMerge w:val="restart"/>
          </w:tcPr>
          <w:p>
            <w:pPr>
              <w:spacing w:line="460" w:lineRule="exact"/>
              <w:jc w:val="center"/>
              <w:rPr>
                <w:rFonts w:cs="Times New Roman"/>
                <w:sz w:val="28"/>
                <w:szCs w:val="28"/>
              </w:rPr>
            </w:pPr>
            <w:r>
              <w:rPr>
                <w:rFonts w:hint="eastAsia"/>
                <w:sz w:val="28"/>
                <w:szCs w:val="28"/>
              </w:rPr>
              <w:t>检查标准要求</w:t>
            </w:r>
          </w:p>
        </w:tc>
        <w:tc>
          <w:tcPr>
            <w:tcW w:w="1140"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639"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126" w:type="dxa"/>
            <w:vMerge w:val="continue"/>
          </w:tcPr>
          <w:p>
            <w:pPr>
              <w:rPr>
                <w:rFonts w:cs="Times New Roman"/>
                <w:sz w:val="24"/>
                <w:szCs w:val="24"/>
              </w:rPr>
            </w:pPr>
          </w:p>
        </w:tc>
        <w:tc>
          <w:tcPr>
            <w:tcW w:w="600"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639"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1</w:t>
            </w:r>
          </w:p>
        </w:tc>
        <w:tc>
          <w:tcPr>
            <w:tcW w:w="718" w:type="dxa"/>
            <w:vAlign w:val="center"/>
          </w:tcPr>
          <w:p>
            <w:pPr>
              <w:jc w:val="center"/>
              <w:rPr>
                <w:rFonts w:cs="Times New Roman"/>
                <w:sz w:val="24"/>
                <w:szCs w:val="24"/>
              </w:rPr>
            </w:pPr>
            <w:r>
              <w:rPr>
                <w:rFonts w:hint="eastAsia"/>
                <w:sz w:val="24"/>
                <w:szCs w:val="24"/>
              </w:rPr>
              <w:t>制度和规程</w:t>
            </w:r>
          </w:p>
        </w:tc>
        <w:tc>
          <w:tcPr>
            <w:tcW w:w="5126" w:type="dxa"/>
          </w:tcPr>
          <w:p>
            <w:pPr>
              <w:rPr>
                <w:rFonts w:cs="Times New Roman"/>
                <w:sz w:val="24"/>
                <w:szCs w:val="24"/>
              </w:rPr>
            </w:pPr>
            <w:r>
              <w:rPr>
                <w:rFonts w:hint="eastAsia"/>
                <w:sz w:val="24"/>
                <w:szCs w:val="24"/>
              </w:rPr>
              <w:t>存在有限空间作业的企业应当建立下列安全制度和规程：（</w:t>
            </w:r>
            <w:r>
              <w:rPr>
                <w:sz w:val="24"/>
                <w:szCs w:val="24"/>
              </w:rPr>
              <w:t>1</w:t>
            </w:r>
            <w:r>
              <w:rPr>
                <w:rFonts w:hint="eastAsia"/>
                <w:sz w:val="24"/>
                <w:szCs w:val="24"/>
              </w:rPr>
              <w:t>）有限空间作业安全责任制度；（</w:t>
            </w:r>
            <w:r>
              <w:rPr>
                <w:sz w:val="24"/>
                <w:szCs w:val="24"/>
              </w:rPr>
              <w:t>2</w:t>
            </w:r>
            <w:r>
              <w:rPr>
                <w:rFonts w:hint="eastAsia"/>
                <w:sz w:val="24"/>
                <w:szCs w:val="24"/>
              </w:rPr>
              <w:t>）作业审批制度；（</w:t>
            </w:r>
            <w:r>
              <w:rPr>
                <w:sz w:val="24"/>
                <w:szCs w:val="24"/>
              </w:rPr>
              <w:t>3</w:t>
            </w:r>
            <w:r>
              <w:rPr>
                <w:rFonts w:hint="eastAsia"/>
                <w:sz w:val="24"/>
                <w:szCs w:val="24"/>
              </w:rPr>
              <w:t>）作业现场安全管理制度；（</w:t>
            </w:r>
            <w:r>
              <w:rPr>
                <w:sz w:val="24"/>
                <w:szCs w:val="24"/>
              </w:rPr>
              <w:t>4</w:t>
            </w:r>
            <w:r>
              <w:rPr>
                <w:rFonts w:hint="eastAsia"/>
                <w:sz w:val="24"/>
                <w:szCs w:val="24"/>
              </w:rPr>
              <w:t>）作业现场负责人、监护人员、作业人员、应急救援人员安全培训教育制度；（</w:t>
            </w:r>
            <w:r>
              <w:rPr>
                <w:sz w:val="24"/>
                <w:szCs w:val="24"/>
              </w:rPr>
              <w:t>5</w:t>
            </w:r>
            <w:r>
              <w:rPr>
                <w:rFonts w:hint="eastAsia"/>
                <w:sz w:val="24"/>
                <w:szCs w:val="24"/>
              </w:rPr>
              <w:t>）作业应急管理制度；（</w:t>
            </w:r>
            <w:r>
              <w:rPr>
                <w:sz w:val="24"/>
                <w:szCs w:val="24"/>
              </w:rPr>
              <w:t>6</w:t>
            </w:r>
            <w:r>
              <w:rPr>
                <w:rFonts w:hint="eastAsia"/>
                <w:sz w:val="24"/>
                <w:szCs w:val="24"/>
              </w:rPr>
              <w:t>）作业安全操作规程。</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96" w:type="dxa"/>
            <w:vAlign w:val="center"/>
          </w:tcPr>
          <w:p>
            <w:pPr>
              <w:spacing w:line="280" w:lineRule="exact"/>
              <w:jc w:val="center"/>
              <w:rPr>
                <w:sz w:val="28"/>
                <w:szCs w:val="28"/>
              </w:rPr>
            </w:pPr>
            <w:r>
              <w:rPr>
                <w:sz w:val="28"/>
                <w:szCs w:val="28"/>
              </w:rPr>
              <w:t>2</w:t>
            </w:r>
          </w:p>
        </w:tc>
        <w:tc>
          <w:tcPr>
            <w:tcW w:w="718" w:type="dxa"/>
            <w:vAlign w:val="center"/>
          </w:tcPr>
          <w:p>
            <w:pPr>
              <w:jc w:val="center"/>
              <w:rPr>
                <w:rFonts w:cs="Times New Roman"/>
                <w:sz w:val="24"/>
                <w:szCs w:val="24"/>
              </w:rPr>
            </w:pPr>
            <w:r>
              <w:rPr>
                <w:rFonts w:hint="eastAsia"/>
                <w:sz w:val="24"/>
                <w:szCs w:val="24"/>
              </w:rPr>
              <w:t>培训教育</w:t>
            </w:r>
          </w:p>
        </w:tc>
        <w:tc>
          <w:tcPr>
            <w:tcW w:w="5126" w:type="dxa"/>
          </w:tcPr>
          <w:p>
            <w:pPr>
              <w:rPr>
                <w:sz w:val="24"/>
                <w:szCs w:val="24"/>
              </w:rPr>
            </w:pPr>
            <w:r>
              <w:rPr>
                <w:rFonts w:hint="eastAsia"/>
                <w:sz w:val="24"/>
                <w:szCs w:val="24"/>
              </w:rPr>
              <w:t>应当对从事有限空间作业的现场负责人、监护人员、作业人员、应急救援人员进行专项安全培训。培训应当包括</w:t>
            </w:r>
            <w:r>
              <w:rPr>
                <w:sz w:val="24"/>
                <w:szCs w:val="24"/>
              </w:rPr>
              <w:t>:</w:t>
            </w:r>
            <w:r>
              <w:rPr>
                <w:rFonts w:hint="eastAsia"/>
                <w:sz w:val="24"/>
                <w:szCs w:val="24"/>
              </w:rPr>
              <w:t>（</w:t>
            </w:r>
            <w:r>
              <w:rPr>
                <w:sz w:val="24"/>
                <w:szCs w:val="24"/>
              </w:rPr>
              <w:t>1</w:t>
            </w:r>
            <w:r>
              <w:rPr>
                <w:rFonts w:hint="eastAsia"/>
                <w:sz w:val="24"/>
                <w:szCs w:val="24"/>
              </w:rPr>
              <w:t>）作业的危险有害因素和安全防范措施；（</w:t>
            </w:r>
            <w:r>
              <w:rPr>
                <w:sz w:val="24"/>
                <w:szCs w:val="24"/>
              </w:rPr>
              <w:t>2</w:t>
            </w:r>
            <w:r>
              <w:rPr>
                <w:rFonts w:hint="eastAsia"/>
                <w:sz w:val="24"/>
                <w:szCs w:val="24"/>
              </w:rPr>
              <w:t>）作业的安全操作规程；（</w:t>
            </w:r>
            <w:r>
              <w:rPr>
                <w:sz w:val="24"/>
                <w:szCs w:val="24"/>
              </w:rPr>
              <w:t>3</w:t>
            </w:r>
            <w:r>
              <w:rPr>
                <w:rFonts w:hint="eastAsia"/>
                <w:sz w:val="24"/>
                <w:szCs w:val="24"/>
              </w:rPr>
              <w:t>）检测仪器、劳动防护用品的正确使用；（</w:t>
            </w:r>
            <w:r>
              <w:rPr>
                <w:sz w:val="24"/>
                <w:szCs w:val="24"/>
              </w:rPr>
              <w:t>4</w:t>
            </w:r>
            <w:r>
              <w:rPr>
                <w:rFonts w:hint="eastAsia"/>
                <w:sz w:val="24"/>
                <w:szCs w:val="24"/>
              </w:rPr>
              <w:t>）紧急情况下的应急处置措施。</w:t>
            </w:r>
            <w:r>
              <w:rPr>
                <w:sz w:val="24"/>
                <w:szCs w:val="24"/>
              </w:rPr>
              <w:t xml:space="preserve"> </w:t>
            </w:r>
          </w:p>
          <w:p>
            <w:pPr>
              <w:rPr>
                <w:rFonts w:cs="Times New Roman"/>
                <w:sz w:val="24"/>
                <w:szCs w:val="24"/>
              </w:rPr>
            </w:pPr>
            <w:r>
              <w:rPr>
                <w:rFonts w:hint="eastAsia"/>
                <w:sz w:val="24"/>
                <w:szCs w:val="24"/>
              </w:rPr>
              <w:t>培训应有专门记录，并由参培人员签字确认。</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3</w:t>
            </w:r>
          </w:p>
        </w:tc>
        <w:tc>
          <w:tcPr>
            <w:tcW w:w="718" w:type="dxa"/>
            <w:vMerge w:val="restart"/>
            <w:vAlign w:val="center"/>
          </w:tcPr>
          <w:p>
            <w:pPr>
              <w:jc w:val="center"/>
              <w:rPr>
                <w:rFonts w:cs="Times New Roman"/>
                <w:sz w:val="24"/>
                <w:szCs w:val="24"/>
              </w:rPr>
            </w:pPr>
            <w:r>
              <w:rPr>
                <w:rFonts w:hint="eastAsia"/>
                <w:sz w:val="24"/>
                <w:szCs w:val="24"/>
              </w:rPr>
              <w:t>作业前的措施</w:t>
            </w:r>
          </w:p>
        </w:tc>
        <w:tc>
          <w:tcPr>
            <w:tcW w:w="5126" w:type="dxa"/>
          </w:tcPr>
          <w:p>
            <w:pPr>
              <w:rPr>
                <w:rFonts w:cs="Times New Roman"/>
                <w:sz w:val="24"/>
                <w:szCs w:val="24"/>
              </w:rPr>
            </w:pPr>
            <w:r>
              <w:rPr>
                <w:rFonts w:hint="eastAsia"/>
                <w:sz w:val="24"/>
                <w:szCs w:val="24"/>
              </w:rPr>
              <w:t>企业应当对本企业的有限空间进行辨识，确定有限空间的数量、位置以及危险有害因素等基本情况，建立有限空间管理台账，并及时更新。</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4</w:t>
            </w:r>
          </w:p>
        </w:tc>
        <w:tc>
          <w:tcPr>
            <w:tcW w:w="718" w:type="dxa"/>
            <w:vMerge w:val="continue"/>
          </w:tcPr>
          <w:p>
            <w:pPr>
              <w:rPr>
                <w:rFonts w:cs="Times New Roman"/>
                <w:sz w:val="24"/>
                <w:szCs w:val="24"/>
              </w:rPr>
            </w:pPr>
          </w:p>
        </w:tc>
        <w:tc>
          <w:tcPr>
            <w:tcW w:w="5126" w:type="dxa"/>
          </w:tcPr>
          <w:p>
            <w:pPr>
              <w:rPr>
                <w:rFonts w:cs="Times New Roman"/>
                <w:sz w:val="24"/>
                <w:szCs w:val="24"/>
              </w:rPr>
            </w:pPr>
            <w:r>
              <w:rPr>
                <w:rFonts w:hint="eastAsia"/>
                <w:sz w:val="24"/>
                <w:szCs w:val="24"/>
              </w:rPr>
              <w:t>实施作业前，应当制定有限空间作业方案，并经企业安全生产管理人员审核，负责人批准。</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5</w:t>
            </w:r>
          </w:p>
        </w:tc>
        <w:tc>
          <w:tcPr>
            <w:tcW w:w="718" w:type="dxa"/>
            <w:vMerge w:val="continue"/>
          </w:tcPr>
          <w:p>
            <w:pPr>
              <w:rPr>
                <w:rFonts w:cs="Times New Roman"/>
                <w:sz w:val="24"/>
                <w:szCs w:val="24"/>
              </w:rPr>
            </w:pPr>
          </w:p>
        </w:tc>
        <w:tc>
          <w:tcPr>
            <w:tcW w:w="5126" w:type="dxa"/>
          </w:tcPr>
          <w:p>
            <w:pPr>
              <w:rPr>
                <w:rFonts w:cs="Times New Roman"/>
                <w:sz w:val="24"/>
                <w:szCs w:val="24"/>
              </w:rPr>
            </w:pPr>
            <w:r>
              <w:rPr>
                <w:rFonts w:hint="eastAsia"/>
                <w:sz w:val="24"/>
                <w:szCs w:val="24"/>
              </w:rPr>
              <w:t>应当按照有限空间作业方案，明确作业现场负责人、监护人员、作业人员及其安全职责。</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6</w:t>
            </w:r>
          </w:p>
        </w:tc>
        <w:tc>
          <w:tcPr>
            <w:tcW w:w="718" w:type="dxa"/>
            <w:vMerge w:val="continue"/>
          </w:tcPr>
          <w:p>
            <w:pPr>
              <w:rPr>
                <w:rFonts w:cs="Times New Roman"/>
                <w:sz w:val="24"/>
                <w:szCs w:val="24"/>
              </w:rPr>
            </w:pPr>
          </w:p>
        </w:tc>
        <w:tc>
          <w:tcPr>
            <w:tcW w:w="5126" w:type="dxa"/>
          </w:tcPr>
          <w:p>
            <w:pPr>
              <w:rPr>
                <w:rFonts w:cs="Times New Roman"/>
                <w:sz w:val="24"/>
                <w:szCs w:val="24"/>
              </w:rPr>
            </w:pPr>
            <w:r>
              <w:rPr>
                <w:rFonts w:hint="eastAsia"/>
                <w:sz w:val="24"/>
                <w:szCs w:val="24"/>
              </w:rPr>
              <w:t>实施作业前应当将作业方案和现场可能存在的危险有害因素、防控措施告知作业人员。现场负责人应监督按照方案进行作业准备。</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7</w:t>
            </w:r>
          </w:p>
        </w:tc>
        <w:tc>
          <w:tcPr>
            <w:tcW w:w="718" w:type="dxa"/>
            <w:vMerge w:val="continue"/>
          </w:tcPr>
          <w:p>
            <w:pPr>
              <w:rPr>
                <w:rFonts w:cs="Times New Roman"/>
                <w:sz w:val="24"/>
                <w:szCs w:val="24"/>
              </w:rPr>
            </w:pPr>
          </w:p>
        </w:tc>
        <w:tc>
          <w:tcPr>
            <w:tcW w:w="5126" w:type="dxa"/>
          </w:tcPr>
          <w:p>
            <w:pPr>
              <w:rPr>
                <w:rFonts w:cs="Times New Roman"/>
                <w:sz w:val="24"/>
                <w:szCs w:val="24"/>
              </w:rPr>
            </w:pPr>
            <w:r>
              <w:rPr>
                <w:rFonts w:hint="eastAsia"/>
                <w:sz w:val="24"/>
                <w:szCs w:val="24"/>
              </w:rPr>
              <w:t>应当采取可靠的隔断（隔离）措施，将可能危及作业安全的设施设备、存在有毒有害物质的空间与作业地点隔开。</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8</w:t>
            </w:r>
          </w:p>
        </w:tc>
        <w:tc>
          <w:tcPr>
            <w:tcW w:w="718" w:type="dxa"/>
            <w:vMerge w:val="continue"/>
          </w:tcPr>
          <w:p>
            <w:pPr>
              <w:rPr>
                <w:rFonts w:cs="Times New Roman"/>
                <w:sz w:val="24"/>
                <w:szCs w:val="24"/>
              </w:rPr>
            </w:pPr>
          </w:p>
        </w:tc>
        <w:tc>
          <w:tcPr>
            <w:tcW w:w="5126" w:type="dxa"/>
          </w:tcPr>
          <w:p>
            <w:pPr>
              <w:rPr>
                <w:sz w:val="24"/>
                <w:szCs w:val="24"/>
              </w:rPr>
            </w:pPr>
            <w:r>
              <w:rPr>
                <w:rFonts w:hint="eastAsia"/>
                <w:sz w:val="24"/>
                <w:szCs w:val="24"/>
              </w:rPr>
              <w:t>应当遵守“先通风、再检测、后作业”的原则。检测指标包括氧浓度、易燃易爆物质（可燃性气体、爆炸性粉尘）浓度、有毒有害气体浓度。</w:t>
            </w:r>
            <w:r>
              <w:rPr>
                <w:sz w:val="24"/>
                <w:szCs w:val="24"/>
              </w:rPr>
              <w:t xml:space="preserve"> </w:t>
            </w:r>
          </w:p>
          <w:p>
            <w:pPr>
              <w:rPr>
                <w:rFonts w:cs="Times New Roman"/>
                <w:sz w:val="24"/>
                <w:szCs w:val="24"/>
              </w:rPr>
            </w:pPr>
            <w:r>
              <w:rPr>
                <w:rFonts w:hint="eastAsia"/>
                <w:sz w:val="24"/>
                <w:szCs w:val="24"/>
              </w:rPr>
              <w:t>未经通风和检测合格，任何人员不得进入作业。检测的时间不得早于作业开始前</w:t>
            </w:r>
            <w:r>
              <w:rPr>
                <w:sz w:val="24"/>
                <w:szCs w:val="24"/>
              </w:rPr>
              <w:t>30</w:t>
            </w:r>
            <w:r>
              <w:rPr>
                <w:rFonts w:hint="eastAsia"/>
                <w:sz w:val="24"/>
                <w:szCs w:val="24"/>
              </w:rPr>
              <w:t>分钟。检测人员应当记录检测的时间、地点、气体种类、浓度等信息，并签字后存档。检测人员应当采取相应防护措施，防止中毒窒息等事故。</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9</w:t>
            </w:r>
          </w:p>
        </w:tc>
        <w:tc>
          <w:tcPr>
            <w:tcW w:w="718" w:type="dxa"/>
            <w:vMerge w:val="continue"/>
          </w:tcPr>
          <w:p>
            <w:pPr>
              <w:rPr>
                <w:rFonts w:cs="Times New Roman"/>
                <w:sz w:val="24"/>
                <w:szCs w:val="24"/>
              </w:rPr>
            </w:pPr>
          </w:p>
        </w:tc>
        <w:tc>
          <w:tcPr>
            <w:tcW w:w="5126" w:type="dxa"/>
          </w:tcPr>
          <w:p>
            <w:pPr>
              <w:rPr>
                <w:rFonts w:cs="Times New Roman"/>
                <w:sz w:val="24"/>
                <w:szCs w:val="24"/>
              </w:rPr>
            </w:pPr>
            <w:r>
              <w:rPr>
                <w:rFonts w:hint="eastAsia"/>
                <w:sz w:val="24"/>
                <w:szCs w:val="24"/>
              </w:rPr>
              <w:t>有限空间内盛装或者残留的物料对作业存在危害时，应当在作业前对物料进行清洗、清空或者置换。经检测危险有害因素符合《工作场所有害因素职业接触限值第一部分化学有害因素》（</w:t>
            </w:r>
            <w:r>
              <w:rPr>
                <w:sz w:val="24"/>
                <w:szCs w:val="24"/>
              </w:rPr>
              <w:t>GBZ2.1</w:t>
            </w:r>
            <w:r>
              <w:rPr>
                <w:rFonts w:hint="eastAsia"/>
                <w:sz w:val="24"/>
                <w:szCs w:val="24"/>
              </w:rPr>
              <w:t>）的要求后，方可进入作业。</w:t>
            </w:r>
          </w:p>
        </w:tc>
        <w:tc>
          <w:tcPr>
            <w:tcW w:w="600"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639" w:type="dxa"/>
          </w:tcPr>
          <w:p>
            <w:pPr>
              <w:rPr>
                <w:rFonts w:cs="Times New Roman"/>
                <w:sz w:val="24"/>
                <w:szCs w:val="24"/>
              </w:rPr>
            </w:pPr>
          </w:p>
        </w:tc>
      </w:tr>
    </w:tbl>
    <w:p>
      <w:pPr>
        <w:spacing w:line="560" w:lineRule="exact"/>
        <w:jc w:val="center"/>
        <w:rPr>
          <w:rFonts w:cs="Times New Roman"/>
          <w:b/>
          <w:bCs/>
          <w:sz w:val="18"/>
          <w:szCs w:val="18"/>
        </w:rPr>
      </w:pPr>
      <w:r>
        <w:rPr>
          <w:rFonts w:hint="eastAsia"/>
          <w:b/>
          <w:bCs/>
          <w:sz w:val="32"/>
          <w:szCs w:val="32"/>
          <w:lang w:eastAsia="zh-CN"/>
        </w:rPr>
        <w:t>九</w:t>
      </w:r>
      <w:r>
        <w:rPr>
          <w:rFonts w:hint="eastAsia"/>
          <w:b/>
          <w:bCs/>
          <w:sz w:val="32"/>
          <w:szCs w:val="32"/>
        </w:rPr>
        <w:t>、有限空间作业安全检查清单</w:t>
      </w:r>
      <w:r>
        <w:rPr>
          <w:rFonts w:hint="eastAsia"/>
          <w:sz w:val="32"/>
          <w:szCs w:val="32"/>
        </w:rPr>
        <w:t>（续）</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10</w:t>
            </w:r>
          </w:p>
        </w:tc>
        <w:tc>
          <w:tcPr>
            <w:tcW w:w="718" w:type="dxa"/>
            <w:vMerge w:val="restart"/>
            <w:vAlign w:val="center"/>
          </w:tcPr>
          <w:p>
            <w:pPr>
              <w:jc w:val="center"/>
              <w:rPr>
                <w:rFonts w:cs="Times New Roman"/>
                <w:sz w:val="24"/>
                <w:szCs w:val="24"/>
              </w:rPr>
            </w:pPr>
            <w:r>
              <w:rPr>
                <w:rFonts w:hint="eastAsia"/>
                <w:sz w:val="24"/>
                <w:szCs w:val="24"/>
              </w:rPr>
              <w:t>作业过程措施</w:t>
            </w:r>
          </w:p>
        </w:tc>
        <w:tc>
          <w:tcPr>
            <w:tcW w:w="5008" w:type="dxa"/>
          </w:tcPr>
          <w:p>
            <w:pPr>
              <w:rPr>
                <w:rFonts w:cs="Times New Roman"/>
                <w:sz w:val="24"/>
                <w:szCs w:val="24"/>
              </w:rPr>
            </w:pPr>
            <w:r>
              <w:rPr>
                <w:rFonts w:hint="eastAsia"/>
                <w:sz w:val="24"/>
                <w:szCs w:val="24"/>
              </w:rPr>
              <w:t>在作业过程，应当采取通风措施，保持空气流通，禁止采用纯氧通风换气。发现通风设备停止运转、氧含量浓度低于或者有毒有害气体浓度高于标准规定的限值时，必须立即停止作业，清点作业人员，撤离作业现场。</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rPr>
                <w:rFonts w:cs="Times New Roman"/>
                <w:sz w:val="28"/>
                <w:szCs w:val="28"/>
              </w:rPr>
            </w:pPr>
          </w:p>
          <w:p>
            <w:pPr>
              <w:spacing w:line="280" w:lineRule="exact"/>
              <w:rPr>
                <w:sz w:val="28"/>
                <w:szCs w:val="28"/>
              </w:rPr>
            </w:pPr>
            <w:r>
              <w:rPr>
                <w:sz w:val="28"/>
                <w:szCs w:val="28"/>
              </w:rPr>
              <w:t>11</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应当对作业场所中的危险有害因素进行定时检测或者连续监测。作业中断超过</w:t>
            </w:r>
            <w:r>
              <w:rPr>
                <w:sz w:val="24"/>
                <w:szCs w:val="24"/>
              </w:rPr>
              <w:t>30</w:t>
            </w:r>
            <w:r>
              <w:rPr>
                <w:rFonts w:hint="eastAsia"/>
                <w:sz w:val="24"/>
                <w:szCs w:val="24"/>
              </w:rPr>
              <w:t>分钟，作业人员再次进入有限空间作业前，应当重新通风、检测合格后方可进入。</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12</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有限空间作业场所的照明灯具电压应当符合</w:t>
            </w:r>
            <w:r>
              <w:rPr>
                <w:rFonts w:hint="eastAsia"/>
              </w:rPr>
              <w:t>：</w:t>
            </w:r>
            <w:r>
              <w:rPr>
                <w:rFonts w:hint="eastAsia"/>
                <w:sz w:val="24"/>
                <w:szCs w:val="24"/>
              </w:rPr>
              <w:t>固定式装置的电压不应高于</w:t>
            </w:r>
            <w:r>
              <w:rPr>
                <w:sz w:val="24"/>
                <w:szCs w:val="24"/>
              </w:rPr>
              <w:t>36V</w:t>
            </w:r>
            <w:r>
              <w:rPr>
                <w:rFonts w:hint="eastAsia"/>
                <w:sz w:val="24"/>
                <w:szCs w:val="24"/>
              </w:rPr>
              <w:t>，开关应设在入口处；手持式的不应高于</w:t>
            </w:r>
            <w:r>
              <w:rPr>
                <w:sz w:val="24"/>
                <w:szCs w:val="24"/>
              </w:rPr>
              <w:t>12V</w:t>
            </w:r>
            <w:r>
              <w:rPr>
                <w:rFonts w:hint="eastAsia"/>
                <w:sz w:val="24"/>
                <w:szCs w:val="24"/>
              </w:rPr>
              <w:t>。</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13</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应当为作业人员提供符合标准的劳动防护用品，并教育监督作业人员正确佩戴与使用。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14</w:t>
            </w:r>
          </w:p>
        </w:tc>
        <w:tc>
          <w:tcPr>
            <w:tcW w:w="718" w:type="dxa"/>
            <w:vMerge w:val="continue"/>
          </w:tcPr>
          <w:p>
            <w:pPr>
              <w:rPr>
                <w:rFonts w:cs="Times New Roman"/>
                <w:sz w:val="24"/>
                <w:szCs w:val="24"/>
              </w:rPr>
            </w:pPr>
          </w:p>
        </w:tc>
        <w:tc>
          <w:tcPr>
            <w:tcW w:w="5008" w:type="dxa"/>
          </w:tcPr>
          <w:p>
            <w:pPr>
              <w:rPr>
                <w:sz w:val="24"/>
                <w:szCs w:val="24"/>
              </w:rPr>
            </w:pPr>
            <w:r>
              <w:rPr>
                <w:rFonts w:hint="eastAsia"/>
                <w:sz w:val="24"/>
                <w:szCs w:val="24"/>
              </w:rPr>
              <w:t>有限空间作业还应当符合下列要求：（</w:t>
            </w:r>
            <w:r>
              <w:rPr>
                <w:sz w:val="24"/>
                <w:szCs w:val="24"/>
              </w:rPr>
              <w:t>1</w:t>
            </w:r>
            <w:r>
              <w:rPr>
                <w:rFonts w:hint="eastAsia"/>
                <w:sz w:val="24"/>
                <w:szCs w:val="24"/>
              </w:rPr>
              <w:t>）保持有限空间出入口畅通；（</w:t>
            </w:r>
            <w:r>
              <w:rPr>
                <w:sz w:val="24"/>
                <w:szCs w:val="24"/>
              </w:rPr>
              <w:t>2</w:t>
            </w:r>
            <w:r>
              <w:rPr>
                <w:rFonts w:hint="eastAsia"/>
                <w:sz w:val="24"/>
                <w:szCs w:val="24"/>
              </w:rPr>
              <w:t>）设置明显的安全警示标志和警示说明；（</w:t>
            </w:r>
            <w:r>
              <w:rPr>
                <w:sz w:val="24"/>
                <w:szCs w:val="24"/>
              </w:rPr>
              <w:t>3</w:t>
            </w:r>
            <w:r>
              <w:rPr>
                <w:rFonts w:hint="eastAsia"/>
                <w:sz w:val="24"/>
                <w:szCs w:val="24"/>
              </w:rPr>
              <w:t>）作业前清点作业人员和工器具；（</w:t>
            </w:r>
            <w:r>
              <w:rPr>
                <w:sz w:val="24"/>
                <w:szCs w:val="24"/>
              </w:rPr>
              <w:t>4</w:t>
            </w:r>
            <w:r>
              <w:rPr>
                <w:rFonts w:hint="eastAsia"/>
                <w:sz w:val="24"/>
                <w:szCs w:val="24"/>
              </w:rPr>
              <w:t>）作业人员与外部有可靠的通讯联络；（</w:t>
            </w:r>
            <w:r>
              <w:rPr>
                <w:sz w:val="24"/>
                <w:szCs w:val="24"/>
              </w:rPr>
              <w:t>5</w:t>
            </w:r>
            <w:r>
              <w:rPr>
                <w:rFonts w:hint="eastAsia"/>
                <w:sz w:val="24"/>
                <w:szCs w:val="24"/>
              </w:rPr>
              <w:t>）监护人员不得离开作业现场，并与作业人员保持联系；（</w:t>
            </w:r>
            <w:r>
              <w:rPr>
                <w:sz w:val="24"/>
                <w:szCs w:val="24"/>
              </w:rPr>
              <w:t>6</w:t>
            </w:r>
            <w:r>
              <w:rPr>
                <w:rFonts w:hint="eastAsia"/>
                <w:sz w:val="24"/>
                <w:szCs w:val="24"/>
              </w:rPr>
              <w:t>）存在交叉作业时，采取避免互相伤害的措施。</w:t>
            </w:r>
            <w:r>
              <w:rPr>
                <w:sz w:val="24"/>
                <w:szCs w:val="24"/>
              </w:rPr>
              <w:t xml:space="preserve"> </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rFonts w:cs="Times New Roman"/>
                <w:sz w:val="28"/>
                <w:szCs w:val="28"/>
              </w:rPr>
            </w:pPr>
          </w:p>
          <w:p>
            <w:pPr>
              <w:spacing w:line="460" w:lineRule="exact"/>
              <w:rPr>
                <w:sz w:val="28"/>
                <w:szCs w:val="28"/>
              </w:rPr>
            </w:pPr>
            <w:r>
              <w:rPr>
                <w:sz w:val="28"/>
                <w:szCs w:val="28"/>
              </w:rPr>
              <w:t>15</w:t>
            </w:r>
          </w:p>
        </w:tc>
        <w:tc>
          <w:tcPr>
            <w:tcW w:w="718" w:type="dxa"/>
            <w:vMerge w:val="restart"/>
            <w:vAlign w:val="center"/>
          </w:tcPr>
          <w:p>
            <w:pPr>
              <w:jc w:val="center"/>
              <w:rPr>
                <w:rFonts w:cs="Times New Roman"/>
                <w:sz w:val="24"/>
                <w:szCs w:val="24"/>
              </w:rPr>
            </w:pPr>
            <w:r>
              <w:rPr>
                <w:rFonts w:hint="eastAsia"/>
                <w:sz w:val="24"/>
                <w:szCs w:val="24"/>
              </w:rPr>
              <w:t>相关</w:t>
            </w:r>
          </w:p>
          <w:p>
            <w:pPr>
              <w:jc w:val="center"/>
              <w:rPr>
                <w:rFonts w:cs="Times New Roman"/>
                <w:sz w:val="24"/>
                <w:szCs w:val="24"/>
              </w:rPr>
            </w:pPr>
            <w:r>
              <w:rPr>
                <w:rFonts w:hint="eastAsia"/>
                <w:sz w:val="24"/>
                <w:szCs w:val="24"/>
              </w:rPr>
              <w:t>防范措施</w:t>
            </w:r>
          </w:p>
        </w:tc>
        <w:tc>
          <w:tcPr>
            <w:tcW w:w="5008" w:type="dxa"/>
          </w:tcPr>
          <w:p>
            <w:pPr>
              <w:rPr>
                <w:rFonts w:cs="Times New Roman"/>
                <w:sz w:val="24"/>
                <w:szCs w:val="24"/>
              </w:rPr>
            </w:pPr>
            <w:r>
              <w:rPr>
                <w:rFonts w:hint="eastAsia"/>
                <w:sz w:val="24"/>
                <w:szCs w:val="24"/>
              </w:rPr>
              <w:t>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16</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将有限空间作业发包给其他单位实施的，应当发包给具备资质的承包方，并与承包方签订专门的安全管理协议或者在承包合同中明确各自的安全生产职责。企业应当对承包单位的安全生产工作统一协调、管理，定期进行安全检查，发现安全问题的，应当及时督促整改。</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17</w:t>
            </w:r>
          </w:p>
        </w:tc>
        <w:tc>
          <w:tcPr>
            <w:tcW w:w="718" w:type="dxa"/>
            <w:vMerge w:val="continue"/>
          </w:tcPr>
          <w:p>
            <w:pPr>
              <w:rPr>
                <w:rFonts w:cs="Times New Roman"/>
                <w:sz w:val="24"/>
                <w:szCs w:val="24"/>
              </w:rPr>
            </w:pPr>
          </w:p>
        </w:tc>
        <w:tc>
          <w:tcPr>
            <w:tcW w:w="5008" w:type="dxa"/>
          </w:tcPr>
          <w:p>
            <w:pPr>
              <w:rPr>
                <w:rFonts w:cs="Times New Roman"/>
                <w:sz w:val="24"/>
                <w:szCs w:val="24"/>
              </w:rPr>
            </w:pPr>
            <w:r>
              <w:rPr>
                <w:rFonts w:hint="eastAsia"/>
                <w:sz w:val="24"/>
                <w:szCs w:val="24"/>
              </w:rPr>
              <w:t>有限空间作业中发生事故后，现场有关人员应当立即报警，禁止盲目施救。应急救援人员实施救援时，应当做好自身防护，佩戴必要的呼吸器具、救援器材。</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19" w:type="dxa"/>
            <w:gridSpan w:val="6"/>
          </w:tcPr>
          <w:p>
            <w:pPr>
              <w:rPr>
                <w:rFonts w:cs="Times New Roman"/>
                <w:sz w:val="24"/>
                <w:szCs w:val="24"/>
              </w:rPr>
            </w:pPr>
            <w:r>
              <w:rPr>
                <w:rFonts w:hint="eastAsia"/>
                <w:b/>
                <w:bCs/>
                <w:sz w:val="24"/>
                <w:szCs w:val="24"/>
              </w:rPr>
              <w:t>注：有限空间作业采用《企业通用安全检查清单》</w:t>
            </w:r>
            <w:r>
              <w:rPr>
                <w:b/>
                <w:bCs/>
                <w:sz w:val="24"/>
                <w:szCs w:val="24"/>
              </w:rPr>
              <w:t>+</w:t>
            </w:r>
            <w:r>
              <w:rPr>
                <w:rFonts w:hint="eastAsia"/>
                <w:b/>
                <w:bCs/>
                <w:sz w:val="24"/>
                <w:szCs w:val="24"/>
              </w:rPr>
              <w:t>本表对照检查。</w:t>
            </w:r>
          </w:p>
        </w:tc>
      </w:tr>
    </w:tbl>
    <w:p>
      <w:pPr>
        <w:spacing w:line="360" w:lineRule="exact"/>
        <w:rPr>
          <w:rFonts w:cs="Times New Roman"/>
          <w:sz w:val="28"/>
          <w:szCs w:val="28"/>
        </w:rPr>
      </w:pPr>
      <w:r>
        <w:rPr>
          <w:rFonts w:hint="eastAsia"/>
          <w:sz w:val="28"/>
          <w:szCs w:val="28"/>
        </w:rPr>
        <w:t>监督检查单位：</w:t>
      </w:r>
    </w:p>
    <w:p>
      <w:pPr>
        <w:spacing w:line="360" w:lineRule="exact"/>
        <w:rPr>
          <w:b/>
          <w:bCs/>
          <w:sz w:val="32"/>
          <w:szCs w:val="32"/>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b/>
          <w:bCs/>
          <w:sz w:val="32"/>
          <w:szCs w:val="32"/>
        </w:rPr>
        <w:t xml:space="preserve"> </w:t>
      </w:r>
    </w:p>
    <w:p>
      <w:pPr>
        <w:spacing w:line="360" w:lineRule="exact"/>
        <w:jc w:val="center"/>
        <w:rPr>
          <w:rFonts w:cs="Times New Roman"/>
          <w:b/>
          <w:bCs/>
          <w:sz w:val="32"/>
          <w:szCs w:val="32"/>
        </w:rPr>
      </w:pPr>
      <w:r>
        <w:rPr>
          <w:rFonts w:hint="eastAsia"/>
          <w:b/>
          <w:bCs/>
          <w:sz w:val="32"/>
          <w:szCs w:val="32"/>
        </w:rPr>
        <w:t>十、粉尘涉爆场所安全检查清单</w:t>
      </w:r>
    </w:p>
    <w:p>
      <w:pPr>
        <w:spacing w:line="360" w:lineRule="exact"/>
        <w:rPr>
          <w:rFonts w:cs="Times New Roman"/>
          <w:sz w:val="28"/>
          <w:szCs w:val="28"/>
        </w:rPr>
      </w:pPr>
    </w:p>
    <w:p>
      <w:pPr>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201"/>
        <w:gridCol w:w="555"/>
        <w:gridCol w:w="52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201" w:type="dxa"/>
            <w:vMerge w:val="restart"/>
          </w:tcPr>
          <w:p>
            <w:pPr>
              <w:spacing w:line="460" w:lineRule="exact"/>
              <w:jc w:val="center"/>
              <w:rPr>
                <w:rFonts w:cs="Times New Roman"/>
                <w:sz w:val="28"/>
                <w:szCs w:val="28"/>
              </w:rPr>
            </w:pPr>
            <w:r>
              <w:rPr>
                <w:rFonts w:hint="eastAsia"/>
                <w:sz w:val="28"/>
                <w:szCs w:val="28"/>
              </w:rPr>
              <w:t>检查标准要求</w:t>
            </w:r>
          </w:p>
        </w:tc>
        <w:tc>
          <w:tcPr>
            <w:tcW w:w="1080"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624"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201" w:type="dxa"/>
            <w:vMerge w:val="continue"/>
          </w:tcPr>
          <w:p>
            <w:pPr>
              <w:rPr>
                <w:rFonts w:cs="Times New Roman"/>
                <w:sz w:val="24"/>
                <w:szCs w:val="24"/>
              </w:rPr>
            </w:pPr>
          </w:p>
        </w:tc>
        <w:tc>
          <w:tcPr>
            <w:tcW w:w="555" w:type="dxa"/>
          </w:tcPr>
          <w:p>
            <w:pPr>
              <w:spacing w:line="280" w:lineRule="exact"/>
              <w:jc w:val="center"/>
              <w:rPr>
                <w:rFonts w:cs="Times New Roman"/>
                <w:sz w:val="24"/>
                <w:szCs w:val="24"/>
              </w:rPr>
            </w:pPr>
            <w:r>
              <w:rPr>
                <w:rFonts w:hint="eastAsia"/>
                <w:sz w:val="24"/>
                <w:szCs w:val="24"/>
              </w:rPr>
              <w:t>是</w:t>
            </w:r>
          </w:p>
        </w:tc>
        <w:tc>
          <w:tcPr>
            <w:tcW w:w="525" w:type="dxa"/>
          </w:tcPr>
          <w:p>
            <w:pPr>
              <w:spacing w:line="280" w:lineRule="exact"/>
              <w:jc w:val="center"/>
              <w:rPr>
                <w:rFonts w:cs="Times New Roman"/>
                <w:sz w:val="24"/>
                <w:szCs w:val="24"/>
              </w:rPr>
            </w:pPr>
            <w:r>
              <w:rPr>
                <w:rFonts w:hint="eastAsia"/>
                <w:sz w:val="24"/>
                <w:szCs w:val="24"/>
              </w:rPr>
              <w:t>否</w:t>
            </w:r>
          </w:p>
        </w:tc>
        <w:tc>
          <w:tcPr>
            <w:tcW w:w="1624"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6" w:type="dxa"/>
          </w:tcPr>
          <w:p>
            <w:pPr>
              <w:spacing w:line="460" w:lineRule="exact"/>
              <w:jc w:val="center"/>
              <w:rPr>
                <w:sz w:val="28"/>
                <w:szCs w:val="28"/>
              </w:rPr>
            </w:pPr>
            <w:r>
              <w:rPr>
                <w:sz w:val="28"/>
                <w:szCs w:val="28"/>
              </w:rPr>
              <w:t>1</w:t>
            </w:r>
          </w:p>
        </w:tc>
        <w:tc>
          <w:tcPr>
            <w:tcW w:w="718" w:type="dxa"/>
            <w:vMerge w:val="restart"/>
          </w:tcPr>
          <w:p>
            <w:pPr>
              <w:spacing w:line="280" w:lineRule="exact"/>
              <w:rPr>
                <w:rFonts w:cs="Times New Roman"/>
                <w:sz w:val="24"/>
                <w:szCs w:val="24"/>
              </w:rPr>
            </w:pPr>
          </w:p>
          <w:p>
            <w:pPr>
              <w:spacing w:line="280" w:lineRule="exact"/>
              <w:rPr>
                <w:rFonts w:cs="Times New Roman"/>
                <w:sz w:val="24"/>
                <w:szCs w:val="24"/>
              </w:rPr>
            </w:pPr>
            <w:r>
              <w:rPr>
                <w:rFonts w:hint="eastAsia"/>
                <w:sz w:val="24"/>
                <w:szCs w:val="24"/>
              </w:rPr>
              <w:t>粉尘作业场所基本要求</w:t>
            </w:r>
          </w:p>
        </w:tc>
        <w:tc>
          <w:tcPr>
            <w:tcW w:w="5201" w:type="dxa"/>
          </w:tcPr>
          <w:p>
            <w:pPr>
              <w:rPr>
                <w:rFonts w:cs="Times New Roman"/>
                <w:sz w:val="24"/>
                <w:szCs w:val="24"/>
              </w:rPr>
            </w:pPr>
            <w:r>
              <w:rPr>
                <w:rFonts w:hint="eastAsia"/>
                <w:sz w:val="24"/>
                <w:szCs w:val="24"/>
              </w:rPr>
              <w:t>粉尘作业场所严禁在违规多层房、安全间距不达标厂房和居民区内作业。</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2</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除尘系统按防爆标准设计、安装和使用，除尘系统设置泄爆装置，除尘系统保持运行良好。</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3</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爆炸危险场所有两个以上直通室外的安全出口，疏散门向外开启，作业场所通道畅通。</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4</w:t>
            </w:r>
          </w:p>
        </w:tc>
        <w:tc>
          <w:tcPr>
            <w:tcW w:w="718" w:type="dxa"/>
          </w:tcPr>
          <w:p>
            <w:pPr>
              <w:spacing w:line="280" w:lineRule="exact"/>
              <w:rPr>
                <w:rFonts w:cs="Times New Roman"/>
                <w:sz w:val="24"/>
                <w:szCs w:val="24"/>
              </w:rPr>
            </w:pPr>
            <w:r>
              <w:rPr>
                <w:rFonts w:hint="eastAsia"/>
                <w:sz w:val="24"/>
                <w:szCs w:val="24"/>
              </w:rPr>
              <w:t>粉尘使用要求</w:t>
            </w:r>
          </w:p>
        </w:tc>
        <w:tc>
          <w:tcPr>
            <w:tcW w:w="5201" w:type="dxa"/>
          </w:tcPr>
          <w:p>
            <w:pPr>
              <w:rPr>
                <w:rFonts w:cs="Times New Roman"/>
                <w:sz w:val="24"/>
                <w:szCs w:val="24"/>
              </w:rPr>
            </w:pPr>
            <w:r>
              <w:rPr>
                <w:rFonts w:hint="eastAsia"/>
                <w:sz w:val="24"/>
                <w:szCs w:val="24"/>
              </w:rPr>
              <w:t>各类娱乐性、赛事活动使用彩色粉尘应报批。严禁在封闭和相对封闭场所喷洒彩色粉尘。严禁在大型群众性活动中使用可燃性彩色粉尘。</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460" w:lineRule="exact"/>
              <w:jc w:val="center"/>
              <w:rPr>
                <w:sz w:val="28"/>
                <w:szCs w:val="28"/>
              </w:rPr>
            </w:pPr>
            <w:r>
              <w:rPr>
                <w:sz w:val="28"/>
                <w:szCs w:val="28"/>
              </w:rPr>
              <w:t>5</w:t>
            </w:r>
          </w:p>
        </w:tc>
        <w:tc>
          <w:tcPr>
            <w:tcW w:w="718" w:type="dxa"/>
          </w:tcPr>
          <w:p>
            <w:pPr>
              <w:spacing w:line="280" w:lineRule="exact"/>
              <w:rPr>
                <w:rFonts w:cs="Times New Roman"/>
                <w:sz w:val="24"/>
                <w:szCs w:val="24"/>
              </w:rPr>
            </w:pPr>
            <w:r>
              <w:rPr>
                <w:rFonts w:hint="eastAsia"/>
                <w:sz w:val="24"/>
                <w:szCs w:val="24"/>
              </w:rPr>
              <w:t>培训教育</w:t>
            </w:r>
          </w:p>
        </w:tc>
        <w:tc>
          <w:tcPr>
            <w:tcW w:w="5201" w:type="dxa"/>
          </w:tcPr>
          <w:p>
            <w:pPr>
              <w:rPr>
                <w:rFonts w:cs="Times New Roman"/>
                <w:sz w:val="24"/>
                <w:szCs w:val="24"/>
              </w:rPr>
            </w:pPr>
            <w:r>
              <w:rPr>
                <w:rFonts w:hint="eastAsia"/>
                <w:sz w:val="24"/>
                <w:szCs w:val="24"/>
              </w:rPr>
              <w:t>对主要负责人、安全管理人员和重点岗位员工进行培训，掌握防范粉尘事故的规定和技能。</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6</w:t>
            </w:r>
          </w:p>
        </w:tc>
        <w:tc>
          <w:tcPr>
            <w:tcW w:w="718" w:type="dxa"/>
            <w:vMerge w:val="restart"/>
            <w:vAlign w:val="center"/>
          </w:tcPr>
          <w:p>
            <w:pPr>
              <w:spacing w:line="280" w:lineRule="exact"/>
              <w:jc w:val="center"/>
              <w:rPr>
                <w:rFonts w:cs="Times New Roman"/>
                <w:sz w:val="24"/>
                <w:szCs w:val="24"/>
              </w:rPr>
            </w:pPr>
            <w:r>
              <w:rPr>
                <w:rFonts w:hint="eastAsia"/>
                <w:sz w:val="24"/>
                <w:szCs w:val="24"/>
              </w:rPr>
              <w:t>除尘防尘措施</w:t>
            </w:r>
          </w:p>
        </w:tc>
        <w:tc>
          <w:tcPr>
            <w:tcW w:w="5201" w:type="dxa"/>
          </w:tcPr>
          <w:p>
            <w:pPr>
              <w:rPr>
                <w:rFonts w:cs="Times New Roman"/>
                <w:sz w:val="24"/>
                <w:szCs w:val="24"/>
              </w:rPr>
            </w:pPr>
            <w:r>
              <w:rPr>
                <w:rFonts w:hint="eastAsia"/>
                <w:sz w:val="24"/>
                <w:szCs w:val="24"/>
              </w:rPr>
              <w:t>产生粉尘的场所使用除尘装置，不得停用。</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7</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ascii="Arial" w:hAnsi="Arial"/>
                <w:sz w:val="24"/>
                <w:szCs w:val="24"/>
              </w:rPr>
              <w:t>粉尘场所设备、设施采取防爆措施；严禁烟火；采取了防止电弧和电火花点火及防止摩擦碰撞火花引燃、静电引燃等的安全措施。</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96" w:type="dxa"/>
          </w:tcPr>
          <w:p>
            <w:pPr>
              <w:spacing w:line="280" w:lineRule="exact"/>
              <w:jc w:val="center"/>
              <w:rPr>
                <w:rFonts w:cs="Times New Roman"/>
                <w:sz w:val="28"/>
                <w:szCs w:val="28"/>
              </w:rPr>
            </w:pPr>
          </w:p>
          <w:p>
            <w:pPr>
              <w:spacing w:line="280" w:lineRule="exact"/>
              <w:jc w:val="center"/>
              <w:rPr>
                <w:rFonts w:cs="Times New Roman"/>
                <w:sz w:val="28"/>
                <w:szCs w:val="28"/>
              </w:rPr>
            </w:pPr>
          </w:p>
          <w:p>
            <w:pPr>
              <w:spacing w:line="280" w:lineRule="exact"/>
              <w:jc w:val="center"/>
              <w:rPr>
                <w:sz w:val="28"/>
                <w:szCs w:val="28"/>
              </w:rPr>
            </w:pPr>
            <w:r>
              <w:rPr>
                <w:sz w:val="28"/>
                <w:szCs w:val="28"/>
              </w:rPr>
              <w:t>8</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在粉尘场所进行明火作业时，落实下列规定：（</w:t>
            </w:r>
            <w:r>
              <w:rPr>
                <w:sz w:val="24"/>
                <w:szCs w:val="24"/>
              </w:rPr>
              <w:t>1</w:t>
            </w:r>
            <w:r>
              <w:rPr>
                <w:rFonts w:hint="eastAsia"/>
                <w:sz w:val="24"/>
                <w:szCs w:val="24"/>
              </w:rPr>
              <w:t>）有负责人批准的作业证。（</w:t>
            </w:r>
            <w:r>
              <w:rPr>
                <w:sz w:val="24"/>
                <w:szCs w:val="24"/>
              </w:rPr>
              <w:t>2</w:t>
            </w:r>
            <w:r>
              <w:rPr>
                <w:rFonts w:hint="eastAsia"/>
                <w:sz w:val="24"/>
                <w:szCs w:val="24"/>
              </w:rPr>
              <w:t>）明火作业前，应彻底清除场所的可燃粉尘。（</w:t>
            </w:r>
            <w:r>
              <w:rPr>
                <w:sz w:val="24"/>
                <w:szCs w:val="24"/>
              </w:rPr>
              <w:t>3</w:t>
            </w:r>
            <w:r>
              <w:rPr>
                <w:rFonts w:hint="eastAsia"/>
                <w:sz w:val="24"/>
                <w:szCs w:val="24"/>
              </w:rPr>
              <w:t>）进行明火作业期间，严禁有粉尘进入明火作业场所。</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9</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落实铝镁等遇湿易燃金属粉尘防水防潮措施。</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10</w:t>
            </w:r>
          </w:p>
        </w:tc>
        <w:tc>
          <w:tcPr>
            <w:tcW w:w="718" w:type="dxa"/>
            <w:vMerge w:val="restart"/>
            <w:vAlign w:val="center"/>
          </w:tcPr>
          <w:p>
            <w:pPr>
              <w:spacing w:line="280" w:lineRule="exact"/>
              <w:jc w:val="center"/>
              <w:rPr>
                <w:rFonts w:cs="Times New Roman"/>
                <w:sz w:val="24"/>
                <w:szCs w:val="24"/>
              </w:rPr>
            </w:pPr>
            <w:r>
              <w:rPr>
                <w:rFonts w:hint="eastAsia"/>
                <w:sz w:val="24"/>
                <w:szCs w:val="24"/>
              </w:rPr>
              <w:t>日常管理</w:t>
            </w:r>
          </w:p>
        </w:tc>
        <w:tc>
          <w:tcPr>
            <w:tcW w:w="5201" w:type="dxa"/>
          </w:tcPr>
          <w:p>
            <w:pPr>
              <w:rPr>
                <w:rFonts w:cs="Times New Roman"/>
                <w:sz w:val="24"/>
                <w:szCs w:val="24"/>
              </w:rPr>
            </w:pPr>
            <w:r>
              <w:rPr>
                <w:rFonts w:hint="eastAsia"/>
                <w:sz w:val="24"/>
                <w:szCs w:val="24"/>
              </w:rPr>
              <w:t>每天对车间地面和设备粉尘进行清理，积累的粉尘量降至最低，清扫方法符合安全要求，禁止使用压缩空气进行吹扫。</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11</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粉尘场所尽可能减少同时作业的人数，避免粉尘产生量大的设备同时运行。</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sz w:val="28"/>
                <w:szCs w:val="28"/>
              </w:rPr>
            </w:pPr>
            <w:r>
              <w:rPr>
                <w:sz w:val="28"/>
                <w:szCs w:val="28"/>
              </w:rPr>
              <w:t>11</w:t>
            </w:r>
          </w:p>
        </w:tc>
        <w:tc>
          <w:tcPr>
            <w:tcW w:w="718" w:type="dxa"/>
            <w:vMerge w:val="continue"/>
          </w:tcPr>
          <w:p>
            <w:pPr>
              <w:spacing w:line="280" w:lineRule="exact"/>
              <w:rPr>
                <w:rFonts w:cs="Times New Roman"/>
                <w:sz w:val="24"/>
                <w:szCs w:val="24"/>
              </w:rPr>
            </w:pPr>
          </w:p>
        </w:tc>
        <w:tc>
          <w:tcPr>
            <w:tcW w:w="5201" w:type="dxa"/>
          </w:tcPr>
          <w:p>
            <w:pPr>
              <w:rPr>
                <w:rFonts w:cs="Times New Roman"/>
                <w:sz w:val="24"/>
                <w:szCs w:val="24"/>
              </w:rPr>
            </w:pPr>
            <w:r>
              <w:rPr>
                <w:rFonts w:hint="eastAsia"/>
                <w:sz w:val="24"/>
                <w:szCs w:val="24"/>
              </w:rPr>
              <w:t>作业人员佩戴防尘劳动防护用品。</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tcPr>
          <w:p>
            <w:pPr>
              <w:spacing w:line="280" w:lineRule="exact"/>
              <w:jc w:val="center"/>
              <w:rPr>
                <w:rFonts w:cs="Times New Roman"/>
                <w:sz w:val="28"/>
                <w:szCs w:val="28"/>
              </w:rPr>
            </w:pPr>
          </w:p>
          <w:p>
            <w:pPr>
              <w:spacing w:line="280" w:lineRule="exact"/>
              <w:jc w:val="center"/>
              <w:rPr>
                <w:sz w:val="28"/>
                <w:szCs w:val="28"/>
              </w:rPr>
            </w:pPr>
            <w:r>
              <w:rPr>
                <w:sz w:val="28"/>
                <w:szCs w:val="28"/>
              </w:rPr>
              <w:t>12</w:t>
            </w:r>
          </w:p>
        </w:tc>
        <w:tc>
          <w:tcPr>
            <w:tcW w:w="718" w:type="dxa"/>
          </w:tcPr>
          <w:p>
            <w:pPr>
              <w:spacing w:line="280" w:lineRule="exact"/>
              <w:rPr>
                <w:rFonts w:cs="Times New Roman"/>
                <w:sz w:val="24"/>
                <w:szCs w:val="24"/>
              </w:rPr>
            </w:pPr>
          </w:p>
          <w:p>
            <w:pPr>
              <w:spacing w:line="280" w:lineRule="exact"/>
              <w:rPr>
                <w:rFonts w:cs="Times New Roman"/>
                <w:sz w:val="24"/>
                <w:szCs w:val="24"/>
              </w:rPr>
            </w:pPr>
            <w:r>
              <w:rPr>
                <w:rFonts w:hint="eastAsia"/>
                <w:sz w:val="24"/>
                <w:szCs w:val="24"/>
              </w:rPr>
              <w:t>应急</w:t>
            </w:r>
          </w:p>
        </w:tc>
        <w:tc>
          <w:tcPr>
            <w:tcW w:w="5201" w:type="dxa"/>
          </w:tcPr>
          <w:p>
            <w:pPr>
              <w:rPr>
                <w:rFonts w:cs="Times New Roman"/>
                <w:sz w:val="24"/>
                <w:szCs w:val="24"/>
              </w:rPr>
            </w:pPr>
            <w:r>
              <w:rPr>
                <w:rFonts w:hint="eastAsia"/>
                <w:sz w:val="24"/>
                <w:szCs w:val="24"/>
              </w:rPr>
              <w:t>制定防止粉尘爆炸事故应急预案，配备</w:t>
            </w:r>
            <w:r>
              <w:rPr>
                <w:sz w:val="24"/>
                <w:szCs w:val="24"/>
              </w:rPr>
              <w:t>1</w:t>
            </w:r>
            <w:r>
              <w:rPr>
                <w:rFonts w:hint="eastAsia"/>
                <w:sz w:val="24"/>
                <w:szCs w:val="24"/>
              </w:rPr>
              <w:t>立方米消防沙保持干燥，配备应急器材，定期组织应急演练。灭火时严防粉尘扬起形成粉尘云。</w:t>
            </w:r>
          </w:p>
        </w:tc>
        <w:tc>
          <w:tcPr>
            <w:tcW w:w="555" w:type="dxa"/>
          </w:tcPr>
          <w:p>
            <w:pPr>
              <w:spacing w:line="280" w:lineRule="exact"/>
              <w:jc w:val="center"/>
              <w:rPr>
                <w:rFonts w:cs="Times New Roman"/>
                <w:sz w:val="24"/>
                <w:szCs w:val="24"/>
              </w:rPr>
            </w:pPr>
          </w:p>
        </w:tc>
        <w:tc>
          <w:tcPr>
            <w:tcW w:w="525" w:type="dxa"/>
          </w:tcPr>
          <w:p>
            <w:pPr>
              <w:spacing w:line="280" w:lineRule="exact"/>
              <w:jc w:val="center"/>
              <w:rPr>
                <w:rFonts w:cs="Times New Roman"/>
                <w:sz w:val="24"/>
                <w:szCs w:val="24"/>
              </w:rPr>
            </w:pPr>
          </w:p>
        </w:tc>
        <w:tc>
          <w:tcPr>
            <w:tcW w:w="1624"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19" w:type="dxa"/>
            <w:gridSpan w:val="6"/>
          </w:tcPr>
          <w:p>
            <w:pPr>
              <w:spacing w:line="280" w:lineRule="exact"/>
              <w:ind w:firstLine="480" w:firstLineChars="200"/>
              <w:rPr>
                <w:rFonts w:cs="Times New Roman"/>
                <w:sz w:val="24"/>
                <w:szCs w:val="24"/>
              </w:rPr>
            </w:pPr>
            <w:r>
              <w:rPr>
                <w:rFonts w:hint="eastAsia"/>
                <w:sz w:val="24"/>
                <w:szCs w:val="24"/>
              </w:rPr>
              <w:t>注一：粉尘场所防爆安全检查范围</w:t>
            </w:r>
            <w:r>
              <w:rPr>
                <w:rFonts w:cs="Times New Roman"/>
                <w:sz w:val="24"/>
                <w:szCs w:val="24"/>
              </w:rPr>
              <w:br w:type="textWrapping"/>
            </w:r>
            <w:r>
              <w:rPr>
                <w:rFonts w:cs="Times New Roman"/>
                <w:sz w:val="24"/>
                <w:szCs w:val="24"/>
              </w:rPr>
              <w:t>  </w:t>
            </w:r>
            <w:r>
              <w:rPr>
                <w:sz w:val="24"/>
                <w:szCs w:val="24"/>
              </w:rPr>
              <w:t>1</w:t>
            </w:r>
            <w:r>
              <w:rPr>
                <w:rFonts w:hint="eastAsia"/>
                <w:sz w:val="24"/>
                <w:szCs w:val="24"/>
              </w:rPr>
              <w:t>．易发生粉尘爆炸事故的生产经营单位：包括粮食加工、饲料加工、纺织、硫磺厂、轻工、金属加工、化工、粮库、发电、冶金等生产经营单位。</w:t>
            </w:r>
            <w:r>
              <w:rPr>
                <w:rFonts w:cs="Times New Roman"/>
                <w:sz w:val="24"/>
                <w:szCs w:val="24"/>
              </w:rPr>
              <w:br w:type="textWrapping"/>
            </w:r>
            <w:r>
              <w:rPr>
                <w:rFonts w:cs="Times New Roman"/>
                <w:sz w:val="24"/>
                <w:szCs w:val="24"/>
              </w:rPr>
              <w:t>  </w:t>
            </w:r>
            <w:r>
              <w:rPr>
                <w:sz w:val="24"/>
                <w:szCs w:val="24"/>
              </w:rPr>
              <w:t>2</w:t>
            </w:r>
            <w:r>
              <w:rPr>
                <w:rFonts w:hint="eastAsia"/>
                <w:sz w:val="24"/>
                <w:szCs w:val="24"/>
              </w:rPr>
              <w:t>．常见粉尘爆炸作业场所和设备</w:t>
            </w:r>
            <w:r>
              <w:rPr>
                <w:sz w:val="24"/>
                <w:szCs w:val="24"/>
              </w:rPr>
              <w:t>:</w:t>
            </w:r>
            <w:r>
              <w:rPr>
                <w:rFonts w:hint="eastAsia"/>
                <w:sz w:val="24"/>
                <w:szCs w:val="24"/>
              </w:rPr>
              <w:t>包括厂房、仓库、密闭空间等作业场所和除尘设备、混合机、输送机、筛选机等设备。</w:t>
            </w:r>
            <w:r>
              <w:rPr>
                <w:rFonts w:cs="Times New Roman"/>
                <w:sz w:val="24"/>
                <w:szCs w:val="24"/>
              </w:rPr>
              <w:br w:type="textWrapping"/>
            </w:r>
            <w:r>
              <w:rPr>
                <w:rFonts w:cs="Times New Roman"/>
                <w:sz w:val="24"/>
                <w:szCs w:val="24"/>
              </w:rPr>
              <w:t>  </w:t>
            </w:r>
            <w:r>
              <w:rPr>
                <w:sz w:val="24"/>
                <w:szCs w:val="24"/>
              </w:rPr>
              <w:t>3</w:t>
            </w:r>
            <w:r>
              <w:rPr>
                <w:rFonts w:hint="eastAsia"/>
                <w:sz w:val="24"/>
                <w:szCs w:val="24"/>
              </w:rPr>
              <w:t>．常见爆炸粉尘：包括煤粉、面粉、化纤品、玉米粉、饲料粉、铝粉、锌粉、镁粉、硫磺粉、棉织品、麻织品、塑料粉、树脂及化工有机粉等。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19" w:type="dxa"/>
            <w:gridSpan w:val="6"/>
          </w:tcPr>
          <w:p>
            <w:pPr>
              <w:rPr>
                <w:rFonts w:cs="Times New Roman"/>
                <w:sz w:val="24"/>
                <w:szCs w:val="24"/>
              </w:rPr>
            </w:pPr>
            <w:r>
              <w:rPr>
                <w:rFonts w:hint="eastAsia"/>
                <w:b/>
                <w:bCs/>
                <w:sz w:val="24"/>
                <w:szCs w:val="24"/>
              </w:rPr>
              <w:t>注二：粉尘爆炸危险场所采用《企业通用安全检查清单》</w:t>
            </w:r>
            <w:r>
              <w:rPr>
                <w:b/>
                <w:bCs/>
                <w:sz w:val="24"/>
                <w:szCs w:val="24"/>
              </w:rPr>
              <w:t>+</w:t>
            </w:r>
            <w:r>
              <w:rPr>
                <w:rFonts w:hint="eastAsia"/>
                <w:b/>
                <w:bCs/>
                <w:sz w:val="24"/>
                <w:szCs w:val="24"/>
              </w:rPr>
              <w:t>本表对照检查。</w:t>
            </w:r>
          </w:p>
        </w:tc>
      </w:tr>
    </w:tbl>
    <w:p>
      <w:pPr>
        <w:spacing w:line="400" w:lineRule="exact"/>
        <w:rPr>
          <w:rFonts w:cs="Times New Roman"/>
          <w:sz w:val="28"/>
          <w:szCs w:val="28"/>
        </w:rPr>
      </w:pPr>
      <w:r>
        <w:rPr>
          <w:rFonts w:hint="eastAsia"/>
          <w:sz w:val="28"/>
          <w:szCs w:val="28"/>
        </w:rPr>
        <w:t>监督检查单位：</w:t>
      </w:r>
    </w:p>
    <w:p>
      <w:pPr>
        <w:spacing w:line="40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80" w:lineRule="exact"/>
        <w:jc w:val="center"/>
        <w:rPr>
          <w:rFonts w:cs="Times New Roman"/>
        </w:rPr>
      </w:pPr>
      <w:r>
        <w:rPr>
          <w:rFonts w:hint="eastAsia"/>
          <w:b/>
          <w:bCs/>
          <w:sz w:val="32"/>
          <w:szCs w:val="32"/>
        </w:rPr>
        <w:t>十</w:t>
      </w:r>
      <w:r>
        <w:rPr>
          <w:rFonts w:hint="eastAsia"/>
          <w:b/>
          <w:bCs/>
          <w:sz w:val="32"/>
          <w:szCs w:val="32"/>
          <w:lang w:eastAsia="zh-CN"/>
        </w:rPr>
        <w:t>一</w:t>
      </w:r>
      <w:r>
        <w:rPr>
          <w:rFonts w:hint="eastAsia"/>
          <w:b/>
          <w:bCs/>
          <w:sz w:val="32"/>
          <w:szCs w:val="32"/>
        </w:rPr>
        <w:t>、学校安全检查清单</w:t>
      </w:r>
    </w:p>
    <w:p>
      <w:pPr>
        <w:spacing w:line="520" w:lineRule="exact"/>
        <w:rPr>
          <w:rFonts w:cs="Times New Roman"/>
          <w:b/>
          <w:bCs/>
          <w:sz w:val="18"/>
          <w:szCs w:val="18"/>
        </w:rPr>
      </w:pPr>
      <w:r>
        <w:rPr>
          <w:rFonts w:hint="eastAsia"/>
          <w:b/>
          <w:bCs/>
          <w:sz w:val="24"/>
          <w:szCs w:val="24"/>
        </w:rPr>
        <w:t>被检学校：</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4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69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249"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997"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697" w:type="dxa"/>
          </w:tcPr>
          <w:p>
            <w:pPr>
              <w:spacing w:line="280" w:lineRule="exact"/>
              <w:jc w:val="center"/>
              <w:rPr>
                <w:rFonts w:cs="Times New Roman"/>
                <w:sz w:val="24"/>
                <w:szCs w:val="24"/>
              </w:rPr>
            </w:pPr>
            <w:r>
              <w:rPr>
                <w:rFonts w:hint="eastAsia"/>
                <w:sz w:val="24"/>
                <w:szCs w:val="24"/>
              </w:rPr>
              <w:t>否</w:t>
            </w:r>
          </w:p>
        </w:tc>
        <w:tc>
          <w:tcPr>
            <w:tcW w:w="1997"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1</w:t>
            </w:r>
          </w:p>
        </w:tc>
        <w:tc>
          <w:tcPr>
            <w:tcW w:w="718" w:type="dxa"/>
            <w:vAlign w:val="center"/>
          </w:tcPr>
          <w:p>
            <w:pPr>
              <w:rPr>
                <w:rFonts w:cs="Times New Roman"/>
                <w:color w:val="000000"/>
                <w:sz w:val="24"/>
                <w:szCs w:val="24"/>
              </w:rPr>
            </w:pPr>
            <w:r>
              <w:rPr>
                <w:rFonts w:hint="eastAsia"/>
                <w:color w:val="000000"/>
                <w:sz w:val="24"/>
                <w:szCs w:val="24"/>
              </w:rPr>
              <w:t>组织领导</w:t>
            </w:r>
          </w:p>
        </w:tc>
        <w:tc>
          <w:tcPr>
            <w:tcW w:w="5008" w:type="dxa"/>
          </w:tcPr>
          <w:p>
            <w:pPr>
              <w:rPr>
                <w:rFonts w:cs="Times New Roman"/>
                <w:color w:val="000000"/>
                <w:sz w:val="24"/>
                <w:szCs w:val="24"/>
              </w:rPr>
            </w:pPr>
            <w:r>
              <w:rPr>
                <w:rFonts w:hint="eastAsia"/>
                <w:color w:val="000000"/>
                <w:sz w:val="24"/>
                <w:szCs w:val="24"/>
              </w:rPr>
              <w:t>学校主要领导主持召开安全会议，</w:t>
            </w:r>
            <w:r>
              <w:rPr>
                <w:color w:val="000000"/>
                <w:sz w:val="24"/>
                <w:szCs w:val="24"/>
              </w:rPr>
              <w:t>4</w:t>
            </w:r>
            <w:r>
              <w:rPr>
                <w:rFonts w:hint="eastAsia"/>
                <w:color w:val="000000"/>
                <w:sz w:val="24"/>
                <w:szCs w:val="24"/>
              </w:rPr>
              <w:t>次</w:t>
            </w:r>
            <w:r>
              <w:rPr>
                <w:color w:val="000000"/>
                <w:sz w:val="24"/>
                <w:szCs w:val="24"/>
              </w:rPr>
              <w:t>/</w:t>
            </w:r>
            <w:r>
              <w:rPr>
                <w:rFonts w:hint="eastAsia"/>
                <w:color w:val="000000"/>
                <w:sz w:val="24"/>
                <w:szCs w:val="24"/>
              </w:rPr>
              <w:t>年；</w:t>
            </w:r>
            <w:r>
              <w:rPr>
                <w:color w:val="000000"/>
                <w:sz w:val="24"/>
                <w:szCs w:val="24"/>
              </w:rPr>
              <w:t xml:space="preserve"> </w:t>
            </w:r>
            <w:r>
              <w:rPr>
                <w:rFonts w:hint="eastAsia"/>
                <w:color w:val="000000"/>
                <w:sz w:val="24"/>
                <w:szCs w:val="24"/>
              </w:rPr>
              <w:t>学校召开年度安全工作会议；安全工作机构、人员、经费落实；安全工作半年有考核，年终有考核表彰；学校开展安全标准化建设、“平安校园”等级创建活动。</w:t>
            </w: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2</w:t>
            </w:r>
          </w:p>
        </w:tc>
        <w:tc>
          <w:tcPr>
            <w:tcW w:w="718" w:type="dxa"/>
            <w:vAlign w:val="center"/>
          </w:tcPr>
          <w:p>
            <w:pPr>
              <w:spacing w:line="420" w:lineRule="exact"/>
              <w:jc w:val="center"/>
              <w:rPr>
                <w:rFonts w:cs="Times New Roman"/>
                <w:sz w:val="24"/>
                <w:szCs w:val="24"/>
              </w:rPr>
            </w:pPr>
            <w:r>
              <w:rPr>
                <w:rFonts w:hint="eastAsia"/>
                <w:sz w:val="24"/>
                <w:szCs w:val="24"/>
              </w:rPr>
              <w:t>责任制度</w:t>
            </w:r>
          </w:p>
        </w:tc>
        <w:tc>
          <w:tcPr>
            <w:tcW w:w="5008" w:type="dxa"/>
          </w:tcPr>
          <w:p>
            <w:pPr>
              <w:rPr>
                <w:rFonts w:cs="Times New Roman"/>
                <w:color w:val="000000"/>
                <w:sz w:val="24"/>
                <w:szCs w:val="24"/>
              </w:rPr>
            </w:pPr>
            <w:r>
              <w:rPr>
                <w:rFonts w:hint="eastAsia"/>
                <w:color w:val="000000"/>
                <w:sz w:val="24"/>
                <w:szCs w:val="24"/>
              </w:rPr>
              <w:t>与各部门签订安全责任状；有关处室“一岗双责”履职落实；安全管理制度汇编成册，制度种类齐全。</w:t>
            </w: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3</w:t>
            </w:r>
          </w:p>
        </w:tc>
        <w:tc>
          <w:tcPr>
            <w:tcW w:w="718" w:type="dxa"/>
            <w:vAlign w:val="center"/>
          </w:tcPr>
          <w:p>
            <w:pPr>
              <w:rPr>
                <w:rFonts w:cs="Times New Roman"/>
                <w:sz w:val="24"/>
                <w:szCs w:val="24"/>
              </w:rPr>
            </w:pPr>
            <w:r>
              <w:rPr>
                <w:rFonts w:hint="eastAsia"/>
                <w:sz w:val="24"/>
                <w:szCs w:val="24"/>
              </w:rPr>
              <w:t>安全检查</w:t>
            </w:r>
          </w:p>
        </w:tc>
        <w:tc>
          <w:tcPr>
            <w:tcW w:w="5008" w:type="dxa"/>
          </w:tcPr>
          <w:p>
            <w:pPr>
              <w:rPr>
                <w:rFonts w:cs="Times New Roman"/>
                <w:color w:val="000000"/>
                <w:sz w:val="24"/>
                <w:szCs w:val="24"/>
              </w:rPr>
            </w:pPr>
            <w:r>
              <w:rPr>
                <w:rFonts w:hint="eastAsia"/>
                <w:color w:val="000000"/>
                <w:sz w:val="24"/>
                <w:szCs w:val="24"/>
              </w:rPr>
              <w:t>建立每日巡校和学期前、放假前检查制度，检查都要有记录，对隐患要做到定措施、定时间、定责任人的“三定”工作；开展校车巡查，校园内机动车、非机动车应有指定线路、区域停放和校门口车辆通行时间限制；有重大火灾隐患整治方案和检查记录材料；有校园及周边治安安全隐患整治记录；</w:t>
            </w:r>
            <w:r>
              <w:rPr>
                <w:color w:val="000000"/>
                <w:sz w:val="24"/>
                <w:szCs w:val="24"/>
              </w:rPr>
              <w:t xml:space="preserve"> </w:t>
            </w:r>
            <w:r>
              <w:rPr>
                <w:rFonts w:hint="eastAsia"/>
                <w:color w:val="000000"/>
                <w:sz w:val="24"/>
                <w:szCs w:val="24"/>
              </w:rPr>
              <w:t>防溺水工作方案及工作落实措施；学校领导每天有巡校检查；外来人员进入校园严格检查登记并有专人带入；学生宿舍检查管理。</w:t>
            </w: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restart"/>
            <w:vAlign w:val="center"/>
          </w:tcPr>
          <w:p>
            <w:pPr>
              <w:spacing w:line="280" w:lineRule="exact"/>
              <w:rPr>
                <w:sz w:val="28"/>
                <w:szCs w:val="28"/>
              </w:rPr>
            </w:pPr>
            <w:r>
              <w:rPr>
                <w:sz w:val="28"/>
                <w:szCs w:val="28"/>
              </w:rPr>
              <w:t>4</w:t>
            </w:r>
          </w:p>
          <w:p>
            <w:pPr>
              <w:spacing w:line="280" w:lineRule="exact"/>
              <w:jc w:val="center"/>
              <w:rPr>
                <w:rFonts w:cs="Times New Roman"/>
                <w:sz w:val="28"/>
                <w:szCs w:val="28"/>
              </w:rPr>
            </w:pPr>
          </w:p>
        </w:tc>
        <w:tc>
          <w:tcPr>
            <w:tcW w:w="718" w:type="dxa"/>
            <w:vMerge w:val="restart"/>
            <w:vAlign w:val="center"/>
          </w:tcPr>
          <w:p>
            <w:pPr>
              <w:rPr>
                <w:rFonts w:cs="Times New Roman"/>
                <w:sz w:val="24"/>
                <w:szCs w:val="24"/>
              </w:rPr>
            </w:pPr>
            <w:r>
              <w:rPr>
                <w:rFonts w:hint="eastAsia"/>
                <w:sz w:val="24"/>
                <w:szCs w:val="24"/>
              </w:rPr>
              <w:t>安全培训</w:t>
            </w:r>
          </w:p>
        </w:tc>
        <w:tc>
          <w:tcPr>
            <w:tcW w:w="5008" w:type="dxa"/>
            <w:vMerge w:val="restart"/>
          </w:tcPr>
          <w:p>
            <w:pPr>
              <w:rPr>
                <w:rFonts w:cs="Times New Roman"/>
                <w:color w:val="000000"/>
                <w:sz w:val="24"/>
                <w:szCs w:val="24"/>
              </w:rPr>
            </w:pPr>
            <w:r>
              <w:rPr>
                <w:rFonts w:hint="eastAsia"/>
                <w:color w:val="000000"/>
                <w:sz w:val="24"/>
                <w:szCs w:val="24"/>
              </w:rPr>
              <w:t>进行防火、灭火、防盗、逃生、防溺水、交通安全等基本常识教育，应在师生中普及，做到会说、会做、会指导。主要负责人和负责安全工作的领导、全体教师、学校安全专干、新教师参加安全培训；特种作业人员应经培训考核，持证上岗。</w:t>
            </w: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vAlign w:val="center"/>
          </w:tcPr>
          <w:p>
            <w:pPr>
              <w:spacing w:line="280" w:lineRule="exact"/>
              <w:jc w:val="center"/>
              <w:rPr>
                <w:rFonts w:cs="Times New Roman"/>
                <w:sz w:val="28"/>
                <w:szCs w:val="28"/>
              </w:rPr>
            </w:pPr>
          </w:p>
        </w:tc>
        <w:tc>
          <w:tcPr>
            <w:tcW w:w="718" w:type="dxa"/>
            <w:vMerge w:val="continue"/>
            <w:vAlign w:val="center"/>
          </w:tcPr>
          <w:p>
            <w:pPr>
              <w:jc w:val="center"/>
              <w:rPr>
                <w:rFonts w:cs="Times New Roman"/>
                <w:sz w:val="24"/>
                <w:szCs w:val="24"/>
              </w:rPr>
            </w:pPr>
          </w:p>
        </w:tc>
        <w:tc>
          <w:tcPr>
            <w:tcW w:w="5008" w:type="dxa"/>
            <w:vMerge w:val="continue"/>
          </w:tcPr>
          <w:p>
            <w:pPr>
              <w:rPr>
                <w:rFonts w:cs="Times New Roman"/>
                <w:color w:val="000000"/>
                <w:sz w:val="24"/>
                <w:szCs w:val="24"/>
              </w:rPr>
            </w:pP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rPr>
                <w:sz w:val="28"/>
                <w:szCs w:val="28"/>
              </w:rPr>
            </w:pPr>
            <w:r>
              <w:rPr>
                <w:sz w:val="28"/>
                <w:szCs w:val="28"/>
              </w:rPr>
              <w:t>5</w:t>
            </w:r>
          </w:p>
        </w:tc>
        <w:tc>
          <w:tcPr>
            <w:tcW w:w="718" w:type="dxa"/>
            <w:vAlign w:val="center"/>
          </w:tcPr>
          <w:p>
            <w:pPr>
              <w:rPr>
                <w:rFonts w:cs="Times New Roman"/>
                <w:sz w:val="24"/>
                <w:szCs w:val="24"/>
              </w:rPr>
            </w:pPr>
            <w:r>
              <w:rPr>
                <w:rFonts w:hint="eastAsia"/>
                <w:sz w:val="24"/>
                <w:szCs w:val="24"/>
              </w:rPr>
              <w:t>安全条件</w:t>
            </w:r>
          </w:p>
        </w:tc>
        <w:tc>
          <w:tcPr>
            <w:tcW w:w="5008" w:type="dxa"/>
          </w:tcPr>
          <w:p>
            <w:pPr>
              <w:rPr>
                <w:rFonts w:cs="Times New Roman"/>
                <w:sz w:val="24"/>
                <w:szCs w:val="24"/>
              </w:rPr>
            </w:pPr>
            <w:r>
              <w:rPr>
                <w:rFonts w:hint="eastAsia"/>
                <w:color w:val="000000"/>
                <w:sz w:val="24"/>
                <w:szCs w:val="24"/>
              </w:rPr>
              <w:t>校舍建筑符合安全标准；学校建筑物不租借作从事有害有毒、易燃、易爆危险品生产经营场所；符合租借条件的应签订合同，合同中有安全和治安管理条款；新改扩建校内的建筑物其安全设施必须与主体工程同时设计、同时施工、同时投入使用；按规定设置消防设施并保持完好有效；疏散通道、指示标志、应急照明、安全出口、消防通道、防火间距、公共疏散门符合消防技术标准；校园技防设施应达到教育部标准；设立治安岗或警务室，校外醒目位置有警务公开栏。校门口值班室有外线电话和紧急报警按钮，按钮接入公安监控平台；</w:t>
            </w:r>
          </w:p>
        </w:tc>
        <w:tc>
          <w:tcPr>
            <w:tcW w:w="552" w:type="dxa"/>
          </w:tcPr>
          <w:p>
            <w:pPr>
              <w:spacing w:line="280" w:lineRule="exact"/>
              <w:jc w:val="center"/>
              <w:rPr>
                <w:rFonts w:cs="Times New Roman"/>
                <w:sz w:val="24"/>
                <w:szCs w:val="24"/>
              </w:rPr>
            </w:pPr>
          </w:p>
        </w:tc>
        <w:tc>
          <w:tcPr>
            <w:tcW w:w="697" w:type="dxa"/>
          </w:tcPr>
          <w:p>
            <w:pPr>
              <w:spacing w:line="280" w:lineRule="exact"/>
              <w:jc w:val="center"/>
              <w:rPr>
                <w:rFonts w:cs="Times New Roman"/>
                <w:sz w:val="24"/>
                <w:szCs w:val="24"/>
              </w:rPr>
            </w:pPr>
          </w:p>
        </w:tc>
        <w:tc>
          <w:tcPr>
            <w:tcW w:w="1997" w:type="dxa"/>
          </w:tcPr>
          <w:p>
            <w:pPr>
              <w:rPr>
                <w:rFonts w:cs="Times New Roman"/>
                <w:sz w:val="24"/>
                <w:szCs w:val="24"/>
              </w:rPr>
            </w:pPr>
          </w:p>
        </w:tc>
      </w:tr>
    </w:tbl>
    <w:p>
      <w:pPr>
        <w:spacing w:line="560" w:lineRule="exact"/>
        <w:jc w:val="center"/>
        <w:rPr>
          <w:rFonts w:cs="Times New Roman"/>
          <w:b/>
          <w:bCs/>
          <w:sz w:val="32"/>
          <w:szCs w:val="32"/>
        </w:rPr>
      </w:pPr>
    </w:p>
    <w:p>
      <w:pPr>
        <w:spacing w:line="560" w:lineRule="exact"/>
        <w:jc w:val="center"/>
        <w:rPr>
          <w:rFonts w:cs="Times New Roman"/>
          <w:b/>
          <w:bCs/>
          <w:sz w:val="32"/>
          <w:szCs w:val="32"/>
        </w:rPr>
      </w:pPr>
    </w:p>
    <w:p>
      <w:pPr>
        <w:spacing w:line="560" w:lineRule="exact"/>
        <w:jc w:val="center"/>
        <w:rPr>
          <w:rFonts w:cs="Times New Roman"/>
          <w:b/>
          <w:bCs/>
          <w:sz w:val="18"/>
          <w:szCs w:val="18"/>
        </w:rPr>
      </w:pPr>
      <w:r>
        <w:rPr>
          <w:rFonts w:hint="eastAsia"/>
          <w:b/>
          <w:bCs/>
          <w:sz w:val="32"/>
          <w:szCs w:val="32"/>
        </w:rPr>
        <w:t>十</w:t>
      </w:r>
      <w:r>
        <w:rPr>
          <w:rFonts w:hint="eastAsia"/>
          <w:b/>
          <w:bCs/>
          <w:sz w:val="32"/>
          <w:szCs w:val="32"/>
          <w:lang w:eastAsia="zh-CN"/>
        </w:rPr>
        <w:t>一</w:t>
      </w:r>
      <w:r>
        <w:rPr>
          <w:rFonts w:hint="eastAsia"/>
          <w:b/>
          <w:bCs/>
          <w:sz w:val="32"/>
          <w:szCs w:val="32"/>
        </w:rPr>
        <w:t>、学校安全检查清单</w:t>
      </w:r>
      <w:r>
        <w:rPr>
          <w:rFonts w:hint="eastAsia"/>
          <w:sz w:val="32"/>
          <w:szCs w:val="32"/>
        </w:rPr>
        <w:t>（续）</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00" w:lineRule="exact"/>
              <w:jc w:val="center"/>
              <w:rPr>
                <w:sz w:val="28"/>
                <w:szCs w:val="28"/>
              </w:rPr>
            </w:pPr>
            <w:r>
              <w:rPr>
                <w:sz w:val="28"/>
                <w:szCs w:val="28"/>
              </w:rPr>
              <w:t>5</w:t>
            </w:r>
          </w:p>
        </w:tc>
        <w:tc>
          <w:tcPr>
            <w:tcW w:w="718" w:type="dxa"/>
            <w:vAlign w:val="center"/>
          </w:tcPr>
          <w:p>
            <w:pPr>
              <w:spacing w:line="400" w:lineRule="exact"/>
              <w:rPr>
                <w:rFonts w:cs="Times New Roman"/>
                <w:color w:val="000000"/>
                <w:sz w:val="24"/>
                <w:szCs w:val="24"/>
              </w:rPr>
            </w:pPr>
            <w:r>
              <w:rPr>
                <w:rFonts w:hint="eastAsia"/>
                <w:color w:val="000000"/>
                <w:sz w:val="24"/>
                <w:szCs w:val="24"/>
              </w:rPr>
              <w:t>安全条件</w:t>
            </w:r>
          </w:p>
          <w:p>
            <w:pPr>
              <w:spacing w:line="400" w:lineRule="exact"/>
              <w:jc w:val="center"/>
              <w:rPr>
                <w:rFonts w:cs="Times New Roman"/>
                <w:sz w:val="24"/>
                <w:szCs w:val="24"/>
              </w:rPr>
            </w:pPr>
          </w:p>
        </w:tc>
        <w:tc>
          <w:tcPr>
            <w:tcW w:w="5008" w:type="dxa"/>
          </w:tcPr>
          <w:p>
            <w:pPr>
              <w:spacing w:line="400" w:lineRule="exact"/>
              <w:rPr>
                <w:rFonts w:cs="Times New Roman"/>
                <w:color w:val="000000"/>
                <w:sz w:val="24"/>
                <w:szCs w:val="24"/>
              </w:rPr>
            </w:pPr>
            <w:r>
              <w:rPr>
                <w:rFonts w:hint="eastAsia"/>
                <w:color w:val="000000"/>
                <w:sz w:val="24"/>
                <w:szCs w:val="24"/>
              </w:rPr>
              <w:t>聘请保安护校，有年度对派驻学校保安的评价报告；电气设备和临时电线架设符合电气规程标准，配电房符合安全要求，用具齐全、安全；</w:t>
            </w:r>
            <w:r>
              <w:rPr>
                <w:rFonts w:cs="Times New Roman"/>
                <w:color w:val="000000"/>
                <w:sz w:val="24"/>
                <w:szCs w:val="24"/>
              </w:rPr>
              <w:br w:type="textWrapping"/>
            </w:r>
            <w:r>
              <w:rPr>
                <w:rFonts w:hint="eastAsia"/>
                <w:color w:val="000000"/>
                <w:sz w:val="24"/>
                <w:szCs w:val="24"/>
              </w:rPr>
              <w:t>电梯、锅炉等特种设备及安全配件定期鉴定或检验；危险性较大的教学设备与场所有安全防护设施；校内在建工程及危险作业场所设置明显的警示标志；不在校外租借不合格的校舍从事教育教学活动；食堂持有有效《餐饮服务许可证》；从业人员有《健康证》按时年检；有大宗食品进货凭证台帐并由</w:t>
            </w:r>
            <w:r>
              <w:rPr>
                <w:color w:val="000000"/>
                <w:sz w:val="24"/>
                <w:szCs w:val="24"/>
              </w:rPr>
              <w:t>2</w:t>
            </w:r>
            <w:r>
              <w:rPr>
                <w:rFonts w:hint="eastAsia"/>
                <w:color w:val="000000"/>
                <w:sz w:val="24"/>
                <w:szCs w:val="24"/>
              </w:rPr>
              <w:t>个以上责任人签收；食品留样规范、记录完整；每年投保安全责任险及附加保险，无校方责任情况。</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00" w:lineRule="exact"/>
              <w:jc w:val="center"/>
              <w:rPr>
                <w:sz w:val="28"/>
                <w:szCs w:val="28"/>
              </w:rPr>
            </w:pPr>
            <w:r>
              <w:rPr>
                <w:sz w:val="28"/>
                <w:szCs w:val="28"/>
              </w:rPr>
              <w:t>6</w:t>
            </w:r>
          </w:p>
        </w:tc>
        <w:tc>
          <w:tcPr>
            <w:tcW w:w="718" w:type="dxa"/>
            <w:vAlign w:val="center"/>
          </w:tcPr>
          <w:p>
            <w:pPr>
              <w:spacing w:line="400" w:lineRule="exact"/>
              <w:jc w:val="center"/>
              <w:rPr>
                <w:rFonts w:cs="Times New Roman"/>
                <w:color w:val="000000"/>
                <w:sz w:val="24"/>
                <w:szCs w:val="24"/>
              </w:rPr>
            </w:pPr>
            <w:r>
              <w:rPr>
                <w:rFonts w:hint="eastAsia"/>
                <w:color w:val="000000"/>
                <w:sz w:val="24"/>
                <w:szCs w:val="24"/>
              </w:rPr>
              <w:t>事故事件应急处置</w:t>
            </w:r>
          </w:p>
        </w:tc>
        <w:tc>
          <w:tcPr>
            <w:tcW w:w="5008" w:type="dxa"/>
          </w:tcPr>
          <w:p>
            <w:pPr>
              <w:spacing w:line="400" w:lineRule="exact"/>
              <w:rPr>
                <w:rFonts w:cs="Times New Roman"/>
                <w:color w:val="000000"/>
                <w:sz w:val="24"/>
                <w:szCs w:val="24"/>
              </w:rPr>
            </w:pPr>
            <w:r>
              <w:rPr>
                <w:rFonts w:hint="eastAsia"/>
                <w:color w:val="000000"/>
                <w:sz w:val="24"/>
                <w:szCs w:val="24"/>
              </w:rPr>
              <w:t>制定校园各类突发事件应急预案、反恐防范工作方案；建立应急救援队伍，开展应急救援人员培训；学校要有避险场所，制定校园突发事件处置和上报简易流程图并张挂在校园醒目处；无发生事故迟报、漏报、谎报、瞒报情况，发生事故及时进行处置。</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480" w:lineRule="exact"/>
        <w:rPr>
          <w:rFonts w:cs="Times New Roman"/>
          <w:sz w:val="28"/>
          <w:szCs w:val="28"/>
        </w:rPr>
      </w:pPr>
    </w:p>
    <w:p>
      <w:pPr>
        <w:spacing w:line="480" w:lineRule="exact"/>
        <w:rPr>
          <w:rFonts w:cs="Times New Roman"/>
          <w:sz w:val="28"/>
          <w:szCs w:val="28"/>
        </w:rPr>
      </w:pPr>
      <w:r>
        <w:rPr>
          <w:rFonts w:hint="eastAsia"/>
          <w:sz w:val="28"/>
          <w:szCs w:val="28"/>
        </w:rPr>
        <w:t>监督检查单位：</w:t>
      </w:r>
    </w:p>
    <w:p>
      <w:pPr>
        <w:spacing w:line="480" w:lineRule="exact"/>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480" w:lineRule="exact"/>
        <w:rPr>
          <w:rFonts w:cs="Times New Roman"/>
          <w:sz w:val="28"/>
          <w:szCs w:val="28"/>
        </w:rPr>
      </w:pPr>
    </w:p>
    <w:p>
      <w:pPr>
        <w:spacing w:line="560" w:lineRule="exact"/>
        <w:jc w:val="center"/>
        <w:rPr>
          <w:rFonts w:cs="Times New Roman"/>
          <w:b/>
          <w:bCs/>
          <w:sz w:val="32"/>
          <w:szCs w:val="32"/>
        </w:rPr>
      </w:pPr>
      <w:r>
        <w:rPr>
          <w:rFonts w:hint="eastAsia"/>
          <w:b/>
          <w:bCs/>
          <w:sz w:val="32"/>
          <w:szCs w:val="32"/>
        </w:rPr>
        <w:t>十</w:t>
      </w:r>
      <w:r>
        <w:rPr>
          <w:rFonts w:hint="eastAsia"/>
          <w:b/>
          <w:bCs/>
          <w:sz w:val="32"/>
          <w:szCs w:val="32"/>
          <w:lang w:eastAsia="zh-CN"/>
        </w:rPr>
        <w:t>二</w:t>
      </w:r>
      <w:r>
        <w:rPr>
          <w:rFonts w:hint="eastAsia"/>
          <w:b/>
          <w:bCs/>
          <w:sz w:val="32"/>
          <w:szCs w:val="32"/>
        </w:rPr>
        <w:t>、餐饮场所燃气安全检查清单</w:t>
      </w:r>
    </w:p>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9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940"/>
        <w:gridCol w:w="540"/>
        <w:gridCol w:w="5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spacing w:line="280" w:lineRule="exact"/>
              <w:jc w:val="center"/>
              <w:rPr>
                <w:rFonts w:cs="Times New Roman"/>
                <w:sz w:val="24"/>
                <w:szCs w:val="24"/>
              </w:rPr>
            </w:pPr>
            <w:r>
              <w:rPr>
                <w:rFonts w:hint="eastAsia"/>
                <w:sz w:val="24"/>
                <w:szCs w:val="24"/>
              </w:rPr>
              <w:t>序号</w:t>
            </w:r>
          </w:p>
        </w:tc>
        <w:tc>
          <w:tcPr>
            <w:tcW w:w="720" w:type="dxa"/>
            <w:vMerge w:val="restart"/>
            <w:vAlign w:val="center"/>
          </w:tcPr>
          <w:p>
            <w:pPr>
              <w:spacing w:line="280" w:lineRule="exact"/>
              <w:rPr>
                <w:rFonts w:cs="Times New Roman"/>
                <w:sz w:val="24"/>
                <w:szCs w:val="24"/>
              </w:rPr>
            </w:pPr>
            <w:r>
              <w:rPr>
                <w:rFonts w:hint="eastAsia"/>
                <w:sz w:val="24"/>
                <w:szCs w:val="24"/>
              </w:rPr>
              <w:t>检查类别</w:t>
            </w:r>
          </w:p>
        </w:tc>
        <w:tc>
          <w:tcPr>
            <w:tcW w:w="5940" w:type="dxa"/>
            <w:vMerge w:val="restart"/>
            <w:vAlign w:val="center"/>
          </w:tcPr>
          <w:p>
            <w:pPr>
              <w:spacing w:line="460" w:lineRule="exact"/>
              <w:jc w:val="center"/>
              <w:rPr>
                <w:rFonts w:cs="Times New Roman"/>
                <w:sz w:val="24"/>
                <w:szCs w:val="24"/>
              </w:rPr>
            </w:pPr>
            <w:r>
              <w:rPr>
                <w:rFonts w:hint="eastAsia"/>
                <w:sz w:val="24"/>
                <w:szCs w:val="24"/>
              </w:rPr>
              <w:t>检查标准要求</w:t>
            </w:r>
          </w:p>
        </w:tc>
        <w:tc>
          <w:tcPr>
            <w:tcW w:w="1080" w:type="dxa"/>
            <w:gridSpan w:val="2"/>
            <w:vAlign w:val="center"/>
          </w:tcPr>
          <w:p>
            <w:pPr>
              <w:spacing w:line="280" w:lineRule="exact"/>
              <w:ind w:right="-112" w:rightChars="-51"/>
              <w:jc w:val="center"/>
              <w:rPr>
                <w:rFonts w:cs="Times New Roman"/>
                <w:sz w:val="24"/>
                <w:szCs w:val="24"/>
              </w:rPr>
            </w:pPr>
            <w:r>
              <w:rPr>
                <w:rFonts w:hint="eastAsia"/>
                <w:sz w:val="24"/>
                <w:szCs w:val="24"/>
              </w:rPr>
              <w:t>检查结果</w:t>
            </w:r>
          </w:p>
        </w:tc>
        <w:tc>
          <w:tcPr>
            <w:tcW w:w="1620" w:type="dxa"/>
            <w:vMerge w:val="restart"/>
            <w:vAlign w:val="center"/>
          </w:tcPr>
          <w:p>
            <w:pPr>
              <w:spacing w:line="460" w:lineRule="exact"/>
              <w:ind w:left="-277" w:leftChars="-126"/>
              <w:jc w:val="center"/>
              <w:rPr>
                <w:rFonts w:cs="Times New Roman"/>
                <w:sz w:val="24"/>
                <w:szCs w:val="24"/>
              </w:rPr>
            </w:pPr>
            <w:r>
              <w:rPr>
                <w:sz w:val="24"/>
                <w:szCs w:val="24"/>
              </w:rPr>
              <w:t xml:space="preserve"> </w:t>
            </w:r>
            <w:r>
              <w:rPr>
                <w:rFonts w:hint="eastAsia"/>
                <w:sz w:val="24"/>
                <w:szCs w:val="24"/>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40" w:type="dxa"/>
            <w:vMerge w:val="continue"/>
            <w:vAlign w:val="center"/>
          </w:tcPr>
          <w:p>
            <w:pPr>
              <w:jc w:val="center"/>
              <w:rPr>
                <w:rFonts w:cs="Times New Roman"/>
                <w:sz w:val="24"/>
                <w:szCs w:val="24"/>
              </w:rPr>
            </w:pPr>
          </w:p>
        </w:tc>
        <w:tc>
          <w:tcPr>
            <w:tcW w:w="720" w:type="dxa"/>
            <w:vMerge w:val="continue"/>
            <w:vAlign w:val="center"/>
          </w:tcPr>
          <w:p>
            <w:pPr>
              <w:rPr>
                <w:rFonts w:cs="Times New Roman"/>
                <w:sz w:val="24"/>
                <w:szCs w:val="24"/>
              </w:rPr>
            </w:pPr>
          </w:p>
        </w:tc>
        <w:tc>
          <w:tcPr>
            <w:tcW w:w="5940" w:type="dxa"/>
            <w:vMerge w:val="continue"/>
            <w:vAlign w:val="center"/>
          </w:tcPr>
          <w:p>
            <w:pPr>
              <w:rPr>
                <w:rFonts w:cs="Times New Roman"/>
                <w:sz w:val="24"/>
                <w:szCs w:val="24"/>
              </w:rPr>
            </w:pPr>
          </w:p>
        </w:tc>
        <w:tc>
          <w:tcPr>
            <w:tcW w:w="540" w:type="dxa"/>
            <w:vAlign w:val="center"/>
          </w:tcPr>
          <w:p>
            <w:pPr>
              <w:spacing w:line="280" w:lineRule="exact"/>
              <w:jc w:val="center"/>
              <w:rPr>
                <w:rFonts w:cs="Times New Roman"/>
                <w:sz w:val="24"/>
                <w:szCs w:val="24"/>
              </w:rPr>
            </w:pPr>
            <w:r>
              <w:rPr>
                <w:rFonts w:hint="eastAsia"/>
                <w:sz w:val="24"/>
                <w:szCs w:val="24"/>
              </w:rPr>
              <w:t>是</w:t>
            </w:r>
          </w:p>
        </w:tc>
        <w:tc>
          <w:tcPr>
            <w:tcW w:w="540" w:type="dxa"/>
            <w:vAlign w:val="center"/>
          </w:tcPr>
          <w:p>
            <w:pPr>
              <w:spacing w:line="280" w:lineRule="exact"/>
              <w:jc w:val="center"/>
              <w:rPr>
                <w:rFonts w:cs="Times New Roman"/>
                <w:sz w:val="24"/>
                <w:szCs w:val="24"/>
              </w:rPr>
            </w:pPr>
            <w:r>
              <w:rPr>
                <w:rFonts w:hint="eastAsia"/>
                <w:sz w:val="24"/>
                <w:szCs w:val="24"/>
              </w:rPr>
              <w:t>否</w:t>
            </w:r>
          </w:p>
        </w:tc>
        <w:tc>
          <w:tcPr>
            <w:tcW w:w="1620" w:type="dxa"/>
            <w:vMerge w:val="continue"/>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1</w:t>
            </w:r>
          </w:p>
        </w:tc>
        <w:tc>
          <w:tcPr>
            <w:tcW w:w="720" w:type="dxa"/>
            <w:vMerge w:val="restart"/>
            <w:vAlign w:val="center"/>
          </w:tcPr>
          <w:p>
            <w:pPr>
              <w:spacing w:line="280" w:lineRule="exact"/>
              <w:rPr>
                <w:rFonts w:cs="Times New Roman"/>
                <w:sz w:val="24"/>
                <w:szCs w:val="24"/>
              </w:rPr>
            </w:pPr>
            <w:r>
              <w:rPr>
                <w:rFonts w:hint="eastAsia"/>
                <w:sz w:val="24"/>
                <w:szCs w:val="24"/>
              </w:rPr>
              <w:t>供用气场所</w:t>
            </w:r>
          </w:p>
        </w:tc>
        <w:tc>
          <w:tcPr>
            <w:tcW w:w="5940" w:type="dxa"/>
            <w:vAlign w:val="center"/>
          </w:tcPr>
          <w:p>
            <w:pPr>
              <w:spacing w:line="280" w:lineRule="exact"/>
              <w:rPr>
                <w:rFonts w:cs="Times New Roman"/>
                <w:sz w:val="24"/>
                <w:szCs w:val="24"/>
              </w:rPr>
            </w:pPr>
            <w:r>
              <w:rPr>
                <w:rFonts w:hint="eastAsia"/>
                <w:sz w:val="24"/>
                <w:szCs w:val="24"/>
              </w:rPr>
              <w:t>气瓶不得设置在地下室、半地下室、高层建筑或通风不良的场所及居住房间内。</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0" w:type="dxa"/>
            <w:vAlign w:val="center"/>
          </w:tcPr>
          <w:p>
            <w:pPr>
              <w:spacing w:line="280" w:lineRule="exact"/>
              <w:jc w:val="center"/>
              <w:rPr>
                <w:sz w:val="24"/>
                <w:szCs w:val="24"/>
              </w:rPr>
            </w:pPr>
            <w:r>
              <w:rPr>
                <w:sz w:val="24"/>
                <w:szCs w:val="24"/>
              </w:rPr>
              <w:t>2</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不得使用可重复充装燃气钢瓶作为火锅热源。</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3</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sz w:val="24"/>
                <w:szCs w:val="24"/>
              </w:rPr>
              <w:t>50kg</w:t>
            </w:r>
            <w:r>
              <w:rPr>
                <w:rFonts w:hint="eastAsia"/>
                <w:sz w:val="24"/>
                <w:szCs w:val="24"/>
              </w:rPr>
              <w:t>气瓶</w:t>
            </w:r>
            <w:r>
              <w:rPr>
                <w:sz w:val="24"/>
                <w:szCs w:val="24"/>
              </w:rPr>
              <w:t>3</w:t>
            </w:r>
            <w:r>
              <w:rPr>
                <w:rFonts w:hint="eastAsia"/>
                <w:sz w:val="24"/>
                <w:szCs w:val="24"/>
              </w:rPr>
              <w:t>个及</w:t>
            </w:r>
            <w:r>
              <w:rPr>
                <w:sz w:val="24"/>
                <w:szCs w:val="24"/>
              </w:rPr>
              <w:t>3</w:t>
            </w:r>
            <w:r>
              <w:rPr>
                <w:rFonts w:hint="eastAsia"/>
                <w:sz w:val="24"/>
                <w:szCs w:val="24"/>
              </w:rPr>
              <w:t>个以上、</w:t>
            </w:r>
            <w:r>
              <w:rPr>
                <w:sz w:val="24"/>
                <w:szCs w:val="24"/>
              </w:rPr>
              <w:t>15kg</w:t>
            </w:r>
            <w:r>
              <w:rPr>
                <w:rFonts w:hint="eastAsia"/>
                <w:sz w:val="24"/>
                <w:szCs w:val="24"/>
              </w:rPr>
              <w:t>气瓶</w:t>
            </w:r>
            <w:r>
              <w:rPr>
                <w:sz w:val="24"/>
                <w:szCs w:val="24"/>
              </w:rPr>
              <w:t>7</w:t>
            </w:r>
            <w:r>
              <w:rPr>
                <w:rFonts w:hint="eastAsia"/>
                <w:sz w:val="24"/>
                <w:szCs w:val="24"/>
              </w:rPr>
              <w:t>个或</w:t>
            </w:r>
            <w:r>
              <w:rPr>
                <w:sz w:val="24"/>
                <w:szCs w:val="24"/>
              </w:rPr>
              <w:t>7</w:t>
            </w:r>
            <w:r>
              <w:rPr>
                <w:rFonts w:hint="eastAsia"/>
                <w:sz w:val="24"/>
                <w:szCs w:val="24"/>
              </w:rPr>
              <w:t>个以上的，应设立独立瓶组间。</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4</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不得在用气场所内使用其它燃料（如油、醇基燃料等）作为热源。</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0" w:type="dxa"/>
            <w:vAlign w:val="center"/>
          </w:tcPr>
          <w:p>
            <w:pPr>
              <w:spacing w:line="280" w:lineRule="exact"/>
              <w:jc w:val="center"/>
              <w:rPr>
                <w:sz w:val="24"/>
                <w:szCs w:val="24"/>
              </w:rPr>
            </w:pPr>
            <w:r>
              <w:rPr>
                <w:sz w:val="24"/>
                <w:szCs w:val="24"/>
              </w:rPr>
              <w:t>5</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用气场所应干燥整洁，无油污及其他腐蚀性物质。</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6</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用气场所应有机械排风设施，机械排风设施应工作良好。</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0" w:type="dxa"/>
            <w:vAlign w:val="center"/>
          </w:tcPr>
          <w:p>
            <w:pPr>
              <w:spacing w:line="280" w:lineRule="exact"/>
              <w:jc w:val="center"/>
              <w:rPr>
                <w:sz w:val="24"/>
                <w:szCs w:val="24"/>
              </w:rPr>
            </w:pPr>
            <w:r>
              <w:rPr>
                <w:sz w:val="24"/>
                <w:szCs w:val="24"/>
              </w:rPr>
              <w:t>7</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用气设备操作间</w:t>
            </w:r>
            <w:r>
              <w:rPr>
                <w:sz w:val="24"/>
                <w:szCs w:val="24"/>
              </w:rPr>
              <w:t>,</w:t>
            </w:r>
            <w:r>
              <w:rPr>
                <w:rFonts w:hint="eastAsia"/>
                <w:sz w:val="24"/>
                <w:szCs w:val="24"/>
              </w:rPr>
              <w:t>至少应配置</w:t>
            </w:r>
            <w:r>
              <w:rPr>
                <w:sz w:val="24"/>
                <w:szCs w:val="24"/>
              </w:rPr>
              <w:t>8kg</w:t>
            </w:r>
            <w:r>
              <w:rPr>
                <w:rFonts w:hint="eastAsia"/>
                <w:sz w:val="24"/>
                <w:szCs w:val="24"/>
              </w:rPr>
              <w:t>干粉灭火器</w:t>
            </w:r>
            <w:r>
              <w:rPr>
                <w:sz w:val="24"/>
                <w:szCs w:val="24"/>
              </w:rPr>
              <w:t>2</w:t>
            </w:r>
            <w:r>
              <w:rPr>
                <w:rFonts w:hint="eastAsia"/>
                <w:sz w:val="24"/>
                <w:szCs w:val="24"/>
              </w:rPr>
              <w:t>具。</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8</w:t>
            </w:r>
          </w:p>
        </w:tc>
        <w:tc>
          <w:tcPr>
            <w:tcW w:w="720" w:type="dxa"/>
            <w:vMerge w:val="restart"/>
            <w:vAlign w:val="center"/>
          </w:tcPr>
          <w:p>
            <w:pPr>
              <w:spacing w:line="280" w:lineRule="exact"/>
              <w:rPr>
                <w:rFonts w:cs="Times New Roman"/>
                <w:sz w:val="24"/>
                <w:szCs w:val="24"/>
              </w:rPr>
            </w:pPr>
            <w:r>
              <w:rPr>
                <w:rFonts w:hint="eastAsia"/>
                <w:sz w:val="24"/>
                <w:szCs w:val="24"/>
              </w:rPr>
              <w:t>供用气设备及连接管件</w:t>
            </w:r>
          </w:p>
        </w:tc>
        <w:tc>
          <w:tcPr>
            <w:tcW w:w="5940" w:type="dxa"/>
            <w:vAlign w:val="center"/>
          </w:tcPr>
          <w:p>
            <w:pPr>
              <w:spacing w:line="280" w:lineRule="exact"/>
              <w:rPr>
                <w:rFonts w:cs="Times New Roman"/>
                <w:color w:val="000000"/>
                <w:sz w:val="24"/>
                <w:szCs w:val="24"/>
              </w:rPr>
            </w:pPr>
            <w:r>
              <w:rPr>
                <w:rFonts w:hint="eastAsia"/>
                <w:color w:val="000000"/>
                <w:sz w:val="24"/>
                <w:szCs w:val="24"/>
              </w:rPr>
              <w:t>使用的气瓶应是正规燃气经营企业的气瓶，在检测有效期内，气瓶角阀应当密封良好，无漏气现象。</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9</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燃气用气设备，应由有资质的生产厂生产，具有产品合格证、产品安装使用说明书和质量保证书；产品外观应有产品标牌，并有出厂日期。</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40" w:type="dxa"/>
            <w:vAlign w:val="center"/>
          </w:tcPr>
          <w:p>
            <w:pPr>
              <w:spacing w:line="280" w:lineRule="exact"/>
              <w:jc w:val="center"/>
              <w:rPr>
                <w:sz w:val="24"/>
                <w:szCs w:val="24"/>
              </w:rPr>
            </w:pPr>
            <w:r>
              <w:rPr>
                <w:sz w:val="24"/>
                <w:szCs w:val="24"/>
              </w:rPr>
              <w:t>10</w:t>
            </w:r>
          </w:p>
        </w:tc>
        <w:tc>
          <w:tcPr>
            <w:tcW w:w="720" w:type="dxa"/>
            <w:vMerge w:val="continue"/>
            <w:vAlign w:val="center"/>
          </w:tcPr>
          <w:p>
            <w:pPr>
              <w:spacing w:line="280" w:lineRule="exact"/>
              <w:rPr>
                <w:rFonts w:cs="Times New Roman"/>
                <w:sz w:val="24"/>
                <w:szCs w:val="24"/>
              </w:rPr>
            </w:pPr>
          </w:p>
        </w:tc>
        <w:tc>
          <w:tcPr>
            <w:tcW w:w="5940" w:type="dxa"/>
            <w:vAlign w:val="center"/>
          </w:tcPr>
          <w:p>
            <w:pPr>
              <w:adjustRightInd w:val="0"/>
              <w:spacing w:line="280" w:lineRule="exact"/>
              <w:rPr>
                <w:rFonts w:cs="Times New Roman"/>
                <w:sz w:val="24"/>
                <w:szCs w:val="24"/>
              </w:rPr>
            </w:pPr>
            <w:r>
              <w:rPr>
                <w:rFonts w:hint="eastAsia"/>
                <w:sz w:val="24"/>
                <w:szCs w:val="24"/>
              </w:rPr>
              <w:t>用气设备宜采用低压燃气设备。安装其它设备时，应保证燃气设备的安全。</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11</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color w:val="000000"/>
                <w:sz w:val="24"/>
                <w:szCs w:val="24"/>
              </w:rPr>
            </w:pPr>
            <w:r>
              <w:rPr>
                <w:rFonts w:hint="eastAsia"/>
                <w:sz w:val="24"/>
                <w:szCs w:val="24"/>
              </w:rPr>
              <w:t>钢瓶与单台燃气灶具之间连结时，灶具与钢瓶之间的净距离不应小于</w:t>
            </w:r>
            <w:r>
              <w:rPr>
                <w:sz w:val="24"/>
                <w:szCs w:val="24"/>
              </w:rPr>
              <w:t>0.5m</w:t>
            </w:r>
            <w:r>
              <w:rPr>
                <w:rFonts w:hint="eastAsia"/>
                <w:sz w:val="24"/>
                <w:szCs w:val="24"/>
              </w:rPr>
              <w:t>。</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12</w:t>
            </w:r>
          </w:p>
        </w:tc>
        <w:tc>
          <w:tcPr>
            <w:tcW w:w="720" w:type="dxa"/>
            <w:vMerge w:val="continue"/>
            <w:vAlign w:val="center"/>
          </w:tcPr>
          <w:p>
            <w:pPr>
              <w:spacing w:line="280" w:lineRule="exact"/>
              <w:rPr>
                <w:rFonts w:cs="Times New Roman"/>
                <w:sz w:val="24"/>
                <w:szCs w:val="24"/>
              </w:rPr>
            </w:pPr>
          </w:p>
        </w:tc>
        <w:tc>
          <w:tcPr>
            <w:tcW w:w="5940" w:type="dxa"/>
            <w:vAlign w:val="center"/>
          </w:tcPr>
          <w:p>
            <w:pPr>
              <w:rPr>
                <w:rFonts w:cs="Times New Roman"/>
                <w:sz w:val="24"/>
                <w:szCs w:val="24"/>
              </w:rPr>
            </w:pPr>
            <w:r>
              <w:rPr>
                <w:rFonts w:hint="eastAsia"/>
                <w:sz w:val="24"/>
                <w:szCs w:val="24"/>
              </w:rPr>
              <w:t>钢瓶与单台燃气灶具之间连接宜采用不锈钢波纹软管，采用耐油橡胶软管的，应当用卡箍紧固，软管的长度控制在</w:t>
            </w:r>
            <w:r>
              <w:rPr>
                <w:sz w:val="24"/>
                <w:szCs w:val="24"/>
              </w:rPr>
              <w:t>1.2m</w:t>
            </w:r>
            <w:r>
              <w:rPr>
                <w:rFonts w:hint="eastAsia"/>
                <w:sz w:val="24"/>
                <w:szCs w:val="24"/>
              </w:rPr>
              <w:t>到</w:t>
            </w:r>
            <w:r>
              <w:rPr>
                <w:sz w:val="24"/>
                <w:szCs w:val="24"/>
              </w:rPr>
              <w:t>2.0m</w:t>
            </w:r>
            <w:r>
              <w:rPr>
                <w:rFonts w:hint="eastAsia"/>
                <w:sz w:val="24"/>
                <w:szCs w:val="24"/>
              </w:rPr>
              <w:t>之间，并不应有接口。使用燃气软管，不得穿越墙壁、窗户和门，软管不得老化、腐蚀、龟裂。</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13</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color w:val="000000"/>
                <w:sz w:val="24"/>
                <w:szCs w:val="24"/>
              </w:rPr>
            </w:pPr>
            <w:r>
              <w:rPr>
                <w:rFonts w:hint="eastAsia"/>
                <w:sz w:val="24"/>
                <w:szCs w:val="24"/>
              </w:rPr>
              <w:t>供应多台燃气灶具或供气距离超过</w:t>
            </w:r>
            <w:r>
              <w:rPr>
                <w:sz w:val="24"/>
                <w:szCs w:val="24"/>
              </w:rPr>
              <w:t>2m</w:t>
            </w:r>
            <w:r>
              <w:rPr>
                <w:rFonts w:hint="eastAsia"/>
                <w:sz w:val="24"/>
                <w:szCs w:val="24"/>
              </w:rPr>
              <w:t>时，应采用硬管连接。</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40" w:type="dxa"/>
            <w:vAlign w:val="center"/>
          </w:tcPr>
          <w:p>
            <w:pPr>
              <w:spacing w:line="280" w:lineRule="exact"/>
              <w:jc w:val="center"/>
              <w:rPr>
                <w:sz w:val="24"/>
                <w:szCs w:val="24"/>
              </w:rPr>
            </w:pPr>
            <w:r>
              <w:rPr>
                <w:sz w:val="24"/>
                <w:szCs w:val="24"/>
              </w:rPr>
              <w:t>14</w:t>
            </w:r>
          </w:p>
        </w:tc>
        <w:tc>
          <w:tcPr>
            <w:tcW w:w="720" w:type="dxa"/>
            <w:vMerge w:val="restart"/>
            <w:vAlign w:val="center"/>
          </w:tcPr>
          <w:p>
            <w:pPr>
              <w:spacing w:line="280" w:lineRule="exact"/>
              <w:rPr>
                <w:rFonts w:cs="Times New Roman"/>
                <w:sz w:val="24"/>
                <w:szCs w:val="24"/>
              </w:rPr>
            </w:pPr>
            <w:r>
              <w:rPr>
                <w:rFonts w:hint="eastAsia"/>
                <w:sz w:val="24"/>
                <w:szCs w:val="24"/>
              </w:rPr>
              <w:t>安全使用及宣传</w:t>
            </w:r>
          </w:p>
        </w:tc>
        <w:tc>
          <w:tcPr>
            <w:tcW w:w="5940" w:type="dxa"/>
            <w:vAlign w:val="center"/>
          </w:tcPr>
          <w:p>
            <w:pPr>
              <w:spacing w:line="280" w:lineRule="exact"/>
              <w:rPr>
                <w:rFonts w:cs="Times New Roman"/>
                <w:sz w:val="24"/>
                <w:szCs w:val="24"/>
              </w:rPr>
            </w:pPr>
            <w:r>
              <w:rPr>
                <w:rFonts w:hint="eastAsia"/>
                <w:color w:val="000000"/>
                <w:sz w:val="24"/>
                <w:szCs w:val="24"/>
              </w:rPr>
              <w:t>餐饮用户应当与燃气供应单位签订供用气合同（协议），每次购气后留存购气凭证。</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40" w:type="dxa"/>
            <w:vAlign w:val="center"/>
          </w:tcPr>
          <w:p>
            <w:pPr>
              <w:spacing w:line="280" w:lineRule="exact"/>
              <w:jc w:val="center"/>
              <w:rPr>
                <w:sz w:val="24"/>
                <w:szCs w:val="24"/>
              </w:rPr>
            </w:pPr>
            <w:r>
              <w:rPr>
                <w:sz w:val="24"/>
                <w:szCs w:val="24"/>
              </w:rPr>
              <w:t>15</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color w:val="000000"/>
                <w:sz w:val="24"/>
                <w:szCs w:val="24"/>
              </w:rPr>
            </w:pPr>
            <w:r>
              <w:rPr>
                <w:rFonts w:hint="eastAsia"/>
                <w:sz w:val="24"/>
                <w:szCs w:val="24"/>
              </w:rPr>
              <w:t>每次安装钢瓶时，要用刷肥皂水等方法对安装部位（软管两边接头以及调压器与钢瓶连接处）进行泄漏检查以及进行点火调试，切不可用明火去检查漏气点。</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40" w:type="dxa"/>
            <w:vAlign w:val="center"/>
          </w:tcPr>
          <w:p>
            <w:pPr>
              <w:spacing w:line="280" w:lineRule="exact"/>
              <w:jc w:val="center"/>
              <w:rPr>
                <w:sz w:val="24"/>
                <w:szCs w:val="24"/>
              </w:rPr>
            </w:pPr>
            <w:r>
              <w:rPr>
                <w:sz w:val="24"/>
                <w:szCs w:val="24"/>
              </w:rPr>
              <w:t>16</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color w:val="000000"/>
                <w:sz w:val="24"/>
                <w:szCs w:val="24"/>
              </w:rPr>
            </w:pPr>
            <w:r>
              <w:rPr>
                <w:rFonts w:hint="eastAsia"/>
                <w:color w:val="000000"/>
                <w:sz w:val="24"/>
                <w:szCs w:val="24"/>
              </w:rPr>
              <w:t>餐饮用户应对</w:t>
            </w:r>
            <w:r>
              <w:rPr>
                <w:rFonts w:hint="eastAsia"/>
                <w:sz w:val="24"/>
                <w:szCs w:val="24"/>
              </w:rPr>
              <w:t>燃气设施和用气设备进行日常检查，发现隐患应及时整改，三餐用气后应及时关闭钢瓶阀门。</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0" w:type="dxa"/>
            <w:vAlign w:val="center"/>
          </w:tcPr>
          <w:p>
            <w:pPr>
              <w:spacing w:line="280" w:lineRule="exact"/>
              <w:jc w:val="center"/>
              <w:rPr>
                <w:sz w:val="24"/>
                <w:szCs w:val="24"/>
              </w:rPr>
            </w:pPr>
            <w:r>
              <w:rPr>
                <w:sz w:val="24"/>
                <w:szCs w:val="24"/>
              </w:rPr>
              <w:t>17</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color w:val="000000"/>
                <w:sz w:val="24"/>
                <w:szCs w:val="24"/>
              </w:rPr>
            </w:pPr>
            <w:r>
              <w:rPr>
                <w:rFonts w:hint="eastAsia"/>
                <w:sz w:val="24"/>
                <w:szCs w:val="24"/>
              </w:rPr>
              <w:t>严禁使用热源加热、热水浸泡液化石油气钢瓶。</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0" w:type="dxa"/>
            <w:vAlign w:val="center"/>
          </w:tcPr>
          <w:p>
            <w:pPr>
              <w:spacing w:line="280" w:lineRule="exact"/>
              <w:jc w:val="center"/>
              <w:rPr>
                <w:sz w:val="24"/>
                <w:szCs w:val="24"/>
              </w:rPr>
            </w:pPr>
            <w:r>
              <w:rPr>
                <w:sz w:val="24"/>
                <w:szCs w:val="24"/>
              </w:rPr>
              <w:t>18</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燃气供应企业应向餐饮用户宣传安全使用常识，指导乙方安全使用燃气。</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0" w:type="dxa"/>
            <w:vAlign w:val="center"/>
          </w:tcPr>
          <w:p>
            <w:pPr>
              <w:spacing w:line="280" w:lineRule="exact"/>
              <w:jc w:val="center"/>
              <w:rPr>
                <w:sz w:val="24"/>
                <w:szCs w:val="24"/>
              </w:rPr>
            </w:pPr>
            <w:r>
              <w:rPr>
                <w:sz w:val="24"/>
                <w:szCs w:val="24"/>
              </w:rPr>
              <w:t>19</w:t>
            </w:r>
          </w:p>
        </w:tc>
        <w:tc>
          <w:tcPr>
            <w:tcW w:w="720" w:type="dxa"/>
            <w:vMerge w:val="continue"/>
            <w:vAlign w:val="center"/>
          </w:tcPr>
          <w:p>
            <w:pPr>
              <w:spacing w:line="280" w:lineRule="exact"/>
              <w:rPr>
                <w:rFonts w:cs="Times New Roman"/>
                <w:sz w:val="24"/>
                <w:szCs w:val="24"/>
              </w:rPr>
            </w:pPr>
          </w:p>
        </w:tc>
        <w:tc>
          <w:tcPr>
            <w:tcW w:w="5940" w:type="dxa"/>
            <w:vAlign w:val="center"/>
          </w:tcPr>
          <w:p>
            <w:pPr>
              <w:spacing w:line="280" w:lineRule="exact"/>
              <w:rPr>
                <w:rFonts w:cs="Times New Roman"/>
                <w:sz w:val="24"/>
                <w:szCs w:val="24"/>
              </w:rPr>
            </w:pPr>
            <w:r>
              <w:rPr>
                <w:rFonts w:hint="eastAsia"/>
                <w:sz w:val="24"/>
                <w:szCs w:val="24"/>
              </w:rPr>
              <w:t>用户应在用气场所醒目位置张贴“安全用气操作规程”。</w:t>
            </w:r>
          </w:p>
        </w:tc>
        <w:tc>
          <w:tcPr>
            <w:tcW w:w="540" w:type="dxa"/>
            <w:vAlign w:val="center"/>
          </w:tcPr>
          <w:p>
            <w:pPr>
              <w:spacing w:line="280" w:lineRule="exact"/>
              <w:jc w:val="center"/>
              <w:rPr>
                <w:rFonts w:cs="Times New Roman"/>
                <w:sz w:val="24"/>
                <w:szCs w:val="24"/>
              </w:rPr>
            </w:pPr>
          </w:p>
        </w:tc>
        <w:tc>
          <w:tcPr>
            <w:tcW w:w="540" w:type="dxa"/>
            <w:vAlign w:val="center"/>
          </w:tcPr>
          <w:p>
            <w:pPr>
              <w:spacing w:line="280" w:lineRule="exact"/>
              <w:jc w:val="center"/>
              <w:rPr>
                <w:rFonts w:cs="Times New Roman"/>
                <w:sz w:val="24"/>
                <w:szCs w:val="24"/>
              </w:rPr>
            </w:pPr>
          </w:p>
        </w:tc>
        <w:tc>
          <w:tcPr>
            <w:tcW w:w="1620" w:type="dxa"/>
            <w:vAlign w:val="center"/>
          </w:tcPr>
          <w:p>
            <w:pPr>
              <w:spacing w:line="280" w:lineRule="exact"/>
              <w:rPr>
                <w:rFonts w:cs="Times New Roman"/>
                <w:sz w:val="24"/>
                <w:szCs w:val="24"/>
              </w:rPr>
            </w:pPr>
          </w:p>
        </w:tc>
      </w:tr>
    </w:tbl>
    <w:p>
      <w:pPr>
        <w:spacing w:line="480" w:lineRule="exact"/>
        <w:rPr>
          <w:rFonts w:cs="Times New Roman"/>
          <w:sz w:val="28"/>
          <w:szCs w:val="28"/>
        </w:rPr>
      </w:pPr>
      <w:r>
        <w:rPr>
          <w:rFonts w:hint="eastAsia"/>
          <w:sz w:val="28"/>
          <w:szCs w:val="28"/>
        </w:rPr>
        <w:t>监督检查单位：</w:t>
      </w:r>
    </w:p>
    <w:p>
      <w:pPr>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jc w:val="center"/>
        <w:rPr>
          <w:rFonts w:cs="Times New Roman"/>
          <w:b/>
          <w:bCs/>
          <w:sz w:val="18"/>
          <w:szCs w:val="18"/>
        </w:rPr>
      </w:pPr>
      <w:r>
        <w:rPr>
          <w:rFonts w:hint="eastAsia"/>
          <w:b/>
          <w:bCs/>
          <w:sz w:val="32"/>
          <w:szCs w:val="32"/>
          <w:lang w:eastAsia="zh-CN"/>
        </w:rPr>
        <w:t>十三</w:t>
      </w:r>
      <w:r>
        <w:rPr>
          <w:rFonts w:hint="eastAsia"/>
          <w:b/>
          <w:bCs/>
          <w:sz w:val="32"/>
          <w:szCs w:val="32"/>
        </w:rPr>
        <w:t>、民爆器材仓库安全检查清单</w:t>
      </w:r>
    </w:p>
    <w:p>
      <w:pPr>
        <w:spacing w:line="520" w:lineRule="exact"/>
        <w:rPr>
          <w:rFonts w:cs="Times New Roman"/>
          <w:b/>
          <w:bCs/>
          <w:sz w:val="18"/>
          <w:szCs w:val="18"/>
        </w:rPr>
      </w:pPr>
      <w:r>
        <w:rPr>
          <w:rFonts w:hint="eastAsia"/>
          <w:b/>
          <w:bCs/>
          <w:sz w:val="24"/>
          <w:szCs w:val="24"/>
        </w:rPr>
        <w:t>被检单位：</w:t>
      </w:r>
      <w:r>
        <w:rPr>
          <w:b/>
          <w:bCs/>
          <w:sz w:val="24"/>
          <w:szCs w:val="24"/>
        </w:rPr>
        <w:t xml:space="preserve">                          </w:t>
      </w:r>
      <w:r>
        <w:rPr>
          <w:rFonts w:hint="eastAsia"/>
          <w:b/>
          <w:bCs/>
          <w:sz w:val="24"/>
          <w:szCs w:val="24"/>
        </w:rPr>
        <w:t>负责人签名：</w:t>
      </w:r>
      <w:r>
        <w:rPr>
          <w:b/>
          <w:bCs/>
          <w:sz w:val="24"/>
          <w:szCs w:val="24"/>
        </w:rPr>
        <w:t xml:space="preserve">           </w:t>
      </w:r>
      <w:r>
        <w:rPr>
          <w:rFonts w:hint="eastAsia"/>
          <w:b/>
          <w:bCs/>
          <w:sz w:val="24"/>
          <w:szCs w:val="24"/>
        </w:rPr>
        <w:t>手机：</w:t>
      </w:r>
    </w:p>
    <w:tbl>
      <w:tblPr>
        <w:tblStyle w:val="5"/>
        <w:tblW w:w="91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18"/>
        <w:gridCol w:w="5008"/>
        <w:gridCol w:w="552"/>
        <w:gridCol w:w="5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tcPr>
          <w:p>
            <w:pPr>
              <w:spacing w:line="280" w:lineRule="exact"/>
              <w:jc w:val="center"/>
              <w:rPr>
                <w:rFonts w:cs="Times New Roman"/>
                <w:sz w:val="24"/>
                <w:szCs w:val="24"/>
              </w:rPr>
            </w:pPr>
            <w:r>
              <w:rPr>
                <w:rFonts w:hint="eastAsia"/>
                <w:sz w:val="24"/>
                <w:szCs w:val="24"/>
              </w:rPr>
              <w:t>序号</w:t>
            </w:r>
          </w:p>
        </w:tc>
        <w:tc>
          <w:tcPr>
            <w:tcW w:w="718" w:type="dxa"/>
            <w:vMerge w:val="restart"/>
          </w:tcPr>
          <w:p>
            <w:pPr>
              <w:spacing w:line="280" w:lineRule="exact"/>
              <w:rPr>
                <w:rFonts w:cs="Times New Roman"/>
                <w:sz w:val="24"/>
                <w:szCs w:val="24"/>
              </w:rPr>
            </w:pPr>
            <w:r>
              <w:rPr>
                <w:rFonts w:hint="eastAsia"/>
                <w:sz w:val="24"/>
                <w:szCs w:val="24"/>
              </w:rPr>
              <w:t>检查类别</w:t>
            </w:r>
          </w:p>
        </w:tc>
        <w:tc>
          <w:tcPr>
            <w:tcW w:w="5008" w:type="dxa"/>
            <w:vMerge w:val="restart"/>
          </w:tcPr>
          <w:p>
            <w:pPr>
              <w:spacing w:line="460" w:lineRule="exact"/>
              <w:jc w:val="center"/>
              <w:rPr>
                <w:rFonts w:cs="Times New Roman"/>
                <w:sz w:val="28"/>
                <w:szCs w:val="28"/>
              </w:rPr>
            </w:pPr>
            <w:r>
              <w:rPr>
                <w:rFonts w:hint="eastAsia"/>
                <w:sz w:val="28"/>
                <w:szCs w:val="28"/>
              </w:rPr>
              <w:t>检查标准要求</w:t>
            </w:r>
          </w:p>
        </w:tc>
        <w:tc>
          <w:tcPr>
            <w:tcW w:w="1092" w:type="dxa"/>
            <w:gridSpan w:val="2"/>
          </w:tcPr>
          <w:p>
            <w:pPr>
              <w:spacing w:line="280" w:lineRule="exact"/>
              <w:ind w:right="-112" w:rightChars="-51"/>
              <w:jc w:val="center"/>
              <w:rPr>
                <w:rFonts w:cs="Times New Roman"/>
                <w:sz w:val="24"/>
                <w:szCs w:val="24"/>
              </w:rPr>
            </w:pPr>
            <w:r>
              <w:rPr>
                <w:rFonts w:hint="eastAsia"/>
                <w:sz w:val="24"/>
                <w:szCs w:val="24"/>
              </w:rPr>
              <w:t>检查结果</w:t>
            </w:r>
          </w:p>
        </w:tc>
        <w:tc>
          <w:tcPr>
            <w:tcW w:w="1805" w:type="dxa"/>
            <w:vMerge w:val="restart"/>
          </w:tcPr>
          <w:p>
            <w:pPr>
              <w:spacing w:line="460" w:lineRule="exact"/>
              <w:ind w:left="-277" w:leftChars="-126"/>
              <w:jc w:val="center"/>
              <w:rPr>
                <w:rFonts w:cs="Times New Roman"/>
                <w:sz w:val="28"/>
                <w:szCs w:val="28"/>
              </w:rPr>
            </w:pPr>
            <w:r>
              <w:rPr>
                <w:sz w:val="28"/>
                <w:szCs w:val="28"/>
              </w:rPr>
              <w:t xml:space="preserve"> </w:t>
            </w:r>
            <w:r>
              <w:rPr>
                <w:rFonts w:hint="eastAsia"/>
                <w:sz w:val="28"/>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Merge w:val="continue"/>
          </w:tcPr>
          <w:p>
            <w:pPr>
              <w:jc w:val="center"/>
              <w:rPr>
                <w:rFonts w:cs="Times New Roman"/>
                <w:sz w:val="24"/>
                <w:szCs w:val="24"/>
              </w:rPr>
            </w:pPr>
          </w:p>
        </w:tc>
        <w:tc>
          <w:tcPr>
            <w:tcW w:w="718" w:type="dxa"/>
            <w:vMerge w:val="continue"/>
          </w:tcPr>
          <w:p>
            <w:pPr>
              <w:rPr>
                <w:rFonts w:cs="Times New Roman"/>
                <w:sz w:val="24"/>
                <w:szCs w:val="24"/>
              </w:rPr>
            </w:pPr>
          </w:p>
        </w:tc>
        <w:tc>
          <w:tcPr>
            <w:tcW w:w="5008" w:type="dxa"/>
            <w:vMerge w:val="continue"/>
          </w:tcPr>
          <w:p>
            <w:pPr>
              <w:rPr>
                <w:rFonts w:cs="Times New Roman"/>
                <w:sz w:val="24"/>
                <w:szCs w:val="24"/>
              </w:rPr>
            </w:pPr>
          </w:p>
        </w:tc>
        <w:tc>
          <w:tcPr>
            <w:tcW w:w="552" w:type="dxa"/>
          </w:tcPr>
          <w:p>
            <w:pPr>
              <w:spacing w:line="280" w:lineRule="exact"/>
              <w:jc w:val="center"/>
              <w:rPr>
                <w:rFonts w:cs="Times New Roman"/>
                <w:sz w:val="24"/>
                <w:szCs w:val="24"/>
              </w:rPr>
            </w:pPr>
            <w:r>
              <w:rPr>
                <w:rFonts w:hint="eastAsia"/>
                <w:sz w:val="24"/>
                <w:szCs w:val="24"/>
              </w:rPr>
              <w:t>是</w:t>
            </w:r>
          </w:p>
        </w:tc>
        <w:tc>
          <w:tcPr>
            <w:tcW w:w="540" w:type="dxa"/>
          </w:tcPr>
          <w:p>
            <w:pPr>
              <w:spacing w:line="280" w:lineRule="exact"/>
              <w:jc w:val="center"/>
              <w:rPr>
                <w:rFonts w:cs="Times New Roman"/>
                <w:sz w:val="24"/>
                <w:szCs w:val="24"/>
              </w:rPr>
            </w:pPr>
            <w:r>
              <w:rPr>
                <w:rFonts w:hint="eastAsia"/>
                <w:sz w:val="24"/>
                <w:szCs w:val="24"/>
              </w:rPr>
              <w:t>否</w:t>
            </w:r>
          </w:p>
        </w:tc>
        <w:tc>
          <w:tcPr>
            <w:tcW w:w="1805" w:type="dxa"/>
            <w:vMerge w:val="continue"/>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w:t>
            </w:r>
          </w:p>
        </w:tc>
        <w:tc>
          <w:tcPr>
            <w:tcW w:w="718" w:type="dxa"/>
            <w:vMerge w:val="restart"/>
            <w:vAlign w:val="center"/>
          </w:tcPr>
          <w:p>
            <w:pPr>
              <w:spacing w:line="280" w:lineRule="exact"/>
              <w:jc w:val="center"/>
              <w:rPr>
                <w:rFonts w:cs="Times New Roman"/>
                <w:sz w:val="24"/>
                <w:szCs w:val="24"/>
              </w:rPr>
            </w:pPr>
            <w:r>
              <w:rPr>
                <w:rFonts w:hint="eastAsia"/>
                <w:sz w:val="24"/>
                <w:szCs w:val="24"/>
              </w:rPr>
              <w:t>选址</w:t>
            </w:r>
          </w:p>
        </w:tc>
        <w:tc>
          <w:tcPr>
            <w:tcW w:w="5008" w:type="dxa"/>
          </w:tcPr>
          <w:p>
            <w:pPr>
              <w:spacing w:line="260" w:lineRule="exact"/>
              <w:rPr>
                <w:rFonts w:cs="Times New Roman"/>
                <w:color w:val="000000"/>
                <w:sz w:val="24"/>
                <w:szCs w:val="24"/>
              </w:rPr>
            </w:pPr>
            <w:r>
              <w:rPr>
                <w:rFonts w:hint="eastAsia"/>
                <w:sz w:val="24"/>
                <w:szCs w:val="24"/>
              </w:rPr>
              <w:t>民爆物品仓库应独立设置，远离重要设施。</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2</w:t>
            </w:r>
          </w:p>
        </w:tc>
        <w:tc>
          <w:tcPr>
            <w:tcW w:w="718" w:type="dxa"/>
            <w:vMerge w:val="continue"/>
            <w:vAlign w:val="center"/>
          </w:tcPr>
          <w:p>
            <w:pPr>
              <w:spacing w:line="280" w:lineRule="exact"/>
              <w:jc w:val="center"/>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无关的人流和物流不应通过库区。</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3</w:t>
            </w:r>
          </w:p>
        </w:tc>
        <w:tc>
          <w:tcPr>
            <w:tcW w:w="718" w:type="dxa"/>
            <w:vAlign w:val="center"/>
          </w:tcPr>
          <w:p>
            <w:pPr>
              <w:spacing w:line="280" w:lineRule="exact"/>
              <w:jc w:val="center"/>
              <w:rPr>
                <w:rFonts w:cs="Times New Roman"/>
                <w:sz w:val="24"/>
                <w:szCs w:val="24"/>
              </w:rPr>
            </w:pPr>
            <w:r>
              <w:rPr>
                <w:rFonts w:hint="eastAsia"/>
                <w:sz w:val="24"/>
                <w:szCs w:val="24"/>
              </w:rPr>
              <w:t>平面布置</w:t>
            </w:r>
          </w:p>
        </w:tc>
        <w:tc>
          <w:tcPr>
            <w:tcW w:w="5008" w:type="dxa"/>
          </w:tcPr>
          <w:p>
            <w:pPr>
              <w:spacing w:line="260" w:lineRule="exact"/>
              <w:rPr>
                <w:rFonts w:cs="Times New Roman"/>
                <w:sz w:val="24"/>
                <w:szCs w:val="24"/>
              </w:rPr>
            </w:pPr>
            <w:r>
              <w:rPr>
                <w:rFonts w:hint="eastAsia"/>
                <w:sz w:val="24"/>
                <w:szCs w:val="24"/>
              </w:rPr>
              <w:t>库区应设围墙高度不低于</w:t>
            </w:r>
            <w:r>
              <w:rPr>
                <w:sz w:val="24"/>
                <w:szCs w:val="24"/>
              </w:rPr>
              <w:t>2m</w:t>
            </w:r>
            <w:r>
              <w:rPr>
                <w:rFonts w:hint="eastAsia"/>
                <w:sz w:val="24"/>
                <w:szCs w:val="24"/>
              </w:rPr>
              <w:t>，围墙与建筑物距离不宜小于</w:t>
            </w:r>
            <w:r>
              <w:rPr>
                <w:sz w:val="24"/>
                <w:szCs w:val="24"/>
              </w:rPr>
              <w:t>15m</w:t>
            </w:r>
            <w:r>
              <w:rPr>
                <w:rFonts w:hint="eastAsia"/>
                <w:sz w:val="24"/>
                <w:szCs w:val="24"/>
              </w:rPr>
              <w:t>；在建筑物周围</w:t>
            </w:r>
            <w:r>
              <w:rPr>
                <w:sz w:val="24"/>
                <w:szCs w:val="24"/>
              </w:rPr>
              <w:t>25m</w:t>
            </w:r>
            <w:r>
              <w:rPr>
                <w:rFonts w:hint="eastAsia"/>
                <w:sz w:val="24"/>
                <w:szCs w:val="24"/>
              </w:rPr>
              <w:t>范围内，不应种植针叶树或竹林；应避免交叉运输。</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4</w:t>
            </w:r>
          </w:p>
        </w:tc>
        <w:tc>
          <w:tcPr>
            <w:tcW w:w="718" w:type="dxa"/>
            <w:vMerge w:val="restart"/>
            <w:vAlign w:val="center"/>
          </w:tcPr>
          <w:p>
            <w:pPr>
              <w:spacing w:line="280" w:lineRule="exact"/>
              <w:jc w:val="center"/>
              <w:rPr>
                <w:rFonts w:cs="Times New Roman"/>
                <w:sz w:val="24"/>
                <w:szCs w:val="24"/>
              </w:rPr>
            </w:pPr>
            <w:r>
              <w:rPr>
                <w:rFonts w:hint="eastAsia"/>
                <w:sz w:val="24"/>
                <w:szCs w:val="24"/>
              </w:rPr>
              <w:t>防护屏障</w:t>
            </w:r>
          </w:p>
        </w:tc>
        <w:tc>
          <w:tcPr>
            <w:tcW w:w="5008" w:type="dxa"/>
          </w:tcPr>
          <w:p>
            <w:pPr>
              <w:spacing w:line="260" w:lineRule="exact"/>
              <w:rPr>
                <w:rFonts w:cs="Times New Roman"/>
                <w:color w:val="000000"/>
                <w:sz w:val="24"/>
                <w:szCs w:val="24"/>
              </w:rPr>
            </w:pPr>
            <w:r>
              <w:rPr>
                <w:rFonts w:hint="eastAsia"/>
                <w:sz w:val="24"/>
                <w:szCs w:val="24"/>
              </w:rPr>
              <w:t>护屏障采用防护土堤或钢筋混凝土挡墙，应能对本建筑物及周围建筑物起到防护作用。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5</w:t>
            </w:r>
          </w:p>
        </w:tc>
        <w:tc>
          <w:tcPr>
            <w:tcW w:w="718" w:type="dxa"/>
            <w:vMerge w:val="continue"/>
            <w:vAlign w:val="center"/>
          </w:tcPr>
          <w:p>
            <w:pPr>
              <w:spacing w:line="280" w:lineRule="exact"/>
              <w:jc w:val="center"/>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防护屏障的高度应不低于屋檐高度或不应小于单坡屋面的低屋檐高度。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6</w:t>
            </w:r>
          </w:p>
        </w:tc>
        <w:tc>
          <w:tcPr>
            <w:tcW w:w="718" w:type="dxa"/>
            <w:vMerge w:val="continue"/>
            <w:vAlign w:val="center"/>
          </w:tcPr>
          <w:p>
            <w:pPr>
              <w:spacing w:line="280" w:lineRule="exact"/>
              <w:jc w:val="center"/>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防护土堤的顶宽不应小于</w:t>
            </w:r>
            <w:r>
              <w:rPr>
                <w:sz w:val="24"/>
                <w:szCs w:val="24"/>
              </w:rPr>
              <w:t>1m</w:t>
            </w:r>
            <w:r>
              <w:rPr>
                <w:rFonts w:hint="eastAsia"/>
                <w:sz w:val="24"/>
                <w:szCs w:val="24"/>
              </w:rPr>
              <w:t>，底宽可以根据土质条件确定，但不应小于高度的</w:t>
            </w:r>
            <w:r>
              <w:rPr>
                <w:sz w:val="24"/>
                <w:szCs w:val="24"/>
              </w:rPr>
              <w:t>1.5</w:t>
            </w:r>
            <w:r>
              <w:rPr>
                <w:rFonts w:hint="eastAsia"/>
                <w:sz w:val="24"/>
                <w:szCs w:val="24"/>
              </w:rPr>
              <w:t>倍。</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7</w:t>
            </w:r>
          </w:p>
        </w:tc>
        <w:tc>
          <w:tcPr>
            <w:tcW w:w="718" w:type="dxa"/>
            <w:vMerge w:val="restart"/>
            <w:vAlign w:val="center"/>
          </w:tcPr>
          <w:p>
            <w:pPr>
              <w:spacing w:line="280" w:lineRule="exact"/>
              <w:jc w:val="center"/>
              <w:rPr>
                <w:rFonts w:cs="Times New Roman"/>
                <w:sz w:val="24"/>
                <w:szCs w:val="24"/>
              </w:rPr>
            </w:pPr>
            <w:r>
              <w:rPr>
                <w:rFonts w:hint="eastAsia"/>
                <w:sz w:val="24"/>
                <w:szCs w:val="24"/>
              </w:rPr>
              <w:t>民爆物品储存</w:t>
            </w:r>
          </w:p>
        </w:tc>
        <w:tc>
          <w:tcPr>
            <w:tcW w:w="5008" w:type="dxa"/>
          </w:tcPr>
          <w:p>
            <w:pPr>
              <w:spacing w:line="260" w:lineRule="exact"/>
              <w:rPr>
                <w:rFonts w:cs="Times New Roman"/>
                <w:color w:val="000000"/>
                <w:sz w:val="24"/>
                <w:szCs w:val="24"/>
              </w:rPr>
            </w:pPr>
            <w:r>
              <w:rPr>
                <w:rFonts w:hint="eastAsia"/>
                <w:sz w:val="24"/>
                <w:szCs w:val="24"/>
              </w:rPr>
              <w:t>堆放炸药类、索类堆垛高度不应高于</w:t>
            </w:r>
            <w:r>
              <w:rPr>
                <w:sz w:val="24"/>
                <w:szCs w:val="24"/>
              </w:rPr>
              <w:t>1.8m</w:t>
            </w:r>
            <w:r>
              <w:rPr>
                <w:rFonts w:hint="eastAsia"/>
                <w:sz w:val="24"/>
                <w:szCs w:val="24"/>
              </w:rPr>
              <w:t>，堆放雷管类危险品的总高度不应高于</w:t>
            </w:r>
            <w:r>
              <w:rPr>
                <w:sz w:val="24"/>
                <w:szCs w:val="24"/>
              </w:rPr>
              <w:t>1.6m</w:t>
            </w:r>
            <w:r>
              <w:rPr>
                <w:rFonts w:hint="eastAsia"/>
                <w:sz w:val="24"/>
                <w:szCs w:val="24"/>
              </w:rPr>
              <w:t>。</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8</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各箱堆间距不少于</w:t>
            </w:r>
            <w:r>
              <w:rPr>
                <w:sz w:val="24"/>
                <w:szCs w:val="24"/>
              </w:rPr>
              <w:t>0.3</w:t>
            </w:r>
            <w:r>
              <w:rPr>
                <w:rFonts w:hint="eastAsia"/>
                <w:sz w:val="24"/>
                <w:szCs w:val="24"/>
              </w:rPr>
              <w:t>米，箱堆与墙壁保持不少于</w:t>
            </w:r>
            <w:r>
              <w:rPr>
                <w:sz w:val="24"/>
                <w:szCs w:val="24"/>
              </w:rPr>
              <w:t>0.5</w:t>
            </w:r>
            <w:r>
              <w:rPr>
                <w:rFonts w:hint="eastAsia"/>
                <w:sz w:val="24"/>
                <w:szCs w:val="24"/>
              </w:rPr>
              <w:t>米间距，人行通道宽度不少于</w:t>
            </w:r>
            <w:r>
              <w:rPr>
                <w:sz w:val="24"/>
                <w:szCs w:val="24"/>
              </w:rPr>
              <w:t>1.3</w:t>
            </w:r>
            <w:r>
              <w:rPr>
                <w:rFonts w:hint="eastAsia"/>
                <w:sz w:val="24"/>
                <w:szCs w:val="24"/>
              </w:rPr>
              <w:t>米。</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9</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库房门窗应坚固，采用外开式、防盗、防鼠，并有通风口。</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6" w:type="dxa"/>
            <w:vAlign w:val="center"/>
          </w:tcPr>
          <w:p>
            <w:pPr>
              <w:spacing w:line="300" w:lineRule="exact"/>
              <w:jc w:val="center"/>
              <w:rPr>
                <w:sz w:val="28"/>
                <w:szCs w:val="28"/>
              </w:rPr>
            </w:pPr>
            <w:r>
              <w:rPr>
                <w:sz w:val="28"/>
                <w:szCs w:val="28"/>
              </w:rPr>
              <w:t>10</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sz w:val="24"/>
                <w:szCs w:val="24"/>
              </w:rPr>
            </w:pPr>
            <w:r>
              <w:rPr>
                <w:rFonts w:hint="eastAsia" w:ascii="Arial" w:hAnsi="Arial"/>
                <w:sz w:val="24"/>
                <w:szCs w:val="24"/>
              </w:rPr>
              <w:t>库房贮存爆破器材总量不得超过设计总容量。</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11</w:t>
            </w:r>
          </w:p>
        </w:tc>
        <w:tc>
          <w:tcPr>
            <w:tcW w:w="718" w:type="dxa"/>
            <w:vMerge w:val="continue"/>
          </w:tcPr>
          <w:p>
            <w:pPr>
              <w:spacing w:line="280" w:lineRule="exact"/>
              <w:rPr>
                <w:rFonts w:cs="Times New Roman"/>
                <w:sz w:val="24"/>
                <w:szCs w:val="24"/>
              </w:rPr>
            </w:pPr>
          </w:p>
        </w:tc>
        <w:tc>
          <w:tcPr>
            <w:tcW w:w="5008" w:type="dxa"/>
          </w:tcPr>
          <w:p>
            <w:pPr>
              <w:spacing w:line="260" w:lineRule="exact"/>
              <w:rPr>
                <w:rFonts w:ascii="Arial" w:hAnsi="Arial" w:cs="Arial"/>
                <w:sz w:val="24"/>
                <w:szCs w:val="24"/>
              </w:rPr>
            </w:pPr>
            <w:r>
              <w:rPr>
                <w:rFonts w:hint="eastAsia" w:ascii="Arial" w:hAnsi="Arial"/>
                <w:sz w:val="24"/>
                <w:szCs w:val="24"/>
              </w:rPr>
              <w:t>库房严格执行双门双锁制度。</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12</w:t>
            </w:r>
          </w:p>
        </w:tc>
        <w:tc>
          <w:tcPr>
            <w:tcW w:w="718" w:type="dxa"/>
            <w:vMerge w:val="restart"/>
            <w:vAlign w:val="center"/>
          </w:tcPr>
          <w:p>
            <w:pPr>
              <w:spacing w:line="280" w:lineRule="exact"/>
              <w:jc w:val="center"/>
              <w:rPr>
                <w:rFonts w:cs="Times New Roman"/>
                <w:sz w:val="24"/>
                <w:szCs w:val="24"/>
              </w:rPr>
            </w:pPr>
            <w:r>
              <w:rPr>
                <w:rFonts w:hint="eastAsia"/>
                <w:sz w:val="24"/>
                <w:szCs w:val="24"/>
              </w:rPr>
              <w:t>电气通讯及警示标志</w:t>
            </w:r>
          </w:p>
        </w:tc>
        <w:tc>
          <w:tcPr>
            <w:tcW w:w="5008" w:type="dxa"/>
          </w:tcPr>
          <w:p>
            <w:pPr>
              <w:spacing w:line="260" w:lineRule="exact"/>
              <w:rPr>
                <w:rFonts w:cs="Times New Roman"/>
                <w:color w:val="000000"/>
                <w:sz w:val="24"/>
                <w:szCs w:val="24"/>
              </w:rPr>
            </w:pPr>
            <w:r>
              <w:rPr>
                <w:rFonts w:hint="eastAsia"/>
                <w:sz w:val="24"/>
                <w:szCs w:val="24"/>
              </w:rPr>
              <w:t>民爆品库房内不得有电气设备和线路。</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13</w:t>
            </w:r>
          </w:p>
        </w:tc>
        <w:tc>
          <w:tcPr>
            <w:tcW w:w="718" w:type="dxa"/>
            <w:vMerge w:val="continue"/>
            <w:vAlign w:val="center"/>
          </w:tcPr>
          <w:p>
            <w:pPr>
              <w:spacing w:line="280" w:lineRule="exact"/>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值班室应有电话，且通讯畅通。</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14</w:t>
            </w:r>
          </w:p>
        </w:tc>
        <w:tc>
          <w:tcPr>
            <w:tcW w:w="718" w:type="dxa"/>
            <w:vMerge w:val="continue"/>
            <w:vAlign w:val="center"/>
          </w:tcPr>
          <w:p>
            <w:pPr>
              <w:spacing w:line="280" w:lineRule="exact"/>
              <w:jc w:val="center"/>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库区警示牌内容应有：防火、禁止吸烟和动用明火标志；库房警示牌的内容应有：危险等级、最大存量、允许存放危险品种名称等。</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6" w:type="dxa"/>
            <w:vAlign w:val="center"/>
          </w:tcPr>
          <w:p>
            <w:pPr>
              <w:spacing w:line="360" w:lineRule="exact"/>
              <w:jc w:val="center"/>
              <w:rPr>
                <w:sz w:val="28"/>
                <w:szCs w:val="28"/>
              </w:rPr>
            </w:pPr>
            <w:r>
              <w:rPr>
                <w:sz w:val="28"/>
                <w:szCs w:val="28"/>
              </w:rPr>
              <w:t>15</w:t>
            </w:r>
          </w:p>
        </w:tc>
        <w:tc>
          <w:tcPr>
            <w:tcW w:w="718" w:type="dxa"/>
            <w:vMerge w:val="restart"/>
            <w:vAlign w:val="center"/>
          </w:tcPr>
          <w:p>
            <w:pPr>
              <w:spacing w:line="280" w:lineRule="exact"/>
              <w:rPr>
                <w:rFonts w:cs="Times New Roman"/>
                <w:sz w:val="24"/>
                <w:szCs w:val="24"/>
              </w:rPr>
            </w:pPr>
            <w:r>
              <w:rPr>
                <w:rFonts w:hint="eastAsia"/>
                <w:sz w:val="24"/>
                <w:szCs w:val="24"/>
              </w:rPr>
              <w:t>炸药库日常管理</w:t>
            </w:r>
          </w:p>
        </w:tc>
        <w:tc>
          <w:tcPr>
            <w:tcW w:w="5008" w:type="dxa"/>
          </w:tcPr>
          <w:p>
            <w:pPr>
              <w:spacing w:line="260" w:lineRule="exact"/>
              <w:rPr>
                <w:rFonts w:cs="Times New Roman"/>
                <w:sz w:val="24"/>
                <w:szCs w:val="24"/>
              </w:rPr>
            </w:pPr>
            <w:r>
              <w:rPr>
                <w:rFonts w:hint="eastAsia"/>
                <w:sz w:val="24"/>
                <w:szCs w:val="24"/>
              </w:rPr>
              <w:t>库房内外整洁，地面、台面无药尘积累；搬运过程轻拿轻放、无大声喧哗。</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16</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消防器材应设置在明显和便于取用的地点，周围不准堆放其它物品。</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17</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防雷设施每半年检测一次，符合《规范》。</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500" w:lineRule="exact"/>
              <w:jc w:val="center"/>
              <w:rPr>
                <w:sz w:val="28"/>
                <w:szCs w:val="28"/>
              </w:rPr>
            </w:pPr>
            <w:r>
              <w:rPr>
                <w:sz w:val="28"/>
                <w:szCs w:val="28"/>
              </w:rPr>
              <w:t>18</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sz w:val="24"/>
                <w:szCs w:val="24"/>
              </w:rPr>
            </w:pPr>
            <w:r>
              <w:rPr>
                <w:rFonts w:hint="eastAsia" w:ascii="Arial" w:hAnsi="Arial"/>
                <w:sz w:val="24"/>
                <w:szCs w:val="24"/>
              </w:rPr>
              <w:t>库房设有温度计和湿度计，经常检查、记录，使室温度不得超过</w:t>
            </w:r>
            <w:r>
              <w:rPr>
                <w:rFonts w:ascii="Arial" w:hAnsi="Arial" w:cs="Arial"/>
                <w:sz w:val="24"/>
                <w:szCs w:val="24"/>
              </w:rPr>
              <w:t>35</w:t>
            </w:r>
            <w:r>
              <w:rPr>
                <w:rFonts w:hint="eastAsia"/>
                <w:sz w:val="24"/>
                <w:szCs w:val="24"/>
              </w:rPr>
              <w:t>℃。</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sz w:val="28"/>
                <w:szCs w:val="28"/>
              </w:rPr>
            </w:pPr>
            <w:r>
              <w:rPr>
                <w:sz w:val="28"/>
                <w:szCs w:val="28"/>
              </w:rPr>
              <w:t>19</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color w:val="000000"/>
                <w:sz w:val="24"/>
                <w:szCs w:val="24"/>
              </w:rPr>
            </w:pPr>
            <w:r>
              <w:rPr>
                <w:rFonts w:hint="eastAsia"/>
                <w:sz w:val="24"/>
                <w:szCs w:val="24"/>
              </w:rPr>
              <w:t>出入库管理记录；应真实、准确、清晰、完整。</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280" w:lineRule="exact"/>
              <w:jc w:val="center"/>
              <w:rPr>
                <w:rFonts w:cs="Times New Roman"/>
                <w:sz w:val="28"/>
                <w:szCs w:val="28"/>
              </w:rPr>
            </w:pPr>
          </w:p>
          <w:p>
            <w:pPr>
              <w:spacing w:line="280" w:lineRule="exact"/>
              <w:jc w:val="center"/>
              <w:rPr>
                <w:sz w:val="28"/>
                <w:szCs w:val="28"/>
              </w:rPr>
            </w:pPr>
            <w:r>
              <w:rPr>
                <w:sz w:val="28"/>
                <w:szCs w:val="28"/>
              </w:rPr>
              <w:t>20</w:t>
            </w:r>
          </w:p>
        </w:tc>
        <w:tc>
          <w:tcPr>
            <w:tcW w:w="718" w:type="dxa"/>
            <w:vMerge w:val="continue"/>
          </w:tcPr>
          <w:p>
            <w:pPr>
              <w:spacing w:line="280" w:lineRule="exact"/>
              <w:rPr>
                <w:rFonts w:cs="Times New Roman"/>
                <w:sz w:val="24"/>
                <w:szCs w:val="24"/>
              </w:rPr>
            </w:pPr>
          </w:p>
        </w:tc>
        <w:tc>
          <w:tcPr>
            <w:tcW w:w="5008" w:type="dxa"/>
          </w:tcPr>
          <w:p>
            <w:pPr>
              <w:spacing w:line="260" w:lineRule="exact"/>
              <w:rPr>
                <w:rFonts w:cs="Times New Roman"/>
                <w:sz w:val="24"/>
                <w:szCs w:val="24"/>
              </w:rPr>
            </w:pPr>
            <w:r>
              <w:rPr>
                <w:rFonts w:hint="eastAsia"/>
                <w:sz w:val="24"/>
                <w:szCs w:val="24"/>
              </w:rPr>
              <w:t>库房应</w:t>
            </w:r>
            <w:r>
              <w:rPr>
                <w:sz w:val="24"/>
                <w:szCs w:val="24"/>
              </w:rPr>
              <w:t>24</w:t>
            </w:r>
            <w:r>
              <w:rPr>
                <w:rFonts w:hint="eastAsia"/>
                <w:sz w:val="24"/>
                <w:szCs w:val="24"/>
              </w:rPr>
              <w:t>小时值班。做好“三防”、“四把关”。即“人防、技防、犬防”及“储存关、审批关、使用关、退库关”。</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320" w:lineRule="exact"/>
              <w:jc w:val="center"/>
              <w:rPr>
                <w:rFonts w:cs="Times New Roman"/>
                <w:sz w:val="28"/>
                <w:szCs w:val="28"/>
              </w:rPr>
            </w:pPr>
          </w:p>
          <w:p>
            <w:pPr>
              <w:spacing w:line="320" w:lineRule="exact"/>
              <w:jc w:val="center"/>
              <w:rPr>
                <w:sz w:val="28"/>
                <w:szCs w:val="28"/>
              </w:rPr>
            </w:pPr>
            <w:r>
              <w:rPr>
                <w:sz w:val="28"/>
                <w:szCs w:val="28"/>
              </w:rPr>
              <w:t>21</w:t>
            </w:r>
          </w:p>
        </w:tc>
        <w:tc>
          <w:tcPr>
            <w:tcW w:w="718" w:type="dxa"/>
            <w:vMerge w:val="continue"/>
          </w:tcPr>
          <w:p>
            <w:pPr>
              <w:spacing w:line="280" w:lineRule="exact"/>
              <w:rPr>
                <w:rFonts w:cs="Times New Roman"/>
                <w:sz w:val="24"/>
                <w:szCs w:val="24"/>
              </w:rPr>
            </w:pPr>
          </w:p>
        </w:tc>
        <w:tc>
          <w:tcPr>
            <w:tcW w:w="5008" w:type="dxa"/>
          </w:tcPr>
          <w:p>
            <w:pPr>
              <w:spacing w:line="260" w:lineRule="exact"/>
              <w:rPr>
                <w:rFonts w:ascii="Arial" w:hAnsi="Arial" w:cs="Arial"/>
                <w:sz w:val="24"/>
                <w:szCs w:val="24"/>
              </w:rPr>
            </w:pPr>
            <w:r>
              <w:rPr>
                <w:rFonts w:hint="eastAsia" w:ascii="Arial" w:hAnsi="Arial"/>
                <w:sz w:val="24"/>
                <w:szCs w:val="24"/>
              </w:rPr>
              <w:t>保持炸药库周围环境的清洁干净，及时清扫周围的垃圾及清除四周的杂草，保持炸药库四周环境整洁卫生安全。</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300" w:lineRule="exact"/>
              <w:jc w:val="center"/>
              <w:rPr>
                <w:sz w:val="28"/>
                <w:szCs w:val="28"/>
              </w:rPr>
            </w:pPr>
            <w:r>
              <w:rPr>
                <w:sz w:val="28"/>
                <w:szCs w:val="28"/>
              </w:rPr>
              <w:t>22</w:t>
            </w:r>
          </w:p>
        </w:tc>
        <w:tc>
          <w:tcPr>
            <w:tcW w:w="718" w:type="dxa"/>
            <w:vMerge w:val="continue"/>
          </w:tcPr>
          <w:p>
            <w:pPr>
              <w:spacing w:line="280" w:lineRule="exact"/>
              <w:rPr>
                <w:rFonts w:cs="Times New Roman"/>
                <w:sz w:val="24"/>
                <w:szCs w:val="24"/>
              </w:rPr>
            </w:pPr>
          </w:p>
        </w:tc>
        <w:tc>
          <w:tcPr>
            <w:tcW w:w="5008" w:type="dxa"/>
          </w:tcPr>
          <w:p>
            <w:pPr>
              <w:spacing w:line="260" w:lineRule="exact"/>
              <w:rPr>
                <w:rFonts w:ascii="Arial" w:hAnsi="Arial" w:cs="Arial"/>
                <w:sz w:val="24"/>
                <w:szCs w:val="24"/>
              </w:rPr>
            </w:pPr>
            <w:r>
              <w:rPr>
                <w:rFonts w:hint="eastAsia" w:ascii="Arial" w:hAnsi="Arial"/>
                <w:sz w:val="24"/>
                <w:szCs w:val="24"/>
              </w:rPr>
              <w:t>严禁外人和无关人员进入炸药库禁区。</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dxa"/>
            <w:vAlign w:val="center"/>
          </w:tcPr>
          <w:p>
            <w:pPr>
              <w:spacing w:line="460" w:lineRule="exact"/>
              <w:jc w:val="center"/>
              <w:rPr>
                <w:sz w:val="28"/>
                <w:szCs w:val="28"/>
              </w:rPr>
            </w:pPr>
            <w:r>
              <w:rPr>
                <w:sz w:val="28"/>
                <w:szCs w:val="28"/>
              </w:rPr>
              <w:t>23</w:t>
            </w:r>
          </w:p>
        </w:tc>
        <w:tc>
          <w:tcPr>
            <w:tcW w:w="718" w:type="dxa"/>
            <w:vMerge w:val="continue"/>
          </w:tcPr>
          <w:p>
            <w:pPr>
              <w:spacing w:line="280" w:lineRule="exact"/>
              <w:rPr>
                <w:rFonts w:cs="Times New Roman"/>
                <w:sz w:val="24"/>
                <w:szCs w:val="24"/>
              </w:rPr>
            </w:pPr>
          </w:p>
        </w:tc>
        <w:tc>
          <w:tcPr>
            <w:tcW w:w="5008" w:type="dxa"/>
          </w:tcPr>
          <w:p>
            <w:pPr>
              <w:spacing w:line="260" w:lineRule="exact"/>
              <w:rPr>
                <w:rFonts w:ascii="Arial" w:hAnsi="Arial" w:cs="Arial"/>
                <w:sz w:val="24"/>
                <w:szCs w:val="24"/>
              </w:rPr>
            </w:pPr>
            <w:r>
              <w:rPr>
                <w:rFonts w:hint="eastAsia" w:ascii="Arial" w:hAnsi="Arial"/>
                <w:sz w:val="24"/>
                <w:szCs w:val="24"/>
              </w:rPr>
              <w:t>库区内严禁吸烟、用火及将火种和汽油、煤油等其他易燃、易爆物品带入库区。</w:t>
            </w:r>
          </w:p>
        </w:tc>
        <w:tc>
          <w:tcPr>
            <w:tcW w:w="552" w:type="dxa"/>
          </w:tcPr>
          <w:p>
            <w:pPr>
              <w:spacing w:line="280" w:lineRule="exact"/>
              <w:jc w:val="center"/>
              <w:rPr>
                <w:rFonts w:cs="Times New Roman"/>
                <w:sz w:val="24"/>
                <w:szCs w:val="24"/>
              </w:rPr>
            </w:pPr>
          </w:p>
        </w:tc>
        <w:tc>
          <w:tcPr>
            <w:tcW w:w="540" w:type="dxa"/>
          </w:tcPr>
          <w:p>
            <w:pPr>
              <w:spacing w:line="280" w:lineRule="exact"/>
              <w:jc w:val="center"/>
              <w:rPr>
                <w:rFonts w:cs="Times New Roman"/>
                <w:sz w:val="24"/>
                <w:szCs w:val="24"/>
              </w:rPr>
            </w:pPr>
          </w:p>
        </w:tc>
        <w:tc>
          <w:tcPr>
            <w:tcW w:w="1805" w:type="dxa"/>
          </w:tcPr>
          <w:p>
            <w:pPr>
              <w:rPr>
                <w:rFonts w:cs="Times New Roman"/>
                <w:sz w:val="24"/>
                <w:szCs w:val="24"/>
              </w:rPr>
            </w:pPr>
          </w:p>
        </w:tc>
      </w:tr>
    </w:tbl>
    <w:p>
      <w:pPr>
        <w:spacing w:line="480" w:lineRule="exact"/>
        <w:rPr>
          <w:rFonts w:cs="Times New Roman"/>
          <w:sz w:val="28"/>
          <w:szCs w:val="28"/>
        </w:rPr>
      </w:pPr>
      <w:r>
        <w:rPr>
          <w:rFonts w:hint="eastAsia"/>
          <w:sz w:val="28"/>
          <w:szCs w:val="28"/>
        </w:rPr>
        <w:t>监督检查单位：</w:t>
      </w:r>
    </w:p>
    <w:p>
      <w:pPr>
        <w:rPr>
          <w:rFonts w:cs="Times New Roman"/>
          <w:sz w:val="28"/>
          <w:szCs w:val="28"/>
        </w:rPr>
      </w:pPr>
      <w:r>
        <w:rPr>
          <w:rFonts w:hint="eastAsia"/>
          <w:sz w:val="28"/>
          <w:szCs w:val="28"/>
        </w:rPr>
        <w:t>参检人员签名：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80" w:lineRule="exact"/>
        <w:jc w:val="center"/>
        <w:rPr>
          <w:rFonts w:cs="Times New Roman"/>
          <w:b/>
          <w:bCs/>
          <w:sz w:val="32"/>
          <w:szCs w:val="32"/>
        </w:rPr>
      </w:pPr>
      <w:r>
        <w:rPr>
          <w:rFonts w:hint="eastAsia"/>
          <w:b/>
          <w:bCs/>
          <w:sz w:val="32"/>
          <w:szCs w:val="32"/>
          <w:lang w:eastAsia="zh-CN"/>
        </w:rPr>
        <w:t>十四</w:t>
      </w:r>
      <w:r>
        <w:rPr>
          <w:rFonts w:hint="eastAsia"/>
          <w:b/>
          <w:bCs/>
          <w:sz w:val="32"/>
          <w:szCs w:val="32"/>
        </w:rPr>
        <w:t>、渔业船舶安全检查清单</w:t>
      </w:r>
    </w:p>
    <w:p>
      <w:pPr>
        <w:rPr>
          <w:rFonts w:cs="Times New Roman"/>
        </w:rPr>
      </w:pPr>
      <w:r>
        <w:rPr>
          <w:rFonts w:hint="eastAsia"/>
        </w:rPr>
        <w:t>填写说明：带“○”的项目根据检查情况相应划“√”</w:t>
      </w:r>
    </w:p>
    <w:tbl>
      <w:tblPr>
        <w:tblStyle w:val="5"/>
        <w:tblW w:w="94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6"/>
        <w:gridCol w:w="567"/>
        <w:gridCol w:w="158"/>
        <w:gridCol w:w="489"/>
        <w:gridCol w:w="489"/>
        <w:gridCol w:w="149"/>
        <w:gridCol w:w="10"/>
        <w:gridCol w:w="648"/>
        <w:gridCol w:w="384"/>
        <w:gridCol w:w="379"/>
        <w:gridCol w:w="100"/>
        <w:gridCol w:w="243"/>
        <w:gridCol w:w="253"/>
        <w:gridCol w:w="117"/>
        <w:gridCol w:w="371"/>
        <w:gridCol w:w="277"/>
        <w:gridCol w:w="232"/>
        <w:gridCol w:w="416"/>
        <w:gridCol w:w="579"/>
        <w:gridCol w:w="65"/>
        <w:gridCol w:w="337"/>
        <w:gridCol w:w="11"/>
        <w:gridCol w:w="297"/>
        <w:gridCol w:w="148"/>
        <w:gridCol w:w="50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483" w:type="dxa"/>
            <w:gridSpan w:val="27"/>
            <w:vAlign w:val="center"/>
          </w:tcPr>
          <w:p>
            <w:pPr>
              <w:rPr>
                <w:rFonts w:cs="Times New Roman"/>
              </w:rPr>
            </w:pPr>
            <w:r>
              <w:rPr>
                <w:rFonts w:hint="eastAsia"/>
              </w:rPr>
              <w:t>一、检查地点：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483" w:type="dxa"/>
            <w:gridSpan w:val="27"/>
            <w:vAlign w:val="center"/>
          </w:tcPr>
          <w:p>
            <w:pPr>
              <w:rPr>
                <w:rFonts w:cs="Times New Roman"/>
              </w:rPr>
            </w:pPr>
            <w:r>
              <w:rPr>
                <w:rFonts w:hint="eastAsia"/>
              </w:rPr>
              <w:t>二、检查内容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81" w:type="dxa"/>
            <w:vAlign w:val="center"/>
          </w:tcPr>
          <w:p>
            <w:pPr>
              <w:jc w:val="center"/>
              <w:rPr>
                <w:rFonts w:cs="Times New Roman"/>
              </w:rPr>
            </w:pPr>
            <w:r>
              <w:rPr>
                <w:rFonts w:hint="eastAsia"/>
              </w:rPr>
              <w:t>船</w:t>
            </w:r>
            <w:r>
              <w:t xml:space="preserve">  </w:t>
            </w:r>
            <w:r>
              <w:rPr>
                <w:rFonts w:hint="eastAsia"/>
              </w:rPr>
              <w:t>名</w:t>
            </w:r>
            <w:r>
              <w:t xml:space="preserve">  </w:t>
            </w:r>
            <w:r>
              <w:rPr>
                <w:rFonts w:hint="eastAsia"/>
              </w:rPr>
              <w:t>号</w:t>
            </w:r>
          </w:p>
        </w:tc>
        <w:tc>
          <w:tcPr>
            <w:tcW w:w="1779" w:type="dxa"/>
            <w:gridSpan w:val="5"/>
            <w:vAlign w:val="center"/>
          </w:tcPr>
          <w:p>
            <w:pPr>
              <w:jc w:val="center"/>
              <w:rPr>
                <w:rFonts w:cs="Times New Roman"/>
              </w:rPr>
            </w:pPr>
          </w:p>
        </w:tc>
        <w:tc>
          <w:tcPr>
            <w:tcW w:w="1670" w:type="dxa"/>
            <w:gridSpan w:val="6"/>
            <w:vAlign w:val="center"/>
          </w:tcPr>
          <w:p>
            <w:pPr>
              <w:jc w:val="center"/>
              <w:rPr>
                <w:rFonts w:cs="Times New Roman"/>
              </w:rPr>
            </w:pPr>
            <w:r>
              <w:rPr>
                <w:rFonts w:hint="eastAsia"/>
              </w:rPr>
              <w:t>船</w:t>
            </w:r>
            <w:r>
              <w:t xml:space="preserve">  </w:t>
            </w:r>
            <w:r>
              <w:rPr>
                <w:rFonts w:hint="eastAsia"/>
              </w:rPr>
              <w:t>籍</w:t>
            </w:r>
            <w:r>
              <w:t xml:space="preserve">  </w:t>
            </w:r>
            <w:r>
              <w:rPr>
                <w:rFonts w:hint="eastAsia"/>
              </w:rPr>
              <w:t>港</w:t>
            </w:r>
          </w:p>
        </w:tc>
        <w:tc>
          <w:tcPr>
            <w:tcW w:w="1493" w:type="dxa"/>
            <w:gridSpan w:val="6"/>
            <w:vAlign w:val="center"/>
          </w:tcPr>
          <w:p>
            <w:pPr>
              <w:jc w:val="center"/>
              <w:rPr>
                <w:rFonts w:cs="Times New Roman"/>
              </w:rPr>
            </w:pPr>
          </w:p>
        </w:tc>
        <w:tc>
          <w:tcPr>
            <w:tcW w:w="1853" w:type="dxa"/>
            <w:gridSpan w:val="7"/>
            <w:vAlign w:val="center"/>
          </w:tcPr>
          <w:p>
            <w:pPr>
              <w:ind w:firstLine="330" w:firstLineChars="150"/>
              <w:rPr>
                <w:rFonts w:cs="Times New Roman"/>
              </w:rPr>
            </w:pPr>
            <w:r>
              <w:rPr>
                <w:rFonts w:hint="eastAsia"/>
              </w:rPr>
              <w:t>作业类型</w:t>
            </w:r>
          </w:p>
          <w:p>
            <w:pPr>
              <w:jc w:val="center"/>
            </w:pPr>
            <w:r>
              <w:t>(</w:t>
            </w:r>
            <w:r>
              <w:rPr>
                <w:rFonts w:hint="eastAsia"/>
              </w:rPr>
              <w:t>拖围流钓张归类</w:t>
            </w:r>
            <w:r>
              <w:t>)</w:t>
            </w:r>
          </w:p>
        </w:tc>
        <w:tc>
          <w:tcPr>
            <w:tcW w:w="12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81" w:type="dxa"/>
            <w:vAlign w:val="center"/>
          </w:tcPr>
          <w:p>
            <w:pPr>
              <w:ind w:left="31680" w:hanging="440" w:hangingChars="200"/>
              <w:jc w:val="center"/>
              <w:rPr>
                <w:rFonts w:cs="Times New Roman"/>
              </w:rPr>
            </w:pPr>
            <w:r>
              <w:rPr>
                <w:rFonts w:hint="eastAsia"/>
              </w:rPr>
              <w:t>主机功率</w:t>
            </w:r>
          </w:p>
          <w:p>
            <w:pPr>
              <w:ind w:left="31680" w:hanging="440" w:hangingChars="200"/>
              <w:jc w:val="center"/>
            </w:pPr>
            <w:r>
              <w:t>(KW)</w:t>
            </w:r>
          </w:p>
        </w:tc>
        <w:tc>
          <w:tcPr>
            <w:tcW w:w="1779" w:type="dxa"/>
            <w:gridSpan w:val="5"/>
            <w:vAlign w:val="center"/>
          </w:tcPr>
          <w:p>
            <w:pPr>
              <w:jc w:val="center"/>
              <w:rPr>
                <w:rFonts w:cs="Times New Roman"/>
              </w:rPr>
            </w:pPr>
          </w:p>
        </w:tc>
        <w:tc>
          <w:tcPr>
            <w:tcW w:w="1670" w:type="dxa"/>
            <w:gridSpan w:val="6"/>
            <w:vAlign w:val="center"/>
          </w:tcPr>
          <w:p>
            <w:pPr>
              <w:jc w:val="center"/>
              <w:rPr>
                <w:rFonts w:cs="Times New Roman"/>
              </w:rPr>
            </w:pPr>
            <w:r>
              <w:rPr>
                <w:rFonts w:hint="eastAsia"/>
              </w:rPr>
              <w:t>船舶所有人</w:t>
            </w:r>
          </w:p>
        </w:tc>
        <w:tc>
          <w:tcPr>
            <w:tcW w:w="4553" w:type="dxa"/>
            <w:gridSpan w:val="15"/>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81" w:type="dxa"/>
            <w:vMerge w:val="restart"/>
            <w:vAlign w:val="center"/>
          </w:tcPr>
          <w:p>
            <w:pPr>
              <w:rPr>
                <w:rFonts w:cs="Times New Roman"/>
              </w:rPr>
            </w:pPr>
            <w:r>
              <w:rPr>
                <w:rFonts w:hint="eastAsia"/>
              </w:rPr>
              <w:t>㈠持证情况</w:t>
            </w:r>
          </w:p>
        </w:tc>
        <w:tc>
          <w:tcPr>
            <w:tcW w:w="1779" w:type="dxa"/>
            <w:gridSpan w:val="5"/>
            <w:vAlign w:val="center"/>
          </w:tcPr>
          <w:p>
            <w:pPr>
              <w:jc w:val="center"/>
              <w:rPr>
                <w:rFonts w:cs="Times New Roman"/>
              </w:rPr>
            </w:pPr>
            <w:r>
              <w:rPr>
                <w:rFonts w:hint="eastAsia"/>
              </w:rPr>
              <w:t>船舶检验证</w:t>
            </w:r>
          </w:p>
        </w:tc>
        <w:tc>
          <w:tcPr>
            <w:tcW w:w="1670" w:type="dxa"/>
            <w:gridSpan w:val="6"/>
            <w:vAlign w:val="center"/>
          </w:tcPr>
          <w:p>
            <w:pPr>
              <w:jc w:val="center"/>
              <w:rPr>
                <w:rFonts w:cs="Times New Roman"/>
              </w:rPr>
            </w:pPr>
            <w:r>
              <w:rPr>
                <w:rFonts w:hint="eastAsia"/>
              </w:rPr>
              <w:t>○有</w:t>
            </w:r>
            <w:r>
              <w:t xml:space="preserve">  </w:t>
            </w:r>
            <w:r>
              <w:rPr>
                <w:rFonts w:hint="eastAsia"/>
              </w:rPr>
              <w:t>○没有</w:t>
            </w:r>
          </w:p>
        </w:tc>
        <w:tc>
          <w:tcPr>
            <w:tcW w:w="2890" w:type="dxa"/>
            <w:gridSpan w:val="10"/>
            <w:vAlign w:val="center"/>
          </w:tcPr>
          <w:p>
            <w:pPr>
              <w:jc w:val="center"/>
              <w:rPr>
                <w:rFonts w:cs="Times New Roman"/>
              </w:rPr>
            </w:pPr>
            <w:r>
              <w:rPr>
                <w:rFonts w:hint="eastAsia"/>
              </w:rPr>
              <w:t>船舶登记证书</w:t>
            </w:r>
          </w:p>
        </w:tc>
        <w:tc>
          <w:tcPr>
            <w:tcW w:w="1663" w:type="dxa"/>
            <w:gridSpan w:val="5"/>
            <w:vAlign w:val="center"/>
          </w:tcPr>
          <w:p>
            <w:pPr>
              <w:jc w:val="center"/>
              <w:rPr>
                <w:rFonts w:cs="Times New Roman"/>
              </w:rPr>
            </w:pPr>
            <w:r>
              <w:rPr>
                <w:rFonts w:hint="eastAsia"/>
              </w:rPr>
              <w:t>○有</w:t>
            </w:r>
            <w:r>
              <w:t xml:space="preserve"> </w:t>
            </w:r>
            <w:r>
              <w:rPr>
                <w:rFonts w:hint="eastAsia"/>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1" w:type="dxa"/>
            <w:vMerge w:val="continue"/>
            <w:vAlign w:val="center"/>
          </w:tcPr>
          <w:p>
            <w:pPr>
              <w:rPr>
                <w:rFonts w:cs="Times New Roman"/>
              </w:rPr>
            </w:pPr>
          </w:p>
        </w:tc>
        <w:tc>
          <w:tcPr>
            <w:tcW w:w="1779" w:type="dxa"/>
            <w:gridSpan w:val="5"/>
            <w:vAlign w:val="center"/>
          </w:tcPr>
          <w:p>
            <w:pPr>
              <w:jc w:val="center"/>
              <w:rPr>
                <w:rFonts w:cs="Times New Roman"/>
              </w:rPr>
            </w:pPr>
            <w:r>
              <w:rPr>
                <w:rFonts w:hint="eastAsia"/>
              </w:rPr>
              <w:t>捕捞许可证</w:t>
            </w:r>
          </w:p>
        </w:tc>
        <w:tc>
          <w:tcPr>
            <w:tcW w:w="1670" w:type="dxa"/>
            <w:gridSpan w:val="6"/>
            <w:vAlign w:val="center"/>
          </w:tcPr>
          <w:p>
            <w:pPr>
              <w:jc w:val="center"/>
              <w:rPr>
                <w:rFonts w:cs="Times New Roman"/>
              </w:rPr>
            </w:pPr>
            <w:r>
              <w:rPr>
                <w:rFonts w:hint="eastAsia"/>
              </w:rPr>
              <w:t>○有</w:t>
            </w:r>
            <w:r>
              <w:t xml:space="preserve">  </w:t>
            </w:r>
            <w:r>
              <w:rPr>
                <w:rFonts w:hint="eastAsia"/>
              </w:rPr>
              <w:t>○没有</w:t>
            </w:r>
          </w:p>
        </w:tc>
        <w:tc>
          <w:tcPr>
            <w:tcW w:w="2890" w:type="dxa"/>
            <w:gridSpan w:val="10"/>
            <w:vAlign w:val="center"/>
          </w:tcPr>
          <w:p>
            <w:pPr>
              <w:jc w:val="center"/>
              <w:rPr>
                <w:rFonts w:cs="Times New Roman"/>
              </w:rPr>
            </w:pPr>
            <w:r>
              <w:rPr>
                <w:rFonts w:hint="eastAsia"/>
              </w:rPr>
              <w:t>职务船员证书</w:t>
            </w:r>
          </w:p>
        </w:tc>
        <w:tc>
          <w:tcPr>
            <w:tcW w:w="1663" w:type="dxa"/>
            <w:gridSpan w:val="5"/>
            <w:vAlign w:val="center"/>
          </w:tcPr>
          <w:p>
            <w:pPr>
              <w:jc w:val="center"/>
              <w:rPr>
                <w:rFonts w:cs="Times New Roman"/>
              </w:rPr>
            </w:pPr>
            <w:r>
              <w:rPr>
                <w:rFonts w:hint="eastAsia"/>
              </w:rPr>
              <w:t>○有</w:t>
            </w:r>
            <w:r>
              <w:t xml:space="preserve"> </w:t>
            </w:r>
            <w:r>
              <w:rPr>
                <w:rFonts w:hint="eastAsia"/>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81" w:type="dxa"/>
            <w:vMerge w:val="continue"/>
            <w:vAlign w:val="center"/>
          </w:tcPr>
          <w:p>
            <w:pPr>
              <w:rPr>
                <w:rFonts w:cs="Times New Roman"/>
              </w:rPr>
            </w:pPr>
          </w:p>
        </w:tc>
        <w:tc>
          <w:tcPr>
            <w:tcW w:w="6350" w:type="dxa"/>
            <w:gridSpan w:val="22"/>
            <w:vAlign w:val="center"/>
          </w:tcPr>
          <w:p>
            <w:pPr>
              <w:jc w:val="center"/>
              <w:rPr>
                <w:rFonts w:cs="Times New Roman"/>
              </w:rPr>
            </w:pPr>
            <w:r>
              <w:rPr>
                <w:rFonts w:hint="eastAsia"/>
              </w:rPr>
              <w:t>如属“三无”船舶，是否装有捕鱼设施</w:t>
            </w:r>
          </w:p>
        </w:tc>
        <w:tc>
          <w:tcPr>
            <w:tcW w:w="1652" w:type="dxa"/>
            <w:gridSpan w:val="4"/>
            <w:vAlign w:val="center"/>
          </w:tcPr>
          <w:p>
            <w:pPr>
              <w:jc w:val="center"/>
              <w:rPr>
                <w:rFonts w:cs="Times New Roman"/>
              </w:rPr>
            </w:pPr>
            <w:r>
              <w:rPr>
                <w:rFonts w:hint="eastAsia"/>
              </w:rPr>
              <w:t>○是</w:t>
            </w:r>
            <w:r>
              <w:t xml:space="preserve"> </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81" w:type="dxa"/>
            <w:vMerge w:val="restart"/>
            <w:vAlign w:val="center"/>
          </w:tcPr>
          <w:p>
            <w:pPr>
              <w:ind w:left="31680" w:hanging="440" w:hangingChars="200"/>
              <w:rPr>
                <w:rFonts w:cs="Times New Roman"/>
              </w:rPr>
            </w:pPr>
            <w:r>
              <w:rPr>
                <w:rFonts w:hint="eastAsia"/>
              </w:rPr>
              <w:t>㈡渔船标识情况</w:t>
            </w:r>
          </w:p>
          <w:p>
            <w:pPr>
              <w:rPr>
                <w:rFonts w:cs="Times New Roman"/>
              </w:rPr>
            </w:pPr>
            <w:r>
              <w:rPr>
                <w:rFonts w:hint="eastAsia"/>
              </w:rPr>
              <w:t>（选择其一）</w:t>
            </w:r>
          </w:p>
        </w:tc>
        <w:tc>
          <w:tcPr>
            <w:tcW w:w="1779" w:type="dxa"/>
            <w:gridSpan w:val="5"/>
            <w:vAlign w:val="center"/>
          </w:tcPr>
          <w:p>
            <w:pPr>
              <w:jc w:val="center"/>
              <w:rPr>
                <w:rFonts w:cs="Times New Roman"/>
              </w:rPr>
            </w:pPr>
            <w:r>
              <w:rPr>
                <w:rFonts w:hint="eastAsia"/>
              </w:rPr>
              <w:t>没有船名号</w:t>
            </w:r>
          </w:p>
        </w:tc>
        <w:tc>
          <w:tcPr>
            <w:tcW w:w="1670" w:type="dxa"/>
            <w:gridSpan w:val="6"/>
            <w:vAlign w:val="center"/>
          </w:tcPr>
          <w:p>
            <w:pPr>
              <w:jc w:val="center"/>
              <w:rPr>
                <w:rFonts w:cs="Times New Roman"/>
              </w:rPr>
            </w:pPr>
            <w:r>
              <w:rPr>
                <w:rFonts w:hint="eastAsia"/>
              </w:rPr>
              <w:t>○</w:t>
            </w:r>
          </w:p>
        </w:tc>
        <w:tc>
          <w:tcPr>
            <w:tcW w:w="2901" w:type="dxa"/>
            <w:gridSpan w:val="11"/>
            <w:vAlign w:val="center"/>
          </w:tcPr>
          <w:p>
            <w:pPr>
              <w:jc w:val="center"/>
              <w:rPr>
                <w:rFonts w:cs="Times New Roman"/>
              </w:rPr>
            </w:pPr>
            <w:r>
              <w:rPr>
                <w:rFonts w:hint="eastAsia"/>
              </w:rPr>
              <w:t>属假冒、套牌渔船或</w:t>
            </w:r>
          </w:p>
          <w:p>
            <w:pPr>
              <w:jc w:val="center"/>
              <w:rPr>
                <w:rFonts w:cs="Times New Roman"/>
              </w:rPr>
            </w:pPr>
            <w:r>
              <w:rPr>
                <w:rFonts w:hint="eastAsia"/>
              </w:rPr>
              <w:t>涂改船名号</w:t>
            </w:r>
          </w:p>
        </w:tc>
        <w:tc>
          <w:tcPr>
            <w:tcW w:w="1652" w:type="dxa"/>
            <w:gridSpan w:val="4"/>
            <w:vAlign w:val="center"/>
          </w:tcPr>
          <w:p>
            <w:pPr>
              <w:jc w:val="center"/>
              <w:rPr>
                <w:rFonts w:cs="Times New Roma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481" w:type="dxa"/>
            <w:vMerge w:val="continue"/>
            <w:vAlign w:val="center"/>
          </w:tcPr>
          <w:p>
            <w:pPr>
              <w:rPr>
                <w:rFonts w:cs="Times New Roman"/>
              </w:rPr>
            </w:pPr>
          </w:p>
        </w:tc>
        <w:tc>
          <w:tcPr>
            <w:tcW w:w="6350" w:type="dxa"/>
            <w:gridSpan w:val="22"/>
            <w:vAlign w:val="center"/>
          </w:tcPr>
          <w:p>
            <w:pPr>
              <w:jc w:val="center"/>
              <w:rPr>
                <w:rFonts w:cs="Times New Roman"/>
              </w:rPr>
            </w:pPr>
            <w:r>
              <w:rPr>
                <w:rFonts w:hint="eastAsia"/>
              </w:rPr>
              <w:t>船名号刷写不规范或渔船标识不准确</w:t>
            </w:r>
          </w:p>
        </w:tc>
        <w:tc>
          <w:tcPr>
            <w:tcW w:w="1652" w:type="dxa"/>
            <w:gridSpan w:val="4"/>
            <w:vAlign w:val="center"/>
          </w:tcPr>
          <w:p>
            <w:pPr>
              <w:jc w:val="center"/>
              <w:rPr>
                <w:rFonts w:cs="Times New Roma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restart"/>
            <w:vAlign w:val="center"/>
          </w:tcPr>
          <w:p>
            <w:pPr>
              <w:ind w:left="31680" w:hanging="440" w:hangingChars="200"/>
              <w:rPr>
                <w:rFonts w:cs="Times New Roman"/>
              </w:rPr>
            </w:pPr>
            <w:r>
              <w:rPr>
                <w:rFonts w:hint="eastAsia"/>
              </w:rPr>
              <w:t>㈢渔船救生设施</w:t>
            </w:r>
          </w:p>
          <w:p>
            <w:pPr>
              <w:ind w:firstLine="220" w:firstLineChars="100"/>
              <w:rPr>
                <w:rFonts w:cs="Times New Roman"/>
              </w:rPr>
            </w:pPr>
            <w:r>
              <w:rPr>
                <w:rFonts w:hint="eastAsia"/>
              </w:rPr>
              <w:t>配备情况</w:t>
            </w:r>
          </w:p>
        </w:tc>
        <w:tc>
          <w:tcPr>
            <w:tcW w:w="1779" w:type="dxa"/>
            <w:gridSpan w:val="5"/>
            <w:vAlign w:val="center"/>
          </w:tcPr>
          <w:p>
            <w:pPr>
              <w:jc w:val="center"/>
              <w:rPr>
                <w:rFonts w:cs="Times New Roman"/>
              </w:rPr>
            </w:pPr>
            <w:r>
              <w:rPr>
                <w:rFonts w:hint="eastAsia"/>
              </w:rPr>
              <w:t>救生衣</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vAlign w:val="center"/>
          </w:tcPr>
          <w:p>
            <w:pPr>
              <w:jc w:val="center"/>
              <w:rPr>
                <w:rFonts w:cs="Times New Roman"/>
              </w:rPr>
            </w:pPr>
            <w:r>
              <w:rPr>
                <w:rFonts w:hint="eastAsia"/>
              </w:rPr>
              <w:t>失效数量（</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continue"/>
            <w:vAlign w:val="center"/>
          </w:tcPr>
          <w:p>
            <w:pPr>
              <w:rPr>
                <w:rFonts w:cs="Times New Roman"/>
              </w:rPr>
            </w:pPr>
          </w:p>
        </w:tc>
        <w:tc>
          <w:tcPr>
            <w:tcW w:w="1779" w:type="dxa"/>
            <w:gridSpan w:val="5"/>
            <w:vAlign w:val="center"/>
          </w:tcPr>
          <w:p>
            <w:pPr>
              <w:jc w:val="center"/>
              <w:rPr>
                <w:rFonts w:cs="Times New Roman"/>
              </w:rPr>
            </w:pPr>
            <w:r>
              <w:rPr>
                <w:rFonts w:hint="eastAsia"/>
              </w:rPr>
              <w:t>救生圈</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vAlign w:val="center"/>
          </w:tcPr>
          <w:p>
            <w:pPr>
              <w:jc w:val="center"/>
              <w:rPr>
                <w:rFonts w:cs="Times New Roman"/>
              </w:rPr>
            </w:pPr>
            <w:r>
              <w:rPr>
                <w:rFonts w:hint="eastAsia"/>
              </w:rPr>
              <w:t>失效数量（</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continue"/>
            <w:vAlign w:val="center"/>
          </w:tcPr>
          <w:p>
            <w:pPr>
              <w:rPr>
                <w:rFonts w:cs="Times New Roman"/>
              </w:rPr>
            </w:pPr>
          </w:p>
        </w:tc>
        <w:tc>
          <w:tcPr>
            <w:tcW w:w="1779" w:type="dxa"/>
            <w:gridSpan w:val="5"/>
            <w:vAlign w:val="center"/>
          </w:tcPr>
          <w:p>
            <w:pPr>
              <w:jc w:val="center"/>
              <w:rPr>
                <w:rFonts w:cs="Times New Roman"/>
              </w:rPr>
            </w:pPr>
            <w:r>
              <w:rPr>
                <w:rFonts w:hint="eastAsia"/>
              </w:rPr>
              <w:t>救生筏</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vAlign w:val="center"/>
          </w:tcPr>
          <w:p>
            <w:pPr>
              <w:jc w:val="center"/>
              <w:rPr>
                <w:rFonts w:cs="Times New Roman"/>
              </w:rPr>
            </w:pPr>
            <w:r>
              <w:rPr>
                <w:rFonts w:hint="eastAsia"/>
              </w:rPr>
              <w:t>失效数量（</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continue"/>
            <w:vAlign w:val="center"/>
          </w:tcPr>
          <w:p>
            <w:pPr>
              <w:rPr>
                <w:rFonts w:cs="Times New Roman"/>
              </w:rPr>
            </w:pPr>
          </w:p>
        </w:tc>
        <w:tc>
          <w:tcPr>
            <w:tcW w:w="1779" w:type="dxa"/>
            <w:gridSpan w:val="5"/>
            <w:vAlign w:val="center"/>
          </w:tcPr>
          <w:p>
            <w:pPr>
              <w:jc w:val="center"/>
              <w:rPr>
                <w:rFonts w:cs="Times New Roman"/>
              </w:rPr>
            </w:pPr>
            <w:r>
              <w:rPr>
                <w:rFonts w:hint="eastAsia"/>
              </w:rPr>
              <w:t>救生烟火信号</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vAlign w:val="center"/>
          </w:tcPr>
          <w:p>
            <w:pPr>
              <w:jc w:val="center"/>
              <w:rPr>
                <w:rFonts w:cs="Times New Roman"/>
              </w:rPr>
            </w:pPr>
            <w:r>
              <w:rPr>
                <w:rFonts w:hint="eastAsia"/>
              </w:rPr>
              <w:t>失效数量（</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restart"/>
            <w:vAlign w:val="center"/>
          </w:tcPr>
          <w:p>
            <w:pPr>
              <w:ind w:left="31680" w:hanging="440" w:hangingChars="200"/>
              <w:rPr>
                <w:rFonts w:cs="Times New Roman"/>
              </w:rPr>
            </w:pPr>
            <w:r>
              <w:rPr>
                <w:rFonts w:hint="eastAsia"/>
              </w:rPr>
              <w:t>㈣消防设施情况</w:t>
            </w:r>
          </w:p>
        </w:tc>
        <w:tc>
          <w:tcPr>
            <w:tcW w:w="1779" w:type="dxa"/>
            <w:gridSpan w:val="5"/>
            <w:vAlign w:val="center"/>
          </w:tcPr>
          <w:p>
            <w:pPr>
              <w:jc w:val="center"/>
              <w:rPr>
                <w:rFonts w:cs="Times New Roman"/>
              </w:rPr>
            </w:pPr>
            <w:r>
              <w:rPr>
                <w:rFonts w:hint="eastAsia"/>
              </w:rPr>
              <w:t>灭火器</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vAlign w:val="center"/>
          </w:tcPr>
          <w:p>
            <w:pPr>
              <w:jc w:val="center"/>
              <w:rPr>
                <w:rFonts w:cs="Times New Roman"/>
              </w:rPr>
            </w:pPr>
            <w:r>
              <w:rPr>
                <w:rFonts w:hint="eastAsia"/>
              </w:rPr>
              <w:t>失效数量（</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1" w:type="dxa"/>
            <w:vMerge w:val="continue"/>
            <w:vAlign w:val="center"/>
          </w:tcPr>
          <w:p>
            <w:pPr>
              <w:rPr>
                <w:rFonts w:cs="Times New Roman"/>
              </w:rPr>
            </w:pPr>
          </w:p>
        </w:tc>
        <w:tc>
          <w:tcPr>
            <w:tcW w:w="1779" w:type="dxa"/>
            <w:gridSpan w:val="5"/>
            <w:vAlign w:val="center"/>
          </w:tcPr>
          <w:p>
            <w:pPr>
              <w:jc w:val="center"/>
              <w:rPr>
                <w:rFonts w:cs="Times New Roman"/>
              </w:rPr>
            </w:pPr>
            <w:r>
              <w:rPr>
                <w:rFonts w:hint="eastAsia"/>
              </w:rPr>
              <w:t>砂</w:t>
            </w:r>
            <w:r>
              <w:t xml:space="preserve">  </w:t>
            </w:r>
            <w:r>
              <w:rPr>
                <w:rFonts w:hint="eastAsia"/>
              </w:rPr>
              <w:t>箱</w:t>
            </w:r>
          </w:p>
        </w:tc>
        <w:tc>
          <w:tcPr>
            <w:tcW w:w="2166" w:type="dxa"/>
            <w:gridSpan w:val="8"/>
            <w:vAlign w:val="center"/>
          </w:tcPr>
          <w:p>
            <w:pPr>
              <w:jc w:val="center"/>
              <w:rPr>
                <w:rFonts w:cs="Times New Roman"/>
              </w:rPr>
            </w:pPr>
            <w:r>
              <w:rPr>
                <w:rFonts w:hint="eastAsia"/>
              </w:rPr>
              <w:t>应配数量（</w:t>
            </w:r>
            <w:r>
              <w:t xml:space="preserve">  </w:t>
            </w:r>
            <w:r>
              <w:rPr>
                <w:rFonts w:hint="eastAsia"/>
              </w:rPr>
              <w:t>）</w:t>
            </w:r>
          </w:p>
        </w:tc>
        <w:tc>
          <w:tcPr>
            <w:tcW w:w="1992" w:type="dxa"/>
            <w:gridSpan w:val="6"/>
            <w:vAlign w:val="center"/>
          </w:tcPr>
          <w:p>
            <w:pPr>
              <w:jc w:val="center"/>
              <w:rPr>
                <w:rFonts w:cs="Times New Roman"/>
              </w:rPr>
            </w:pPr>
            <w:r>
              <w:rPr>
                <w:rFonts w:hint="eastAsia"/>
              </w:rPr>
              <w:t>实配数量（</w:t>
            </w:r>
            <w:r>
              <w:t xml:space="preserve">  </w:t>
            </w:r>
            <w:r>
              <w:rPr>
                <w:rFonts w:hint="eastAsia"/>
              </w:rPr>
              <w:t>）</w:t>
            </w:r>
          </w:p>
        </w:tc>
        <w:tc>
          <w:tcPr>
            <w:tcW w:w="2065" w:type="dxa"/>
            <w:gridSpan w:val="7"/>
            <w:tcBorders>
              <w:tr2bl w:val="single" w:color="auto" w:sz="4" w:space="0"/>
            </w:tcBorders>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81" w:type="dxa"/>
            <w:vMerge w:val="restart"/>
            <w:vAlign w:val="center"/>
          </w:tcPr>
          <w:p>
            <w:pPr>
              <w:ind w:left="31680" w:hanging="220" w:hangingChars="100"/>
              <w:rPr>
                <w:rFonts w:cs="Times New Roman"/>
              </w:rPr>
            </w:pPr>
            <w:r>
              <w:rPr>
                <w:rFonts w:hint="eastAsia"/>
              </w:rPr>
              <w:t>㈤信号设施情况是否</w:t>
            </w:r>
          </w:p>
          <w:p>
            <w:pPr>
              <w:ind w:firstLine="440" w:firstLineChars="200"/>
              <w:rPr>
                <w:rFonts w:cs="Times New Roman"/>
              </w:rPr>
            </w:pPr>
            <w:r>
              <w:rPr>
                <w:rFonts w:hint="eastAsia"/>
              </w:rPr>
              <w:t>正常</w:t>
            </w:r>
          </w:p>
        </w:tc>
        <w:tc>
          <w:tcPr>
            <w:tcW w:w="1290" w:type="dxa"/>
            <w:gridSpan w:val="4"/>
            <w:vAlign w:val="center"/>
          </w:tcPr>
          <w:p>
            <w:pPr>
              <w:jc w:val="center"/>
              <w:rPr>
                <w:rFonts w:cs="Times New Roman"/>
              </w:rPr>
            </w:pPr>
            <w:r>
              <w:rPr>
                <w:rFonts w:hint="eastAsia"/>
              </w:rPr>
              <w:t>桅</w:t>
            </w:r>
            <w:r>
              <w:t xml:space="preserve">  </w:t>
            </w:r>
            <w:r>
              <w:rPr>
                <w:rFonts w:hint="eastAsia"/>
              </w:rPr>
              <w:t>灯</w:t>
            </w:r>
          </w:p>
        </w:tc>
        <w:tc>
          <w:tcPr>
            <w:tcW w:w="1296" w:type="dxa"/>
            <w:gridSpan w:val="4"/>
            <w:vAlign w:val="center"/>
          </w:tcPr>
          <w:p>
            <w:pPr>
              <w:jc w:val="center"/>
              <w:rPr>
                <w:rFonts w:cs="Times New Roman"/>
              </w:rPr>
            </w:pPr>
            <w:r>
              <w:rPr>
                <w:rFonts w:hint="eastAsia"/>
              </w:rPr>
              <w:t>舷</w:t>
            </w:r>
            <w:r>
              <w:t xml:space="preserve">  </w:t>
            </w:r>
            <w:r>
              <w:rPr>
                <w:rFonts w:hint="eastAsia"/>
              </w:rPr>
              <w:t>灯</w:t>
            </w:r>
          </w:p>
        </w:tc>
        <w:tc>
          <w:tcPr>
            <w:tcW w:w="1476" w:type="dxa"/>
            <w:gridSpan w:val="6"/>
            <w:vAlign w:val="center"/>
          </w:tcPr>
          <w:p>
            <w:pPr>
              <w:jc w:val="center"/>
              <w:rPr>
                <w:rFonts w:cs="Times New Roman"/>
              </w:rPr>
            </w:pPr>
            <w:r>
              <w:rPr>
                <w:rFonts w:hint="eastAsia"/>
              </w:rPr>
              <w:t>锚</w:t>
            </w:r>
            <w:r>
              <w:t xml:space="preserve">  </w:t>
            </w:r>
            <w:r>
              <w:rPr>
                <w:rFonts w:hint="eastAsia"/>
              </w:rPr>
              <w:t>灯</w:t>
            </w:r>
          </w:p>
        </w:tc>
        <w:tc>
          <w:tcPr>
            <w:tcW w:w="1296" w:type="dxa"/>
            <w:gridSpan w:val="4"/>
            <w:vAlign w:val="center"/>
          </w:tcPr>
          <w:p>
            <w:pPr>
              <w:jc w:val="center"/>
              <w:rPr>
                <w:rFonts w:cs="Times New Roman"/>
              </w:rPr>
            </w:pPr>
            <w:r>
              <w:rPr>
                <w:rFonts w:hint="eastAsia"/>
              </w:rPr>
              <w:t>尾</w:t>
            </w:r>
            <w:r>
              <w:t xml:space="preserve">  </w:t>
            </w:r>
            <w:r>
              <w:rPr>
                <w:rFonts w:hint="eastAsia"/>
              </w:rPr>
              <w:t>灯</w:t>
            </w:r>
          </w:p>
        </w:tc>
        <w:tc>
          <w:tcPr>
            <w:tcW w:w="1289" w:type="dxa"/>
            <w:gridSpan w:val="5"/>
            <w:vAlign w:val="center"/>
          </w:tcPr>
          <w:p>
            <w:pPr>
              <w:jc w:val="center"/>
              <w:rPr>
                <w:rFonts w:cs="Times New Roman"/>
              </w:rPr>
            </w:pPr>
            <w:r>
              <w:rPr>
                <w:rFonts w:hint="eastAsia"/>
              </w:rPr>
              <w:t>雾</w:t>
            </w:r>
            <w:r>
              <w:t xml:space="preserve">  </w:t>
            </w:r>
            <w:r>
              <w:rPr>
                <w:rFonts w:hint="eastAsia"/>
              </w:rPr>
              <w:t>钟</w:t>
            </w:r>
          </w:p>
        </w:tc>
        <w:tc>
          <w:tcPr>
            <w:tcW w:w="1355" w:type="dxa"/>
            <w:gridSpan w:val="3"/>
            <w:vAlign w:val="center"/>
          </w:tcPr>
          <w:p>
            <w:pPr>
              <w:jc w:val="center"/>
              <w:rPr>
                <w:rFonts w:cs="Times New Roman"/>
              </w:rPr>
            </w:pPr>
            <w:r>
              <w:rPr>
                <w:rFonts w:hint="eastAsia"/>
              </w:rPr>
              <w:t>号</w:t>
            </w:r>
            <w:r>
              <w:t xml:space="preserve">  </w:t>
            </w:r>
            <w:r>
              <w:rPr>
                <w:rFonts w:hint="eastAsia"/>
              </w:rPr>
              <w:t>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81" w:type="dxa"/>
            <w:vMerge w:val="continue"/>
            <w:vAlign w:val="center"/>
          </w:tcPr>
          <w:p>
            <w:pPr>
              <w:rPr>
                <w:rFonts w:cs="Times New Roman"/>
              </w:rPr>
            </w:pPr>
          </w:p>
        </w:tc>
        <w:tc>
          <w:tcPr>
            <w:tcW w:w="643" w:type="dxa"/>
            <w:gridSpan w:val="2"/>
            <w:vAlign w:val="center"/>
          </w:tcPr>
          <w:p>
            <w:pPr>
              <w:rPr>
                <w:rFonts w:cs="Times New Roman"/>
              </w:rPr>
            </w:pPr>
            <w:r>
              <w:rPr>
                <w:rFonts w:hint="eastAsia"/>
              </w:rPr>
              <w:t>○是</w:t>
            </w:r>
          </w:p>
        </w:tc>
        <w:tc>
          <w:tcPr>
            <w:tcW w:w="647" w:type="dxa"/>
            <w:gridSpan w:val="2"/>
            <w:vAlign w:val="center"/>
          </w:tcPr>
          <w:p>
            <w:pPr>
              <w:rPr>
                <w:rFonts w:cs="Times New Roman"/>
              </w:rPr>
            </w:pPr>
            <w:r>
              <w:rPr>
                <w:rFonts w:hint="eastAsia"/>
              </w:rPr>
              <w:t>○否</w:t>
            </w:r>
          </w:p>
        </w:tc>
        <w:tc>
          <w:tcPr>
            <w:tcW w:w="648" w:type="dxa"/>
            <w:gridSpan w:val="3"/>
            <w:vAlign w:val="center"/>
          </w:tcPr>
          <w:p>
            <w:pPr>
              <w:rPr>
                <w:rFonts w:cs="Times New Roman"/>
              </w:rPr>
            </w:pPr>
            <w:r>
              <w:rPr>
                <w:rFonts w:hint="eastAsia"/>
              </w:rPr>
              <w:t>○是</w:t>
            </w:r>
          </w:p>
        </w:tc>
        <w:tc>
          <w:tcPr>
            <w:tcW w:w="648" w:type="dxa"/>
            <w:vAlign w:val="center"/>
          </w:tcPr>
          <w:p>
            <w:pPr>
              <w:rPr>
                <w:rFonts w:cs="Times New Roman"/>
              </w:rPr>
            </w:pPr>
            <w:r>
              <w:rPr>
                <w:rFonts w:hint="eastAsia"/>
              </w:rPr>
              <w:t>○否</w:t>
            </w:r>
          </w:p>
        </w:tc>
        <w:tc>
          <w:tcPr>
            <w:tcW w:w="763" w:type="dxa"/>
            <w:gridSpan w:val="2"/>
            <w:vAlign w:val="center"/>
          </w:tcPr>
          <w:p>
            <w:pPr>
              <w:rPr>
                <w:rFonts w:cs="Times New Roman"/>
              </w:rPr>
            </w:pPr>
            <w:r>
              <w:rPr>
                <w:rFonts w:hint="eastAsia"/>
              </w:rPr>
              <w:t>○是</w:t>
            </w:r>
          </w:p>
        </w:tc>
        <w:tc>
          <w:tcPr>
            <w:tcW w:w="713" w:type="dxa"/>
            <w:gridSpan w:val="4"/>
            <w:vAlign w:val="center"/>
          </w:tcPr>
          <w:p>
            <w:pPr>
              <w:rPr>
                <w:rFonts w:cs="Times New Roman"/>
              </w:rPr>
            </w:pPr>
            <w:r>
              <w:rPr>
                <w:rFonts w:hint="eastAsia"/>
              </w:rPr>
              <w:t>○否</w:t>
            </w:r>
          </w:p>
        </w:tc>
        <w:tc>
          <w:tcPr>
            <w:tcW w:w="648" w:type="dxa"/>
            <w:gridSpan w:val="2"/>
            <w:vAlign w:val="center"/>
          </w:tcPr>
          <w:p>
            <w:pPr>
              <w:rPr>
                <w:rFonts w:cs="Times New Roman"/>
              </w:rPr>
            </w:pPr>
            <w:r>
              <w:rPr>
                <w:rFonts w:hint="eastAsia"/>
              </w:rPr>
              <w:t>○是</w:t>
            </w:r>
          </w:p>
        </w:tc>
        <w:tc>
          <w:tcPr>
            <w:tcW w:w="648" w:type="dxa"/>
            <w:gridSpan w:val="2"/>
            <w:vAlign w:val="center"/>
          </w:tcPr>
          <w:p>
            <w:pPr>
              <w:rPr>
                <w:rFonts w:cs="Times New Roman"/>
              </w:rPr>
            </w:pPr>
            <w:r>
              <w:rPr>
                <w:rFonts w:hint="eastAsia"/>
              </w:rPr>
              <w:t>○否</w:t>
            </w:r>
          </w:p>
        </w:tc>
        <w:tc>
          <w:tcPr>
            <w:tcW w:w="644" w:type="dxa"/>
            <w:gridSpan w:val="2"/>
            <w:vAlign w:val="center"/>
          </w:tcPr>
          <w:p>
            <w:pPr>
              <w:rPr>
                <w:rFonts w:cs="Times New Roman"/>
              </w:rPr>
            </w:pPr>
            <w:r>
              <w:rPr>
                <w:rFonts w:hint="eastAsia"/>
              </w:rPr>
              <w:t>○是</w:t>
            </w:r>
          </w:p>
        </w:tc>
        <w:tc>
          <w:tcPr>
            <w:tcW w:w="645" w:type="dxa"/>
            <w:gridSpan w:val="3"/>
            <w:vAlign w:val="center"/>
          </w:tcPr>
          <w:p>
            <w:pPr>
              <w:rPr>
                <w:rFonts w:cs="Times New Roman"/>
              </w:rPr>
            </w:pPr>
            <w:r>
              <w:rPr>
                <w:rFonts w:hint="eastAsia"/>
              </w:rPr>
              <w:t>○否</w:t>
            </w:r>
          </w:p>
        </w:tc>
        <w:tc>
          <w:tcPr>
            <w:tcW w:w="652" w:type="dxa"/>
            <w:gridSpan w:val="2"/>
            <w:vAlign w:val="center"/>
          </w:tcPr>
          <w:p>
            <w:pPr>
              <w:rPr>
                <w:rFonts w:cs="Times New Roman"/>
              </w:rPr>
            </w:pPr>
            <w:r>
              <w:rPr>
                <w:rFonts w:hint="eastAsia"/>
              </w:rPr>
              <w:t>○是</w:t>
            </w:r>
          </w:p>
        </w:tc>
        <w:tc>
          <w:tcPr>
            <w:tcW w:w="703" w:type="dxa"/>
            <w:vAlign w:val="center"/>
          </w:tcPr>
          <w:p>
            <w:pPr>
              <w:rPr>
                <w:rFonts w:cs="Times New Roman"/>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24" w:type="dxa"/>
            <w:gridSpan w:val="3"/>
            <w:vMerge w:val="restart"/>
            <w:vAlign w:val="center"/>
          </w:tcPr>
          <w:p>
            <w:pPr>
              <w:rPr>
                <w:rFonts w:cs="Times New Roman"/>
              </w:rPr>
            </w:pPr>
            <w:r>
              <w:rPr>
                <w:rFonts w:hint="eastAsia"/>
              </w:rPr>
              <w:t>㈥渔船是否配备安全救助终端、是否正常</w:t>
            </w:r>
          </w:p>
        </w:tc>
        <w:tc>
          <w:tcPr>
            <w:tcW w:w="2327" w:type="dxa"/>
            <w:gridSpan w:val="7"/>
            <w:vAlign w:val="center"/>
          </w:tcPr>
          <w:p>
            <w:pPr>
              <w:jc w:val="center"/>
              <w:rPr>
                <w:rFonts w:cs="Times New Roman"/>
              </w:rPr>
            </w:pPr>
            <w:r>
              <w:rPr>
                <w:rFonts w:hint="eastAsia"/>
              </w:rPr>
              <w:t>救助终端</w:t>
            </w:r>
          </w:p>
        </w:tc>
        <w:tc>
          <w:tcPr>
            <w:tcW w:w="2388" w:type="dxa"/>
            <w:gridSpan w:val="9"/>
            <w:vAlign w:val="center"/>
          </w:tcPr>
          <w:p>
            <w:pPr>
              <w:jc w:val="center"/>
              <w:rPr>
                <w:rFonts w:cs="Times New Roman"/>
              </w:rPr>
            </w:pPr>
            <w:r>
              <w:t>AIS</w:t>
            </w:r>
            <w:r>
              <w:rPr>
                <w:rFonts w:hint="eastAsia"/>
              </w:rPr>
              <w:t>防避碰系统</w:t>
            </w:r>
          </w:p>
        </w:tc>
        <w:tc>
          <w:tcPr>
            <w:tcW w:w="2644" w:type="dxa"/>
            <w:gridSpan w:val="8"/>
            <w:vAlign w:val="center"/>
          </w:tcPr>
          <w:p>
            <w:pPr>
              <w:jc w:val="center"/>
              <w:rPr>
                <w:rFonts w:cs="Times New Roman"/>
              </w:rPr>
            </w:pPr>
            <w:r>
              <w:rPr>
                <w:rFonts w:hint="eastAsia"/>
              </w:rPr>
              <w:t>手持终端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24" w:type="dxa"/>
            <w:gridSpan w:val="3"/>
            <w:vMerge w:val="continue"/>
            <w:vAlign w:val="center"/>
          </w:tcPr>
          <w:p>
            <w:pPr>
              <w:rPr>
                <w:rFonts w:cs="Times New Roman"/>
              </w:rPr>
            </w:pPr>
          </w:p>
        </w:tc>
        <w:tc>
          <w:tcPr>
            <w:tcW w:w="1285" w:type="dxa"/>
            <w:gridSpan w:val="4"/>
            <w:vAlign w:val="center"/>
          </w:tcPr>
          <w:p>
            <w:pPr>
              <w:jc w:val="center"/>
              <w:rPr>
                <w:rFonts w:cs="Times New Roman"/>
              </w:rPr>
            </w:pPr>
            <w:r>
              <w:rPr>
                <w:rFonts w:hint="eastAsia"/>
              </w:rPr>
              <w:t>○是</w:t>
            </w:r>
          </w:p>
        </w:tc>
        <w:tc>
          <w:tcPr>
            <w:tcW w:w="1042" w:type="dxa"/>
            <w:gridSpan w:val="3"/>
            <w:vAlign w:val="center"/>
          </w:tcPr>
          <w:p>
            <w:pPr>
              <w:jc w:val="center"/>
              <w:rPr>
                <w:rFonts w:cs="Times New Roman"/>
              </w:rPr>
            </w:pPr>
            <w:r>
              <w:rPr>
                <w:rFonts w:hint="eastAsia"/>
              </w:rPr>
              <w:t>○否</w:t>
            </w:r>
          </w:p>
        </w:tc>
        <w:tc>
          <w:tcPr>
            <w:tcW w:w="1092" w:type="dxa"/>
            <w:gridSpan w:val="5"/>
            <w:vAlign w:val="center"/>
          </w:tcPr>
          <w:p>
            <w:pPr>
              <w:jc w:val="center"/>
              <w:rPr>
                <w:rFonts w:cs="Times New Roman"/>
              </w:rPr>
            </w:pPr>
            <w:r>
              <w:rPr>
                <w:rFonts w:hint="eastAsia"/>
              </w:rPr>
              <w:t>○是</w:t>
            </w:r>
          </w:p>
        </w:tc>
        <w:tc>
          <w:tcPr>
            <w:tcW w:w="1296" w:type="dxa"/>
            <w:gridSpan w:val="4"/>
            <w:vAlign w:val="center"/>
          </w:tcPr>
          <w:p>
            <w:pPr>
              <w:jc w:val="center"/>
              <w:rPr>
                <w:rFonts w:cs="Times New Roman"/>
              </w:rPr>
            </w:pPr>
            <w:r>
              <w:rPr>
                <w:rFonts w:hint="eastAsia"/>
              </w:rPr>
              <w:t>○否</w:t>
            </w:r>
          </w:p>
        </w:tc>
        <w:tc>
          <w:tcPr>
            <w:tcW w:w="1289" w:type="dxa"/>
            <w:gridSpan w:val="5"/>
            <w:vAlign w:val="center"/>
          </w:tcPr>
          <w:p>
            <w:pPr>
              <w:jc w:val="center"/>
              <w:rPr>
                <w:rFonts w:cs="Times New Roman"/>
              </w:rPr>
            </w:pPr>
            <w:r>
              <w:rPr>
                <w:rFonts w:hint="eastAsia"/>
              </w:rPr>
              <w:t>○是</w:t>
            </w:r>
          </w:p>
        </w:tc>
        <w:tc>
          <w:tcPr>
            <w:tcW w:w="1355" w:type="dxa"/>
            <w:gridSpan w:val="3"/>
            <w:vAlign w:val="center"/>
          </w:tcPr>
          <w:p>
            <w:pPr>
              <w:jc w:val="center"/>
              <w:rPr>
                <w:rFonts w:cs="Times New Roman"/>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483" w:type="dxa"/>
            <w:gridSpan w:val="27"/>
            <w:vAlign w:val="center"/>
          </w:tcPr>
          <w:p>
            <w:pPr>
              <w:rPr>
                <w:rFonts w:cs="Times New Roman"/>
              </w:rPr>
            </w:pPr>
            <w:r>
              <w:fldChar w:fldCharType="begin"/>
            </w:r>
            <w:r>
              <w:instrText xml:space="preserve"> = 7 \* GB4 </w:instrText>
            </w:r>
            <w:r>
              <w:fldChar w:fldCharType="separate"/>
            </w:r>
            <w:r>
              <w:rPr>
                <w:rFonts w:hint="eastAsia"/>
              </w:rPr>
              <w:t>㈦</w:t>
            </w:r>
            <w:r>
              <w:rPr>
                <w:rFonts w:hint="eastAsia"/>
              </w:rPr>
              <w:fldChar w:fldCharType="end"/>
            </w:r>
            <w:r>
              <w:rPr>
                <w:rFonts w:hint="eastAsia"/>
              </w:rPr>
              <w:t>其他发现的问题：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3" w:type="dxa"/>
            <w:gridSpan w:val="27"/>
            <w:vAlign w:val="center"/>
          </w:tcPr>
          <w:p>
            <w:pPr>
              <w:rPr>
                <w:rFonts w:cs="Times New Roman"/>
              </w:rPr>
            </w:pPr>
            <w:r>
              <w:rPr>
                <w:rFonts w:hint="eastAsia"/>
              </w:rPr>
              <w:t>三、处理情况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73" w:type="dxa"/>
            <w:gridSpan w:val="13"/>
            <w:vAlign w:val="center"/>
          </w:tcPr>
          <w:p>
            <w:pPr>
              <w:jc w:val="center"/>
              <w:rPr>
                <w:rFonts w:cs="Times New Roman"/>
              </w:rPr>
            </w:pPr>
            <w:r>
              <w:rPr>
                <w:rFonts w:hint="eastAsia"/>
              </w:rPr>
              <w:t>符合规定，没有发现违规情节</w:t>
            </w:r>
          </w:p>
        </w:tc>
        <w:tc>
          <w:tcPr>
            <w:tcW w:w="4310" w:type="dxa"/>
            <w:gridSpan w:val="14"/>
            <w:vAlign w:val="center"/>
          </w:tcPr>
          <w:p>
            <w:pPr>
              <w:jc w:val="center"/>
              <w:rPr>
                <w:rFonts w:cs="Times New Roma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57" w:type="dxa"/>
            <w:gridSpan w:val="2"/>
            <w:vMerge w:val="restart"/>
            <w:vAlign w:val="center"/>
          </w:tcPr>
          <w:p>
            <w:pPr>
              <w:jc w:val="center"/>
              <w:rPr>
                <w:rFonts w:cs="Times New Roman"/>
              </w:rPr>
            </w:pPr>
            <w:r>
              <w:rPr>
                <w:rFonts w:hint="eastAsia"/>
              </w:rPr>
              <w:t>不符合规定</w:t>
            </w:r>
          </w:p>
          <w:p>
            <w:pPr>
              <w:rPr>
                <w:rFonts w:cs="Times New Roman"/>
              </w:rPr>
            </w:pPr>
          </w:p>
        </w:tc>
        <w:tc>
          <w:tcPr>
            <w:tcW w:w="3616" w:type="dxa"/>
            <w:gridSpan w:val="11"/>
            <w:vAlign w:val="center"/>
          </w:tcPr>
          <w:p>
            <w:r>
              <w:rPr>
                <w:rFonts w:hint="eastAsia"/>
              </w:rPr>
              <w:t>责令现场整改○</w:t>
            </w:r>
            <w:r>
              <w:t xml:space="preserve">      </w:t>
            </w:r>
          </w:p>
        </w:tc>
        <w:tc>
          <w:tcPr>
            <w:tcW w:w="4310" w:type="dxa"/>
            <w:gridSpan w:val="14"/>
            <w:vAlign w:val="center"/>
          </w:tcPr>
          <w:p>
            <w:r>
              <w:rPr>
                <w:rFonts w:hint="eastAsia"/>
              </w:rPr>
              <w:t>限期整改○</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557" w:type="dxa"/>
            <w:gridSpan w:val="2"/>
            <w:vMerge w:val="continue"/>
            <w:vAlign w:val="center"/>
          </w:tcPr>
          <w:p>
            <w:pPr>
              <w:rPr>
                <w:rFonts w:cs="Times New Roman"/>
              </w:rPr>
            </w:pPr>
          </w:p>
        </w:tc>
        <w:tc>
          <w:tcPr>
            <w:tcW w:w="725" w:type="dxa"/>
            <w:gridSpan w:val="2"/>
            <w:vAlign w:val="center"/>
          </w:tcPr>
          <w:p>
            <w:pPr>
              <w:rPr>
                <w:rFonts w:cs="Times New Roman"/>
              </w:rPr>
            </w:pPr>
            <w:r>
              <w:rPr>
                <w:rFonts w:hint="eastAsia"/>
              </w:rPr>
              <w:t>整改</w:t>
            </w:r>
          </w:p>
          <w:p>
            <w:pPr>
              <w:rPr>
                <w:rFonts w:cs="Times New Roman"/>
              </w:rPr>
            </w:pPr>
            <w:r>
              <w:rPr>
                <w:rFonts w:hint="eastAsia"/>
              </w:rPr>
              <w:t>情况</w:t>
            </w:r>
          </w:p>
        </w:tc>
        <w:tc>
          <w:tcPr>
            <w:tcW w:w="2891" w:type="dxa"/>
            <w:gridSpan w:val="9"/>
            <w:vAlign w:val="center"/>
          </w:tcPr>
          <w:p>
            <w:pPr>
              <w:rPr>
                <w:rFonts w:cs="Times New Roman"/>
              </w:rPr>
            </w:pPr>
          </w:p>
          <w:p>
            <w:pPr>
              <w:rPr>
                <w:rFonts w:cs="Times New Roman"/>
              </w:rPr>
            </w:pPr>
          </w:p>
        </w:tc>
        <w:tc>
          <w:tcPr>
            <w:tcW w:w="741" w:type="dxa"/>
            <w:gridSpan w:val="3"/>
            <w:vAlign w:val="center"/>
          </w:tcPr>
          <w:p>
            <w:pPr>
              <w:rPr>
                <w:rFonts w:cs="Times New Roman"/>
              </w:rPr>
            </w:pPr>
            <w:r>
              <w:rPr>
                <w:rFonts w:hint="eastAsia"/>
              </w:rPr>
              <w:t>整改</w:t>
            </w:r>
          </w:p>
          <w:p>
            <w:pPr>
              <w:rPr>
                <w:rFonts w:cs="Times New Roman"/>
              </w:rPr>
            </w:pPr>
            <w:r>
              <w:rPr>
                <w:rFonts w:hint="eastAsia"/>
              </w:rPr>
              <w:t>情况</w:t>
            </w:r>
          </w:p>
        </w:tc>
        <w:tc>
          <w:tcPr>
            <w:tcW w:w="3569" w:type="dxa"/>
            <w:gridSpan w:val="11"/>
            <w:vAlign w:val="center"/>
          </w:tcPr>
          <w:p>
            <w:pPr>
              <w:rPr>
                <w:rFonts w:cs="Times New Roman"/>
              </w:rPr>
            </w:pPr>
          </w:p>
          <w:p>
            <w:pPr>
              <w:rPr>
                <w:rFonts w:cs="Times New Roman"/>
              </w:rPr>
            </w:pPr>
          </w:p>
        </w:tc>
      </w:tr>
    </w:tbl>
    <w:p>
      <w:pPr>
        <w:rPr>
          <w:rFonts w:cs="Times New Roman"/>
        </w:rPr>
      </w:pPr>
    </w:p>
    <w:p>
      <w:r>
        <w:rPr>
          <w:rFonts w:hint="eastAsia"/>
        </w:rPr>
        <w:t>检查人员签名（</w:t>
      </w:r>
      <w:r>
        <w:t>2</w:t>
      </w:r>
      <w:r>
        <w:rPr>
          <w:rFonts w:hint="eastAsia"/>
        </w:rPr>
        <w:t>人）：</w:t>
      </w:r>
      <w:r>
        <w:rPr>
          <w:u w:val="single"/>
        </w:rPr>
        <w:t xml:space="preserve">             </w:t>
      </w:r>
      <w:r>
        <w:rPr>
          <w:rFonts w:hint="eastAsia"/>
        </w:rPr>
        <w:t>、</w:t>
      </w:r>
      <w:r>
        <w:rPr>
          <w:u w:val="single"/>
        </w:rPr>
        <w:t xml:space="preserve">               </w:t>
      </w:r>
      <w:r>
        <w:t xml:space="preserve">  </w:t>
      </w:r>
      <w:r>
        <w:rPr>
          <w:rFonts w:hint="eastAsia"/>
        </w:rPr>
        <w:t>检查时间：</w:t>
      </w:r>
      <w:r>
        <w:t xml:space="preserve">   </w:t>
      </w:r>
      <w:r>
        <w:rPr>
          <w:rFonts w:hint="eastAsia"/>
        </w:rPr>
        <w:t>年</w:t>
      </w:r>
      <w:r>
        <w:t xml:space="preserve">     </w:t>
      </w:r>
      <w:r>
        <w:rPr>
          <w:rFonts w:hint="eastAsia"/>
        </w:rPr>
        <w:t>月</w:t>
      </w:r>
      <w:r>
        <w:t xml:space="preserve">    </w:t>
      </w:r>
      <w:r>
        <w:rPr>
          <w:rFonts w:hint="eastAsia"/>
        </w:rPr>
        <w:t>日</w:t>
      </w:r>
      <w:r>
        <w:t xml:space="preserve">      </w:t>
      </w:r>
    </w:p>
    <w:p>
      <w:pPr>
        <w:rPr>
          <w:rFonts w:cs="Times New Roman"/>
        </w:rPr>
      </w:pPr>
      <w:r>
        <w:rPr>
          <w:rFonts w:hint="eastAsia"/>
        </w:rPr>
        <w:t>以上记录内容我已看过（或已向我宣读过），情况属实。</w:t>
      </w:r>
    </w:p>
    <w:p>
      <w:pPr>
        <w:rPr>
          <w:rFonts w:cs="Times New Roman"/>
        </w:rPr>
      </w:pPr>
    </w:p>
    <w:p>
      <w:pPr>
        <w:spacing w:line="560" w:lineRule="exact"/>
        <w:jc w:val="center"/>
        <w:rPr>
          <w:rFonts w:cs="Times New Roman"/>
          <w:sz w:val="28"/>
          <w:szCs w:val="28"/>
        </w:rPr>
      </w:pPr>
      <w:r>
        <w:rPr>
          <w:rFonts w:hint="eastAsia"/>
        </w:rPr>
        <w:t>当事人签名：</w:t>
      </w:r>
      <w:r>
        <w:t xml:space="preserve"> </w:t>
      </w:r>
      <w:r>
        <w:rPr>
          <w:u w:val="single"/>
        </w:rPr>
        <w:t xml:space="preserve">                            </w:t>
      </w:r>
      <w:r>
        <w:t xml:space="preserve">                         </w:t>
      </w:r>
      <w:r>
        <w:rPr>
          <w:rFonts w:hint="eastAsia"/>
        </w:rPr>
        <w:t>年</w:t>
      </w:r>
      <w:r>
        <w:t xml:space="preserve">     </w:t>
      </w:r>
      <w:r>
        <w:rPr>
          <w:rFonts w:hint="eastAsia"/>
        </w:rPr>
        <w:t>月</w:t>
      </w:r>
      <w:r>
        <w:t xml:space="preserve">    </w:t>
      </w:r>
      <w:r>
        <w:rPr>
          <w:rFonts w:hint="eastAsia"/>
        </w:rPr>
        <w:t>日</w:t>
      </w:r>
    </w:p>
    <w:p>
      <w:pPr>
        <w:pStyle w:val="2"/>
        <w:spacing w:after="0" w:line="560" w:lineRule="exact"/>
        <w:jc w:val="both"/>
        <w:rPr>
          <w:rFonts w:ascii="仿宋_GB2312" w:cs="Times New Roman"/>
          <w:sz w:val="32"/>
          <w:szCs w:val="32"/>
          <w:lang w:val="en-US"/>
        </w:rPr>
        <w:sectPr>
          <w:pgSz w:w="11906" w:h="16838"/>
          <w:pgMar w:top="1304" w:right="1417" w:bottom="1304" w:left="1417" w:header="851" w:footer="992" w:gutter="0"/>
          <w:pgNumType w:fmt="numberInDash"/>
          <w:cols w:space="0" w:num="1"/>
          <w:docGrid w:type="lines" w:linePitch="316" w:charSpace="0"/>
        </w:sectPr>
      </w:pPr>
    </w:p>
    <w:p>
      <w:pPr>
        <w:spacing w:before="43"/>
        <w:ind w:left="182"/>
        <w:rPr>
          <w:rFonts w:ascii="仿宋_GB2312" w:hAnsi="黑体" w:eastAsia="仿宋_GB2312" w:cs="Times New Roman"/>
          <w:sz w:val="28"/>
          <w:szCs w:val="28"/>
        </w:rPr>
      </w:pPr>
      <w:r>
        <w:rPr>
          <w:rFonts w:hint="eastAsia" w:ascii="仿宋_GB2312" w:hAnsi="黑体" w:eastAsia="仿宋_GB2312" w:cs="仿宋_GB2312"/>
          <w:sz w:val="28"/>
          <w:szCs w:val="28"/>
        </w:rPr>
        <w:t>附件</w:t>
      </w:r>
      <w:r>
        <w:rPr>
          <w:rFonts w:ascii="仿宋_GB2312" w:hAnsi="黑体" w:eastAsia="仿宋_GB2312" w:cs="仿宋_GB2312"/>
          <w:sz w:val="28"/>
          <w:szCs w:val="28"/>
        </w:rPr>
        <w:t>3</w:t>
      </w:r>
    </w:p>
    <w:p>
      <w:pPr>
        <w:spacing w:before="12"/>
        <w:rPr>
          <w:rFonts w:cs="Times New Roman"/>
          <w:sz w:val="35"/>
          <w:szCs w:val="35"/>
        </w:rPr>
      </w:pPr>
      <w:r>
        <w:rPr>
          <w:rFonts w:cs="Times New Roman"/>
        </w:rPr>
        <w:br w:type="column"/>
      </w:r>
    </w:p>
    <w:p>
      <w:pPr>
        <w:ind w:left="182"/>
        <w:rPr>
          <w:rFonts w:cs="Times New Roman"/>
          <w:b/>
          <w:bCs/>
          <w:sz w:val="40"/>
          <w:szCs w:val="40"/>
        </w:rPr>
      </w:pPr>
      <w:r>
        <w:rPr>
          <w:rFonts w:hint="eastAsia"/>
          <w:b/>
          <w:bCs/>
          <w:sz w:val="40"/>
          <w:szCs w:val="40"/>
        </w:rPr>
        <w:t>隐患排查整治清单</w:t>
      </w:r>
    </w:p>
    <w:p>
      <w:pPr>
        <w:rPr>
          <w:rFonts w:cs="Times New Roman"/>
          <w:sz w:val="40"/>
          <w:szCs w:val="40"/>
        </w:rPr>
        <w:sectPr>
          <w:footerReference r:id="rId4" w:type="default"/>
          <w:pgSz w:w="16840" w:h="11910" w:orient="landscape"/>
          <w:pgMar w:top="1060" w:right="780" w:bottom="280" w:left="760" w:header="0" w:footer="0" w:gutter="0"/>
          <w:pgNumType w:fmt="decimal"/>
          <w:cols w:equalWidth="0" w:num="2">
            <w:col w:w="1066" w:space="4797"/>
            <w:col w:w="9437"/>
          </w:cols>
        </w:sectPr>
      </w:pPr>
    </w:p>
    <w:p>
      <w:pPr>
        <w:tabs>
          <w:tab w:val="left" w:pos="12835"/>
          <w:tab w:val="left" w:pos="14489"/>
        </w:tabs>
        <w:spacing w:before="107" w:after="43"/>
        <w:ind w:left="237"/>
        <w:rPr>
          <w:rFonts w:cs="Times New Roman"/>
        </w:rPr>
      </w:pPr>
      <w:r>
        <w:rPr>
          <w:rFonts w:hint="eastAsia"/>
        </w:rPr>
        <w:t>检查单位盖章</w:t>
      </w:r>
      <w:r>
        <w:rPr>
          <w:rFonts w:cs="Times New Roman"/>
        </w:rPr>
        <w:tab/>
      </w:r>
      <w:r>
        <w:rPr>
          <w:rFonts w:hint="eastAsia"/>
        </w:rPr>
        <w:t>时间：</w:t>
      </w:r>
      <w:r>
        <w:t>2021</w:t>
      </w:r>
      <w:r>
        <w:rPr>
          <w:rFonts w:hint="eastAsia"/>
        </w:rPr>
        <w:t>年</w:t>
      </w:r>
      <w:r>
        <w:rPr>
          <w:rFonts w:cs="Times New Roman"/>
        </w:rPr>
        <w:tab/>
      </w:r>
      <w:r>
        <w:rPr>
          <w:rFonts w:hint="eastAsia"/>
        </w:rPr>
        <w:t>月</w:t>
      </w:r>
    </w:p>
    <w:tbl>
      <w:tblPr>
        <w:tblStyle w:val="5"/>
        <w:tblW w:w="15233"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770"/>
        <w:gridCol w:w="2588"/>
        <w:gridCol w:w="1927"/>
        <w:gridCol w:w="1557"/>
        <w:gridCol w:w="1408"/>
        <w:gridCol w:w="1097"/>
        <w:gridCol w:w="1531"/>
        <w:gridCol w:w="1476"/>
        <w:gridCol w:w="13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540" w:type="dxa"/>
          </w:tcPr>
          <w:p>
            <w:pPr>
              <w:pStyle w:val="8"/>
              <w:spacing w:before="130"/>
              <w:ind w:left="107"/>
              <w:rPr>
                <w:rFonts w:cs="Times New Roman"/>
                <w:sz w:val="21"/>
                <w:szCs w:val="21"/>
              </w:rPr>
            </w:pPr>
            <w:r>
              <w:rPr>
                <w:rFonts w:hint="eastAsia"/>
                <w:sz w:val="21"/>
                <w:szCs w:val="21"/>
              </w:rPr>
              <w:t>序号</w:t>
            </w:r>
          </w:p>
        </w:tc>
        <w:tc>
          <w:tcPr>
            <w:tcW w:w="1770" w:type="dxa"/>
          </w:tcPr>
          <w:p>
            <w:pPr>
              <w:pStyle w:val="8"/>
              <w:spacing w:before="130"/>
              <w:ind w:left="117"/>
              <w:rPr>
                <w:rFonts w:cs="Times New Roman"/>
                <w:sz w:val="21"/>
                <w:szCs w:val="21"/>
              </w:rPr>
            </w:pPr>
            <w:r>
              <w:rPr>
                <w:rFonts w:hint="eastAsia"/>
                <w:sz w:val="21"/>
                <w:szCs w:val="21"/>
              </w:rPr>
              <w:t>被检单位名称</w:t>
            </w:r>
          </w:p>
        </w:tc>
        <w:tc>
          <w:tcPr>
            <w:tcW w:w="2588" w:type="dxa"/>
          </w:tcPr>
          <w:p>
            <w:pPr>
              <w:pStyle w:val="8"/>
              <w:spacing w:before="130"/>
              <w:ind w:left="1013" w:right="975"/>
              <w:jc w:val="center"/>
              <w:rPr>
                <w:rFonts w:cs="Times New Roman"/>
                <w:sz w:val="21"/>
                <w:szCs w:val="21"/>
              </w:rPr>
            </w:pPr>
            <w:r>
              <w:rPr>
                <w:rFonts w:hint="eastAsia"/>
                <w:sz w:val="21"/>
                <w:szCs w:val="21"/>
              </w:rPr>
              <w:t>地址</w:t>
            </w:r>
          </w:p>
        </w:tc>
        <w:tc>
          <w:tcPr>
            <w:tcW w:w="1927" w:type="dxa"/>
            <w:tcBorders>
              <w:right w:val="single" w:color="auto" w:sz="4" w:space="0"/>
            </w:tcBorders>
          </w:tcPr>
          <w:p>
            <w:pPr>
              <w:pStyle w:val="8"/>
              <w:spacing w:before="130"/>
              <w:ind w:left="188"/>
              <w:rPr>
                <w:rFonts w:cs="Times New Roman"/>
                <w:sz w:val="21"/>
                <w:szCs w:val="21"/>
              </w:rPr>
            </w:pPr>
            <w:r>
              <w:rPr>
                <w:rFonts w:hint="eastAsia"/>
                <w:sz w:val="21"/>
                <w:szCs w:val="21"/>
              </w:rPr>
              <w:t>隐患内容</w:t>
            </w:r>
            <w:r>
              <w:rPr>
                <w:sz w:val="21"/>
                <w:szCs w:val="21"/>
              </w:rPr>
              <w:t xml:space="preserve">( </w:t>
            </w:r>
            <w:r>
              <w:rPr>
                <w:rFonts w:hint="eastAsia"/>
                <w:sz w:val="21"/>
                <w:szCs w:val="21"/>
              </w:rPr>
              <w:t>简要）</w:t>
            </w:r>
          </w:p>
        </w:tc>
        <w:tc>
          <w:tcPr>
            <w:tcW w:w="1557" w:type="dxa"/>
            <w:tcBorders>
              <w:left w:val="single" w:color="auto" w:sz="4" w:space="0"/>
            </w:tcBorders>
          </w:tcPr>
          <w:p>
            <w:pPr>
              <w:pStyle w:val="8"/>
              <w:spacing w:before="130"/>
              <w:ind w:firstLine="210" w:firstLineChars="100"/>
              <w:rPr>
                <w:rFonts w:cs="Times New Roman"/>
                <w:sz w:val="21"/>
                <w:szCs w:val="21"/>
              </w:rPr>
            </w:pPr>
            <w:r>
              <w:rPr>
                <w:rFonts w:hint="eastAsia"/>
                <w:sz w:val="21"/>
                <w:szCs w:val="21"/>
              </w:rPr>
              <w:t>整改措施</w:t>
            </w:r>
          </w:p>
        </w:tc>
        <w:tc>
          <w:tcPr>
            <w:tcW w:w="1408" w:type="dxa"/>
          </w:tcPr>
          <w:p>
            <w:pPr>
              <w:pStyle w:val="8"/>
              <w:spacing w:before="130"/>
              <w:ind w:left="158"/>
              <w:rPr>
                <w:rFonts w:cs="Times New Roman"/>
                <w:sz w:val="21"/>
                <w:szCs w:val="21"/>
              </w:rPr>
            </w:pPr>
            <w:r>
              <w:rPr>
                <w:rFonts w:hint="eastAsia"/>
                <w:sz w:val="21"/>
                <w:szCs w:val="21"/>
              </w:rPr>
              <w:t>整改时限</w:t>
            </w:r>
          </w:p>
        </w:tc>
        <w:tc>
          <w:tcPr>
            <w:tcW w:w="1097" w:type="dxa"/>
          </w:tcPr>
          <w:p>
            <w:pPr>
              <w:pStyle w:val="8"/>
              <w:spacing w:before="130"/>
              <w:ind w:left="286"/>
              <w:rPr>
                <w:rFonts w:cs="Times New Roman"/>
                <w:sz w:val="21"/>
                <w:szCs w:val="21"/>
              </w:rPr>
            </w:pPr>
            <w:r>
              <w:rPr>
                <w:rFonts w:hint="eastAsia"/>
                <w:sz w:val="21"/>
                <w:szCs w:val="21"/>
              </w:rPr>
              <w:t>检查人</w:t>
            </w:r>
          </w:p>
        </w:tc>
        <w:tc>
          <w:tcPr>
            <w:tcW w:w="1531" w:type="dxa"/>
          </w:tcPr>
          <w:p>
            <w:pPr>
              <w:pStyle w:val="8"/>
              <w:spacing w:before="130"/>
              <w:ind w:left="75" w:leftChars="34" w:firstLine="210" w:firstLineChars="100"/>
              <w:rPr>
                <w:rFonts w:cs="Times New Roman"/>
                <w:sz w:val="21"/>
                <w:szCs w:val="21"/>
              </w:rPr>
            </w:pPr>
            <w:r>
              <w:rPr>
                <w:rFonts w:hint="eastAsia"/>
                <w:sz w:val="21"/>
                <w:szCs w:val="21"/>
              </w:rPr>
              <w:t>整改责任人</w:t>
            </w:r>
          </w:p>
        </w:tc>
        <w:tc>
          <w:tcPr>
            <w:tcW w:w="1476" w:type="dxa"/>
          </w:tcPr>
          <w:p>
            <w:pPr>
              <w:pStyle w:val="8"/>
              <w:spacing w:before="10" w:line="336" w:lineRule="exact"/>
              <w:ind w:left="610" w:right="142" w:hanging="422"/>
              <w:jc w:val="center"/>
              <w:rPr>
                <w:rFonts w:cs="Times New Roman"/>
                <w:sz w:val="21"/>
                <w:szCs w:val="21"/>
              </w:rPr>
            </w:pPr>
            <w:r>
              <w:rPr>
                <w:rFonts w:hint="eastAsia"/>
                <w:sz w:val="21"/>
                <w:szCs w:val="21"/>
              </w:rPr>
              <w:t>隐患整改</w:t>
            </w:r>
          </w:p>
          <w:p>
            <w:pPr>
              <w:pStyle w:val="8"/>
              <w:spacing w:before="10" w:line="336" w:lineRule="exact"/>
              <w:ind w:left="610" w:right="142" w:hanging="422"/>
              <w:jc w:val="center"/>
              <w:rPr>
                <w:rFonts w:cs="Times New Roman"/>
                <w:sz w:val="21"/>
                <w:szCs w:val="21"/>
              </w:rPr>
            </w:pPr>
            <w:r>
              <w:rPr>
                <w:rFonts w:hint="eastAsia"/>
                <w:sz w:val="21"/>
                <w:szCs w:val="21"/>
              </w:rPr>
              <w:t>验收人</w:t>
            </w:r>
          </w:p>
        </w:tc>
        <w:tc>
          <w:tcPr>
            <w:tcW w:w="1339" w:type="dxa"/>
          </w:tcPr>
          <w:p>
            <w:pPr>
              <w:pStyle w:val="8"/>
              <w:spacing w:before="130"/>
              <w:ind w:left="118"/>
              <w:rPr>
                <w:rFonts w:cs="Times New Roman"/>
                <w:sz w:val="21"/>
                <w:szCs w:val="21"/>
              </w:rPr>
            </w:pPr>
            <w:r>
              <w:rPr>
                <w:rFonts w:hint="eastAsia"/>
                <w:sz w:val="21"/>
                <w:szCs w:val="21"/>
              </w:rPr>
              <w:t>验收结果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ind w:right="-222" w:rightChars="-101"/>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540" w:type="dxa"/>
          </w:tcPr>
          <w:p>
            <w:pPr>
              <w:pStyle w:val="8"/>
              <w:rPr>
                <w:rFonts w:ascii="Times New Roman" w:cs="Times New Roman"/>
                <w:sz w:val="26"/>
                <w:szCs w:val="26"/>
              </w:rPr>
            </w:pPr>
          </w:p>
        </w:tc>
        <w:tc>
          <w:tcPr>
            <w:tcW w:w="1770" w:type="dxa"/>
          </w:tcPr>
          <w:p>
            <w:pPr>
              <w:pStyle w:val="8"/>
              <w:rPr>
                <w:rFonts w:ascii="Times New Roman" w:cs="Times New Roman"/>
                <w:sz w:val="26"/>
                <w:szCs w:val="26"/>
              </w:rPr>
            </w:pPr>
          </w:p>
        </w:tc>
        <w:tc>
          <w:tcPr>
            <w:tcW w:w="2588" w:type="dxa"/>
          </w:tcPr>
          <w:p>
            <w:pPr>
              <w:pStyle w:val="8"/>
              <w:rPr>
                <w:rFonts w:ascii="Times New Roman" w:cs="Times New Roman"/>
                <w:sz w:val="26"/>
                <w:szCs w:val="26"/>
              </w:rPr>
            </w:pPr>
          </w:p>
        </w:tc>
        <w:tc>
          <w:tcPr>
            <w:tcW w:w="1927" w:type="dxa"/>
            <w:tcBorders>
              <w:right w:val="single" w:color="auto" w:sz="4" w:space="0"/>
            </w:tcBorders>
          </w:tcPr>
          <w:p>
            <w:pPr>
              <w:pStyle w:val="8"/>
              <w:rPr>
                <w:rFonts w:ascii="Times New Roman" w:cs="Times New Roman"/>
                <w:sz w:val="26"/>
                <w:szCs w:val="26"/>
              </w:rPr>
            </w:pPr>
          </w:p>
        </w:tc>
        <w:tc>
          <w:tcPr>
            <w:tcW w:w="1557" w:type="dxa"/>
            <w:tcBorders>
              <w:left w:val="single" w:color="auto" w:sz="4" w:space="0"/>
            </w:tcBorders>
          </w:tcPr>
          <w:p>
            <w:pPr>
              <w:pStyle w:val="8"/>
              <w:rPr>
                <w:rFonts w:ascii="Times New Roman" w:cs="Times New Roman"/>
                <w:sz w:val="26"/>
                <w:szCs w:val="26"/>
              </w:rPr>
            </w:pPr>
          </w:p>
        </w:tc>
        <w:tc>
          <w:tcPr>
            <w:tcW w:w="1408" w:type="dxa"/>
          </w:tcPr>
          <w:p>
            <w:pPr>
              <w:pStyle w:val="8"/>
              <w:rPr>
                <w:rFonts w:ascii="Times New Roman" w:cs="Times New Roman"/>
                <w:sz w:val="26"/>
                <w:szCs w:val="26"/>
              </w:rPr>
            </w:pPr>
          </w:p>
        </w:tc>
        <w:tc>
          <w:tcPr>
            <w:tcW w:w="1097" w:type="dxa"/>
          </w:tcPr>
          <w:p>
            <w:pPr>
              <w:pStyle w:val="8"/>
              <w:rPr>
                <w:rFonts w:ascii="Times New Roman" w:cs="Times New Roman"/>
                <w:sz w:val="26"/>
                <w:szCs w:val="26"/>
              </w:rPr>
            </w:pPr>
          </w:p>
        </w:tc>
        <w:tc>
          <w:tcPr>
            <w:tcW w:w="1531" w:type="dxa"/>
          </w:tcPr>
          <w:p>
            <w:pPr>
              <w:pStyle w:val="8"/>
              <w:rPr>
                <w:rFonts w:ascii="Times New Roman" w:cs="Times New Roman"/>
                <w:sz w:val="26"/>
                <w:szCs w:val="26"/>
              </w:rPr>
            </w:pPr>
          </w:p>
        </w:tc>
        <w:tc>
          <w:tcPr>
            <w:tcW w:w="1476" w:type="dxa"/>
          </w:tcPr>
          <w:p>
            <w:pPr>
              <w:pStyle w:val="8"/>
              <w:rPr>
                <w:rFonts w:ascii="Times New Roman" w:cs="Times New Roman"/>
                <w:sz w:val="26"/>
                <w:szCs w:val="26"/>
              </w:rPr>
            </w:pPr>
          </w:p>
        </w:tc>
        <w:tc>
          <w:tcPr>
            <w:tcW w:w="1339" w:type="dxa"/>
          </w:tcPr>
          <w:p>
            <w:pPr>
              <w:pStyle w:val="8"/>
              <w:rPr>
                <w:rFonts w:ascii="Times New Roman" w:cs="Times New Roman"/>
                <w:sz w:val="26"/>
                <w:szCs w:val="26"/>
              </w:rPr>
            </w:pPr>
          </w:p>
        </w:tc>
      </w:tr>
    </w:tbl>
    <w:p>
      <w:pPr>
        <w:tabs>
          <w:tab w:val="left" w:pos="7615"/>
          <w:tab w:val="left" w:pos="12396"/>
        </w:tabs>
        <w:spacing w:before="45"/>
        <w:ind w:left="169"/>
        <w:rPr>
          <w:rFonts w:cs="Times New Roman"/>
        </w:rPr>
        <w:sectPr>
          <w:footerReference r:id="rId5" w:type="default"/>
          <w:type w:val="continuous"/>
          <w:pgSz w:w="16840" w:h="11910" w:orient="landscape"/>
          <w:pgMar w:top="1580" w:right="780" w:bottom="280" w:left="760" w:header="720" w:footer="720" w:gutter="0"/>
          <w:cols w:space="720" w:num="1"/>
        </w:sectPr>
      </w:pPr>
      <w:r>
        <w:rPr>
          <w:rFonts w:hint="eastAsia"/>
        </w:rPr>
        <w:t>检查单位责任人：</w:t>
      </w:r>
      <w:r>
        <w:rPr>
          <w:rFonts w:cs="Times New Roman"/>
        </w:rPr>
        <w:tab/>
      </w:r>
      <w:r>
        <w:rPr>
          <w:rFonts w:hint="eastAsia"/>
        </w:rPr>
        <w:t>填报</w:t>
      </w:r>
      <w:r>
        <w:rPr>
          <w:rFonts w:hint="eastAsia"/>
          <w:spacing w:val="3"/>
        </w:rPr>
        <w:t>人</w:t>
      </w:r>
      <w:r>
        <w:rPr>
          <w:rFonts w:hint="eastAsia"/>
        </w:rPr>
        <w:t>：</w:t>
      </w:r>
      <w:r>
        <w:rPr>
          <w:rFonts w:cs="Times New Roman"/>
        </w:rPr>
        <w:tab/>
      </w:r>
      <w:r>
        <w:rPr>
          <w:rFonts w:hint="eastAsia"/>
        </w:rPr>
        <w:t>填报日期：</w:t>
      </w:r>
    </w:p>
    <w:p>
      <w:pPr>
        <w:spacing w:before="31"/>
        <w:rPr>
          <w:rFonts w:ascii="仿宋_GB2312" w:hAnsi="黑体" w:eastAsia="仿宋_GB2312" w:cs="Times New Roman"/>
          <w:sz w:val="32"/>
          <w:szCs w:val="32"/>
        </w:rPr>
      </w:pPr>
      <w:r>
        <w:rPr>
          <w:rFonts w:hint="eastAsia" w:ascii="仿宋_GB2312" w:hAnsi="黑体" w:eastAsia="仿宋_GB2312" w:cs="仿宋_GB2312"/>
          <w:sz w:val="32"/>
          <w:szCs w:val="32"/>
        </w:rPr>
        <w:t>附件</w:t>
      </w:r>
      <w:r>
        <w:rPr>
          <w:rFonts w:ascii="仿宋_GB2312" w:hAnsi="黑体" w:eastAsia="仿宋_GB2312" w:cs="仿宋_GB2312"/>
          <w:sz w:val="32"/>
          <w:szCs w:val="32"/>
        </w:rPr>
        <w:t>4</w:t>
      </w:r>
    </w:p>
    <w:p>
      <w:pPr>
        <w:pStyle w:val="3"/>
        <w:spacing w:before="276"/>
        <w:ind w:left="0"/>
        <w:jc w:val="center"/>
        <w:rPr>
          <w:rFonts w:ascii="小标宋" w:hAnsi="小标宋" w:eastAsia="小标宋" w:cs="Times New Roman"/>
          <w:b w:val="0"/>
          <w:bCs w:val="0"/>
          <w:sz w:val="9"/>
          <w:szCs w:val="9"/>
        </w:rPr>
      </w:pPr>
      <w:r>
        <w:rPr>
          <w:rFonts w:hint="eastAsia" w:ascii="小标宋" w:hAnsi="小标宋" w:eastAsia="小标宋" w:cs="小标宋"/>
          <w:b w:val="0"/>
          <w:bCs w:val="0"/>
        </w:rPr>
        <w:t>安全生产隐患整改验收登记表</w:t>
      </w:r>
    </w:p>
    <w:tbl>
      <w:tblPr>
        <w:tblStyle w:val="5"/>
        <w:tblW w:w="88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0"/>
        <w:gridCol w:w="2005"/>
        <w:gridCol w:w="442"/>
        <w:gridCol w:w="740"/>
        <w:gridCol w:w="587"/>
        <w:gridCol w:w="2549"/>
        <w:gridCol w:w="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jc w:val="center"/>
        </w:trPr>
        <w:tc>
          <w:tcPr>
            <w:tcW w:w="2110" w:type="dxa"/>
          </w:tcPr>
          <w:p>
            <w:pPr>
              <w:pStyle w:val="8"/>
              <w:spacing w:before="90" w:line="225" w:lineRule="auto"/>
              <w:ind w:left="731" w:right="132" w:hanging="564"/>
              <w:rPr>
                <w:rFonts w:cs="Times New Roman"/>
                <w:sz w:val="24"/>
                <w:szCs w:val="24"/>
              </w:rPr>
            </w:pPr>
            <w:r>
              <w:rPr>
                <w:rFonts w:hint="eastAsia"/>
                <w:sz w:val="24"/>
                <w:szCs w:val="24"/>
              </w:rPr>
              <w:t>被检单位名称</w:t>
            </w:r>
          </w:p>
        </w:tc>
        <w:tc>
          <w:tcPr>
            <w:tcW w:w="2447" w:type="dxa"/>
            <w:gridSpan w:val="2"/>
          </w:tcPr>
          <w:p>
            <w:pPr>
              <w:pStyle w:val="8"/>
              <w:rPr>
                <w:rFonts w:ascii="Times New Roman" w:cs="Times New Roman"/>
                <w:sz w:val="28"/>
                <w:szCs w:val="28"/>
              </w:rPr>
            </w:pPr>
          </w:p>
        </w:tc>
        <w:tc>
          <w:tcPr>
            <w:tcW w:w="1327" w:type="dxa"/>
            <w:gridSpan w:val="2"/>
            <w:vAlign w:val="center"/>
          </w:tcPr>
          <w:p>
            <w:pPr>
              <w:pStyle w:val="8"/>
              <w:spacing w:before="241"/>
              <w:jc w:val="center"/>
              <w:rPr>
                <w:rFonts w:cs="Times New Roman"/>
                <w:sz w:val="28"/>
                <w:szCs w:val="28"/>
              </w:rPr>
            </w:pPr>
            <w:r>
              <w:rPr>
                <w:rFonts w:hint="eastAsia"/>
                <w:sz w:val="28"/>
                <w:szCs w:val="28"/>
              </w:rPr>
              <w:t>单位地址</w:t>
            </w:r>
          </w:p>
        </w:tc>
        <w:tc>
          <w:tcPr>
            <w:tcW w:w="2972" w:type="dxa"/>
            <w:gridSpan w:val="2"/>
          </w:tcPr>
          <w:p>
            <w:pPr>
              <w:pStyle w:val="8"/>
              <w:rPr>
                <w:rFonts w:ascii="Times New Roman" w:cs="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2" w:hRule="atLeast"/>
          <w:jc w:val="center"/>
        </w:trPr>
        <w:tc>
          <w:tcPr>
            <w:tcW w:w="2110" w:type="dxa"/>
            <w:vAlign w:val="center"/>
          </w:tcPr>
          <w:p>
            <w:pPr>
              <w:pStyle w:val="8"/>
              <w:ind w:right="255"/>
              <w:jc w:val="center"/>
              <w:rPr>
                <w:rFonts w:cs="Times New Roman"/>
                <w:sz w:val="24"/>
                <w:szCs w:val="24"/>
              </w:rPr>
            </w:pPr>
            <w:r>
              <w:rPr>
                <w:rFonts w:hint="eastAsia"/>
                <w:sz w:val="24"/>
                <w:szCs w:val="24"/>
              </w:rPr>
              <w:t>隐患内容</w:t>
            </w:r>
          </w:p>
        </w:tc>
        <w:tc>
          <w:tcPr>
            <w:tcW w:w="6746" w:type="dxa"/>
            <w:gridSpan w:val="6"/>
          </w:tcPr>
          <w:p>
            <w:pPr>
              <w:pStyle w:val="8"/>
              <w:rPr>
                <w:rFonts w:ascii="Times New Roman" w:cs="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jc w:val="center"/>
        </w:trPr>
        <w:tc>
          <w:tcPr>
            <w:tcW w:w="2110" w:type="dxa"/>
            <w:vAlign w:val="center"/>
          </w:tcPr>
          <w:p>
            <w:pPr>
              <w:pStyle w:val="8"/>
              <w:spacing w:line="225" w:lineRule="auto"/>
              <w:ind w:right="411"/>
              <w:jc w:val="center"/>
              <w:rPr>
                <w:rFonts w:cs="Times New Roman"/>
                <w:sz w:val="24"/>
                <w:szCs w:val="24"/>
              </w:rPr>
            </w:pPr>
            <w:r>
              <w:rPr>
                <w:rFonts w:hint="eastAsia"/>
                <w:sz w:val="24"/>
                <w:szCs w:val="24"/>
              </w:rPr>
              <w:t>检查人签字</w:t>
            </w:r>
          </w:p>
        </w:tc>
        <w:tc>
          <w:tcPr>
            <w:tcW w:w="2005" w:type="dxa"/>
            <w:tcBorders>
              <w:right w:val="nil"/>
            </w:tcBorders>
          </w:tcPr>
          <w:p>
            <w:pPr>
              <w:pStyle w:val="8"/>
              <w:rPr>
                <w:rFonts w:ascii="???????" w:cs="Times New Roman"/>
                <w:b/>
                <w:bCs/>
                <w:sz w:val="24"/>
                <w:szCs w:val="24"/>
              </w:rPr>
            </w:pPr>
          </w:p>
          <w:p>
            <w:pPr>
              <w:pStyle w:val="8"/>
              <w:rPr>
                <w:rFonts w:ascii="???????" w:cs="Times New Roman"/>
                <w:b/>
                <w:bCs/>
                <w:sz w:val="24"/>
                <w:szCs w:val="24"/>
              </w:rPr>
            </w:pPr>
          </w:p>
          <w:p>
            <w:pPr>
              <w:pStyle w:val="8"/>
              <w:spacing w:before="9"/>
              <w:rPr>
                <w:rFonts w:ascii="???????" w:cs="Times New Roman"/>
                <w:b/>
                <w:bCs/>
                <w:sz w:val="14"/>
                <w:szCs w:val="14"/>
              </w:rPr>
            </w:pPr>
          </w:p>
          <w:p>
            <w:pPr>
              <w:pStyle w:val="8"/>
              <w:spacing w:line="257" w:lineRule="exact"/>
              <w:ind w:right="169"/>
              <w:jc w:val="right"/>
              <w:rPr>
                <w:rFonts w:cs="Times New Roman"/>
                <w:sz w:val="24"/>
                <w:szCs w:val="24"/>
              </w:rPr>
            </w:pPr>
            <w:r>
              <w:rPr>
                <w:rFonts w:hint="eastAsia"/>
                <w:sz w:val="24"/>
                <w:szCs w:val="24"/>
              </w:rPr>
              <w:t>月</w:t>
            </w:r>
          </w:p>
        </w:tc>
        <w:tc>
          <w:tcPr>
            <w:tcW w:w="442" w:type="dxa"/>
            <w:tcBorders>
              <w:left w:val="nil"/>
            </w:tcBorders>
          </w:tcPr>
          <w:p>
            <w:pPr>
              <w:pStyle w:val="8"/>
              <w:rPr>
                <w:rFonts w:ascii="???????" w:cs="Times New Roman"/>
                <w:b/>
                <w:bCs/>
                <w:sz w:val="24"/>
                <w:szCs w:val="24"/>
              </w:rPr>
            </w:pPr>
          </w:p>
          <w:p>
            <w:pPr>
              <w:pStyle w:val="8"/>
              <w:rPr>
                <w:rFonts w:ascii="???????" w:cs="Times New Roman"/>
                <w:b/>
                <w:bCs/>
                <w:sz w:val="24"/>
                <w:szCs w:val="24"/>
              </w:rPr>
            </w:pPr>
          </w:p>
          <w:p>
            <w:pPr>
              <w:pStyle w:val="8"/>
              <w:spacing w:before="9"/>
              <w:rPr>
                <w:rFonts w:ascii="???????" w:cs="Times New Roman"/>
                <w:b/>
                <w:bCs/>
                <w:sz w:val="14"/>
                <w:szCs w:val="14"/>
              </w:rPr>
            </w:pPr>
          </w:p>
          <w:p>
            <w:pPr>
              <w:pStyle w:val="8"/>
              <w:spacing w:line="257" w:lineRule="exact"/>
              <w:ind w:right="1"/>
              <w:jc w:val="right"/>
              <w:rPr>
                <w:rFonts w:cs="Times New Roman"/>
                <w:sz w:val="24"/>
                <w:szCs w:val="24"/>
              </w:rPr>
            </w:pPr>
            <w:r>
              <w:rPr>
                <w:rFonts w:hint="eastAsia"/>
                <w:sz w:val="24"/>
                <w:szCs w:val="24"/>
              </w:rPr>
              <w:t>日</w:t>
            </w:r>
          </w:p>
        </w:tc>
        <w:tc>
          <w:tcPr>
            <w:tcW w:w="1327" w:type="dxa"/>
            <w:gridSpan w:val="2"/>
          </w:tcPr>
          <w:p>
            <w:pPr>
              <w:pStyle w:val="8"/>
              <w:spacing w:before="212" w:line="225" w:lineRule="auto"/>
              <w:ind w:left="105" w:right="76"/>
              <w:jc w:val="both"/>
              <w:rPr>
                <w:rFonts w:cs="Times New Roman"/>
                <w:sz w:val="24"/>
                <w:szCs w:val="24"/>
              </w:rPr>
            </w:pPr>
            <w:r>
              <w:rPr>
                <w:rFonts w:hint="eastAsia"/>
                <w:spacing w:val="-5"/>
                <w:sz w:val="24"/>
                <w:szCs w:val="24"/>
              </w:rPr>
              <w:t>受检单位</w:t>
            </w:r>
            <w:r>
              <w:rPr>
                <w:rFonts w:hint="eastAsia"/>
                <w:sz w:val="24"/>
                <w:szCs w:val="24"/>
              </w:rPr>
              <w:t>负责人签字</w:t>
            </w:r>
          </w:p>
        </w:tc>
        <w:tc>
          <w:tcPr>
            <w:tcW w:w="2549" w:type="dxa"/>
            <w:tcBorders>
              <w:right w:val="nil"/>
            </w:tcBorders>
          </w:tcPr>
          <w:p>
            <w:pPr>
              <w:pStyle w:val="8"/>
              <w:rPr>
                <w:rFonts w:ascii="???????" w:cs="Times New Roman"/>
                <w:b/>
                <w:bCs/>
                <w:sz w:val="24"/>
                <w:szCs w:val="24"/>
              </w:rPr>
            </w:pPr>
          </w:p>
          <w:p>
            <w:pPr>
              <w:pStyle w:val="8"/>
              <w:rPr>
                <w:rFonts w:ascii="???????" w:cs="Times New Roman"/>
                <w:b/>
                <w:bCs/>
                <w:sz w:val="24"/>
                <w:szCs w:val="24"/>
              </w:rPr>
            </w:pPr>
          </w:p>
          <w:p>
            <w:pPr>
              <w:pStyle w:val="8"/>
              <w:spacing w:before="13"/>
              <w:rPr>
                <w:rFonts w:ascii="???????" w:cs="Times New Roman"/>
                <w:b/>
                <w:bCs/>
                <w:sz w:val="13"/>
                <w:szCs w:val="13"/>
              </w:rPr>
            </w:pPr>
          </w:p>
          <w:p>
            <w:pPr>
              <w:pStyle w:val="8"/>
              <w:spacing w:line="271" w:lineRule="exact"/>
              <w:ind w:right="153"/>
              <w:jc w:val="right"/>
              <w:rPr>
                <w:rFonts w:cs="Times New Roman"/>
                <w:sz w:val="24"/>
                <w:szCs w:val="24"/>
              </w:rPr>
            </w:pPr>
            <w:r>
              <w:rPr>
                <w:rFonts w:hint="eastAsia"/>
                <w:sz w:val="24"/>
                <w:szCs w:val="24"/>
              </w:rPr>
              <w:t>月</w:t>
            </w:r>
          </w:p>
        </w:tc>
        <w:tc>
          <w:tcPr>
            <w:tcW w:w="423" w:type="dxa"/>
            <w:tcBorders>
              <w:left w:val="nil"/>
            </w:tcBorders>
          </w:tcPr>
          <w:p>
            <w:pPr>
              <w:pStyle w:val="8"/>
              <w:rPr>
                <w:rFonts w:ascii="???????" w:cs="Times New Roman"/>
                <w:b/>
                <w:bCs/>
                <w:sz w:val="24"/>
                <w:szCs w:val="24"/>
              </w:rPr>
            </w:pPr>
          </w:p>
          <w:p>
            <w:pPr>
              <w:pStyle w:val="8"/>
              <w:rPr>
                <w:rFonts w:ascii="???????" w:cs="Times New Roman"/>
                <w:b/>
                <w:bCs/>
                <w:sz w:val="24"/>
                <w:szCs w:val="24"/>
              </w:rPr>
            </w:pPr>
          </w:p>
          <w:p>
            <w:pPr>
              <w:pStyle w:val="8"/>
              <w:spacing w:before="13"/>
              <w:rPr>
                <w:rFonts w:ascii="???????" w:cs="Times New Roman"/>
                <w:b/>
                <w:bCs/>
                <w:sz w:val="13"/>
                <w:szCs w:val="13"/>
              </w:rPr>
            </w:pPr>
          </w:p>
          <w:p>
            <w:pPr>
              <w:pStyle w:val="8"/>
              <w:spacing w:line="271" w:lineRule="exact"/>
              <w:ind w:left="163"/>
              <w:rPr>
                <w:rFonts w:cs="Times New Roman"/>
                <w:sz w:val="24"/>
                <w:szCs w:val="24"/>
              </w:rPr>
            </w:pPr>
            <w:r>
              <w:rPr>
                <w:rFonts w:hint="eastAsia"/>
                <w:sz w:val="24"/>
                <w:szCs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jc w:val="center"/>
        </w:trPr>
        <w:tc>
          <w:tcPr>
            <w:tcW w:w="2110" w:type="dxa"/>
            <w:vAlign w:val="center"/>
          </w:tcPr>
          <w:p>
            <w:pPr>
              <w:pStyle w:val="8"/>
              <w:spacing w:line="225" w:lineRule="auto"/>
              <w:ind w:right="132"/>
              <w:jc w:val="center"/>
              <w:rPr>
                <w:rFonts w:cs="Times New Roman"/>
                <w:sz w:val="24"/>
                <w:szCs w:val="24"/>
              </w:rPr>
            </w:pPr>
            <w:r>
              <w:rPr>
                <w:rFonts w:hint="eastAsia"/>
                <w:sz w:val="24"/>
                <w:szCs w:val="24"/>
              </w:rPr>
              <w:t>整改责任人签字</w:t>
            </w:r>
          </w:p>
        </w:tc>
        <w:tc>
          <w:tcPr>
            <w:tcW w:w="2005" w:type="dxa"/>
            <w:tcBorders>
              <w:right w:val="nil"/>
            </w:tcBorders>
          </w:tcPr>
          <w:p>
            <w:pPr>
              <w:pStyle w:val="8"/>
              <w:rPr>
                <w:rFonts w:ascii="???????" w:cs="Times New Roman"/>
                <w:b/>
                <w:bCs/>
                <w:sz w:val="24"/>
                <w:szCs w:val="24"/>
              </w:rPr>
            </w:pPr>
          </w:p>
          <w:p>
            <w:pPr>
              <w:pStyle w:val="8"/>
              <w:rPr>
                <w:rFonts w:ascii="???????" w:cs="Times New Roman"/>
                <w:b/>
                <w:bCs/>
                <w:sz w:val="24"/>
                <w:szCs w:val="24"/>
              </w:rPr>
            </w:pPr>
          </w:p>
          <w:p>
            <w:pPr>
              <w:pStyle w:val="8"/>
              <w:spacing w:before="9"/>
              <w:rPr>
                <w:rFonts w:ascii="???????" w:cs="Times New Roman"/>
                <w:b/>
                <w:bCs/>
                <w:sz w:val="14"/>
                <w:szCs w:val="14"/>
              </w:rPr>
            </w:pPr>
          </w:p>
          <w:p>
            <w:pPr>
              <w:pStyle w:val="8"/>
              <w:spacing w:line="257" w:lineRule="exact"/>
              <w:ind w:right="169"/>
              <w:jc w:val="right"/>
              <w:rPr>
                <w:rFonts w:cs="Times New Roman"/>
                <w:sz w:val="24"/>
                <w:szCs w:val="24"/>
              </w:rPr>
            </w:pPr>
            <w:r>
              <w:rPr>
                <w:rFonts w:hint="eastAsia"/>
                <w:sz w:val="24"/>
                <w:szCs w:val="24"/>
              </w:rPr>
              <w:t>月</w:t>
            </w:r>
          </w:p>
        </w:tc>
        <w:tc>
          <w:tcPr>
            <w:tcW w:w="442" w:type="dxa"/>
            <w:tcBorders>
              <w:left w:val="nil"/>
            </w:tcBorders>
          </w:tcPr>
          <w:p>
            <w:pPr>
              <w:pStyle w:val="8"/>
              <w:rPr>
                <w:rFonts w:ascii="???????" w:cs="Times New Roman"/>
                <w:b/>
                <w:bCs/>
                <w:sz w:val="24"/>
                <w:szCs w:val="24"/>
              </w:rPr>
            </w:pPr>
          </w:p>
          <w:p>
            <w:pPr>
              <w:pStyle w:val="8"/>
              <w:rPr>
                <w:rFonts w:ascii="???????" w:cs="Times New Roman"/>
                <w:b/>
                <w:bCs/>
                <w:sz w:val="24"/>
                <w:szCs w:val="24"/>
              </w:rPr>
            </w:pPr>
          </w:p>
          <w:p>
            <w:pPr>
              <w:pStyle w:val="8"/>
              <w:spacing w:before="9"/>
              <w:rPr>
                <w:rFonts w:ascii="???????" w:cs="Times New Roman"/>
                <w:b/>
                <w:bCs/>
                <w:sz w:val="14"/>
                <w:szCs w:val="14"/>
              </w:rPr>
            </w:pPr>
          </w:p>
          <w:p>
            <w:pPr>
              <w:pStyle w:val="8"/>
              <w:spacing w:line="257" w:lineRule="exact"/>
              <w:ind w:right="1"/>
              <w:jc w:val="right"/>
              <w:rPr>
                <w:rFonts w:cs="Times New Roman"/>
                <w:sz w:val="24"/>
                <w:szCs w:val="24"/>
              </w:rPr>
            </w:pPr>
            <w:r>
              <w:rPr>
                <w:rFonts w:hint="eastAsia"/>
                <w:sz w:val="24"/>
                <w:szCs w:val="24"/>
              </w:rPr>
              <w:t>日</w:t>
            </w:r>
          </w:p>
        </w:tc>
        <w:tc>
          <w:tcPr>
            <w:tcW w:w="1327" w:type="dxa"/>
            <w:gridSpan w:val="2"/>
          </w:tcPr>
          <w:p>
            <w:pPr>
              <w:pStyle w:val="8"/>
              <w:rPr>
                <w:rFonts w:ascii="???????" w:cs="Times New Roman"/>
                <w:b/>
                <w:bCs/>
                <w:sz w:val="24"/>
                <w:szCs w:val="24"/>
              </w:rPr>
            </w:pPr>
          </w:p>
          <w:p>
            <w:pPr>
              <w:pStyle w:val="8"/>
              <w:ind w:left="105"/>
              <w:rPr>
                <w:rFonts w:cs="Times New Roman"/>
                <w:sz w:val="24"/>
                <w:szCs w:val="24"/>
              </w:rPr>
            </w:pPr>
          </w:p>
          <w:p>
            <w:pPr>
              <w:pStyle w:val="8"/>
              <w:ind w:left="105"/>
              <w:rPr>
                <w:rFonts w:cs="Times New Roman"/>
                <w:sz w:val="24"/>
                <w:szCs w:val="24"/>
              </w:rPr>
            </w:pPr>
            <w:r>
              <w:rPr>
                <w:rFonts w:hint="eastAsia"/>
                <w:sz w:val="24"/>
                <w:szCs w:val="24"/>
              </w:rPr>
              <w:t>整改时限</w:t>
            </w:r>
          </w:p>
        </w:tc>
        <w:tc>
          <w:tcPr>
            <w:tcW w:w="2972" w:type="dxa"/>
            <w:gridSpan w:val="2"/>
          </w:tcPr>
          <w:p>
            <w:pPr>
              <w:pStyle w:val="8"/>
              <w:rPr>
                <w:rFonts w:ascii="Times New Roman" w:cs="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jc w:val="center"/>
        </w:trPr>
        <w:tc>
          <w:tcPr>
            <w:tcW w:w="2110" w:type="dxa"/>
            <w:vAlign w:val="center"/>
          </w:tcPr>
          <w:p>
            <w:pPr>
              <w:pStyle w:val="8"/>
              <w:ind w:right="255"/>
              <w:jc w:val="center"/>
              <w:rPr>
                <w:rFonts w:cs="Times New Roman"/>
                <w:sz w:val="24"/>
                <w:szCs w:val="24"/>
              </w:rPr>
            </w:pPr>
            <w:r>
              <w:rPr>
                <w:rFonts w:hint="eastAsia"/>
                <w:sz w:val="24"/>
                <w:szCs w:val="24"/>
              </w:rPr>
              <w:t>验收意见</w:t>
            </w:r>
          </w:p>
        </w:tc>
        <w:tc>
          <w:tcPr>
            <w:tcW w:w="6746" w:type="dxa"/>
            <w:gridSpan w:val="6"/>
          </w:tcPr>
          <w:p>
            <w:pPr>
              <w:pStyle w:val="8"/>
              <w:rPr>
                <w:rFonts w:ascii="Times New Roman" w:cs="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jc w:val="center"/>
        </w:trPr>
        <w:tc>
          <w:tcPr>
            <w:tcW w:w="2110" w:type="dxa"/>
            <w:vAlign w:val="center"/>
          </w:tcPr>
          <w:p>
            <w:pPr>
              <w:pStyle w:val="8"/>
              <w:spacing w:line="225" w:lineRule="auto"/>
              <w:ind w:right="411"/>
              <w:jc w:val="center"/>
              <w:rPr>
                <w:rFonts w:cs="Times New Roman"/>
                <w:sz w:val="24"/>
                <w:szCs w:val="24"/>
              </w:rPr>
            </w:pPr>
            <w:r>
              <w:rPr>
                <w:rFonts w:hint="eastAsia"/>
                <w:sz w:val="24"/>
                <w:szCs w:val="24"/>
              </w:rPr>
              <w:t>验收人签字</w:t>
            </w:r>
          </w:p>
        </w:tc>
        <w:tc>
          <w:tcPr>
            <w:tcW w:w="2005" w:type="dxa"/>
            <w:tcBorders>
              <w:right w:val="nil"/>
            </w:tcBorders>
          </w:tcPr>
          <w:p>
            <w:pPr>
              <w:pStyle w:val="8"/>
              <w:rPr>
                <w:rFonts w:ascii="Times New Roman" w:cs="Times New Roman"/>
                <w:sz w:val="28"/>
                <w:szCs w:val="28"/>
              </w:rPr>
            </w:pPr>
          </w:p>
        </w:tc>
        <w:tc>
          <w:tcPr>
            <w:tcW w:w="442" w:type="dxa"/>
            <w:tcBorders>
              <w:left w:val="nil"/>
              <w:right w:val="nil"/>
            </w:tcBorders>
          </w:tcPr>
          <w:p>
            <w:pPr>
              <w:pStyle w:val="8"/>
              <w:rPr>
                <w:rFonts w:ascii="Times New Roman" w:cs="Times New Roman"/>
                <w:sz w:val="28"/>
                <w:szCs w:val="28"/>
              </w:rPr>
            </w:pPr>
          </w:p>
        </w:tc>
        <w:tc>
          <w:tcPr>
            <w:tcW w:w="740" w:type="dxa"/>
            <w:tcBorders>
              <w:left w:val="nil"/>
              <w:right w:val="nil"/>
            </w:tcBorders>
          </w:tcPr>
          <w:p>
            <w:pPr>
              <w:pStyle w:val="8"/>
              <w:rPr>
                <w:rFonts w:ascii="???????" w:cs="Times New Roman"/>
                <w:b/>
                <w:bCs/>
                <w:sz w:val="28"/>
                <w:szCs w:val="28"/>
              </w:rPr>
            </w:pPr>
          </w:p>
          <w:p>
            <w:pPr>
              <w:pStyle w:val="8"/>
              <w:spacing w:before="4"/>
              <w:rPr>
                <w:rFonts w:ascii="???????" w:cs="Times New Roman"/>
                <w:b/>
                <w:bCs/>
                <w:sz w:val="32"/>
                <w:szCs w:val="32"/>
              </w:rPr>
            </w:pPr>
          </w:p>
          <w:p>
            <w:pPr>
              <w:pStyle w:val="8"/>
              <w:spacing w:before="1" w:line="297" w:lineRule="exact"/>
              <w:ind w:left="252"/>
              <w:rPr>
                <w:rFonts w:cs="Times New Roman"/>
                <w:sz w:val="28"/>
                <w:szCs w:val="28"/>
              </w:rPr>
            </w:pPr>
            <w:r>
              <w:rPr>
                <w:rFonts w:hint="eastAsia"/>
                <w:sz w:val="28"/>
                <w:szCs w:val="28"/>
              </w:rPr>
              <w:t>月</w:t>
            </w:r>
          </w:p>
        </w:tc>
        <w:tc>
          <w:tcPr>
            <w:tcW w:w="587" w:type="dxa"/>
            <w:tcBorders>
              <w:left w:val="nil"/>
              <w:right w:val="nil"/>
            </w:tcBorders>
          </w:tcPr>
          <w:p>
            <w:pPr>
              <w:pStyle w:val="8"/>
              <w:rPr>
                <w:rFonts w:ascii="???????" w:cs="Times New Roman"/>
                <w:b/>
                <w:bCs/>
                <w:sz w:val="28"/>
                <w:szCs w:val="28"/>
              </w:rPr>
            </w:pPr>
          </w:p>
          <w:p>
            <w:pPr>
              <w:pStyle w:val="8"/>
              <w:spacing w:before="4"/>
              <w:rPr>
                <w:rFonts w:ascii="???????" w:cs="Times New Roman"/>
                <w:b/>
                <w:bCs/>
                <w:sz w:val="32"/>
                <w:szCs w:val="32"/>
              </w:rPr>
            </w:pPr>
          </w:p>
          <w:p>
            <w:pPr>
              <w:pStyle w:val="8"/>
              <w:spacing w:before="1" w:line="297" w:lineRule="exact"/>
              <w:ind w:left="220"/>
              <w:rPr>
                <w:rFonts w:cs="Times New Roman"/>
                <w:sz w:val="28"/>
                <w:szCs w:val="28"/>
              </w:rPr>
            </w:pPr>
            <w:r>
              <w:rPr>
                <w:rFonts w:hint="eastAsia"/>
                <w:sz w:val="28"/>
                <w:szCs w:val="28"/>
              </w:rPr>
              <w:t>日</w:t>
            </w:r>
          </w:p>
        </w:tc>
        <w:tc>
          <w:tcPr>
            <w:tcW w:w="2549" w:type="dxa"/>
            <w:tcBorders>
              <w:left w:val="nil"/>
              <w:right w:val="nil"/>
            </w:tcBorders>
          </w:tcPr>
          <w:p>
            <w:pPr>
              <w:pStyle w:val="8"/>
              <w:rPr>
                <w:rFonts w:ascii="Times New Roman" w:cs="Times New Roman"/>
                <w:sz w:val="28"/>
                <w:szCs w:val="28"/>
              </w:rPr>
            </w:pPr>
          </w:p>
        </w:tc>
        <w:tc>
          <w:tcPr>
            <w:tcW w:w="423" w:type="dxa"/>
            <w:tcBorders>
              <w:left w:val="nil"/>
            </w:tcBorders>
          </w:tcPr>
          <w:p>
            <w:pPr>
              <w:pStyle w:val="8"/>
              <w:rPr>
                <w:rFonts w:ascii="Times New Roman" w:cs="Times New Roman"/>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jc w:val="center"/>
        </w:trPr>
        <w:tc>
          <w:tcPr>
            <w:tcW w:w="2110" w:type="dxa"/>
            <w:vAlign w:val="center"/>
          </w:tcPr>
          <w:p>
            <w:pPr>
              <w:pStyle w:val="8"/>
              <w:ind w:right="255"/>
              <w:jc w:val="center"/>
              <w:rPr>
                <w:rFonts w:cs="Times New Roman"/>
                <w:sz w:val="24"/>
                <w:szCs w:val="24"/>
              </w:rPr>
            </w:pPr>
            <w:r>
              <w:rPr>
                <w:rFonts w:hint="eastAsia"/>
                <w:sz w:val="24"/>
                <w:szCs w:val="24"/>
              </w:rPr>
              <w:t>备注</w:t>
            </w:r>
          </w:p>
        </w:tc>
        <w:tc>
          <w:tcPr>
            <w:tcW w:w="6746" w:type="dxa"/>
            <w:gridSpan w:val="6"/>
          </w:tcPr>
          <w:p>
            <w:pPr>
              <w:pStyle w:val="8"/>
              <w:rPr>
                <w:rFonts w:ascii="Times New Roman" w:cs="Times New Roman"/>
                <w:sz w:val="28"/>
                <w:szCs w:val="28"/>
              </w:rPr>
            </w:pPr>
          </w:p>
        </w:tc>
      </w:tr>
    </w:tbl>
    <w:p>
      <w:pPr>
        <w:pStyle w:val="2"/>
        <w:spacing w:after="0" w:line="560" w:lineRule="exact"/>
        <w:jc w:val="both"/>
        <w:rPr>
          <w:rFonts w:ascii="仿宋_GB2312" w:cs="Times New Roman"/>
          <w:sz w:val="32"/>
          <w:szCs w:val="32"/>
          <w:lang w:val="en-US"/>
        </w:rPr>
      </w:pPr>
    </w:p>
    <w:p>
      <w:pPr>
        <w:pStyle w:val="2"/>
        <w:spacing w:after="0" w:line="560" w:lineRule="exact"/>
        <w:jc w:val="both"/>
        <w:rPr>
          <w:rFonts w:cs="Times New Roman"/>
          <w:lang w:val="en-US"/>
        </w:rPr>
      </w:pPr>
    </w:p>
    <w:p>
      <w:bookmarkStart w:id="0" w:name="_GoBack"/>
      <w:bookmarkEnd w:id="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- 14 -</w:t>
                          </w:r>
                          <w:r>
                            <w:rPr>
                              <w:rStyle w:val="7"/>
                              <w:rFonts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pStyle w:val="4"/>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- 14 -</w:t>
                    </w:r>
                    <w:r>
                      <w:rPr>
                        <w:rStyle w:val="7"/>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57</w:t>
    </w:r>
    <w:r>
      <w:rPr>
        <w:rStyle w:val="7"/>
      </w:rPr>
      <w:fldChar w:fldCharType="end"/>
    </w:r>
  </w:p>
  <w:p>
    <w:pPr>
      <w:pStyle w:val="2"/>
      <w:spacing w:line="14" w:lineRule="auto"/>
      <w:rPr>
        <w:rFonts w:cs="Times New Roman"/>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B2A6D"/>
    <w:rsid w:val="57DB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3">
    <w:name w:val="heading 2"/>
    <w:basedOn w:val="1"/>
    <w:next w:val="1"/>
    <w:qFormat/>
    <w:uiPriority w:val="99"/>
    <w:pPr>
      <w:ind w:left="173"/>
      <w:outlineLvl w:val="1"/>
    </w:pPr>
    <w:rPr>
      <w:rFonts w:ascii="???????" w:hAnsi="???????" w:cs="???????"/>
      <w:b/>
      <w:bCs/>
      <w:sz w:val="40"/>
      <w:szCs w:val="4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仿宋_GB2312" w:cs="Calibri"/>
    </w:rPr>
  </w:style>
  <w:style w:type="paragraph" w:styleId="4">
    <w:name w:val="footer"/>
    <w:basedOn w:val="1"/>
    <w:qFormat/>
    <w:uiPriority w:val="99"/>
    <w:pPr>
      <w:tabs>
        <w:tab w:val="center" w:pos="4153"/>
        <w:tab w:val="right" w:pos="8306"/>
      </w:tabs>
      <w:snapToGrid w:val="0"/>
    </w:pPr>
    <w:rPr>
      <w:sz w:val="18"/>
      <w:szCs w:val="18"/>
    </w:rPr>
  </w:style>
  <w:style w:type="character" w:styleId="7">
    <w:name w:val="page number"/>
    <w:basedOn w:val="6"/>
    <w:qFormat/>
    <w:uiPriority w:val="99"/>
  </w:style>
  <w:style w:type="paragraph" w:customStyle="1" w:styleId="8">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2021-05-12T06:52:00Z</dcterms:created>
  <dc:creator>路很长要走很久</dc:creator>
  <cp:lastModifiedBy>路很长要走很久</cp:lastModifiedBy>
  <dcterms:modified xsi:type="dcterms:W3CDTF">2021-05-12T06:54:59Z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42B89A70FFFD4D449693CF777ACF6E23</vt:lpwstr>
  </property>
</Properties>
</file>