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附件</w:t>
      </w:r>
      <w:r>
        <w:rPr>
          <w:rFonts w:hint="eastAsia" w:ascii="仿宋_GB2312" w:hAnsi="宋体" w:eastAsia="仿宋_GB2312" w:cs="宋体"/>
          <w:b/>
          <w:color w:val="000000"/>
          <w:kern w:val="0"/>
          <w:sz w:val="32"/>
          <w:szCs w:val="32"/>
          <w:lang w:val="en-US" w:eastAsia="zh-CN"/>
        </w:rPr>
        <w:t>1</w:t>
      </w:r>
      <w:r>
        <w:rPr>
          <w:rFonts w:hint="eastAsia" w:ascii="仿宋_GB2312" w:hAnsi="宋体" w:eastAsia="仿宋_GB2312" w:cs="宋体"/>
          <w:b/>
          <w:color w:val="000000"/>
          <w:kern w:val="0"/>
          <w:sz w:val="32"/>
          <w:szCs w:val="32"/>
        </w:rPr>
        <w:t>：</w:t>
      </w:r>
    </w:p>
    <w:p>
      <w:pPr>
        <w:adjustRightInd w:val="0"/>
        <w:snapToGrid w:val="0"/>
        <w:spacing w:line="560" w:lineRule="exact"/>
        <w:jc w:val="center"/>
        <w:rPr>
          <w:rFonts w:hint="eastAsia" w:ascii="方正小标宋简体" w:hAnsi="方正小标宋简体" w:eastAsia="方正小标宋简体" w:cs="方正小标宋简体"/>
          <w:sz w:val="44"/>
          <w:szCs w:val="44"/>
        </w:rPr>
      </w:pPr>
    </w:p>
    <w:p>
      <w:pPr>
        <w:spacing w:line="400" w:lineRule="exact"/>
        <w:jc w:val="center"/>
        <w:rPr>
          <w:rFonts w:hint="eastAsia" w:ascii="仿宋_GB2312" w:hAnsi="宋体" w:eastAsia="仿宋_GB2312" w:cs="宋体"/>
          <w:b/>
          <w:color w:val="000000"/>
          <w:kern w:val="0"/>
          <w:sz w:val="32"/>
          <w:szCs w:val="32"/>
        </w:rPr>
      </w:pPr>
      <w:bookmarkStart w:id="0" w:name="_GoBack"/>
      <w:r>
        <w:rPr>
          <w:rFonts w:hint="eastAsia" w:ascii="仿宋_GB2312" w:hAnsi="宋体" w:eastAsia="仿宋_GB2312" w:cs="宋体"/>
          <w:b/>
          <w:color w:val="000000"/>
          <w:kern w:val="0"/>
          <w:sz w:val="32"/>
          <w:szCs w:val="32"/>
        </w:rPr>
        <w:t>本部门年度随机抽查事项清单</w:t>
      </w:r>
      <w:bookmarkEnd w:id="0"/>
    </w:p>
    <w:p>
      <w:pPr>
        <w:spacing w:line="400" w:lineRule="exact"/>
        <w:jc w:val="center"/>
        <w:rPr>
          <w:rFonts w:hint="eastAsia" w:ascii="仿宋_GB2312" w:hAnsi="宋体" w:eastAsia="仿宋_GB2312" w:cs="宋体"/>
          <w:b/>
          <w:color w:val="000000"/>
          <w:kern w:val="0"/>
          <w:sz w:val="32"/>
          <w:szCs w:val="32"/>
        </w:rPr>
      </w:pP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0"/>
        <w:gridCol w:w="1664"/>
        <w:gridCol w:w="2173"/>
        <w:gridCol w:w="3495"/>
        <w:gridCol w:w="930"/>
        <w:gridCol w:w="915"/>
        <w:gridCol w:w="2412"/>
        <w:gridCol w:w="602"/>
        <w:gridCol w:w="883"/>
        <w:gridCol w:w="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blHeader/>
          <w:jc w:val="center"/>
        </w:trPr>
        <w:tc>
          <w:tcPr>
            <w:tcW w:w="0" w:type="auto"/>
            <w:noWrap w:val="0"/>
            <w:vAlign w:val="center"/>
          </w:tcPr>
          <w:p>
            <w:pPr>
              <w:adjustRightInd w:val="0"/>
              <w:snapToGrid w:val="0"/>
              <w:jc w:val="center"/>
              <w:rPr>
                <w:rFonts w:hint="eastAsia" w:hAnsi="仿宋_GB2312" w:cs="仿宋_GB2312"/>
                <w:b/>
                <w:bCs/>
                <w:sz w:val="28"/>
                <w:szCs w:val="28"/>
              </w:rPr>
            </w:pPr>
            <w:r>
              <w:rPr>
                <w:rFonts w:hint="eastAsia" w:hAnsi="仿宋_GB2312" w:cs="仿宋_GB2312"/>
                <w:b/>
                <w:bCs/>
                <w:sz w:val="28"/>
                <w:szCs w:val="28"/>
              </w:rPr>
              <w:t>序号</w:t>
            </w:r>
          </w:p>
        </w:tc>
        <w:tc>
          <w:tcPr>
            <w:tcW w:w="0" w:type="auto"/>
            <w:noWrap w:val="0"/>
            <w:vAlign w:val="center"/>
          </w:tcPr>
          <w:p>
            <w:pPr>
              <w:adjustRightInd w:val="0"/>
              <w:snapToGrid w:val="0"/>
              <w:jc w:val="center"/>
              <w:rPr>
                <w:rFonts w:hint="eastAsia" w:hAnsi="仿宋_GB2312" w:cs="仿宋_GB2312"/>
                <w:b/>
                <w:bCs/>
                <w:sz w:val="28"/>
                <w:szCs w:val="28"/>
              </w:rPr>
            </w:pPr>
            <w:r>
              <w:rPr>
                <w:rFonts w:hint="eastAsia" w:hAnsi="仿宋_GB2312" w:cs="仿宋_GB2312"/>
                <w:b/>
                <w:bCs/>
                <w:sz w:val="28"/>
                <w:szCs w:val="28"/>
              </w:rPr>
              <w:t>检查事项名称</w:t>
            </w:r>
          </w:p>
        </w:tc>
        <w:tc>
          <w:tcPr>
            <w:tcW w:w="2173" w:type="dxa"/>
            <w:noWrap w:val="0"/>
            <w:vAlign w:val="center"/>
          </w:tcPr>
          <w:p>
            <w:pPr>
              <w:adjustRightInd w:val="0"/>
              <w:snapToGrid w:val="0"/>
              <w:jc w:val="center"/>
              <w:rPr>
                <w:rFonts w:hint="eastAsia" w:hAnsi="仿宋_GB2312" w:cs="仿宋_GB2312"/>
                <w:b/>
                <w:bCs/>
                <w:sz w:val="28"/>
                <w:szCs w:val="28"/>
              </w:rPr>
            </w:pPr>
            <w:r>
              <w:rPr>
                <w:rFonts w:hint="eastAsia" w:hAnsi="仿宋_GB2312" w:cs="仿宋_GB2312"/>
                <w:b/>
                <w:bCs/>
                <w:sz w:val="28"/>
                <w:szCs w:val="28"/>
              </w:rPr>
              <w:t>检查</w:t>
            </w:r>
          </w:p>
          <w:p>
            <w:pPr>
              <w:adjustRightInd w:val="0"/>
              <w:snapToGrid w:val="0"/>
              <w:jc w:val="center"/>
              <w:rPr>
                <w:rFonts w:hint="eastAsia" w:hAnsi="仿宋_GB2312" w:cs="仿宋_GB2312"/>
                <w:b/>
                <w:bCs/>
                <w:sz w:val="28"/>
                <w:szCs w:val="28"/>
              </w:rPr>
            </w:pPr>
            <w:r>
              <w:rPr>
                <w:rFonts w:hint="eastAsia" w:hAnsi="仿宋_GB2312" w:cs="仿宋_GB2312"/>
                <w:b/>
                <w:bCs/>
                <w:sz w:val="28"/>
                <w:szCs w:val="28"/>
              </w:rPr>
              <w:t>依据</w:t>
            </w:r>
          </w:p>
        </w:tc>
        <w:tc>
          <w:tcPr>
            <w:tcW w:w="3495" w:type="dxa"/>
            <w:noWrap w:val="0"/>
            <w:vAlign w:val="center"/>
          </w:tcPr>
          <w:p>
            <w:pPr>
              <w:adjustRightInd w:val="0"/>
              <w:snapToGrid w:val="0"/>
              <w:jc w:val="center"/>
              <w:rPr>
                <w:rFonts w:hint="eastAsia" w:hAnsi="仿宋_GB2312" w:cs="仿宋_GB2312"/>
                <w:b/>
                <w:bCs/>
                <w:sz w:val="28"/>
                <w:szCs w:val="28"/>
              </w:rPr>
            </w:pPr>
            <w:r>
              <w:rPr>
                <w:rFonts w:hint="eastAsia" w:hAnsi="仿宋_GB2312" w:cs="仿宋_GB2312"/>
                <w:b/>
                <w:bCs/>
                <w:sz w:val="28"/>
                <w:szCs w:val="28"/>
              </w:rPr>
              <w:t>检查</w:t>
            </w:r>
          </w:p>
          <w:p>
            <w:pPr>
              <w:adjustRightInd w:val="0"/>
              <w:snapToGrid w:val="0"/>
              <w:jc w:val="center"/>
              <w:rPr>
                <w:rFonts w:hint="eastAsia" w:hAnsi="仿宋_GB2312" w:cs="仿宋_GB2312"/>
                <w:b/>
                <w:bCs/>
                <w:sz w:val="28"/>
                <w:szCs w:val="28"/>
              </w:rPr>
            </w:pPr>
            <w:r>
              <w:rPr>
                <w:rFonts w:hint="eastAsia" w:hAnsi="仿宋_GB2312" w:cs="仿宋_GB2312"/>
                <w:b/>
                <w:bCs/>
                <w:sz w:val="28"/>
                <w:szCs w:val="28"/>
              </w:rPr>
              <w:t>内容</w:t>
            </w:r>
          </w:p>
        </w:tc>
        <w:tc>
          <w:tcPr>
            <w:tcW w:w="930" w:type="dxa"/>
            <w:noWrap w:val="0"/>
            <w:vAlign w:val="center"/>
          </w:tcPr>
          <w:p>
            <w:pPr>
              <w:adjustRightInd w:val="0"/>
              <w:snapToGrid w:val="0"/>
              <w:jc w:val="center"/>
              <w:rPr>
                <w:rFonts w:hint="eastAsia" w:hAnsi="仿宋_GB2312" w:cs="仿宋_GB2312"/>
                <w:b/>
                <w:bCs/>
                <w:sz w:val="28"/>
                <w:szCs w:val="28"/>
              </w:rPr>
            </w:pPr>
            <w:r>
              <w:rPr>
                <w:rFonts w:hint="eastAsia" w:hAnsi="仿宋_GB2312" w:cs="仿宋_GB2312"/>
                <w:b/>
                <w:bCs/>
                <w:sz w:val="28"/>
                <w:szCs w:val="28"/>
              </w:rPr>
              <w:t>检查</w:t>
            </w:r>
          </w:p>
          <w:p>
            <w:pPr>
              <w:adjustRightInd w:val="0"/>
              <w:snapToGrid w:val="0"/>
              <w:jc w:val="center"/>
              <w:rPr>
                <w:rFonts w:hint="eastAsia" w:hAnsi="仿宋_GB2312" w:cs="仿宋_GB2312"/>
                <w:b/>
                <w:bCs/>
                <w:sz w:val="28"/>
                <w:szCs w:val="28"/>
              </w:rPr>
            </w:pPr>
            <w:r>
              <w:rPr>
                <w:rFonts w:hint="eastAsia" w:hAnsi="仿宋_GB2312" w:cs="仿宋_GB2312"/>
                <w:b/>
                <w:bCs/>
                <w:sz w:val="28"/>
                <w:szCs w:val="28"/>
              </w:rPr>
              <w:t>主体</w:t>
            </w:r>
          </w:p>
        </w:tc>
        <w:tc>
          <w:tcPr>
            <w:tcW w:w="915" w:type="dxa"/>
            <w:noWrap w:val="0"/>
            <w:vAlign w:val="center"/>
          </w:tcPr>
          <w:p>
            <w:pPr>
              <w:adjustRightInd w:val="0"/>
              <w:snapToGrid w:val="0"/>
              <w:jc w:val="center"/>
              <w:rPr>
                <w:rFonts w:hint="eastAsia" w:hAnsi="仿宋_GB2312" w:cs="仿宋_GB2312"/>
                <w:b/>
                <w:bCs/>
                <w:sz w:val="28"/>
                <w:szCs w:val="28"/>
              </w:rPr>
            </w:pPr>
            <w:r>
              <w:rPr>
                <w:rFonts w:hint="eastAsia" w:hAnsi="仿宋_GB2312" w:cs="仿宋_GB2312"/>
                <w:b/>
                <w:bCs/>
                <w:sz w:val="28"/>
                <w:szCs w:val="28"/>
              </w:rPr>
              <w:t>检查</w:t>
            </w:r>
          </w:p>
          <w:p>
            <w:pPr>
              <w:adjustRightInd w:val="0"/>
              <w:snapToGrid w:val="0"/>
              <w:jc w:val="center"/>
              <w:rPr>
                <w:rFonts w:hint="eastAsia" w:hAnsi="仿宋_GB2312" w:cs="仿宋_GB2312"/>
                <w:b/>
                <w:bCs/>
                <w:sz w:val="28"/>
                <w:szCs w:val="28"/>
              </w:rPr>
            </w:pPr>
            <w:r>
              <w:rPr>
                <w:rFonts w:hint="eastAsia" w:hAnsi="仿宋_GB2312" w:cs="仿宋_GB2312"/>
                <w:b/>
                <w:bCs/>
                <w:sz w:val="28"/>
                <w:szCs w:val="28"/>
              </w:rPr>
              <w:t>对象</w:t>
            </w:r>
          </w:p>
        </w:tc>
        <w:tc>
          <w:tcPr>
            <w:tcW w:w="2412" w:type="dxa"/>
            <w:noWrap w:val="0"/>
            <w:vAlign w:val="center"/>
          </w:tcPr>
          <w:p>
            <w:pPr>
              <w:adjustRightInd w:val="0"/>
              <w:snapToGrid w:val="0"/>
              <w:jc w:val="center"/>
              <w:rPr>
                <w:rFonts w:hint="eastAsia" w:hAnsi="仿宋_GB2312" w:cs="仿宋_GB2312"/>
                <w:b/>
                <w:bCs/>
                <w:sz w:val="28"/>
                <w:szCs w:val="28"/>
              </w:rPr>
            </w:pPr>
            <w:r>
              <w:rPr>
                <w:rFonts w:hint="eastAsia" w:hAnsi="仿宋_GB2312" w:cs="仿宋_GB2312"/>
                <w:b/>
                <w:bCs/>
                <w:sz w:val="28"/>
                <w:szCs w:val="28"/>
              </w:rPr>
              <w:t>检查</w:t>
            </w:r>
          </w:p>
          <w:p>
            <w:pPr>
              <w:adjustRightInd w:val="0"/>
              <w:snapToGrid w:val="0"/>
              <w:jc w:val="center"/>
              <w:rPr>
                <w:rFonts w:hint="eastAsia" w:hAnsi="仿宋_GB2312" w:cs="仿宋_GB2312"/>
                <w:b/>
                <w:bCs/>
                <w:sz w:val="28"/>
                <w:szCs w:val="28"/>
              </w:rPr>
            </w:pPr>
            <w:r>
              <w:rPr>
                <w:rFonts w:hint="eastAsia" w:hAnsi="仿宋_GB2312" w:cs="仿宋_GB2312"/>
                <w:b/>
                <w:bCs/>
                <w:sz w:val="28"/>
                <w:szCs w:val="28"/>
              </w:rPr>
              <w:t>比例</w:t>
            </w:r>
          </w:p>
        </w:tc>
        <w:tc>
          <w:tcPr>
            <w:tcW w:w="0" w:type="auto"/>
            <w:noWrap w:val="0"/>
            <w:vAlign w:val="center"/>
          </w:tcPr>
          <w:p>
            <w:pPr>
              <w:adjustRightInd w:val="0"/>
              <w:snapToGrid w:val="0"/>
              <w:jc w:val="center"/>
              <w:rPr>
                <w:rFonts w:hint="eastAsia" w:hAnsi="仿宋_GB2312" w:cs="仿宋_GB2312"/>
                <w:b/>
                <w:bCs/>
                <w:sz w:val="28"/>
                <w:szCs w:val="28"/>
              </w:rPr>
            </w:pPr>
            <w:r>
              <w:rPr>
                <w:rFonts w:hint="eastAsia" w:hAnsi="仿宋_GB2312" w:cs="仿宋_GB2312"/>
                <w:b/>
                <w:bCs/>
                <w:sz w:val="28"/>
                <w:szCs w:val="28"/>
              </w:rPr>
              <w:t>检查</w:t>
            </w:r>
          </w:p>
          <w:p>
            <w:pPr>
              <w:adjustRightInd w:val="0"/>
              <w:snapToGrid w:val="0"/>
              <w:jc w:val="center"/>
              <w:rPr>
                <w:rFonts w:hint="eastAsia" w:hAnsi="仿宋_GB2312" w:cs="仿宋_GB2312"/>
                <w:b/>
                <w:bCs/>
                <w:sz w:val="28"/>
                <w:szCs w:val="28"/>
              </w:rPr>
            </w:pPr>
            <w:r>
              <w:rPr>
                <w:rFonts w:hint="eastAsia" w:hAnsi="仿宋_GB2312" w:cs="仿宋_GB2312"/>
                <w:b/>
                <w:bCs/>
                <w:sz w:val="28"/>
                <w:szCs w:val="28"/>
              </w:rPr>
              <w:t>频次</w:t>
            </w:r>
          </w:p>
        </w:tc>
        <w:tc>
          <w:tcPr>
            <w:tcW w:w="0" w:type="auto"/>
            <w:noWrap w:val="0"/>
            <w:vAlign w:val="center"/>
          </w:tcPr>
          <w:p>
            <w:pPr>
              <w:adjustRightInd w:val="0"/>
              <w:snapToGrid w:val="0"/>
              <w:jc w:val="center"/>
              <w:rPr>
                <w:rFonts w:hint="eastAsia" w:hAnsi="仿宋_GB2312" w:cs="仿宋_GB2312"/>
                <w:b/>
                <w:bCs/>
                <w:sz w:val="28"/>
                <w:szCs w:val="28"/>
              </w:rPr>
            </w:pPr>
            <w:r>
              <w:rPr>
                <w:rFonts w:hint="eastAsia" w:hAnsi="仿宋_GB2312" w:cs="仿宋_GB2312"/>
                <w:b/>
                <w:bCs/>
                <w:sz w:val="28"/>
                <w:szCs w:val="28"/>
              </w:rPr>
              <w:t>完成</w:t>
            </w:r>
          </w:p>
          <w:p>
            <w:pPr>
              <w:adjustRightInd w:val="0"/>
              <w:snapToGrid w:val="0"/>
              <w:jc w:val="center"/>
              <w:rPr>
                <w:rFonts w:hint="eastAsia" w:hAnsi="仿宋_GB2312" w:cs="仿宋_GB2312"/>
                <w:b/>
                <w:bCs/>
                <w:sz w:val="28"/>
                <w:szCs w:val="28"/>
              </w:rPr>
            </w:pPr>
            <w:r>
              <w:rPr>
                <w:rFonts w:hint="eastAsia" w:hAnsi="仿宋_GB2312" w:cs="仿宋_GB2312"/>
                <w:b/>
                <w:bCs/>
                <w:sz w:val="28"/>
                <w:szCs w:val="28"/>
              </w:rPr>
              <w:t>时限</w:t>
            </w:r>
          </w:p>
        </w:tc>
        <w:tc>
          <w:tcPr>
            <w:tcW w:w="0" w:type="auto"/>
            <w:noWrap w:val="0"/>
            <w:vAlign w:val="center"/>
          </w:tcPr>
          <w:p>
            <w:pPr>
              <w:adjustRightInd w:val="0"/>
              <w:snapToGrid w:val="0"/>
              <w:jc w:val="center"/>
              <w:rPr>
                <w:rFonts w:hint="eastAsia" w:hAnsi="仿宋_GB2312" w:cs="仿宋_GB2312"/>
                <w:b/>
                <w:bCs/>
                <w:sz w:val="28"/>
                <w:szCs w:val="28"/>
              </w:rPr>
            </w:pPr>
            <w:r>
              <w:rPr>
                <w:rFonts w:hint="eastAsia" w:hAnsi="仿宋_GB2312" w:cs="仿宋_GB2312"/>
                <w:b/>
                <w:bCs/>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0" w:hRule="atLeast"/>
          <w:jc w:val="center"/>
        </w:trPr>
        <w:tc>
          <w:tcPr>
            <w:tcW w:w="0" w:type="auto"/>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1</w:t>
            </w:r>
          </w:p>
        </w:tc>
        <w:tc>
          <w:tcPr>
            <w:tcW w:w="0" w:type="auto"/>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污染防治设施运行情况</w:t>
            </w:r>
          </w:p>
        </w:tc>
        <w:tc>
          <w:tcPr>
            <w:tcW w:w="2173"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《中华人民共和国环境保护法》第四十一条</w:t>
            </w:r>
          </w:p>
        </w:tc>
        <w:tc>
          <w:tcPr>
            <w:tcW w:w="3495"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重点检查企业排污许可证执行情况， 污染防治设施管理、 运行、 变动情况， 危废、 应急等管理情况。</w:t>
            </w:r>
          </w:p>
        </w:tc>
        <w:tc>
          <w:tcPr>
            <w:tcW w:w="930"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福州市</w:t>
            </w:r>
            <w:r>
              <w:rPr>
                <w:rFonts w:hint="eastAsia" w:ascii="宋体" w:hAnsi="宋体" w:eastAsia="宋体" w:cs="宋体"/>
                <w:sz w:val="20"/>
                <w:szCs w:val="20"/>
                <w:lang w:val="en-US" w:eastAsia="zh-CN"/>
              </w:rPr>
              <w:t>闽侯</w:t>
            </w:r>
            <w:r>
              <w:rPr>
                <w:rFonts w:hint="eastAsia" w:ascii="宋体" w:hAnsi="宋体" w:eastAsia="宋体" w:cs="宋体"/>
                <w:sz w:val="20"/>
                <w:szCs w:val="20"/>
              </w:rPr>
              <w:t>生态环境综合执法大队</w:t>
            </w:r>
          </w:p>
        </w:tc>
        <w:tc>
          <w:tcPr>
            <w:tcW w:w="915"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企事业单位和其他生产经营者</w:t>
            </w:r>
          </w:p>
        </w:tc>
        <w:tc>
          <w:tcPr>
            <w:tcW w:w="2412"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重点监管对象每季度25%；特殊监管对象每季度 50%： 一般监管对象每年1:5（在编在岗的环境执法人员数量：抽查对象数量）</w:t>
            </w:r>
          </w:p>
        </w:tc>
        <w:tc>
          <w:tcPr>
            <w:tcW w:w="0" w:type="auto"/>
            <w:noWrap w:val="0"/>
            <w:vAlign w:val="center"/>
          </w:tcPr>
          <w:p>
            <w:pPr>
              <w:snapToGrid w:val="0"/>
              <w:jc w:val="center"/>
              <w:rPr>
                <w:rFonts w:hint="eastAsia" w:ascii="宋体" w:hAnsi="宋体" w:eastAsia="宋体" w:cs="宋体"/>
                <w:sz w:val="20"/>
                <w:szCs w:val="20"/>
              </w:rPr>
            </w:pPr>
            <w:r>
              <w:rPr>
                <w:rFonts w:hint="eastAsia" w:ascii="宋体" w:hAnsi="宋体" w:eastAsia="宋体" w:cs="宋体"/>
                <w:sz w:val="20"/>
                <w:szCs w:val="20"/>
              </w:rPr>
              <w:t>1次/季度</w:t>
            </w:r>
          </w:p>
          <w:p>
            <w:pPr>
              <w:adjustRightInd w:val="0"/>
              <w:snapToGrid w:val="0"/>
              <w:jc w:val="center"/>
              <w:rPr>
                <w:rFonts w:hint="eastAsia" w:ascii="宋体" w:hAnsi="宋体" w:eastAsia="宋体" w:cs="宋体"/>
                <w:sz w:val="20"/>
                <w:szCs w:val="20"/>
              </w:rPr>
            </w:pPr>
          </w:p>
        </w:tc>
        <w:tc>
          <w:tcPr>
            <w:tcW w:w="0" w:type="auto"/>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2023年12月31日前</w:t>
            </w:r>
          </w:p>
        </w:tc>
        <w:tc>
          <w:tcPr>
            <w:tcW w:w="0" w:type="auto"/>
            <w:noWrap w:val="0"/>
            <w:vAlign w:val="center"/>
          </w:tcPr>
          <w:p>
            <w:pPr>
              <w:adjustRightInd w:val="0"/>
              <w:snapToGrid w:val="0"/>
              <w:jc w:val="center"/>
              <w:rPr>
                <w:rFonts w:hint="eastAsia" w:hAnsi="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0" w:type="auto"/>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2</w:t>
            </w:r>
          </w:p>
        </w:tc>
        <w:tc>
          <w:tcPr>
            <w:tcW w:w="0" w:type="auto"/>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对排污许可制度执 行情况的监督检查</w:t>
            </w:r>
          </w:p>
        </w:tc>
        <w:tc>
          <w:tcPr>
            <w:tcW w:w="2173"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《排污许可管理条例》第二十八条</w:t>
            </w:r>
          </w:p>
        </w:tc>
        <w:tc>
          <w:tcPr>
            <w:tcW w:w="3495"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重点检查排污单位是否依法持有排污许可证并按证排污的情况、 排污 许可证执行报告、 台账等管理情况。</w:t>
            </w:r>
          </w:p>
        </w:tc>
        <w:tc>
          <w:tcPr>
            <w:tcW w:w="930"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福州市</w:t>
            </w:r>
            <w:r>
              <w:rPr>
                <w:rFonts w:hint="eastAsia" w:ascii="宋体" w:hAnsi="宋体" w:eastAsia="宋体" w:cs="宋体"/>
                <w:sz w:val="20"/>
                <w:szCs w:val="20"/>
                <w:lang w:val="en-US" w:eastAsia="zh-CN"/>
              </w:rPr>
              <w:t>闽侯</w:t>
            </w:r>
            <w:r>
              <w:rPr>
                <w:rFonts w:hint="eastAsia" w:ascii="宋体" w:hAnsi="宋体" w:eastAsia="宋体" w:cs="宋体"/>
                <w:sz w:val="20"/>
                <w:szCs w:val="20"/>
              </w:rPr>
              <w:t>生态环境综合执法大队</w:t>
            </w:r>
          </w:p>
        </w:tc>
        <w:tc>
          <w:tcPr>
            <w:tcW w:w="915"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实行排污许可管理的单位</w:t>
            </w:r>
          </w:p>
        </w:tc>
        <w:tc>
          <w:tcPr>
            <w:tcW w:w="2412"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重点监管对象每季度25%；特殊监管对象每季度 50%： 一般监管对象每年1:5（在编在岗的环境执法人员数量：抽查对象数量）</w:t>
            </w:r>
          </w:p>
        </w:tc>
        <w:tc>
          <w:tcPr>
            <w:tcW w:w="0" w:type="auto"/>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1次/季度</w:t>
            </w:r>
          </w:p>
        </w:tc>
        <w:tc>
          <w:tcPr>
            <w:tcW w:w="0" w:type="auto"/>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2023年12月31日前</w:t>
            </w:r>
          </w:p>
        </w:tc>
        <w:tc>
          <w:tcPr>
            <w:tcW w:w="0" w:type="auto"/>
            <w:noWrap w:val="0"/>
            <w:vAlign w:val="center"/>
          </w:tcPr>
          <w:p>
            <w:pPr>
              <w:adjustRightInd w:val="0"/>
              <w:snapToGrid w:val="0"/>
              <w:jc w:val="center"/>
              <w:rPr>
                <w:rFonts w:hint="eastAsia" w:hAnsi="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0" w:type="auto"/>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3</w:t>
            </w:r>
          </w:p>
        </w:tc>
        <w:tc>
          <w:tcPr>
            <w:tcW w:w="0" w:type="auto"/>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对建设项目环境影响评价制度及“三同时”制度执行情 况的监督检查</w:t>
            </w:r>
          </w:p>
        </w:tc>
        <w:tc>
          <w:tcPr>
            <w:tcW w:w="2173"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《建设项目环境保护管理条例》 第二十条</w:t>
            </w:r>
          </w:p>
        </w:tc>
        <w:tc>
          <w:tcPr>
            <w:tcW w:w="3495"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重点检查建设项目环境影响评价审批手续办理情况， 环境保护设施设计、 施工、 验收、 投入生产或者使用情况， 以及环境影响评价文件确定的其他环境保护措施的落实情况。</w:t>
            </w:r>
          </w:p>
        </w:tc>
        <w:tc>
          <w:tcPr>
            <w:tcW w:w="930"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福州市</w:t>
            </w:r>
            <w:r>
              <w:rPr>
                <w:rFonts w:hint="eastAsia" w:ascii="宋体" w:hAnsi="宋体" w:eastAsia="宋体" w:cs="宋体"/>
                <w:sz w:val="20"/>
                <w:szCs w:val="20"/>
                <w:lang w:val="en-US" w:eastAsia="zh-CN"/>
              </w:rPr>
              <w:t>闽侯</w:t>
            </w:r>
            <w:r>
              <w:rPr>
                <w:rFonts w:hint="eastAsia" w:ascii="宋体" w:hAnsi="宋体" w:eastAsia="宋体" w:cs="宋体"/>
                <w:sz w:val="20"/>
                <w:szCs w:val="20"/>
              </w:rPr>
              <w:t>生态环境综合执法大队</w:t>
            </w:r>
          </w:p>
        </w:tc>
        <w:tc>
          <w:tcPr>
            <w:tcW w:w="915"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建设产生环境污染内的单位</w:t>
            </w:r>
          </w:p>
        </w:tc>
        <w:tc>
          <w:tcPr>
            <w:tcW w:w="2412"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按照福建省生态环境厅关于印发《构建建设项目全链条环境监管机制的指导意见》规定的比例要求</w:t>
            </w:r>
          </w:p>
        </w:tc>
        <w:tc>
          <w:tcPr>
            <w:tcW w:w="0" w:type="auto"/>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1次/季度</w:t>
            </w:r>
          </w:p>
        </w:tc>
        <w:tc>
          <w:tcPr>
            <w:tcW w:w="0" w:type="auto"/>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2023年12月31日前</w:t>
            </w:r>
          </w:p>
        </w:tc>
        <w:tc>
          <w:tcPr>
            <w:tcW w:w="0" w:type="auto"/>
            <w:noWrap w:val="0"/>
            <w:vAlign w:val="center"/>
          </w:tcPr>
          <w:p>
            <w:pPr>
              <w:adjustRightInd w:val="0"/>
              <w:snapToGrid w:val="0"/>
              <w:jc w:val="center"/>
              <w:rPr>
                <w:rFonts w:hint="eastAsia" w:hAnsi="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0" w:type="auto"/>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4</w:t>
            </w:r>
          </w:p>
        </w:tc>
        <w:tc>
          <w:tcPr>
            <w:tcW w:w="0" w:type="auto"/>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水电站下泄流量执法检查</w:t>
            </w:r>
          </w:p>
        </w:tc>
        <w:tc>
          <w:tcPr>
            <w:tcW w:w="2173"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福建省生态环境厅关于进一步加强水电站生态下泄流量环境执法的通知（闽环保总队（2021)8号</w:t>
            </w:r>
          </w:p>
        </w:tc>
        <w:tc>
          <w:tcPr>
            <w:tcW w:w="3495"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重点检查“不按规定建设生态流量泄放设施、不按规定安装生态流量监控设施、生态流量泄放设施建成后不使用、下泄流量不满足要求等”未执行最小生态下泄流量行为。</w:t>
            </w:r>
          </w:p>
        </w:tc>
        <w:tc>
          <w:tcPr>
            <w:tcW w:w="930"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福州市</w:t>
            </w:r>
            <w:r>
              <w:rPr>
                <w:rFonts w:hint="eastAsia" w:ascii="宋体" w:hAnsi="宋体" w:eastAsia="宋体" w:cs="宋体"/>
                <w:sz w:val="20"/>
                <w:szCs w:val="20"/>
                <w:lang w:val="en-US" w:eastAsia="zh-CN"/>
              </w:rPr>
              <w:t>闽侯</w:t>
            </w:r>
            <w:r>
              <w:rPr>
                <w:rFonts w:hint="eastAsia" w:ascii="宋体" w:hAnsi="宋体" w:eastAsia="宋体" w:cs="宋体"/>
                <w:sz w:val="20"/>
                <w:szCs w:val="20"/>
              </w:rPr>
              <w:t>生态环境综合执法大队</w:t>
            </w:r>
          </w:p>
        </w:tc>
        <w:tc>
          <w:tcPr>
            <w:tcW w:w="915"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福清市水电站</w:t>
            </w:r>
          </w:p>
        </w:tc>
        <w:tc>
          <w:tcPr>
            <w:tcW w:w="2412"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按照水电站总数10%</w:t>
            </w:r>
          </w:p>
        </w:tc>
        <w:tc>
          <w:tcPr>
            <w:tcW w:w="0" w:type="auto"/>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1次/季度</w:t>
            </w:r>
          </w:p>
        </w:tc>
        <w:tc>
          <w:tcPr>
            <w:tcW w:w="0" w:type="auto"/>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2023年12月31日前</w:t>
            </w:r>
          </w:p>
        </w:tc>
        <w:tc>
          <w:tcPr>
            <w:tcW w:w="0" w:type="auto"/>
            <w:noWrap w:val="0"/>
            <w:vAlign w:val="center"/>
          </w:tcPr>
          <w:p>
            <w:pPr>
              <w:adjustRightInd w:val="0"/>
              <w:snapToGrid w:val="0"/>
              <w:jc w:val="center"/>
              <w:rPr>
                <w:rFonts w:hint="eastAsia" w:hAnsi="仿宋_GB2312" w:cs="仿宋_GB2312"/>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zYzMxM2UyZmVhZWNlMDYxYWIwMGMzNDNjYmVhMGMifQ=="/>
  </w:docVars>
  <w:rsids>
    <w:rsidRoot w:val="09722AF7"/>
    <w:rsid w:val="09722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2023-11-06T07:03:00Z</dcterms:created>
  <dc:creator>克斯维尔的明天</dc:creator>
  <cp:lastModifiedBy>克斯维尔的明天</cp:lastModifiedBy>
  <dcterms:modified xsi:type="dcterms:W3CDTF">2023-11-06T07:03:37Z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18B2A431B2F1442DBB39D084FBF7F169_11</vt:lpwstr>
  </property>
</Properties>
</file>