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sz w:val="52"/>
          <w:szCs w:val="52"/>
          <w:lang w:val="en-US" w:eastAsia="zh-CN"/>
        </w:rPr>
      </w:pPr>
    </w:p>
    <w:p>
      <w:pPr>
        <w:jc w:val="center"/>
        <w:rPr>
          <w:rFonts w:hint="eastAsia" w:asciiTheme="minorEastAsia" w:hAnsiTheme="minorEastAsia" w:eastAsiaTheme="minorEastAsia" w:cstheme="minorEastAsia"/>
          <w:sz w:val="52"/>
          <w:szCs w:val="5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0"/>
        <w:rPr>
          <w:rFonts w:hint="eastAsia" w:asciiTheme="minorEastAsia" w:hAnsiTheme="minorEastAsia" w:eastAsiaTheme="minorEastAsia" w:cstheme="minorEastAsia"/>
          <w:sz w:val="52"/>
          <w:szCs w:val="52"/>
          <w:lang w:val="en-US" w:eastAsia="zh-CN"/>
        </w:rPr>
      </w:pPr>
      <w:bookmarkStart w:id="134" w:name="_GoBack"/>
      <w:bookmarkStart w:id="0" w:name="_Toc17230"/>
      <w:r>
        <w:rPr>
          <w:rFonts w:hint="eastAsia" w:asciiTheme="minorEastAsia" w:hAnsiTheme="minorEastAsia" w:eastAsiaTheme="minorEastAsia" w:cstheme="minorEastAsia"/>
          <w:sz w:val="52"/>
          <w:szCs w:val="52"/>
          <w:lang w:val="en-US" w:eastAsia="zh-CN"/>
        </w:rPr>
        <w:t>闽侯县畜禽养殖污染防治规划（2021-2025年）</w:t>
      </w:r>
      <w:bookmarkEnd w:id="0"/>
    </w:p>
    <w:bookmarkEnd w:id="134"/>
    <w:p>
      <w:pPr>
        <w:pStyle w:val="2"/>
        <w:rPr>
          <w:rFonts w:hint="default" w:asciiTheme="minorEastAsia" w:hAnsiTheme="minorEastAsia" w:eastAsiaTheme="minorEastAsia" w:cstheme="minorEastAsia"/>
          <w:sz w:val="52"/>
          <w:szCs w:val="52"/>
          <w:lang w:val="en-US" w:eastAsia="zh-CN"/>
        </w:rPr>
      </w:pPr>
      <w:r>
        <w:rPr>
          <w:rFonts w:hint="eastAsia" w:asciiTheme="minorEastAsia" w:hAnsiTheme="minorEastAsia" w:eastAsiaTheme="minorEastAsia" w:cstheme="minorEastAsia"/>
          <w:sz w:val="52"/>
          <w:szCs w:val="52"/>
          <w:lang w:val="en-US" w:eastAsia="zh-CN"/>
        </w:rPr>
        <w:t xml:space="preserve">        </w:t>
      </w:r>
      <w:r>
        <w:rPr>
          <w:rFonts w:hint="eastAsia" w:asciiTheme="minorEastAsia" w:hAnsiTheme="minorEastAsia" w:eastAsiaTheme="minorEastAsia" w:cstheme="minorEastAsia"/>
          <w:sz w:val="36"/>
          <w:szCs w:val="36"/>
          <w:lang w:val="en-US" w:eastAsia="zh-CN"/>
        </w:rPr>
        <w:t>（征求意见稿）</w:t>
      </w:r>
    </w:p>
    <w:p>
      <w:pPr>
        <w:pStyle w:val="2"/>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32"/>
          <w:szCs w:val="40"/>
          <w:u w:val="singl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heme="minorBidi"/>
          <w:kern w:val="2"/>
          <w:sz w:val="32"/>
          <w:szCs w:val="40"/>
          <w:u w:val="none"/>
          <w:lang w:val="en-US" w:eastAsia="zh-CN" w:bidi="ar-SA"/>
        </w:rPr>
      </w:pPr>
      <w:r>
        <w:rPr>
          <w:rFonts w:hint="eastAsia" w:cstheme="minorBidi"/>
          <w:kern w:val="2"/>
          <w:sz w:val="32"/>
          <w:szCs w:val="40"/>
          <w:u w:val="none"/>
          <w:lang w:val="en-US" w:eastAsia="zh-CN" w:bidi="ar-SA"/>
        </w:rPr>
        <w:t>闽侯县人民政府办公室</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sz w:val="32"/>
          <w:szCs w:val="40"/>
          <w:lang w:val="en-US" w:eastAsia="zh-CN"/>
        </w:rPr>
        <w:t>二〇二三年三月</w:t>
      </w:r>
    </w:p>
    <w:sdt>
      <w:sdtPr>
        <w:rPr>
          <w:rFonts w:ascii="宋体" w:hAnsi="宋体" w:eastAsia="宋体" w:cstheme="minorBidi"/>
          <w:b/>
          <w:bCs/>
          <w:kern w:val="2"/>
          <w:sz w:val="30"/>
          <w:szCs w:val="30"/>
          <w:lang w:val="en-US" w:eastAsia="zh-CN" w:bidi="ar-SA"/>
        </w:rPr>
        <w:id w:val="147472990"/>
        <w15:color w:val="DBDBDB"/>
        <w:docPartObj>
          <w:docPartGallery w:val="Table of Contents"/>
          <w:docPartUnique/>
        </w:docPartObj>
      </w:sdtPr>
      <w:sdtEndPr>
        <w:rPr>
          <w:rFonts w:ascii="宋体" w:hAnsi="宋体" w:eastAsia="宋体" w:cstheme="minorBidi"/>
          <w:b/>
          <w:bCs/>
          <w:kern w:val="2"/>
          <w:sz w:val="30"/>
          <w:szCs w:val="30"/>
          <w:lang w:val="en-US" w:eastAsia="zh-CN" w:bidi="ar-SA"/>
        </w:rPr>
      </w:sdtEndPr>
      <w:sdt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sz w:val="30"/>
              <w:szCs w:val="30"/>
            </w:rPr>
          </w:pPr>
          <w:r>
            <w:rPr>
              <w:rFonts w:ascii="宋体" w:hAnsi="宋体" w:eastAsia="宋体"/>
              <w:b/>
              <w:bCs/>
              <w:sz w:val="30"/>
              <w:szCs w:val="30"/>
            </w:rPr>
            <w:t>目</w:t>
          </w:r>
          <w:r>
            <w:rPr>
              <w:rFonts w:hint="eastAsia" w:ascii="宋体" w:hAnsi="宋体" w:eastAsia="宋体"/>
              <w:b/>
              <w:bCs/>
              <w:sz w:val="30"/>
              <w:szCs w:val="30"/>
              <w:lang w:val="en-US" w:eastAsia="zh-CN"/>
            </w:rPr>
            <w:t xml:space="preserve">  </w:t>
          </w:r>
          <w:r>
            <w:rPr>
              <w:rFonts w:ascii="宋体" w:hAnsi="宋体" w:eastAsia="宋体"/>
              <w:b/>
              <w:bCs/>
              <w:sz w:val="30"/>
              <w:szCs w:val="30"/>
            </w:rPr>
            <w:t>录</w:t>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TOC \o "1-2" \h \u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_Toc10187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第一章  总则</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_Toc10187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_Toc17476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1.1编制背景</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_Toc17476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_Toc13372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1.2 编制依据</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_Toc13372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_Toc27291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1.3 规划期限和范围</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_Toc27291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_Toc29016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1.4 规划编制的目的与意义</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_Toc29016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_Toc27011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技术路线</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_Toc27011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_Toc32266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第二章  区域概况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_Toc32266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_Toc8911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2.1 自然条件概况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_Toc8911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_Toc16675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2.2社会经济概况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_Toc16675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_Toc25898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2.3 生态环境概况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_Toc25898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_Toc19774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第 3 章  畜禽养殖基本情况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_Toc19774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_Toc25849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3.1 2020年</w:t>
          </w:r>
          <w:r>
            <w:rPr>
              <w:rFonts w:hint="eastAsia" w:ascii="宋体" w:hAnsi="宋体" w:eastAsia="宋体" w:cs="宋体"/>
              <w:b w:val="0"/>
              <w:bCs w:val="0"/>
              <w:sz w:val="24"/>
              <w:szCs w:val="24"/>
              <w:lang w:val="en-US" w:eastAsia="zh-CN"/>
            </w:rPr>
            <w:t>闽侯县</w:t>
          </w:r>
          <w:r>
            <w:rPr>
              <w:rFonts w:hint="eastAsia" w:ascii="宋体" w:hAnsi="宋体" w:eastAsia="宋体" w:cs="宋体"/>
              <w:b w:val="0"/>
              <w:bCs w:val="0"/>
              <w:sz w:val="24"/>
              <w:szCs w:val="24"/>
            </w:rPr>
            <w:t>畜禽养殖发展现状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_Toc25849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_Toc2194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3.2</w:t>
          </w:r>
          <w:r>
            <w:rPr>
              <w:rFonts w:hint="eastAsia" w:ascii="宋体" w:hAnsi="宋体" w:eastAsia="宋体" w:cs="宋体"/>
              <w:b w:val="0"/>
              <w:bCs w:val="0"/>
              <w:sz w:val="24"/>
              <w:szCs w:val="24"/>
              <w:lang w:val="en-US" w:eastAsia="zh-CN"/>
            </w:rPr>
            <w:t>闽侯县</w:t>
          </w:r>
          <w:r>
            <w:rPr>
              <w:rFonts w:hint="eastAsia" w:ascii="宋体" w:hAnsi="宋体" w:eastAsia="宋体" w:cs="宋体"/>
              <w:b w:val="0"/>
              <w:bCs w:val="0"/>
              <w:sz w:val="24"/>
              <w:szCs w:val="24"/>
            </w:rPr>
            <w:t>2020年畜禽养殖污染物产生情况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_Toc2194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_Toc1960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3.3</w:t>
          </w:r>
          <w:r>
            <w:rPr>
              <w:rFonts w:hint="eastAsia" w:ascii="宋体" w:hAnsi="宋体" w:eastAsia="宋体" w:cs="宋体"/>
              <w:b w:val="0"/>
              <w:bCs w:val="0"/>
              <w:sz w:val="24"/>
              <w:szCs w:val="24"/>
              <w:lang w:val="en-US" w:eastAsia="zh-CN"/>
            </w:rPr>
            <w:t>闽侯县</w:t>
          </w:r>
          <w:r>
            <w:rPr>
              <w:rFonts w:hint="eastAsia" w:ascii="宋体" w:hAnsi="宋体" w:eastAsia="宋体" w:cs="宋体"/>
              <w:b w:val="0"/>
              <w:bCs w:val="0"/>
              <w:sz w:val="24"/>
              <w:szCs w:val="24"/>
            </w:rPr>
            <w:t>畜禽养殖污染物</w:t>
          </w:r>
          <w:r>
            <w:rPr>
              <w:rFonts w:hint="eastAsia" w:ascii="宋体" w:hAnsi="宋体" w:eastAsia="宋体" w:cs="宋体"/>
              <w:b w:val="0"/>
              <w:bCs w:val="0"/>
              <w:sz w:val="24"/>
              <w:szCs w:val="24"/>
              <w:lang w:val="en-US" w:eastAsia="zh-CN"/>
            </w:rPr>
            <w:t>防治现状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_Toc1960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_Toc2817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lang w:val="en-US" w:eastAsia="zh-CN"/>
            </w:rPr>
            <w:t>4闽侯县</w:t>
          </w:r>
          <w:r>
            <w:rPr>
              <w:rFonts w:hint="eastAsia" w:ascii="宋体" w:hAnsi="宋体" w:eastAsia="宋体" w:cs="宋体"/>
              <w:b w:val="0"/>
              <w:bCs w:val="0"/>
              <w:sz w:val="24"/>
              <w:szCs w:val="24"/>
            </w:rPr>
            <w:t>畜禽养殖污染防治总结与面临的挑战</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_Toc2817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_Toc5901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第 4 章  规划目标指标分析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_Toc5901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_Toc24334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4.1规划目标指标</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_Toc24334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_Toc30538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4.2畜禽养殖规模控制指标分析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_Toc30538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_Toc32711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4.3目标可达性分析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_Toc32711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_Toc19695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第 5 章  畜禽污染防治主要任务</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_Toc19695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_Toc25358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5.1 优化种养布局</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_Toc25358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_Toc21405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5.2 优化粪污处理和利用模式</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_Toc21405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_Toc9759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5.3 加强畜禽规模养殖场管控</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_Toc9759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_Toc19254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第 6 章  重点规划项目与投资计划</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_Toc19254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_Toc10887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6.1 投资估算</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_Toc10887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_Toc29575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6.2 资金筹措</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_Toc29575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_Toc11170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第七章  效益分析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_Toc11170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_Toc12845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7.1 经济效益</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_Toc12845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_Toc6504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7.2 社会效益</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_Toc6504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_Toc7372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7.3 环境效益</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_Toc7372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_Toc12748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第八章  保障措施</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_Toc12748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_Toc26013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8.1 加强领导，严格目标考核</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_Toc26013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_Toc7228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8.2 明确重点，细化措施落实</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_Toc7228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_Toc12313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8.3 增加投入，保障技术扶持</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_Toc12313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_Toc905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8.4 加大宣传，营造治理气氛</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_Toc905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_Toc31119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附表1：闽侯县畜禽规模养殖场基本信息清单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_Toc31119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_Toc11818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附表2：规模化养殖场户粪污肥料化利用配套土地面积要求清单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_Toc11818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_Toc21827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附表3：畜禽养殖污染防治重点工程建设内容清单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_Toc21827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_Toc13936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附表4：行政区域内土地类别面积清单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_Toc13936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_Toc24555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附图1 闽侯县行政区划</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_Toc24555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_Toc19231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附图2  闽侯县水系图</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_Toc19231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_Toc9863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附图3：闽侯县养殖企业分布位置图</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_Toc9863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_Toc374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附图4：</w:t>
          </w:r>
          <w:r>
            <w:rPr>
              <w:rFonts w:hint="eastAsia" w:ascii="宋体" w:hAnsi="宋体" w:eastAsia="宋体" w:cs="宋体"/>
              <w:b w:val="0"/>
              <w:bCs w:val="0"/>
              <w:sz w:val="24"/>
              <w:szCs w:val="24"/>
              <w:lang w:val="en-US" w:eastAsia="zh-CN"/>
            </w:rPr>
            <w:t>闽侯县</w:t>
          </w:r>
          <w:r>
            <w:rPr>
              <w:rFonts w:hint="eastAsia" w:ascii="宋体" w:hAnsi="宋体" w:eastAsia="宋体" w:cs="宋体"/>
              <w:b w:val="0"/>
              <w:bCs w:val="0"/>
              <w:sz w:val="24"/>
              <w:szCs w:val="24"/>
            </w:rPr>
            <w:t>畜禽养殖禁养区分布图</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_Toc374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宋体" w:hAnsi="宋体" w:eastAsia="宋体" w:cs="宋体"/>
              <w:b w:val="0"/>
              <w:bCs w:val="0"/>
              <w:sz w:val="24"/>
              <w:szCs w:val="24"/>
            </w:rPr>
            <w:fldChar w:fldCharType="end"/>
          </w:r>
        </w:p>
      </w:sdtContent>
    </w:sdt>
    <w:p>
      <w:pPr>
        <w:pStyle w:val="4"/>
        <w:bidi w:val="0"/>
        <w:rPr>
          <w:rFonts w:hint="eastAsia"/>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10187"/>
    </w:p>
    <w:p>
      <w:pPr>
        <w:pStyle w:val="4"/>
        <w:bidi w:val="0"/>
        <w:rPr>
          <w:rFonts w:hint="default"/>
          <w:lang w:val="en-US" w:eastAsia="zh-CN"/>
        </w:rPr>
      </w:pPr>
      <w:r>
        <w:rPr>
          <w:rFonts w:hint="eastAsia"/>
          <w:lang w:val="en-US" w:eastAsia="zh-CN"/>
        </w:rPr>
        <w:t>第一章  总则</w:t>
      </w:r>
      <w:bookmarkEnd w:id="1"/>
    </w:p>
    <w:p>
      <w:pPr>
        <w:pStyle w:val="5"/>
        <w:bidi w:val="0"/>
        <w:rPr>
          <w:rFonts w:hint="eastAsia"/>
          <w:lang w:val="en-US" w:eastAsia="zh-CN"/>
        </w:rPr>
      </w:pPr>
      <w:bookmarkStart w:id="2" w:name="_Toc17476"/>
      <w:r>
        <w:rPr>
          <w:rFonts w:hint="eastAsia"/>
          <w:lang w:val="en-US" w:eastAsia="zh-CN"/>
        </w:rPr>
        <w:t>1.1编制背景</w:t>
      </w:r>
      <w:bookmarkEnd w:id="2"/>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lang w:val="en-US" w:eastAsia="zh-CN"/>
        </w:rPr>
      </w:pPr>
      <w:r>
        <w:rPr>
          <w:rFonts w:hint="eastAsia"/>
          <w:lang w:val="en-US" w:eastAsia="zh-CN"/>
        </w:rPr>
        <w:t>闽侯县，素称“八闽首邑”，隶属于</w:t>
      </w:r>
      <w:r>
        <w:rPr>
          <w:rFonts w:hint="eastAsia"/>
          <w:lang w:val="en-US" w:eastAsia="zh-CN"/>
        </w:rPr>
        <w:fldChar w:fldCharType="begin"/>
      </w:r>
      <w:r>
        <w:rPr>
          <w:rFonts w:hint="eastAsia"/>
          <w:lang w:val="en-US" w:eastAsia="zh-CN"/>
        </w:rPr>
        <w:instrText xml:space="preserve"> HYPERLINK "https://baike.baidu.com/item/%E7%A6%8F%E5%BB%BA%E7%9C%81/122534?fromModule=lemma_inlink" \t "https://baike.baidu.com/item/%E9%97%BD%E4%BE%AF%E5%8E%BF/_blank" </w:instrText>
      </w:r>
      <w:r>
        <w:rPr>
          <w:rFonts w:hint="eastAsia"/>
          <w:lang w:val="en-US" w:eastAsia="zh-CN"/>
        </w:rPr>
        <w:fldChar w:fldCharType="separate"/>
      </w:r>
      <w:r>
        <w:rPr>
          <w:rFonts w:hint="eastAsia"/>
          <w:lang w:val="en-US" w:eastAsia="zh-CN"/>
        </w:rPr>
        <w:t>福建省</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HYPERLINK "https://baike.baidu.com/item/%E7%A6%8F%E5%B7%9E%E5%B8%82/366603?fromModule=lemma_inlink" \t "https://baike.baidu.com/item/%E9%97%BD%E4%BE%AF%E5%8E%BF/_blank" </w:instrText>
      </w:r>
      <w:r>
        <w:rPr>
          <w:rFonts w:hint="eastAsia"/>
          <w:lang w:val="en-US" w:eastAsia="zh-CN"/>
        </w:rPr>
        <w:fldChar w:fldCharType="separate"/>
      </w:r>
      <w:r>
        <w:rPr>
          <w:rFonts w:hint="eastAsia"/>
          <w:lang w:val="en-US" w:eastAsia="zh-CN"/>
        </w:rPr>
        <w:t>福州市</w:t>
      </w:r>
      <w:r>
        <w:rPr>
          <w:rFonts w:hint="eastAsia"/>
          <w:lang w:val="en-US" w:eastAsia="zh-CN"/>
        </w:rPr>
        <w:fldChar w:fldCharType="end"/>
      </w:r>
      <w:r>
        <w:rPr>
          <w:rFonts w:hint="eastAsia"/>
          <w:lang w:val="en-US" w:eastAsia="zh-CN"/>
        </w:rPr>
        <w:t>，位于</w:t>
      </w:r>
      <w:r>
        <w:rPr>
          <w:rFonts w:hint="eastAsia"/>
          <w:lang w:val="en-US" w:eastAsia="zh-CN"/>
        </w:rPr>
        <w:fldChar w:fldCharType="begin"/>
      </w:r>
      <w:r>
        <w:rPr>
          <w:rFonts w:hint="eastAsia"/>
          <w:lang w:val="en-US" w:eastAsia="zh-CN"/>
        </w:rPr>
        <w:instrText xml:space="preserve"> HYPERLINK "https://baike.baidu.com/item/%E7%A6%8F%E5%BB%BA%E7%9C%81/122534?fromModule=lemma_inlink" \t "https://baike.baidu.com/item/%E9%97%BD%E4%BE%AF%E5%8E%BF/_blank" </w:instrText>
      </w:r>
      <w:r>
        <w:rPr>
          <w:rFonts w:hint="eastAsia"/>
          <w:lang w:val="en-US" w:eastAsia="zh-CN"/>
        </w:rPr>
        <w:fldChar w:fldCharType="separate"/>
      </w:r>
      <w:r>
        <w:rPr>
          <w:rFonts w:hint="eastAsia"/>
          <w:lang w:val="en-US" w:eastAsia="zh-CN"/>
        </w:rPr>
        <w:t>福建省</w:t>
      </w:r>
      <w:r>
        <w:rPr>
          <w:rFonts w:hint="eastAsia"/>
          <w:lang w:val="en-US" w:eastAsia="zh-CN"/>
        </w:rPr>
        <w:fldChar w:fldCharType="end"/>
      </w:r>
      <w:r>
        <w:rPr>
          <w:rFonts w:hint="eastAsia"/>
          <w:lang w:val="en-US" w:eastAsia="zh-CN"/>
        </w:rPr>
        <w:t>东部，省会</w:t>
      </w:r>
      <w:r>
        <w:rPr>
          <w:rFonts w:hint="eastAsia"/>
          <w:lang w:val="en-US" w:eastAsia="zh-CN"/>
        </w:rPr>
        <w:fldChar w:fldCharType="begin"/>
      </w:r>
      <w:r>
        <w:rPr>
          <w:rFonts w:hint="eastAsia"/>
          <w:lang w:val="en-US" w:eastAsia="zh-CN"/>
        </w:rPr>
        <w:instrText xml:space="preserve"> HYPERLINK "https://baike.baidu.com/item/%E7%A6%8F%E5%B7%9E%E5%B8%82/366603?fromModule=lemma_inlink" \t "https://baike.baidu.com/item/%E9%97%BD%E4%BE%AF%E5%8E%BF/_blank" </w:instrText>
      </w:r>
      <w:r>
        <w:rPr>
          <w:rFonts w:hint="eastAsia"/>
          <w:lang w:val="en-US" w:eastAsia="zh-CN"/>
        </w:rPr>
        <w:fldChar w:fldCharType="separate"/>
      </w:r>
      <w:r>
        <w:rPr>
          <w:rFonts w:hint="eastAsia"/>
          <w:lang w:val="en-US" w:eastAsia="zh-CN"/>
        </w:rPr>
        <w:t>福州市</w:t>
      </w:r>
      <w:r>
        <w:rPr>
          <w:rFonts w:hint="eastAsia"/>
          <w:lang w:val="en-US" w:eastAsia="zh-CN"/>
        </w:rPr>
        <w:fldChar w:fldCharType="end"/>
      </w:r>
      <w:r>
        <w:rPr>
          <w:rFonts w:hint="eastAsia"/>
          <w:lang w:val="en-US" w:eastAsia="zh-CN"/>
        </w:rPr>
        <w:t>西南侧，介于北纬25°47'~26°36'，东经118°52'~119°25'之间。南北长89.7千米，东西宽55. 75千米，总面积2136平方千米。闽侯县境内属中亚热带气候区，气候温和，四季如春，夏长无酷暑，冬短无严寒。闽侯县先后获得了“中国百强县”、“全国绿化模范单位” 、“2019年工业百强县（市）”、“2019年中国创新百强县（市）”、“2019年度福建省县域经济实力“十强”县（市）”、“2019年全国投资潜力十强县（市）”、“2019年综合竞争力全国百强县（市）” 、“2019年全国制造业百强县（市）”、“2019年全国营商环境百强县（市）”、“国家城乡融合发展试验区”、“2020中国县域电子商务百强榜第14名”、“2020年全国百强县”、”2019年全国县域网络零售TOP100榜第88名”、“县城新型城镇化建设示范名单”、2020年赛迪中国百强县、2020年中国工业百强县（市）、2020年中国创新百强县（市）等称号，2022年11月18日，闽侯县荣获“第六批国家生态文明建设示范区”，此项荣誉彰显着闽侯县以绿色发展理念为引导，实现保护与发展共赢的努力与实践。</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lang w:val="en-US" w:eastAsia="zh-CN"/>
        </w:rPr>
      </w:pPr>
      <w:r>
        <w:rPr>
          <w:rFonts w:hint="eastAsia"/>
          <w:lang w:val="en-US" w:eastAsia="zh-CN"/>
        </w:rPr>
        <w:t>为提升畜禽养殖污染防治工作，国家相继出台《畜禽规模养殖污染防治条例》《国务院办公厅 关于加快推进畜禽养殖废弃物资源化利用的意见》《农业农村部办公厅 生态环境部办公厅关于促进畜禽粪污还田利用依法加强养殖污染治理的指导意见》、《农业农村部办公厅 生态环境部办公厅 进一步明确畜禽粪污还田利用要求强化养殖污染监管的通知》等条例和指导意见，指导全国畜禽养殖污染防治工作推进。</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lang w:val="en-US" w:eastAsia="zh-CN"/>
        </w:rPr>
      </w:pPr>
      <w:r>
        <w:rPr>
          <w:rFonts w:hint="eastAsia"/>
          <w:lang w:val="en-US" w:eastAsia="zh-CN"/>
        </w:rPr>
        <w:t>闽侯县有雄厚的畜禽养殖发展基础，对未来发展更是提出了优化养殖布局、提升规模化、生态化、产业化的目标，产业高速发展的同时，深入贯彻习近平总书记系列重要讲话精神和治国理政新理念新思想新战略，牢固树立和贯彻落实创新、协调、绿色、开放、共享的发展理念，坚持保供给与保环境并重，坚持源头减量、过程控制、末端利用的治理路径，以规模养殖场为重点，全面推进畜禽养殖废弃物资源化利用，加快构建种养结合、农牧循环的可持续发展新格局。</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szCs w:val="36"/>
          <w:lang w:val="en-US" w:eastAsia="zh-CN"/>
        </w:rPr>
      </w:pPr>
      <w:r>
        <w:rPr>
          <w:rFonts w:hint="eastAsia"/>
          <w:lang w:val="en-US" w:eastAsia="zh-CN"/>
        </w:rPr>
        <w:t>按照《畜禽规模养殖污染防治条例》规定，为加强畜禽养殖污染防治，推进农业面源污染治理、提升耕地质量，加快形成以粪肥还田利用为纽带的种养结合循环发展新格局，同时依据《畜禽养殖污染防治规划编制指南（试行）》要求，编制《闽侯县畜禽养殖污染防治规划（2021-2025）》，指导闽侯县积极推进畜禽养殖污染防治工作，优化种植结构，实现畜禽养殖业高效、快速、优质发展。</w:t>
      </w:r>
    </w:p>
    <w:p>
      <w:pPr>
        <w:pStyle w:val="5"/>
        <w:bidi w:val="0"/>
        <w:rPr>
          <w:rFonts w:hint="eastAsia"/>
          <w:lang w:val="en-US" w:eastAsia="zh-CN"/>
        </w:rPr>
      </w:pPr>
      <w:bookmarkStart w:id="3" w:name="_Toc13372"/>
      <w:r>
        <w:rPr>
          <w:rFonts w:hint="eastAsia"/>
          <w:lang w:val="en-US" w:eastAsia="zh-CN"/>
        </w:rPr>
        <w:t>1.2 编制依据</w:t>
      </w:r>
      <w:bookmarkEnd w:id="3"/>
    </w:p>
    <w:p>
      <w:pPr>
        <w:pStyle w:val="6"/>
        <w:bidi w:val="0"/>
        <w:rPr>
          <w:rFonts w:hint="eastAsia"/>
          <w:lang w:val="en-US" w:eastAsia="zh-CN"/>
        </w:rPr>
      </w:pPr>
      <w:r>
        <w:rPr>
          <w:rFonts w:hint="eastAsia"/>
          <w:lang w:val="en-US" w:eastAsia="zh-CN"/>
        </w:rPr>
        <w:t>1.2.1 法律法规</w:t>
      </w:r>
    </w:p>
    <w:p>
      <w:pPr>
        <w:bidi w:val="0"/>
        <w:rPr>
          <w:rFonts w:hint="eastAsia"/>
          <w:lang w:val="en-US" w:eastAsia="zh-CN"/>
        </w:rPr>
      </w:pPr>
      <w:r>
        <w:rPr>
          <w:rFonts w:hint="eastAsia"/>
          <w:lang w:val="en-US" w:eastAsia="zh-CN"/>
        </w:rPr>
        <w:t>（1）《中华人民共和国畜牧法》（2006年7月1日起施行）</w:t>
      </w:r>
    </w:p>
    <w:p>
      <w:pPr>
        <w:bidi w:val="0"/>
        <w:rPr>
          <w:rFonts w:hint="eastAsia"/>
          <w:lang w:val="en-US" w:eastAsia="zh-CN"/>
        </w:rPr>
      </w:pPr>
      <w:r>
        <w:rPr>
          <w:rFonts w:hint="eastAsia"/>
          <w:lang w:val="en-US" w:eastAsia="zh-CN"/>
        </w:rPr>
        <w:t>（2）《中华人民共和国清洁生产促进法》（2012年7月1日起施行）</w:t>
      </w:r>
    </w:p>
    <w:p>
      <w:pPr>
        <w:bidi w:val="0"/>
        <w:rPr>
          <w:rFonts w:hint="eastAsia"/>
          <w:lang w:val="en-US" w:eastAsia="zh-CN"/>
        </w:rPr>
      </w:pPr>
      <w:r>
        <w:rPr>
          <w:rFonts w:hint="eastAsia"/>
          <w:lang w:val="en-US" w:eastAsia="zh-CN"/>
        </w:rPr>
        <w:t>（3）《中华人民共和国农业法》（2012年修正）</w:t>
      </w:r>
    </w:p>
    <w:p>
      <w:pPr>
        <w:bidi w:val="0"/>
        <w:rPr>
          <w:rFonts w:hint="eastAsia"/>
          <w:lang w:val="en-US" w:eastAsia="zh-CN"/>
        </w:rPr>
      </w:pPr>
      <w:r>
        <w:rPr>
          <w:rFonts w:hint="eastAsia"/>
          <w:lang w:val="en-US" w:eastAsia="zh-CN"/>
        </w:rPr>
        <w:t>（4）《中华人民共和国环境保护法》（2014年修订）</w:t>
      </w:r>
    </w:p>
    <w:p>
      <w:pPr>
        <w:bidi w:val="0"/>
        <w:rPr>
          <w:rFonts w:hint="eastAsia"/>
          <w:lang w:val="en-US" w:eastAsia="zh-CN"/>
        </w:rPr>
      </w:pPr>
      <w:r>
        <w:rPr>
          <w:rFonts w:hint="eastAsia"/>
          <w:lang w:val="en-US" w:eastAsia="zh-CN"/>
        </w:rPr>
        <w:t>（5）《畜禽规模养殖污染防治条例》（中华人民共和国国务院令 第643号）</w:t>
      </w:r>
    </w:p>
    <w:p>
      <w:pPr>
        <w:bidi w:val="0"/>
        <w:rPr>
          <w:rFonts w:hint="eastAsia"/>
          <w:lang w:val="en-US" w:eastAsia="zh-CN"/>
        </w:rPr>
      </w:pPr>
      <w:r>
        <w:rPr>
          <w:rFonts w:hint="eastAsia"/>
          <w:lang w:val="en-US" w:eastAsia="zh-CN"/>
        </w:rPr>
        <w:t>（6）《中华人民共和国水污染防治法》（2017年6月27日第二次修正）</w:t>
      </w:r>
    </w:p>
    <w:p>
      <w:pPr>
        <w:bidi w:val="0"/>
        <w:rPr>
          <w:rFonts w:hint="eastAsia"/>
          <w:lang w:val="en-US" w:eastAsia="zh-CN"/>
        </w:rPr>
      </w:pPr>
      <w:r>
        <w:rPr>
          <w:rFonts w:hint="eastAsia"/>
          <w:lang w:val="en-US" w:eastAsia="zh-CN"/>
        </w:rPr>
        <w:t>（7）《中华人民共和国土壤污染防治法》（2018年8月31日第十三届全国人民代表大会常务委员会第五次会议通过）</w:t>
      </w:r>
    </w:p>
    <w:p>
      <w:pPr>
        <w:bidi w:val="0"/>
        <w:rPr>
          <w:rFonts w:hint="eastAsia"/>
          <w:lang w:val="en-US" w:eastAsia="zh-CN"/>
        </w:rPr>
      </w:pPr>
      <w:r>
        <w:rPr>
          <w:rFonts w:hint="eastAsia"/>
          <w:lang w:val="en-US" w:eastAsia="zh-CN"/>
        </w:rPr>
        <w:t>（8）《中华人民共和国环境影响评价法》（根据2018年12月29日第十三届全国人民代表大会常务委员会第七次会议《关于修改〈中华人民共和国劳动法〉等七部法律的决定》第二次修正）</w:t>
      </w:r>
    </w:p>
    <w:p>
      <w:pPr>
        <w:bidi w:val="0"/>
        <w:rPr>
          <w:rFonts w:hint="eastAsia"/>
          <w:lang w:val="en-US" w:eastAsia="zh-CN"/>
        </w:rPr>
      </w:pPr>
      <w:r>
        <w:rPr>
          <w:rFonts w:hint="eastAsia"/>
          <w:lang w:val="en-US" w:eastAsia="zh-CN"/>
        </w:rPr>
        <w:t>（9）《中华人民共和国固体废物污染环境防治法》（2020年9月1日起施行）</w:t>
      </w:r>
    </w:p>
    <w:p>
      <w:pPr>
        <w:bidi w:val="0"/>
        <w:rPr>
          <w:rFonts w:hint="eastAsia" w:ascii="仿宋_GB2312" w:hAnsi="仿宋_GB2312" w:eastAsia="仿宋_GB2312" w:cs="仿宋_GB2312"/>
          <w:szCs w:val="36"/>
          <w:lang w:val="en-US" w:eastAsia="zh-CN"/>
        </w:rPr>
      </w:pPr>
      <w:r>
        <w:rPr>
          <w:rFonts w:hint="eastAsia"/>
          <w:lang w:val="en-US" w:eastAsia="zh-CN"/>
        </w:rPr>
        <w:t>（10）《福建省水污染防治条例》（2021年7月29日福建省第十三届人民代表大会 常务委员会第二十八次会议通过）</w:t>
      </w:r>
    </w:p>
    <w:p>
      <w:pPr>
        <w:bidi w:val="0"/>
        <w:rPr>
          <w:rFonts w:hint="eastAsia"/>
          <w:lang w:val="en-US" w:eastAsia="zh-CN"/>
        </w:rPr>
      </w:pPr>
      <w:r>
        <w:rPr>
          <w:rFonts w:hint="eastAsia"/>
          <w:lang w:val="en-US" w:eastAsia="zh-CN"/>
        </w:rPr>
        <w:t>（11）《福建省生态环境保护条例》（福建省人民代表大会常务委员会公告〔十三届〕第六十九号）</w:t>
      </w:r>
    </w:p>
    <w:p>
      <w:pPr>
        <w:pStyle w:val="6"/>
        <w:bidi w:val="0"/>
        <w:rPr>
          <w:rFonts w:hint="eastAsia"/>
          <w:lang w:val="en-US" w:eastAsia="zh-CN"/>
        </w:rPr>
      </w:pPr>
      <w:r>
        <w:rPr>
          <w:rFonts w:hint="eastAsia"/>
          <w:lang w:val="en-US" w:eastAsia="zh-CN"/>
        </w:rPr>
        <w:t>1.2.2 技术规范</w:t>
      </w:r>
    </w:p>
    <w:p>
      <w:pPr>
        <w:bidi w:val="0"/>
        <w:rPr>
          <w:rFonts w:hint="eastAsia"/>
          <w:lang w:val="en-US" w:eastAsia="zh-CN"/>
        </w:rPr>
      </w:pPr>
      <w:r>
        <w:rPr>
          <w:rFonts w:hint="eastAsia"/>
          <w:lang w:val="en-US" w:eastAsia="zh-CN"/>
        </w:rPr>
        <w:t>（1）农田灌溉水质标准（GB 5084—2021）</w:t>
      </w:r>
    </w:p>
    <w:p>
      <w:pPr>
        <w:bidi w:val="0"/>
        <w:rPr>
          <w:rFonts w:hint="eastAsia"/>
          <w:lang w:val="en-US" w:eastAsia="zh-CN"/>
        </w:rPr>
      </w:pPr>
      <w:r>
        <w:rPr>
          <w:rFonts w:hint="eastAsia"/>
          <w:lang w:val="en-US" w:eastAsia="zh-CN"/>
        </w:rPr>
        <w:t>（2）粪便无害化卫生要求（GB7959-2012）</w:t>
      </w:r>
    </w:p>
    <w:p>
      <w:pPr>
        <w:bidi w:val="0"/>
        <w:rPr>
          <w:rFonts w:hint="default"/>
          <w:lang w:val="en-US" w:eastAsia="zh-CN"/>
        </w:rPr>
      </w:pPr>
      <w:r>
        <w:rPr>
          <w:rFonts w:hint="eastAsia"/>
          <w:lang w:val="en-US" w:eastAsia="zh-CN"/>
        </w:rPr>
        <w:t>（3）土壤环境质量-农用地土壤污染风险管控标准(试行)(GB15618-2018)</w:t>
      </w:r>
    </w:p>
    <w:p>
      <w:pPr>
        <w:bidi w:val="0"/>
        <w:rPr>
          <w:rFonts w:hint="default"/>
          <w:lang w:val="en-US" w:eastAsia="zh-CN"/>
        </w:rPr>
      </w:pPr>
      <w:r>
        <w:rPr>
          <w:rFonts w:hint="eastAsia"/>
          <w:lang w:val="en-US" w:eastAsia="zh-CN"/>
        </w:rPr>
        <w:t>（4）畜禽养殖业污染物排放标准（GB 18596-2001）</w:t>
      </w:r>
    </w:p>
    <w:p>
      <w:pPr>
        <w:bidi w:val="0"/>
        <w:rPr>
          <w:rFonts w:hint="eastAsia"/>
          <w:lang w:val="en-US" w:eastAsia="zh-CN"/>
        </w:rPr>
      </w:pPr>
      <w:r>
        <w:rPr>
          <w:rFonts w:hint="eastAsia"/>
          <w:lang w:val="en-US" w:eastAsia="zh-CN"/>
        </w:rPr>
        <w:t>（5）畜禽粪便监测技术规范（GB/T 25169-2010）</w:t>
      </w:r>
    </w:p>
    <w:p>
      <w:pPr>
        <w:bidi w:val="0"/>
        <w:rPr>
          <w:rFonts w:hint="eastAsia"/>
          <w:lang w:val="en-US" w:eastAsia="zh-CN"/>
        </w:rPr>
      </w:pPr>
      <w:r>
        <w:rPr>
          <w:rFonts w:hint="eastAsia"/>
          <w:lang w:val="en-US" w:eastAsia="zh-CN"/>
        </w:rPr>
        <w:t>（6）畜禽粪便还田技术规范（GB/T 25246-2010）</w:t>
      </w:r>
    </w:p>
    <w:p>
      <w:pPr>
        <w:bidi w:val="0"/>
        <w:rPr>
          <w:rFonts w:hint="eastAsia"/>
          <w:lang w:val="en-US" w:eastAsia="zh-CN"/>
        </w:rPr>
      </w:pPr>
      <w:r>
        <w:rPr>
          <w:rFonts w:hint="eastAsia"/>
          <w:lang w:val="en-US" w:eastAsia="zh-CN"/>
        </w:rPr>
        <w:t>（7）畜禽养殖污水贮存设施设计要求（GB/T 26624-2011）</w:t>
      </w:r>
    </w:p>
    <w:p>
      <w:pPr>
        <w:bidi w:val="0"/>
        <w:rPr>
          <w:rFonts w:hint="eastAsia"/>
          <w:lang w:val="en-US" w:eastAsia="zh-CN"/>
        </w:rPr>
      </w:pPr>
      <w:r>
        <w:rPr>
          <w:rFonts w:hint="eastAsia"/>
          <w:lang w:val="en-US" w:eastAsia="zh-CN"/>
        </w:rPr>
        <w:t>（8）畜禽粪便贮存设施设计要求（GB/T 27622-2011）</w:t>
      </w:r>
    </w:p>
    <w:p>
      <w:pPr>
        <w:bidi w:val="0"/>
        <w:rPr>
          <w:rFonts w:hint="eastAsia"/>
          <w:lang w:val="en-US" w:eastAsia="zh-CN"/>
        </w:rPr>
      </w:pPr>
      <w:r>
        <w:rPr>
          <w:rFonts w:hint="eastAsia"/>
          <w:lang w:val="en-US" w:eastAsia="zh-CN"/>
        </w:rPr>
        <w:t>（9）畜禽粪便无害化处理技术规范（GB/T 36195-2018）</w:t>
      </w:r>
    </w:p>
    <w:p>
      <w:pPr>
        <w:bidi w:val="0"/>
        <w:rPr>
          <w:rFonts w:hint="eastAsia"/>
          <w:lang w:val="en-US" w:eastAsia="zh-CN"/>
        </w:rPr>
      </w:pPr>
      <w:r>
        <w:rPr>
          <w:rFonts w:hint="eastAsia"/>
          <w:lang w:val="en-US" w:eastAsia="zh-CN"/>
        </w:rPr>
        <w:t>（10）畜禽养殖业污染治理工程技术规范（HJ 497－2009）</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（11）排污许可证申请与核发技术规范 畜禽养殖行业（HJ 1029—2019）</w:t>
      </w:r>
    </w:p>
    <w:p>
      <w:pPr>
        <w:bidi w:val="0"/>
        <w:rPr>
          <w:rFonts w:hint="eastAsia"/>
          <w:lang w:val="en-US" w:eastAsia="zh-CN"/>
        </w:rPr>
      </w:pPr>
      <w:r>
        <w:rPr>
          <w:rFonts w:hint="eastAsia"/>
          <w:lang w:val="en-US" w:eastAsia="zh-CN"/>
        </w:rPr>
        <w:t>（12）畜禽养殖业污染防治技术规范（HJ/T 81-2001）</w:t>
      </w:r>
    </w:p>
    <w:p>
      <w:pPr>
        <w:bidi w:val="0"/>
        <w:rPr>
          <w:rFonts w:hint="default"/>
          <w:lang w:val="en-US" w:eastAsia="zh-CN"/>
        </w:rPr>
      </w:pPr>
      <w:r>
        <w:rPr>
          <w:rFonts w:hint="eastAsia"/>
          <w:lang w:val="en-US" w:eastAsia="zh-CN"/>
        </w:rPr>
        <w:t>（13）有机肥料的标准（NY525-2001）</w:t>
      </w:r>
    </w:p>
    <w:p>
      <w:pPr>
        <w:bidi w:val="0"/>
        <w:rPr>
          <w:rFonts w:hint="default"/>
          <w:lang w:val="en-US" w:eastAsia="zh-CN"/>
        </w:rPr>
      </w:pPr>
      <w:r>
        <w:rPr>
          <w:rFonts w:hint="eastAsia"/>
          <w:lang w:val="en-US" w:eastAsia="zh-CN"/>
        </w:rPr>
        <w:t>（14）沼肥施用技术规范（NY/T 2065-2011）</w:t>
      </w:r>
    </w:p>
    <w:p>
      <w:pPr>
        <w:bidi w:val="0"/>
        <w:rPr>
          <w:rFonts w:ascii="仿宋" w:hAnsi="仿宋" w:eastAsia="仿宋" w:cs="仿宋"/>
          <w:color w:val="000000"/>
          <w:kern w:val="0"/>
          <w:szCs w:val="28"/>
          <w:lang w:val="en-US" w:eastAsia="zh-CN" w:bidi="ar"/>
        </w:rPr>
      </w:pPr>
      <w:r>
        <w:rPr>
          <w:rFonts w:hint="eastAsia"/>
          <w:lang w:val="en-US" w:eastAsia="zh-CN"/>
        </w:rPr>
        <w:t>（15）</w:t>
      </w:r>
      <w:r>
        <w:rPr>
          <w:lang w:val="en-US" w:eastAsia="zh-CN"/>
        </w:rPr>
        <w:t>《畜禽规模养殖场粪污资源化利用设施建设规范（试行）》</w:t>
      </w:r>
    </w:p>
    <w:p>
      <w:pPr>
        <w:pStyle w:val="6"/>
        <w:bidi w:val="0"/>
        <w:rPr>
          <w:rFonts w:hint="eastAsia"/>
          <w:lang w:val="en-US" w:eastAsia="zh-CN"/>
        </w:rPr>
      </w:pPr>
      <w:r>
        <w:rPr>
          <w:rFonts w:hint="eastAsia"/>
          <w:lang w:val="en-US" w:eastAsia="zh-CN"/>
        </w:rPr>
        <w:t>1.2.3 政策文件</w:t>
      </w:r>
    </w:p>
    <w:p>
      <w:pPr>
        <w:bidi w:val="0"/>
        <w:rPr>
          <w:rFonts w:hint="eastAsia"/>
          <w:lang w:val="en-US" w:eastAsia="zh-CN"/>
        </w:rPr>
      </w:pPr>
      <w:r>
        <w:rPr>
          <w:rFonts w:hint="eastAsia"/>
          <w:lang w:val="en-US" w:eastAsia="zh-CN"/>
        </w:rPr>
        <w:t>（1）</w:t>
      </w:r>
      <w:r>
        <w:rPr>
          <w:rFonts w:hint="default"/>
          <w:lang w:val="en-US" w:eastAsia="zh-CN"/>
        </w:rPr>
        <w:t>《国务院办公厅关于建立病死畜禽无害化处理机制的意见》</w:t>
      </w:r>
      <w:r>
        <w:rPr>
          <w:rFonts w:hint="eastAsia"/>
          <w:lang w:val="en-US" w:eastAsia="zh-CN"/>
        </w:rPr>
        <w:t>（</w:t>
      </w:r>
      <w:r>
        <w:rPr>
          <w:rFonts w:hint="default"/>
          <w:lang w:val="en-US" w:eastAsia="zh-CN"/>
        </w:rPr>
        <w:t>国办发〔2014〕47号</w:t>
      </w:r>
      <w:r>
        <w:rPr>
          <w:rFonts w:hint="eastAsia"/>
          <w:lang w:val="en-US" w:eastAsia="zh-CN"/>
        </w:rPr>
        <w:t>）</w:t>
      </w:r>
    </w:p>
    <w:p>
      <w:pPr>
        <w:bidi w:val="0"/>
        <w:rPr>
          <w:rFonts w:hint="default"/>
          <w:lang w:val="en-US" w:eastAsia="zh-CN"/>
        </w:rPr>
      </w:pPr>
      <w:r>
        <w:rPr>
          <w:rFonts w:hint="eastAsia"/>
          <w:lang w:val="en-US" w:eastAsia="zh-CN"/>
        </w:rPr>
        <w:t>（2）</w:t>
      </w:r>
      <w:r>
        <w:rPr>
          <w:rFonts w:hint="default"/>
          <w:lang w:val="en-US" w:eastAsia="zh-CN"/>
        </w:rPr>
        <w:t>《国务院办公厅关于加快推进畜禽养殖废弃物资源化利用的意见》</w:t>
      </w:r>
      <w:r>
        <w:rPr>
          <w:rFonts w:hint="eastAsia"/>
          <w:lang w:val="en-US" w:eastAsia="zh-CN"/>
        </w:rPr>
        <w:t>（</w:t>
      </w:r>
      <w:r>
        <w:rPr>
          <w:rFonts w:hint="default"/>
          <w:lang w:val="en-US" w:eastAsia="zh-CN"/>
        </w:rPr>
        <w:t>国办发〔2017〕48号</w:t>
      </w:r>
      <w:r>
        <w:rPr>
          <w:rFonts w:hint="eastAsia"/>
          <w:lang w:val="en-US" w:eastAsia="zh-CN"/>
        </w:rPr>
        <w:t>）</w:t>
      </w:r>
    </w:p>
    <w:p>
      <w:pPr>
        <w:bidi w:val="0"/>
        <w:rPr>
          <w:rFonts w:hint="default"/>
          <w:lang w:val="en-US" w:eastAsia="zh-CN"/>
        </w:rPr>
      </w:pPr>
      <w:r>
        <w:rPr>
          <w:rFonts w:hint="eastAsia"/>
          <w:lang w:val="en-US" w:eastAsia="zh-CN"/>
        </w:rPr>
        <w:t>（3）</w:t>
      </w:r>
      <w:r>
        <w:rPr>
          <w:rFonts w:hint="default"/>
          <w:lang w:val="en-US" w:eastAsia="zh-CN"/>
        </w:rPr>
        <w:t>《畜禽粪污土地承载力测算技术指南》</w:t>
      </w:r>
      <w:r>
        <w:rPr>
          <w:rFonts w:hint="eastAsia"/>
          <w:lang w:val="en-US" w:eastAsia="zh-CN"/>
        </w:rPr>
        <w:t>（</w:t>
      </w:r>
      <w:r>
        <w:rPr>
          <w:rFonts w:hint="default"/>
          <w:lang w:val="en-US" w:eastAsia="zh-CN"/>
        </w:rPr>
        <w:t>农办牧〔2018〕1</w:t>
      </w:r>
      <w:r>
        <w:rPr>
          <w:rFonts w:hint="eastAsia"/>
          <w:lang w:val="en-US" w:eastAsia="zh-CN"/>
        </w:rPr>
        <w:t>号）</w:t>
      </w:r>
    </w:p>
    <w:p>
      <w:pPr>
        <w:bidi w:val="0"/>
        <w:rPr>
          <w:rFonts w:hint="default"/>
          <w:lang w:val="en-US" w:eastAsia="zh-CN"/>
        </w:rPr>
      </w:pPr>
      <w:r>
        <w:rPr>
          <w:rFonts w:hint="eastAsia"/>
          <w:lang w:val="en-US" w:eastAsia="zh-CN"/>
        </w:rPr>
        <w:t>（4）</w:t>
      </w:r>
      <w:r>
        <w:rPr>
          <w:rFonts w:hint="default"/>
          <w:lang w:val="en-US" w:eastAsia="zh-CN"/>
        </w:rPr>
        <w:t>《畜禽规模养殖场粪污资源化利用设施建设规范（试行）》</w:t>
      </w:r>
      <w:r>
        <w:rPr>
          <w:rFonts w:hint="eastAsia"/>
          <w:lang w:val="en-US" w:eastAsia="zh-CN"/>
        </w:rPr>
        <w:t>（</w:t>
      </w:r>
      <w:r>
        <w:rPr>
          <w:rFonts w:hint="default"/>
          <w:lang w:val="en-US" w:eastAsia="zh-CN"/>
        </w:rPr>
        <w:t>农办牧〔2018〕2 号</w:t>
      </w:r>
      <w:r>
        <w:rPr>
          <w:rFonts w:hint="eastAsia"/>
          <w:lang w:val="en-US" w:eastAsia="zh-CN"/>
        </w:rPr>
        <w:t>）</w:t>
      </w:r>
    </w:p>
    <w:p>
      <w:pPr>
        <w:bidi w:val="0"/>
        <w:rPr>
          <w:rFonts w:hint="default"/>
          <w:lang w:val="en-US" w:eastAsia="zh-CN"/>
        </w:rPr>
      </w:pPr>
      <w:r>
        <w:rPr>
          <w:rFonts w:hint="eastAsia"/>
          <w:lang w:val="en-US" w:eastAsia="zh-CN"/>
        </w:rPr>
        <w:t>（5）</w:t>
      </w:r>
      <w:r>
        <w:rPr>
          <w:rFonts w:hint="default"/>
          <w:lang w:val="en-US" w:eastAsia="zh-CN"/>
        </w:rPr>
        <w:t>《关于进一步规范畜禽养殖禁养区划定和管理 促进生猪生产发展的通知》</w:t>
      </w:r>
      <w:r>
        <w:rPr>
          <w:rFonts w:hint="eastAsia"/>
          <w:lang w:val="en-US" w:eastAsia="zh-CN"/>
        </w:rPr>
        <w:t>（</w:t>
      </w:r>
      <w:r>
        <w:rPr>
          <w:rFonts w:hint="default"/>
          <w:lang w:val="en-US" w:eastAsia="zh-CN"/>
        </w:rPr>
        <w:t>环办土壤〔2019〕55号</w:t>
      </w:r>
      <w:r>
        <w:rPr>
          <w:rFonts w:hint="eastAsia"/>
          <w:lang w:val="en-US" w:eastAsia="zh-CN"/>
        </w:rPr>
        <w:t>）</w:t>
      </w:r>
    </w:p>
    <w:p>
      <w:pPr>
        <w:bidi w:val="0"/>
        <w:rPr>
          <w:rFonts w:hint="default"/>
          <w:lang w:val="en-US" w:eastAsia="zh-CN"/>
        </w:rPr>
      </w:pPr>
      <w:r>
        <w:rPr>
          <w:rFonts w:hint="eastAsia"/>
          <w:lang w:val="en-US" w:eastAsia="zh-CN"/>
        </w:rPr>
        <w:t>（6）</w:t>
      </w:r>
      <w:r>
        <w:rPr>
          <w:rFonts w:hint="default"/>
          <w:lang w:val="en-US" w:eastAsia="zh-CN"/>
        </w:rPr>
        <w:t>《关于促进畜禽粪污还田利用 依法加强养殖污染治理的指导意见》</w:t>
      </w:r>
      <w:r>
        <w:rPr>
          <w:rFonts w:hint="eastAsia"/>
          <w:lang w:val="en-US" w:eastAsia="zh-CN"/>
        </w:rPr>
        <w:t>（</w:t>
      </w:r>
      <w:r>
        <w:rPr>
          <w:rFonts w:hint="default"/>
          <w:lang w:val="en-US" w:eastAsia="zh-CN"/>
        </w:rPr>
        <w:t>农办牧〔2019〕84号</w:t>
      </w:r>
      <w:r>
        <w:rPr>
          <w:rFonts w:hint="eastAsia"/>
          <w:lang w:val="en-US" w:eastAsia="zh-CN"/>
        </w:rPr>
        <w:t>）</w:t>
      </w:r>
    </w:p>
    <w:p>
      <w:pPr>
        <w:bidi w:val="0"/>
        <w:rPr>
          <w:rFonts w:hint="default"/>
          <w:lang w:val="en-US" w:eastAsia="zh-CN"/>
        </w:rPr>
      </w:pPr>
      <w:r>
        <w:rPr>
          <w:rFonts w:hint="eastAsia"/>
          <w:lang w:val="en-US" w:eastAsia="zh-CN"/>
        </w:rPr>
        <w:t>（7）</w:t>
      </w:r>
      <w:r>
        <w:rPr>
          <w:rFonts w:hint="default"/>
          <w:lang w:val="en-US" w:eastAsia="zh-CN"/>
        </w:rPr>
        <w:t>《关于进一步明确畜禽粪污还田利用要求强化养殖污染监管的通知》</w:t>
      </w:r>
      <w:r>
        <w:rPr>
          <w:rFonts w:hint="eastAsia"/>
          <w:lang w:val="en-US" w:eastAsia="zh-CN"/>
        </w:rPr>
        <w:t>（</w:t>
      </w:r>
      <w:r>
        <w:rPr>
          <w:rFonts w:hint="default"/>
          <w:lang w:val="en-US" w:eastAsia="zh-CN"/>
        </w:rPr>
        <w:t>农办牧〔2020〕23 号</w:t>
      </w:r>
      <w:r>
        <w:rPr>
          <w:rFonts w:hint="eastAsia"/>
          <w:lang w:val="en-US" w:eastAsia="zh-CN"/>
        </w:rPr>
        <w:t>）</w:t>
      </w:r>
    </w:p>
    <w:p>
      <w:pPr>
        <w:bidi w:val="0"/>
        <w:rPr>
          <w:rFonts w:hint="eastAsia"/>
          <w:lang w:val="en-US" w:eastAsia="zh-CN"/>
        </w:rPr>
      </w:pPr>
      <w:r>
        <w:rPr>
          <w:rFonts w:hint="eastAsia"/>
          <w:lang w:val="en-US" w:eastAsia="zh-CN"/>
        </w:rPr>
        <w:t>（8）</w:t>
      </w:r>
      <w:r>
        <w:rPr>
          <w:rFonts w:hint="default"/>
          <w:lang w:val="en-US" w:eastAsia="zh-CN"/>
        </w:rPr>
        <w:t>《关于进一步规范畜禽养殖禁养区管理的通知》</w:t>
      </w:r>
      <w:r>
        <w:rPr>
          <w:rFonts w:hint="eastAsia"/>
          <w:lang w:val="en-US" w:eastAsia="zh-CN"/>
        </w:rPr>
        <w:t>（</w:t>
      </w:r>
      <w:r>
        <w:rPr>
          <w:rFonts w:hint="default"/>
          <w:lang w:val="en-US" w:eastAsia="zh-CN"/>
        </w:rPr>
        <w:t>环办土壤〔2020〕33号</w:t>
      </w:r>
      <w:r>
        <w:rPr>
          <w:rFonts w:hint="eastAsia"/>
          <w:lang w:val="en-US" w:eastAsia="zh-CN"/>
        </w:rPr>
        <w:t>）</w:t>
      </w:r>
    </w:p>
    <w:p>
      <w:pPr>
        <w:bidi w:val="0"/>
        <w:rPr>
          <w:rFonts w:hint="default"/>
          <w:color w:val="auto"/>
          <w:lang w:val="en-US" w:eastAsia="zh-CN"/>
        </w:rPr>
      </w:pPr>
      <w:r>
        <w:rPr>
          <w:rFonts w:hint="eastAsia"/>
          <w:color w:val="auto"/>
          <w:lang w:val="en-US" w:eastAsia="zh-CN"/>
        </w:rPr>
        <w:t>（9）《农业农村部办公厅 生态环境部办公厅关于进一步明确畜禽粪污还田利用要求强化养殖污染监管的通知》（农办牧</w:t>
      </w:r>
      <w:r>
        <w:rPr>
          <w:rFonts w:hint="default"/>
          <w:color w:val="auto"/>
          <w:lang w:val="en-US" w:eastAsia="zh-CN"/>
        </w:rPr>
        <w:t>〔2020〕</w:t>
      </w:r>
      <w:r>
        <w:rPr>
          <w:rFonts w:hint="eastAsia"/>
          <w:color w:val="auto"/>
          <w:lang w:val="en-US" w:eastAsia="zh-CN"/>
        </w:rPr>
        <w:t>2</w:t>
      </w:r>
      <w:r>
        <w:rPr>
          <w:rFonts w:hint="default"/>
          <w:color w:val="auto"/>
          <w:lang w:val="en-US" w:eastAsia="zh-CN"/>
        </w:rPr>
        <w:t>3号</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（10）</w:t>
      </w:r>
      <w:r>
        <w:rPr>
          <w:rFonts w:hint="default"/>
          <w:color w:val="auto"/>
          <w:lang w:val="en-US" w:eastAsia="zh-CN"/>
        </w:rPr>
        <w:t>《关于开展水环境承载力评价工作的通知》</w:t>
      </w:r>
      <w:r>
        <w:rPr>
          <w:rFonts w:hint="eastAsia"/>
          <w:color w:val="auto"/>
          <w:lang w:val="en-US" w:eastAsia="zh-CN"/>
        </w:rPr>
        <w:t>（</w:t>
      </w:r>
      <w:r>
        <w:rPr>
          <w:rFonts w:hint="default"/>
          <w:color w:val="auto"/>
          <w:lang w:val="en-US" w:eastAsia="zh-CN"/>
        </w:rPr>
        <w:t>环办水体函〔2020〕538号</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（11）</w:t>
      </w:r>
      <w:r>
        <w:rPr>
          <w:rFonts w:hint="default"/>
          <w:color w:val="auto"/>
          <w:lang w:val="en-US" w:eastAsia="zh-CN"/>
        </w:rPr>
        <w:t>《农业面源污染治理与监督指导实施方案（试行）》</w:t>
      </w:r>
      <w:r>
        <w:rPr>
          <w:rFonts w:hint="eastAsia"/>
          <w:color w:val="auto"/>
          <w:lang w:val="en-US" w:eastAsia="zh-CN"/>
        </w:rPr>
        <w:t>（</w:t>
      </w:r>
      <w:r>
        <w:rPr>
          <w:rFonts w:hint="default"/>
          <w:color w:val="auto"/>
          <w:lang w:val="en-US" w:eastAsia="zh-CN"/>
        </w:rPr>
        <w:t>环办土壤〔2021〕8 号</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（12）</w:t>
      </w:r>
      <w:r>
        <w:rPr>
          <w:rFonts w:hint="default"/>
          <w:color w:val="auto"/>
          <w:lang w:val="en-US" w:eastAsia="zh-CN"/>
        </w:rPr>
        <w:t>《畜禽养殖污染防治规划编制指南（试行）》</w:t>
      </w:r>
      <w:r>
        <w:rPr>
          <w:rFonts w:hint="eastAsia"/>
          <w:color w:val="auto"/>
          <w:lang w:val="en-US" w:eastAsia="zh-CN"/>
        </w:rPr>
        <w:t>（</w:t>
      </w:r>
      <w:r>
        <w:rPr>
          <w:rFonts w:hint="default"/>
          <w:color w:val="auto"/>
          <w:lang w:val="en-US" w:eastAsia="zh-CN"/>
        </w:rPr>
        <w:t>环办土壤函〔2021〕465 号</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（13）《农业农村部办公厅 生态环境部办公厅关于印发《畜禽养殖场（户）粪污处理设施建设技术指南》的通知》（农办牧</w:t>
      </w:r>
      <w:r>
        <w:rPr>
          <w:rFonts w:hint="default"/>
          <w:color w:val="auto"/>
          <w:lang w:val="en-US" w:eastAsia="zh-CN"/>
        </w:rPr>
        <w:t>〔202</w:t>
      </w:r>
      <w:r>
        <w:rPr>
          <w:rFonts w:hint="eastAsia"/>
          <w:color w:val="auto"/>
          <w:lang w:val="en-US" w:eastAsia="zh-CN"/>
        </w:rPr>
        <w:t>1</w:t>
      </w:r>
      <w:r>
        <w:rPr>
          <w:rFonts w:hint="default"/>
          <w:color w:val="auto"/>
          <w:lang w:val="en-US" w:eastAsia="zh-CN"/>
        </w:rPr>
        <w:t>〕</w:t>
      </w:r>
      <w:r>
        <w:rPr>
          <w:rFonts w:hint="eastAsia"/>
          <w:color w:val="auto"/>
          <w:lang w:val="en-US" w:eastAsia="zh-CN"/>
        </w:rPr>
        <w:t>19</w:t>
      </w:r>
      <w:r>
        <w:rPr>
          <w:rFonts w:hint="default"/>
          <w:color w:val="auto"/>
          <w:lang w:val="en-US" w:eastAsia="zh-CN"/>
        </w:rPr>
        <w:t>号</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（14）《</w:t>
      </w:r>
      <w:r>
        <w:rPr>
          <w:rFonts w:hint="default"/>
          <w:color w:val="auto"/>
          <w:lang w:val="en-US" w:eastAsia="zh-CN"/>
        </w:rPr>
        <w:t>福建省人民政府办公厅关于印发福建省加快推进畜禽养殖废弃物资源化利用实施方案的通知</w:t>
      </w:r>
      <w:r>
        <w:rPr>
          <w:rFonts w:hint="eastAsia"/>
          <w:color w:val="auto"/>
          <w:lang w:val="en-US" w:eastAsia="zh-CN"/>
        </w:rPr>
        <w:t>》（</w:t>
      </w:r>
      <w:r>
        <w:rPr>
          <w:rFonts w:hint="default"/>
          <w:color w:val="auto"/>
          <w:lang w:val="en-US" w:eastAsia="zh-CN"/>
        </w:rPr>
        <w:t>闽政办〔2017〕108号</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（15）《关于进一步加快推进畜禽养殖污染防治规划编制工作的通知》（闽环保土〔2022〕4号）</w:t>
      </w:r>
    </w:p>
    <w:p>
      <w:pPr>
        <w:bidi w:val="0"/>
        <w:rPr>
          <w:rFonts w:hint="default"/>
          <w:color w:val="auto"/>
          <w:lang w:val="en-US" w:eastAsia="zh-CN"/>
        </w:rPr>
      </w:pPr>
      <w:r>
        <w:rPr>
          <w:rFonts w:hint="eastAsia"/>
          <w:color w:val="auto"/>
          <w:lang w:val="en-US" w:eastAsia="zh-CN"/>
        </w:rPr>
        <w:t>（16）《</w:t>
      </w:r>
      <w:r>
        <w:rPr>
          <w:rFonts w:hint="default"/>
          <w:color w:val="auto"/>
          <w:lang w:val="en-US" w:eastAsia="zh-CN"/>
        </w:rPr>
        <w:t>福州市人民政府办公厅转发市农业局等部门关于畜禽养殖禁养区禁建区划定方案的通知</w:t>
      </w:r>
      <w:r>
        <w:rPr>
          <w:rFonts w:hint="eastAsia"/>
          <w:color w:val="auto"/>
          <w:lang w:val="en-US" w:eastAsia="zh-CN"/>
        </w:rPr>
        <w:t>》（</w:t>
      </w:r>
      <w:r>
        <w:rPr>
          <w:rFonts w:hint="default"/>
          <w:color w:val="auto"/>
          <w:lang w:val="en-US" w:eastAsia="zh-CN"/>
        </w:rPr>
        <w:t>榕政办〔2010〕10号</w:t>
      </w:r>
      <w:r>
        <w:rPr>
          <w:rFonts w:hint="eastAsia"/>
          <w:color w:val="auto"/>
          <w:lang w:val="en-US" w:eastAsia="zh-CN"/>
        </w:rPr>
        <w:t>）</w:t>
      </w:r>
    </w:p>
    <w:p>
      <w:pPr>
        <w:bidi w:val="0"/>
        <w:rPr>
          <w:rFonts w:hint="default"/>
          <w:lang w:val="en-US" w:eastAsia="zh-CN"/>
        </w:rPr>
      </w:pPr>
      <w:r>
        <w:rPr>
          <w:rFonts w:hint="eastAsia"/>
          <w:lang w:val="en-US" w:eastAsia="zh-CN"/>
        </w:rPr>
        <w:t>（17）</w:t>
      </w:r>
      <w:r>
        <w:rPr>
          <w:rFonts w:hint="default"/>
          <w:lang w:val="en-US" w:eastAsia="zh-CN"/>
        </w:rPr>
        <w:t>《闽侯县人民政府办公室关于印发闽侯县加快推进畜禽养殖废弃物资源化利用工作方案的通知》（侯政办〔2017〕359号）</w:t>
      </w:r>
    </w:p>
    <w:p>
      <w:pPr>
        <w:bidi w:val="0"/>
        <w:rPr>
          <w:rFonts w:hint="default"/>
          <w:lang w:val="en-US" w:eastAsia="zh-CN"/>
        </w:rPr>
      </w:pPr>
      <w:r>
        <w:rPr>
          <w:rFonts w:hint="eastAsia"/>
          <w:color w:val="auto"/>
          <w:lang w:val="en-US" w:eastAsia="zh-CN"/>
        </w:rPr>
        <w:t>（18）</w:t>
      </w:r>
      <w:r>
        <w:rPr>
          <w:rFonts w:hint="default"/>
          <w:color w:val="auto"/>
          <w:lang w:val="en-US" w:eastAsia="zh-CN"/>
        </w:rPr>
        <w:t>《闽侯县人民政府办公室关于印发闽侯县畜禽粪污资源化利用整县推</w:t>
      </w:r>
      <w:r>
        <w:rPr>
          <w:rFonts w:hint="default"/>
          <w:lang w:val="en-US" w:eastAsia="zh-CN"/>
        </w:rPr>
        <w:t>进项目调整方案的通知》（侯政办〔2022〕12号）</w:t>
      </w:r>
    </w:p>
    <w:p>
      <w:pPr>
        <w:bidi w:val="0"/>
        <w:rPr>
          <w:rFonts w:hint="eastAsia" w:ascii="仿宋" w:hAnsi="仿宋" w:eastAsia="宋体" w:cs="仿宋"/>
          <w:color w:val="000000"/>
          <w:kern w:val="0"/>
          <w:szCs w:val="28"/>
          <w:lang w:val="en-US" w:eastAsia="zh-CN" w:bidi="ar"/>
        </w:rPr>
      </w:pPr>
      <w:r>
        <w:rPr>
          <w:rFonts w:hint="eastAsia"/>
          <w:lang w:val="en-US" w:eastAsia="zh-CN"/>
        </w:rPr>
        <w:t>（19）《</w:t>
      </w:r>
      <w:r>
        <w:rPr>
          <w:rFonts w:hint="default"/>
          <w:lang w:val="en-US" w:eastAsia="zh-CN"/>
        </w:rPr>
        <w:t>闽侯县农业农村局  福州市闽侯生态环境局关于转发</w:t>
      </w:r>
      <w:r>
        <w:rPr>
          <w:rFonts w:hint="eastAsia"/>
          <w:lang w:val="en-US" w:eastAsia="zh-CN"/>
        </w:rPr>
        <w:t>&lt;</w:t>
      </w:r>
      <w:r>
        <w:rPr>
          <w:rFonts w:hint="default"/>
          <w:lang w:val="en-US" w:eastAsia="zh-CN"/>
        </w:rPr>
        <w:t>福建省农业农村厅 福建省生态环境厅关于印发全省生猪等畜禽养殖污染防治情况调查方案的通知</w:t>
      </w:r>
      <w:r>
        <w:rPr>
          <w:rFonts w:hint="eastAsia"/>
          <w:lang w:val="en-US" w:eastAsia="zh-CN"/>
        </w:rPr>
        <w:t>&gt;</w:t>
      </w:r>
      <w:r>
        <w:rPr>
          <w:rFonts w:hint="default"/>
          <w:lang w:val="en-US" w:eastAsia="zh-CN"/>
        </w:rPr>
        <w:t>的通知</w:t>
      </w:r>
      <w:r>
        <w:rPr>
          <w:rFonts w:hint="eastAsia"/>
          <w:lang w:val="en-US" w:eastAsia="zh-CN"/>
        </w:rPr>
        <w:t>》</w:t>
      </w:r>
      <w:r>
        <w:rPr>
          <w:rFonts w:hint="eastAsia"/>
          <w:lang w:eastAsia="zh-CN"/>
        </w:rPr>
        <w:t>（</w:t>
      </w:r>
      <w:r>
        <w:rPr>
          <w:rFonts w:hint="eastAsia"/>
          <w:lang w:val="en-US" w:eastAsia="zh-CN"/>
        </w:rPr>
        <w:t>侯农函</w:t>
      </w:r>
      <w:r>
        <w:rPr>
          <w:rFonts w:hint="default"/>
          <w:lang w:val="en-US" w:eastAsia="zh-CN"/>
        </w:rPr>
        <w:t>〔20</w:t>
      </w:r>
      <w:r>
        <w:rPr>
          <w:rFonts w:hint="eastAsia"/>
          <w:lang w:val="en-US" w:eastAsia="zh-CN"/>
        </w:rPr>
        <w:t>22</w:t>
      </w:r>
      <w:r>
        <w:rPr>
          <w:rFonts w:hint="default"/>
          <w:lang w:val="en-US" w:eastAsia="zh-CN"/>
        </w:rPr>
        <w:t>〕</w:t>
      </w:r>
      <w:r>
        <w:rPr>
          <w:rFonts w:hint="eastAsia"/>
          <w:lang w:val="en-US" w:eastAsia="zh-CN"/>
        </w:rPr>
        <w:t>172</w:t>
      </w:r>
      <w:r>
        <w:rPr>
          <w:rFonts w:hint="default"/>
          <w:lang w:val="en-US" w:eastAsia="zh-CN"/>
        </w:rPr>
        <w:t>号</w:t>
      </w:r>
      <w:r>
        <w:rPr>
          <w:rFonts w:hint="eastAsia"/>
          <w:lang w:eastAsia="zh-CN"/>
        </w:rPr>
        <w:t>）</w:t>
      </w:r>
    </w:p>
    <w:p>
      <w:pPr>
        <w:pStyle w:val="6"/>
        <w:bidi w:val="0"/>
        <w:rPr>
          <w:rFonts w:hint="eastAsia"/>
          <w:lang w:val="en-US" w:eastAsia="zh-CN"/>
        </w:rPr>
      </w:pPr>
      <w:r>
        <w:rPr>
          <w:rFonts w:hint="eastAsia"/>
          <w:lang w:val="en-US" w:eastAsia="zh-CN"/>
        </w:rPr>
        <w:t>1.2.4 相关规划</w:t>
      </w:r>
    </w:p>
    <w:p>
      <w:pPr>
        <w:bidi w:val="0"/>
        <w:rPr>
          <w:rFonts w:hint="default"/>
          <w:lang w:val="en-US" w:eastAsia="zh-CN"/>
        </w:rPr>
      </w:pPr>
      <w:r>
        <w:rPr>
          <w:rFonts w:hint="eastAsia"/>
          <w:lang w:val="en-US" w:eastAsia="zh-CN"/>
        </w:rPr>
        <w:t>（1）《福州市国民经济和社会发展第十四个五年规划和二〇三五年远景目标纲要》</w:t>
      </w:r>
    </w:p>
    <w:p>
      <w:pPr>
        <w:bidi w:val="0"/>
        <w:rPr>
          <w:rFonts w:hint="default"/>
          <w:lang w:val="en-US" w:eastAsia="zh-CN"/>
        </w:rPr>
      </w:pPr>
      <w:r>
        <w:rPr>
          <w:rFonts w:hint="eastAsia"/>
          <w:lang w:val="en-US" w:eastAsia="zh-CN"/>
        </w:rPr>
        <w:t>（2）《福州市国土空间总体规划（2021-2035年）》</w:t>
      </w:r>
    </w:p>
    <w:p>
      <w:pPr>
        <w:bidi w:val="0"/>
        <w:rPr>
          <w:rFonts w:hint="eastAsia"/>
          <w:lang w:val="en-US" w:eastAsia="zh-CN"/>
        </w:rPr>
      </w:pPr>
      <w:r>
        <w:rPr>
          <w:rFonts w:hint="eastAsia"/>
          <w:lang w:val="en-US" w:eastAsia="zh-CN"/>
        </w:rPr>
        <w:t>（3）《闽侯县畜牧业发展规划（2019-2025年）》</w:t>
      </w:r>
    </w:p>
    <w:p>
      <w:pPr>
        <w:bidi w:val="0"/>
        <w:rPr>
          <w:rFonts w:hint="eastAsia"/>
          <w:lang w:val="en-US" w:eastAsia="zh-CN"/>
        </w:rPr>
      </w:pPr>
      <w:r>
        <w:rPr>
          <w:rFonts w:hint="eastAsia"/>
          <w:lang w:val="en-US" w:eastAsia="zh-CN"/>
        </w:rPr>
        <w:t>（4）</w:t>
      </w:r>
      <w:r>
        <w:rPr>
          <w:rFonts w:hint="default"/>
          <w:lang w:val="en-US" w:eastAsia="zh-CN"/>
        </w:rPr>
        <w:t>《</w:t>
      </w:r>
      <w:r>
        <w:rPr>
          <w:rFonts w:hint="eastAsia"/>
          <w:lang w:val="en-US" w:eastAsia="zh-CN"/>
        </w:rPr>
        <w:t>闽侯县</w:t>
      </w:r>
      <w:r>
        <w:rPr>
          <w:rFonts w:hint="default"/>
          <w:lang w:val="en-US" w:eastAsia="zh-CN"/>
        </w:rPr>
        <w:t>生态环境保护“</w:t>
      </w:r>
      <w:r>
        <w:rPr>
          <w:rFonts w:hint="eastAsia"/>
          <w:lang w:val="en-US" w:eastAsia="zh-CN"/>
        </w:rPr>
        <w:t>十四五</w:t>
      </w:r>
      <w:r>
        <w:rPr>
          <w:rFonts w:hint="default"/>
          <w:lang w:val="en-US" w:eastAsia="zh-CN"/>
        </w:rPr>
        <w:t>”</w:t>
      </w:r>
      <w:r>
        <w:rPr>
          <w:rFonts w:hint="eastAsia"/>
          <w:lang w:val="en-US" w:eastAsia="zh-CN"/>
        </w:rPr>
        <w:t>规划》</w:t>
      </w:r>
    </w:p>
    <w:p>
      <w:pPr>
        <w:bidi w:val="0"/>
        <w:rPr>
          <w:rFonts w:hint="eastAsia"/>
          <w:lang w:val="en-US" w:eastAsia="zh-CN"/>
        </w:rPr>
      </w:pPr>
      <w:r>
        <w:rPr>
          <w:rFonts w:hint="eastAsia"/>
          <w:lang w:val="en-US" w:eastAsia="zh-CN"/>
        </w:rPr>
        <w:t>（5）《福州市畜牧业“十四五”发展规划》</w:t>
      </w:r>
    </w:p>
    <w:p>
      <w:pPr>
        <w:pStyle w:val="5"/>
        <w:bidi w:val="0"/>
        <w:rPr>
          <w:rFonts w:hint="eastAsia"/>
          <w:lang w:val="en-US" w:eastAsia="zh-CN"/>
        </w:rPr>
      </w:pPr>
      <w:bookmarkStart w:id="4" w:name="_Toc27291"/>
      <w:r>
        <w:rPr>
          <w:rFonts w:hint="eastAsia"/>
          <w:lang w:val="en-US" w:eastAsia="zh-CN"/>
        </w:rPr>
        <w:t>1.3 规划期限和范围</w:t>
      </w:r>
      <w:bookmarkEnd w:id="4"/>
    </w:p>
    <w:p>
      <w:pPr>
        <w:bidi w:val="0"/>
        <w:rPr>
          <w:rFonts w:hint="eastAsia"/>
          <w:lang w:val="en-US" w:eastAsia="zh-CN"/>
        </w:rPr>
      </w:pPr>
      <w:r>
        <w:rPr>
          <w:rFonts w:hint="eastAsia"/>
          <w:lang w:val="en-US" w:eastAsia="zh-CN"/>
        </w:rPr>
        <w:t>规划时限：2021-2025年，规划基准年：2020年</w:t>
      </w:r>
    </w:p>
    <w:p>
      <w:pPr>
        <w:bidi w:val="0"/>
        <w:rPr>
          <w:rFonts w:hint="eastAsia"/>
          <w:lang w:val="en-US" w:eastAsia="zh-CN"/>
        </w:rPr>
      </w:pPr>
      <w:r>
        <w:rPr>
          <w:rFonts w:hint="eastAsia"/>
          <w:lang w:val="en-US" w:eastAsia="zh-CN"/>
        </w:rPr>
        <w:t>规划范围：闽侯县县域2136平方公里，包括区域内畜禽规模养殖场和规模以下养殖户。</w:t>
      </w:r>
    </w:p>
    <w:p>
      <w:pPr>
        <w:pStyle w:val="5"/>
        <w:bidi w:val="0"/>
        <w:rPr>
          <w:rFonts w:hint="default"/>
          <w:lang w:val="en-US" w:eastAsia="zh-CN"/>
        </w:rPr>
      </w:pPr>
      <w:bookmarkStart w:id="5" w:name="_Toc29016"/>
      <w:r>
        <w:rPr>
          <w:rFonts w:hint="eastAsia"/>
          <w:lang w:val="en-US" w:eastAsia="zh-CN"/>
        </w:rPr>
        <w:t>1.4 规划编制的目的与意义</w:t>
      </w:r>
      <w:bookmarkEnd w:id="5"/>
    </w:p>
    <w:p>
      <w:pPr>
        <w:pStyle w:val="6"/>
        <w:bidi w:val="0"/>
      </w:pPr>
      <w:bookmarkStart w:id="6" w:name="_Toc13420"/>
      <w:bookmarkStart w:id="7" w:name="_Toc5955"/>
      <w:r>
        <w:rPr>
          <w:rFonts w:hint="eastAsia"/>
          <w:lang w:val="en-US" w:eastAsia="zh-CN"/>
        </w:rPr>
        <w:t>1.4.1</w:t>
      </w:r>
      <w:r>
        <w:rPr>
          <w:rFonts w:hint="eastAsia"/>
        </w:rPr>
        <w:t>规划目的</w:t>
      </w:r>
      <w:bookmarkEnd w:id="6"/>
      <w:bookmarkEnd w:id="7"/>
    </w:p>
    <w:p>
      <w:pPr>
        <w:bidi w:val="0"/>
        <w:rPr>
          <w:rFonts w:hint="eastAsia"/>
        </w:rPr>
      </w:pPr>
      <w:r>
        <w:rPr>
          <w:rFonts w:hint="eastAsia"/>
        </w:rPr>
        <w:t>通过对2020年</w:t>
      </w:r>
      <w:r>
        <w:rPr>
          <w:rFonts w:hint="eastAsia"/>
          <w:lang w:val="en-US" w:eastAsia="zh-CN"/>
        </w:rPr>
        <w:t>闽侯县</w:t>
      </w:r>
      <w:r>
        <w:rPr>
          <w:rFonts w:hint="eastAsia"/>
        </w:rPr>
        <w:t>畜禽养殖业现状和污染防治情况的全面调查，并结合未来全县畜禽养殖业发展规划和趋势，根据相关法律法规及政策，划定禁养区，按区域环境容量合理调整和优化畜禽养殖业结构、布局和规模，按照建设项目环境管理有关规定和规划定点要求规范禽畜养殖场建设，加强对畜禽养殖污染防治的环境管理，促进</w:t>
      </w:r>
      <w:r>
        <w:rPr>
          <w:rFonts w:hint="eastAsia"/>
          <w:lang w:val="en-US" w:eastAsia="zh-CN"/>
        </w:rPr>
        <w:t>闽侯县</w:t>
      </w:r>
      <w:r>
        <w:rPr>
          <w:rFonts w:hint="eastAsia"/>
        </w:rPr>
        <w:t>畜禽养殖业稳定、健康、持续发展。</w:t>
      </w:r>
    </w:p>
    <w:p>
      <w:pPr>
        <w:pStyle w:val="6"/>
        <w:bidi w:val="0"/>
      </w:pPr>
      <w:bookmarkStart w:id="8" w:name="_Toc17943"/>
      <w:bookmarkStart w:id="9" w:name="_Toc6106"/>
      <w:r>
        <w:t>1.</w:t>
      </w:r>
      <w:r>
        <w:rPr>
          <w:rFonts w:hint="eastAsia"/>
          <w:lang w:val="en-US" w:eastAsia="zh-CN"/>
        </w:rPr>
        <w:t>4</w:t>
      </w:r>
      <w:r>
        <w:rPr>
          <w:rFonts w:hint="eastAsia"/>
        </w:rPr>
        <w:t>.2规划意义</w:t>
      </w:r>
      <w:bookmarkEnd w:id="8"/>
      <w:bookmarkEnd w:id="9"/>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本规划的编制有利于加强对</w:t>
      </w:r>
      <w:r>
        <w:rPr>
          <w:rFonts w:hint="eastAsia" w:cs="Times New Roman"/>
          <w:sz w:val="24"/>
          <w:szCs w:val="32"/>
          <w:lang w:eastAsia="zh-CN"/>
        </w:rPr>
        <w:t>闽侯</w:t>
      </w:r>
      <w:r>
        <w:rPr>
          <w:rFonts w:hint="eastAsia" w:ascii="Times New Roman" w:hAnsi="Times New Roman" w:eastAsia="宋体" w:cs="Times New Roman"/>
          <w:sz w:val="24"/>
          <w:szCs w:val="32"/>
        </w:rPr>
        <w:t>县畜禽养殖业的环境监管和工作指导，建立畜禽养殖业污染防治环境管理体系，将畜禽养殖业污染防治纳入本地区环境保护规划中，对违反国家法律法规和有关规定的行为进行查处；有利于在制定畜禽养殖业发展规划时，将畜禽养殖业污染防治作为一项重要内容，使规模化养殖场基本实现污染物达标排放和总量控制；有利于探索符合</w:t>
      </w:r>
      <w:r>
        <w:rPr>
          <w:rFonts w:hint="eastAsia" w:cs="Times New Roman"/>
          <w:sz w:val="24"/>
          <w:szCs w:val="32"/>
          <w:lang w:eastAsia="zh-CN"/>
        </w:rPr>
        <w:t>闽侯</w:t>
      </w:r>
      <w:r>
        <w:rPr>
          <w:rFonts w:hint="eastAsia" w:ascii="Times New Roman" w:hAnsi="Times New Roman" w:eastAsia="宋体" w:cs="Times New Roman"/>
          <w:sz w:val="24"/>
          <w:szCs w:val="32"/>
        </w:rPr>
        <w:t>县实际的畜禽养殖污染综合防治措施，结合生态农业建设及无公害农产品、绿色食品和有机食品的发展，实行综合利用优先，资源化、无害化和减量化的原则，推行清洁生产，不断提高全县畜禽养殖环境管理和污染防治水平；有利于改善</w:t>
      </w:r>
      <w:r>
        <w:rPr>
          <w:rFonts w:hint="eastAsia" w:cs="Times New Roman"/>
          <w:sz w:val="24"/>
          <w:szCs w:val="32"/>
          <w:lang w:eastAsia="zh-CN"/>
        </w:rPr>
        <w:t>闽侯</w:t>
      </w:r>
      <w:r>
        <w:rPr>
          <w:rFonts w:hint="eastAsia" w:ascii="Times New Roman" w:hAnsi="Times New Roman" w:eastAsia="宋体" w:cs="Times New Roman"/>
          <w:sz w:val="24"/>
          <w:szCs w:val="32"/>
        </w:rPr>
        <w:t>县生态环境，保障人民群众身体健康，推动</w:t>
      </w:r>
      <w:r>
        <w:rPr>
          <w:rFonts w:hint="eastAsia" w:cs="Times New Roman"/>
          <w:sz w:val="24"/>
          <w:szCs w:val="32"/>
          <w:lang w:eastAsia="zh-CN"/>
        </w:rPr>
        <w:t>闽侯</w:t>
      </w:r>
      <w:r>
        <w:rPr>
          <w:rFonts w:hint="eastAsia" w:ascii="Times New Roman" w:hAnsi="Times New Roman" w:eastAsia="宋体" w:cs="Times New Roman"/>
          <w:sz w:val="24"/>
          <w:szCs w:val="32"/>
        </w:rPr>
        <w:t>县经济高质量发展与生态环境高水平保护。</w:t>
      </w:r>
    </w:p>
    <w:p>
      <w:pPr>
        <w:pStyle w:val="5"/>
        <w:bidi w:val="0"/>
      </w:pPr>
      <w:bookmarkStart w:id="10" w:name="_Toc27011"/>
      <w:bookmarkStart w:id="11" w:name="_Toc4877"/>
      <w:r>
        <w:t>1.</w:t>
      </w:r>
      <w:r>
        <w:rPr>
          <w:rFonts w:hint="eastAsia"/>
          <w:lang w:val="en-US" w:eastAsia="zh-CN"/>
        </w:rPr>
        <w:t>5</w:t>
      </w:r>
      <w:r>
        <w:rPr>
          <w:rFonts w:hint="eastAsia"/>
        </w:rPr>
        <w:t>技术路线</w:t>
      </w:r>
      <w:bookmarkEnd w:id="10"/>
      <w:bookmarkEnd w:id="11"/>
    </w:p>
    <w:p>
      <w:pPr>
        <w:ind w:left="0" w:leftChars="0" w:firstLine="0" w:firstLineChars="0"/>
        <w:rPr>
          <w:rFonts w:hint="eastAsia"/>
          <w:lang w:val="en-US" w:eastAsia="zh-CN"/>
        </w:rPr>
      </w:pPr>
      <w:r>
        <w:rPr>
          <w:rFonts w:hint="eastAsia"/>
          <w:lang w:val="en-US" w:eastAsia="zh-CN"/>
        </w:rPr>
        <w:drawing>
          <wp:inline distT="0" distB="0" distL="114300" distR="114300">
            <wp:extent cx="5266690" cy="2768600"/>
            <wp:effectExtent l="0" t="0" r="0" b="0"/>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8"/>
                    <a:stretch>
                      <a:fillRect/>
                    </a:stretch>
                  </pic:blipFill>
                  <pic:spPr>
                    <a:xfrm>
                      <a:off x="0" y="0"/>
                      <a:ext cx="5266690" cy="2768600"/>
                    </a:xfrm>
                    <a:prstGeom prst="rect">
                      <a:avLst/>
                    </a:prstGeom>
                  </pic:spPr>
                </pic:pic>
              </a:graphicData>
            </a:graphic>
          </wp:inline>
        </w:drawing>
      </w:r>
      <w:r>
        <w:rPr>
          <w:rFonts w:hint="eastAsia"/>
          <w:lang w:val="en-US" w:eastAsia="zh-CN"/>
        </w:rPr>
        <w:br w:type="page"/>
      </w:r>
    </w:p>
    <w:p>
      <w:pPr>
        <w:pStyle w:val="4"/>
        <w:bidi w:val="0"/>
        <w:rPr>
          <w:rFonts w:hint="eastAsia"/>
          <w:lang w:val="en-US" w:eastAsia="zh-CN"/>
        </w:rPr>
      </w:pPr>
      <w:bookmarkStart w:id="12" w:name="_Toc32266"/>
      <w:r>
        <w:rPr>
          <w:rFonts w:hint="eastAsia"/>
          <w:lang w:val="en-US" w:eastAsia="zh-CN"/>
        </w:rPr>
        <w:t>第二章  区域概况</w:t>
      </w:r>
      <w:bookmarkEnd w:id="12"/>
    </w:p>
    <w:p>
      <w:pPr>
        <w:pStyle w:val="5"/>
        <w:bidi w:val="0"/>
        <w:rPr>
          <w:rFonts w:hint="eastAsia"/>
          <w:lang w:val="en-US" w:eastAsia="zh-CN"/>
        </w:rPr>
      </w:pPr>
      <w:bookmarkStart w:id="13" w:name="_Toc8911"/>
      <w:r>
        <w:rPr>
          <w:rFonts w:hint="eastAsia"/>
          <w:lang w:val="en-US" w:eastAsia="zh-CN"/>
        </w:rPr>
        <w:t>2.1 自然条件概况</w:t>
      </w:r>
      <w:bookmarkEnd w:id="13"/>
    </w:p>
    <w:p>
      <w:pPr>
        <w:pStyle w:val="6"/>
        <w:bidi w:val="0"/>
        <w:rPr>
          <w:rFonts w:hint="eastAsia"/>
          <w:lang w:val="en-US" w:eastAsia="zh-CN"/>
        </w:rPr>
      </w:pPr>
      <w:r>
        <w:rPr>
          <w:rFonts w:hint="eastAsia"/>
          <w:lang w:val="en-US" w:eastAsia="zh-CN"/>
        </w:rPr>
        <w:t>2.1.1 地形地貌</w:t>
      </w:r>
    </w:p>
    <w:p>
      <w:pPr>
        <w:bidi w:val="0"/>
        <w:rPr>
          <w:rFonts w:hint="default"/>
          <w:lang w:val="en-US" w:eastAsia="zh-CN"/>
        </w:rPr>
      </w:pPr>
      <w:r>
        <w:rPr>
          <w:rFonts w:hint="default"/>
          <w:lang w:val="en-US" w:eastAsia="zh-CN"/>
        </w:rPr>
        <w:t>闽侯县地处福建省东南沿海，省会福州市西南侧，位于北</w:t>
      </w:r>
      <w:r>
        <w:rPr>
          <w:rFonts w:hint="eastAsia"/>
          <w:lang w:val="en-US" w:eastAsia="zh-CN"/>
        </w:rPr>
        <w:t>纬</w:t>
      </w:r>
      <w:r>
        <w:rPr>
          <w:rFonts w:hint="default"/>
          <w:lang w:val="en-US" w:eastAsia="zh-CN"/>
        </w:rPr>
        <w:t>25°47′35″</w:t>
      </w:r>
      <w:r>
        <w:rPr>
          <w:rFonts w:hint="eastAsia"/>
          <w:lang w:val="en-US" w:eastAsia="zh-CN"/>
        </w:rPr>
        <w:t>~</w:t>
      </w:r>
      <w:r>
        <w:rPr>
          <w:rFonts w:hint="default"/>
          <w:lang w:val="en-US" w:eastAsia="zh-CN"/>
        </w:rPr>
        <w:t>26°36′28″、东经118°52′10″</w:t>
      </w:r>
      <w:r>
        <w:rPr>
          <w:rFonts w:hint="eastAsia"/>
          <w:lang w:val="en-US" w:eastAsia="zh-CN"/>
        </w:rPr>
        <w:t>~</w:t>
      </w:r>
      <w:r>
        <w:rPr>
          <w:rFonts w:hint="default"/>
          <w:lang w:val="en-US" w:eastAsia="zh-CN"/>
        </w:rPr>
        <w:t>119°25′31″之间。东部、东南部与福州市、长乐市相邻；西部、西南部与闽清、永泰县交界；南部与福清市接壤；北部、东北部与古田、罗源县毗邻。闽江自西北向东南横贯县境中部，在境内流长100.4公里，把县境分割成江南、江北两大块。北岸的沿江乡镇有小箬乡、白沙镇、甘蔗街道、荆溪镇；南岸的沿江乡镇有鸿尾乡、竹岐乡、上街镇、南通镇、尚干镇、祥谦镇。闽江流至南台岛淮安时，分为两支，俗称南港、北港。南港又统称乌龙江，绕经上街、南通三镇与大樟溪会合，再流经祥谦、尚干后出境，到马尾与北港汇合，越闽安镇流入东海。</w:t>
      </w:r>
    </w:p>
    <w:p>
      <w:pPr>
        <w:bidi w:val="0"/>
        <w:rPr>
          <w:rFonts w:hint="default"/>
          <w:lang w:val="en-US" w:eastAsia="zh-CN"/>
        </w:rPr>
      </w:pPr>
      <w:r>
        <w:rPr>
          <w:rFonts w:hint="default"/>
          <w:lang w:val="en-US" w:eastAsia="zh-CN"/>
        </w:rPr>
        <w:t>江北的山地属鹫峰山的东伸支脉，山脉由闽清、古田入境，蜿蜒廷坪乡、大湖乡，然后折向西南，直抵洋里、白沙等乡镇，海拔高度大部分在800米以上，大湖乡的牛姆山主峰为境内最高峰，海拔达1403.7米，其次为大湖乡岭头村的石洋山，海拔为1384.9米，再次为廷坪乡后溪村的狮头蒂，海拔为1337.7米；江南山地属戴云山北延山麓，自德化、永泰入境，分别绵延于鸿尾、竹岐、上街、南通、尚干、祥谦、青口等乡镇，在西南部与永泰接壤，形似一堵与永泰相隔的天然屏障。著名的山峰大帽山，在鸿尾乡境内，海拔1237.7米。</w:t>
      </w:r>
    </w:p>
    <w:p>
      <w:pPr>
        <w:bidi w:val="0"/>
        <w:rPr>
          <w:rFonts w:hint="default" w:ascii="仿宋" w:hAnsi="仿宋" w:eastAsia="仿宋" w:cs="仿宋"/>
          <w:color w:val="000000"/>
          <w:kern w:val="0"/>
          <w:szCs w:val="28"/>
          <w:lang w:val="en-US" w:eastAsia="zh-CN" w:bidi="ar"/>
        </w:rPr>
      </w:pPr>
      <w:r>
        <w:rPr>
          <w:rFonts w:hint="default"/>
          <w:lang w:val="en-US" w:eastAsia="zh-CN"/>
        </w:rPr>
        <w:t>闽侯全境南北长89.7公里、东西宽55.75公里，土地总面积为2136平方公里（折320.33万亩）。全县地势西北高、东南低，闽江流域从洋里、鸿尾、白沙起，向东至尚干逐渐平坦开阔，为福州平原的一部分，海拔多在3—10米。所以，闽侯县地貌分为五种类型：中山、低山、高丘、低丘和台地平原。中山、低山合称为山地，共有面积223.9万亩，占土地总面积69.9%；高丘、低丘又统称丘陵，全县丘陵总面积为37.84万亩，占土地总面积的11.8%；台地平原总面积为58.59万亩，占土地总面积的18.3%。</w:t>
      </w:r>
    </w:p>
    <w:p>
      <w:pPr>
        <w:pStyle w:val="6"/>
        <w:bidi w:val="0"/>
        <w:rPr>
          <w:rFonts w:hint="eastAsia"/>
          <w:lang w:val="en-US" w:eastAsia="zh-CN"/>
        </w:rPr>
      </w:pPr>
      <w:r>
        <w:rPr>
          <w:rFonts w:hint="eastAsia"/>
          <w:lang w:val="en-US" w:eastAsia="zh-CN"/>
        </w:rPr>
        <w:t>2.1.2 气候气象</w:t>
      </w:r>
    </w:p>
    <w:p>
      <w:pPr>
        <w:bidi w:val="0"/>
        <w:rPr>
          <w:rFonts w:hint="default"/>
          <w:lang w:val="en-US" w:eastAsia="zh-CN"/>
        </w:rPr>
      </w:pPr>
      <w:r>
        <w:rPr>
          <w:rFonts w:hint="eastAsia"/>
          <w:lang w:val="en-US" w:eastAsia="zh-CN"/>
        </w:rPr>
        <w:t>闽侯县</w:t>
      </w:r>
      <w:r>
        <w:rPr>
          <w:rFonts w:hint="default"/>
          <w:lang w:val="en-US" w:eastAsia="zh-CN"/>
        </w:rPr>
        <w:t>境内年降水量1200～2100毫米，多年平均降水量为1673.9毫米。其中上街镇土溪雨量站年均降雨量为2152.6毫米，各地降水量分布不均，北部和西南部中山地区，海拔900～1200米，形成一个多雨层，年平均降水量为1700～2000毫米；中部丘陵地区，年平均降水量为1500～1700毫米；闽江沿岸平原区，年平均降水量1300～1500毫米。上街、大湖为全县两个降水中心。上街极端最大年降水量曾达到2850毫米(1961年土溪站)；大湖的雪峰站平均降水量为1954毫米。祥谦是本县降水量最少的地区，多年平均降水量为1332毫米。</w:t>
      </w:r>
    </w:p>
    <w:p>
      <w:pPr>
        <w:bidi w:val="0"/>
        <w:rPr>
          <w:rFonts w:hint="default"/>
          <w:lang w:val="en-US" w:eastAsia="zh-CN"/>
        </w:rPr>
      </w:pPr>
      <w:r>
        <w:rPr>
          <w:rFonts w:hint="default"/>
          <w:lang w:val="en-US" w:eastAsia="zh-CN"/>
        </w:rPr>
        <w:t>全县年平均雨日150天，占全年日数41.8%，晴天42天，占11.5%。一年中，降水量多集中在3～6月份，尤以5～6月为多。根据降水变化特征和成因，全年可分为4个降水季节：</w:t>
      </w:r>
    </w:p>
    <w:p>
      <w:pPr>
        <w:bidi w:val="0"/>
        <w:rPr>
          <w:rFonts w:hint="default"/>
          <w:lang w:val="en-US" w:eastAsia="zh-CN"/>
        </w:rPr>
      </w:pPr>
      <w:r>
        <w:rPr>
          <w:rFonts w:hint="default"/>
          <w:lang w:val="en-US" w:eastAsia="zh-CN"/>
        </w:rPr>
        <w:t>春雨季(2～4月)降水量约290～420毫米，占全年的22%。其特点是雨日多，雨量少，出现阴雨低温，降水强度弱。梅雨季(5～6月)　降雨量在400～580毫米之间，约占全年的30%，6月份为全年降水高峰期，约210～310毫米，占全年的16%。其特点是雨时长，范围广，雨量多，强度大，常出现大雨到暴雨，造成洪涝灾害。台风、雷雨季(7～9月)雨量分布不均，降水量在500.6毫米左右，约占全年的36%。其特点是降水年际变幅大，受台风影响，时常出现暴雨，炎热天气常出现午后雷阵雨。多雨年份易发生洪涝灾害，少雨年份易出现干旱。少雨季(10月至翌年1月)降水量在140～330毫米，占全年12%。其特点是雨日少，降水量小，晴好天气多，经常是干冷天气。</w:t>
      </w:r>
    </w:p>
    <w:p>
      <w:pPr>
        <w:bidi w:val="0"/>
        <w:rPr>
          <w:rFonts w:hint="default"/>
          <w:lang w:val="en-US" w:eastAsia="zh-CN"/>
        </w:rPr>
      </w:pPr>
      <w:r>
        <w:rPr>
          <w:rFonts w:hint="default"/>
          <w:lang w:val="en-US" w:eastAsia="zh-CN"/>
        </w:rPr>
        <w:t>境内年平均绝对湿度为19.7毫巴，平原地区在18～20毫巴之间，山区在16～17毫巴左右。一年中绝对湿度的季节变化趋势与气温相同，1月最小，月平均值在9.7毫巴；7月最大，月平均值31.4毫巴。日变化情况是：凌晨(4～6时)绝对湿度最小，最大值出现在13～14时。相对湿度分布，平原地区年平均在75%～80%之间，高山地区在81%～85%之间。分布趋势与气温相反，随高度增加而增大。一年中最大的月平均值出现在阴雨连绵空气湿润的5、6月份，其值高达84%～86%，最小值出现在1月为75%。</w:t>
      </w:r>
    </w:p>
    <w:p>
      <w:pPr>
        <w:bidi w:val="0"/>
        <w:rPr>
          <w:rFonts w:hint="default"/>
          <w:lang w:val="en-US" w:eastAsia="zh-CN"/>
        </w:rPr>
      </w:pPr>
      <w:r>
        <w:rPr>
          <w:rFonts w:hint="default"/>
          <w:lang w:val="en-US" w:eastAsia="zh-CN"/>
        </w:rPr>
        <w:t>境内年平均日照时数为1959小时，日平均5.1小时。一年中夏季日照时数最多，冬季最少；7月份平均日照时数达281小时，2月份仅98.7小时。境内的太阳总辐射为107.3千卡/厘米2·年，闽江两岸为109.7千卡/厘米2·年，北部高海拔地区为103.7千卡/厘米2·年，随海拔高度的增加而减少。</w:t>
      </w:r>
    </w:p>
    <w:p>
      <w:pPr>
        <w:bidi w:val="0"/>
        <w:rPr>
          <w:rFonts w:hint="eastAsia" w:ascii="仿宋" w:hAnsi="仿宋" w:eastAsia="仿宋" w:cs="仿宋"/>
          <w:b w:val="0"/>
          <w:bCs w:val="0"/>
          <w:color w:val="000000"/>
          <w:kern w:val="0"/>
          <w:szCs w:val="28"/>
          <w:lang w:val="en-US" w:eastAsia="zh-CN" w:bidi="ar"/>
        </w:rPr>
      </w:pPr>
      <w:r>
        <w:rPr>
          <w:rFonts w:hint="eastAsia"/>
          <w:lang w:val="en-US" w:eastAsia="zh-CN"/>
        </w:rPr>
        <w:t>闽侯县境内年平均气温14.8℃～19.5℃。一年中，以7～8月份为最热，月平均气温在23.6℃～29.3℃；12月至翌年2月为最冷，月平均气温在6℃～10.5℃。年平均最高气温为23.6℃，年平均最低气温为16.4℃。极端最高气温达38℃～40.6℃，极端最低气温-4℃。一年四季，大致划分为3～6月为春季，7～9月夏季，10～11月为秋季，12月至翌年2月为冬季。一月份气温最低，月平均气温6℃～10.5℃，2月后气温逐渐回升，上升幅度以4月为最大，达5℃左右，至7月气温上升到最高值，月平均在23.6℃～29.2℃，8月后气温逐渐下降，10～11月降温最为剧烈，平均达4.5℃，至翌年1月气温降至最低值。气温年际变化幅度小，年际较差为1℃左右，年较差11.5℃～19.5℃，日较差6.5℃～7.8℃。</w:t>
      </w:r>
    </w:p>
    <w:p>
      <w:pPr>
        <w:pStyle w:val="6"/>
        <w:bidi w:val="0"/>
        <w:rPr>
          <w:rFonts w:hint="eastAsia"/>
          <w:lang w:val="en-US" w:eastAsia="zh-CN"/>
        </w:rPr>
      </w:pPr>
      <w:r>
        <w:rPr>
          <w:rFonts w:hint="eastAsia"/>
          <w:lang w:val="en-US" w:eastAsia="zh-CN"/>
        </w:rPr>
        <w:t>2.1.3 河流水系</w:t>
      </w:r>
    </w:p>
    <w:p>
      <w:pPr>
        <w:bidi w:val="0"/>
        <w:rPr>
          <w:rFonts w:hint="eastAsia"/>
          <w:lang w:val="en-US" w:eastAsia="zh-CN"/>
        </w:rPr>
      </w:pPr>
      <w:r>
        <w:rPr>
          <w:rFonts w:hint="eastAsia"/>
          <w:lang w:val="en-US" w:eastAsia="zh-CN"/>
        </w:rPr>
        <w:t>闽侯县境内水系发达，水网密布，除闽江、大樟溪均为客水河流外，全县主要溪流有17条，总长307.5公里，流域面积1712.8平方公里。其中发源于县境流出县外的有廷坪乡的文山岗溪、黄埔溪，2条，境内流程总长88.2公里。归入闽江的有大目溪、穆源溪、梧溪、十八重溪、井下溪、中房溪、双龙溪、洋里溪、尚格溪等13条溪流。县内溪流多为东北西南流向，与闽江直角交汇，构成格子状水系。</w:t>
      </w:r>
    </w:p>
    <w:p>
      <w:pPr>
        <w:bidi w:val="0"/>
        <w:rPr>
          <w:rFonts w:hint="eastAsia"/>
          <w:lang w:val="en-US" w:eastAsia="zh-CN"/>
        </w:rPr>
      </w:pPr>
      <w:r>
        <w:rPr>
          <w:rFonts w:hint="eastAsia"/>
          <w:lang w:val="en-US" w:eastAsia="zh-CN"/>
        </w:rPr>
        <w:t>县境内大部分河流均属于山区雨源型，水量丰富，源短流急，暴涨暴落，河床比降较大，洪、枯水位明显，溪水含沙量较少，平均2.5吨/平方公里。</w:t>
      </w:r>
    </w:p>
    <w:p>
      <w:pPr>
        <w:bidi w:val="0"/>
        <w:rPr>
          <w:rFonts w:hint="eastAsia"/>
          <w:lang w:val="en-US" w:eastAsia="zh-CN"/>
        </w:rPr>
      </w:pPr>
      <w:r>
        <w:rPr>
          <w:rFonts w:hint="eastAsia"/>
          <w:lang w:val="en-US" w:eastAsia="zh-CN"/>
        </w:rPr>
        <w:t>闽江：为全县最大河流，自建宁县经南平水口而下，江面渐宽，流速趋缓，干流总长557公里，在闽侯县境内流长100.4公里。闽江流经县内的乡镇有：北岸的洋里（小善村）、白沙、甘蔗、荆溪等四个乡镇；南岸的鸿尾、竹岐、上街、南通、尚干、详谦等8个乡镇。其中流至南台岛淮安时，分成两支，俗称南港和北港，南港又统称为乌龙江，绕经上街、南通两镇与大棒溪汇合再流经上街、尚干等乡镇出境，到马尾与北港汇合，越闽安镇入东海。闽江下游（水口以下）水流渐趋平稳，平均坡降千分之零点一。竹岐以下至淮安，江面宽900-1200米，洪水泛滥时，江滩面可至3-4公里宽，南港流程达40公里，江面宽达600-2000米，到峡南时变窄，成为袋型江面；北港江面狭窄，仅25公里。</w:t>
      </w:r>
    </w:p>
    <w:p>
      <w:pPr>
        <w:bidi w:val="0"/>
        <w:rPr>
          <w:rFonts w:hint="eastAsia"/>
          <w:lang w:val="en-US" w:eastAsia="zh-CN"/>
        </w:rPr>
      </w:pPr>
      <w:r>
        <w:rPr>
          <w:rFonts w:hint="eastAsia"/>
          <w:lang w:val="en-US" w:eastAsia="zh-CN"/>
        </w:rPr>
        <w:t>乌龙江（南港）：属闽江下游分支，主流全长40公里，乌龙江流至峡南与陶江汇集，江面宽广，为主要航道。乌龙江以半日潮港为主，属于赶潮江段，汛期受上游供水影响，峡南平均高潮水位为4.72米，平均低潮水位为1.3米。</w:t>
      </w:r>
    </w:p>
    <w:p>
      <w:pPr>
        <w:bidi w:val="0"/>
        <w:rPr>
          <w:rFonts w:hint="eastAsia"/>
          <w:lang w:val="en-US" w:eastAsia="zh-CN"/>
        </w:rPr>
      </w:pPr>
      <w:r>
        <w:rPr>
          <w:rFonts w:hint="eastAsia"/>
          <w:lang w:val="en-US" w:eastAsia="zh-CN"/>
        </w:rPr>
        <w:t>大樟溪：为闽侯县境内第二大河流，起源于德化县，从南屿镇（高新区）龙泉村入境，于南通镇新岐村汇入闽江南港，闽侯县内水域面积为105平方公里，水深流缓，可通行船筏。</w:t>
      </w:r>
    </w:p>
    <w:p>
      <w:pPr>
        <w:bidi w:val="0"/>
        <w:rPr>
          <w:rFonts w:hint="eastAsia"/>
          <w:lang w:val="en-US" w:eastAsia="zh-CN"/>
        </w:rPr>
      </w:pPr>
      <w:r>
        <w:rPr>
          <w:rFonts w:hint="eastAsia"/>
          <w:lang w:val="en-US" w:eastAsia="zh-CN"/>
        </w:rPr>
        <w:t>溪源溪：起源于永泰县赤岸，从上街站倒著自然村入境，至上街镇马排村（现已划入高新区）汇入乌龙江，流程26公里，流域面积200平方公里。溪源溪中段的罗溪拦水坝上游水浅流急，拦水坝之下的榕桥村溪段，水深流缓。</w:t>
      </w:r>
    </w:p>
    <w:p>
      <w:pPr>
        <w:bidi w:val="0"/>
        <w:rPr>
          <w:rFonts w:hint="default"/>
          <w:lang w:val="en-US" w:eastAsia="zh-CN"/>
        </w:rPr>
      </w:pPr>
      <w:r>
        <w:rPr>
          <w:rFonts w:hint="eastAsia"/>
          <w:lang w:val="en-US" w:eastAsia="zh-CN"/>
        </w:rPr>
        <w:t>大目溪：发源于大湖乡雪峰村，流经双溪、大坪、珍山等村，至白沙镇溪口村汇入闽江，全程31.3公里，流域面积192.5平方公里。</w:t>
      </w:r>
    </w:p>
    <w:p>
      <w:pPr>
        <w:bidi w:val="0"/>
        <w:rPr>
          <w:rFonts w:hint="eastAsia"/>
          <w:lang w:val="en-US" w:eastAsia="zh-CN"/>
        </w:rPr>
      </w:pPr>
      <w:r>
        <w:rPr>
          <w:rFonts w:hint="eastAsia"/>
          <w:lang w:val="en-US" w:eastAsia="zh-CN"/>
        </w:rPr>
        <w:t>荆溪：起源于江阳店，流经荆溪镇关源里，至光明村注入闽江，流程25公里。</w:t>
      </w:r>
    </w:p>
    <w:p>
      <w:pPr>
        <w:bidi w:val="0"/>
        <w:rPr>
          <w:rFonts w:hint="eastAsia"/>
          <w:lang w:val="en-US" w:eastAsia="zh-CN"/>
        </w:rPr>
      </w:pPr>
      <w:r>
        <w:rPr>
          <w:rFonts w:hint="eastAsia"/>
          <w:lang w:val="en-US" w:eastAsia="zh-CN"/>
        </w:rPr>
        <w:t>上段溪：即小穆溪，发源于竹岐乡春光村，流经罗阳，上段，流程20公里，流域面积85平方公里，溪流所经之地，多重峦叠嶂，罗洋与南洋交接处的滴水岩，沿岸悬崖陡峭，飞流急泄。</w:t>
      </w:r>
    </w:p>
    <w:p>
      <w:pPr>
        <w:bidi w:val="0"/>
        <w:rPr>
          <w:rFonts w:hint="eastAsia" w:ascii="仿宋" w:hAnsi="仿宋" w:eastAsia="仿宋" w:cs="仿宋"/>
          <w:b w:val="0"/>
          <w:bCs w:val="0"/>
          <w:color w:val="000000"/>
          <w:kern w:val="0"/>
          <w:szCs w:val="28"/>
          <w:lang w:val="en-US" w:eastAsia="zh-CN" w:bidi="ar"/>
        </w:rPr>
      </w:pPr>
      <w:r>
        <w:rPr>
          <w:rFonts w:hint="eastAsia"/>
          <w:lang w:val="en-US" w:eastAsia="zh-CN"/>
        </w:rPr>
        <w:t>其他溪流：如十八重溪、井下溪、中房溪、</w:t>
      </w:r>
      <w:r>
        <w:rPr>
          <w:rFonts w:hint="eastAsia"/>
          <w:color w:val="auto"/>
          <w:lang w:val="en-US" w:eastAsia="zh-CN"/>
        </w:rPr>
        <w:t>双龙河、黄埔溪、</w:t>
      </w:r>
      <w:r>
        <w:rPr>
          <w:rFonts w:hint="eastAsia"/>
          <w:lang w:val="en-US" w:eastAsia="zh-CN"/>
        </w:rPr>
        <w:t>文山岗溪、洋里溪尚格溪等，因源短流急，滩多水浅，旋回曲折，均无舟楫之利。</w:t>
      </w:r>
    </w:p>
    <w:p>
      <w:pPr>
        <w:pStyle w:val="6"/>
        <w:bidi w:val="0"/>
        <w:rPr>
          <w:rFonts w:hint="eastAsia"/>
          <w:lang w:val="en-US" w:eastAsia="zh-CN"/>
        </w:rPr>
      </w:pPr>
      <w:r>
        <w:rPr>
          <w:rFonts w:hint="eastAsia"/>
          <w:lang w:val="en-US" w:eastAsia="zh-CN"/>
        </w:rPr>
        <w:t>2.1.4植被覆盖</w:t>
      </w:r>
    </w:p>
    <w:p>
      <w:pPr>
        <w:bidi w:val="0"/>
        <w:rPr>
          <w:rFonts w:hint="default"/>
          <w:lang w:val="en-US" w:eastAsia="zh-CN"/>
        </w:rPr>
      </w:pPr>
      <w:r>
        <w:rPr>
          <w:rFonts w:hint="default"/>
          <w:lang w:val="en-US" w:eastAsia="zh-CN"/>
        </w:rPr>
        <w:t>闽侯县境地形复杂，山地、丘陵、台地和平原共存，气候温和，雨量充沛，自然环境适宜于各种植物生长，植物资源丰富。植物种类有138科515种。其中，蕨类植物15科30种，裸子植物9科27种，被子植物114科458种。在这些植物中，草本植物202种，木本植物313种，其中乔木树种178种。</w:t>
      </w:r>
    </w:p>
    <w:p>
      <w:pPr>
        <w:bidi w:val="0"/>
        <w:rPr>
          <w:rFonts w:hint="default" w:ascii="仿宋" w:hAnsi="仿宋" w:eastAsia="仿宋" w:cs="仿宋"/>
          <w:b w:val="0"/>
          <w:bCs w:val="0"/>
          <w:color w:val="000000"/>
          <w:kern w:val="0"/>
          <w:szCs w:val="28"/>
          <w:lang w:val="en-US" w:eastAsia="zh-CN" w:bidi="ar"/>
        </w:rPr>
      </w:pPr>
      <w:r>
        <w:rPr>
          <w:rFonts w:hint="default"/>
          <w:lang w:val="en-US" w:eastAsia="zh-CN"/>
        </w:rPr>
        <w:t>其中用材林主要有：杉木、马尾松、柳杉、三尖杉、红豆杉等；经济林主要有：油茶、油桐、乌柏、板栗、油橄榄等；竹林主要有：毛竹、麻竹、篓竹、丛竹等；香料植物主要有：茉莉花、玉兰花、代代花、薄荷等十余种；灌丛草坡主要有：映山红、福建杜鹃、京利杜鹃、柃木、尖叶柃木等；常用野生中草药主要有：黄连、丹参、土党参、金银花、土牛膝等。</w:t>
      </w:r>
      <w:r>
        <w:rPr>
          <w:rFonts w:hint="eastAsia"/>
          <w:lang w:val="en-US" w:eastAsia="zh-CN"/>
        </w:rPr>
        <w:t>“十三五”期间，闽侯县全县造林绿化及森林经营面积达到35.28万亩，森林覆盖率达61.53%。</w:t>
      </w:r>
    </w:p>
    <w:p>
      <w:pPr>
        <w:pStyle w:val="6"/>
        <w:bidi w:val="0"/>
        <w:rPr>
          <w:rFonts w:hint="eastAsia"/>
          <w:lang w:val="en-US" w:eastAsia="zh-CN"/>
        </w:rPr>
      </w:pPr>
      <w:r>
        <w:rPr>
          <w:rFonts w:hint="eastAsia"/>
          <w:lang w:val="en-US" w:eastAsia="zh-CN"/>
        </w:rPr>
        <w:t>2.1.5土壤特征</w:t>
      </w:r>
    </w:p>
    <w:p>
      <w:pPr>
        <w:bidi w:val="0"/>
        <w:rPr>
          <w:rFonts w:hint="default"/>
          <w:lang w:val="en-US" w:eastAsia="zh-CN"/>
        </w:rPr>
      </w:pPr>
      <w:r>
        <w:rPr>
          <w:rFonts w:hint="default"/>
          <w:lang w:val="en-US" w:eastAsia="zh-CN"/>
        </w:rPr>
        <w:t>闽侯县内土壤有5个土类，主要有红壤、潮土、风沙土、盐土和水稻土等。砖红壤性土壤和红壤主要分布在西部的丘陵和山地，水稻土主要分布在滨江平原。</w:t>
      </w:r>
    </w:p>
    <w:p>
      <w:pPr>
        <w:pStyle w:val="6"/>
        <w:bidi w:val="0"/>
        <w:rPr>
          <w:rFonts w:hint="eastAsia"/>
          <w:lang w:val="en-US" w:eastAsia="zh-CN"/>
        </w:rPr>
      </w:pPr>
      <w:r>
        <w:rPr>
          <w:rFonts w:hint="eastAsia"/>
          <w:lang w:val="en-US" w:eastAsia="zh-CN"/>
        </w:rPr>
        <w:t>2.1.6资源状况</w:t>
      </w:r>
    </w:p>
    <w:p>
      <w:pPr>
        <w:bidi w:val="0"/>
        <w:rPr>
          <w:rFonts w:hint="default"/>
          <w:lang w:val="en-US" w:eastAsia="zh-CN"/>
        </w:rPr>
      </w:pPr>
      <w:r>
        <w:rPr>
          <w:rFonts w:hint="eastAsia"/>
          <w:lang w:val="en-US" w:eastAsia="zh-CN"/>
        </w:rPr>
        <w:t>闽侯县自然资源丰富。截止2009年9月，全县耕地3.7万公顷，林地面积11.5万公顷，园地1.4万公顷。境内地热温泉广布，多处地热资源已被开发成淡水鳗和热带鱼养殖基地，已探明地下矿有金、钨、铜、铁等21种，粮丰材茂，物产丰饶。苍苍青山竹木参天叠翠，泱泱闽水鱼贝珍奇泛彩。盛产橄榄、龙眼、荔枝、柑桔等名果。橄榄、柑桔、龙眼、荔枝四大名果蜚声海内外，橄榄最为珍贵，素誉“八闽珍果”；柑桔遍布闽江两岸，素享“闽江桔子红”之誉，尚干单脚蛏、峡南凤尾鱼、南通银鱼、侯官河鳗素称“水中四珍”。闽侯县矿产已发现57处，矿种有金、钼、钨、明矾、叶蜡石、高岭土等数十种，沙（砾）蕴藏量高达52万多吨。</w:t>
      </w:r>
    </w:p>
    <w:p>
      <w:pPr>
        <w:pStyle w:val="6"/>
        <w:bidi w:val="0"/>
        <w:rPr>
          <w:rFonts w:hint="eastAsia"/>
          <w:lang w:val="en-US" w:eastAsia="zh-CN"/>
        </w:rPr>
      </w:pPr>
      <w:r>
        <w:rPr>
          <w:rFonts w:hint="eastAsia"/>
          <w:lang w:val="en-US" w:eastAsia="zh-CN"/>
        </w:rPr>
        <w:t>2.1.7耕地质量</w:t>
      </w:r>
    </w:p>
    <w:p>
      <w:pPr>
        <w:bidi w:val="0"/>
        <w:rPr>
          <w:rFonts w:hint="default" w:ascii="仿宋" w:hAnsi="仿宋" w:eastAsia="仿宋" w:cs="仿宋"/>
          <w:b w:val="0"/>
          <w:bCs w:val="0"/>
          <w:color w:val="000000"/>
          <w:kern w:val="0"/>
          <w:szCs w:val="28"/>
          <w:lang w:val="en-US" w:eastAsia="zh-CN" w:bidi="ar"/>
        </w:rPr>
      </w:pPr>
      <w:r>
        <w:rPr>
          <w:rFonts w:hint="default"/>
          <w:lang w:val="en-US" w:eastAsia="zh-CN"/>
        </w:rPr>
        <w:t>闽侯县耕地土壤交换性钙平均值 872</w:t>
      </w:r>
      <w:r>
        <w:rPr>
          <w:rFonts w:hint="eastAsia"/>
          <w:lang w:val="en-US" w:eastAsia="zh-CN"/>
        </w:rPr>
        <w:t>.</w:t>
      </w:r>
      <w:r>
        <w:rPr>
          <w:rFonts w:hint="default"/>
          <w:lang w:val="en-US" w:eastAsia="zh-CN"/>
        </w:rPr>
        <w:t>4 毫克/公斤，含量缺乏的土 样占26%，含量中等的占14</w:t>
      </w:r>
      <w:r>
        <w:rPr>
          <w:rFonts w:hint="eastAsia"/>
          <w:lang w:val="en-US" w:eastAsia="zh-CN"/>
        </w:rPr>
        <w:t>.</w:t>
      </w:r>
      <w:r>
        <w:rPr>
          <w:rFonts w:hint="default"/>
          <w:lang w:val="en-US" w:eastAsia="zh-CN"/>
        </w:rPr>
        <w:t>8%，含量丰富的占82</w:t>
      </w:r>
      <w:r>
        <w:rPr>
          <w:rFonts w:hint="eastAsia"/>
          <w:lang w:val="en-US" w:eastAsia="zh-CN"/>
        </w:rPr>
        <w:t>.</w:t>
      </w:r>
      <w:r>
        <w:rPr>
          <w:rFonts w:hint="default"/>
          <w:lang w:val="en-US" w:eastAsia="zh-CN"/>
        </w:rPr>
        <w:t>6%，总体处中上水平。交换性镁平均值81</w:t>
      </w:r>
      <w:r>
        <w:rPr>
          <w:rFonts w:hint="eastAsia"/>
          <w:lang w:val="en-US" w:eastAsia="zh-CN"/>
        </w:rPr>
        <w:t>.</w:t>
      </w:r>
      <w:r>
        <w:rPr>
          <w:rFonts w:hint="default"/>
          <w:lang w:val="en-US" w:eastAsia="zh-CN"/>
        </w:rPr>
        <w:t>28毫克/公斤，含量缺乏的土样占46</w:t>
      </w:r>
      <w:r>
        <w:rPr>
          <w:rFonts w:hint="eastAsia"/>
          <w:lang w:val="en-US" w:eastAsia="zh-CN"/>
        </w:rPr>
        <w:t>.</w:t>
      </w:r>
      <w:r>
        <w:rPr>
          <w:rFonts w:hint="default"/>
          <w:lang w:val="en-US" w:eastAsia="zh-CN"/>
        </w:rPr>
        <w:t>1%，含量中等的占28</w:t>
      </w:r>
      <w:r>
        <w:rPr>
          <w:rFonts w:hint="eastAsia"/>
          <w:lang w:val="en-US" w:eastAsia="zh-CN"/>
        </w:rPr>
        <w:t>.</w:t>
      </w:r>
      <w:r>
        <w:rPr>
          <w:rFonts w:hint="default"/>
          <w:lang w:val="en-US" w:eastAsia="zh-CN"/>
        </w:rPr>
        <w:t>8% ，含量丰富的占25</w:t>
      </w:r>
      <w:r>
        <w:rPr>
          <w:rFonts w:hint="eastAsia"/>
          <w:lang w:val="en-US" w:eastAsia="zh-CN"/>
        </w:rPr>
        <w:t>.</w:t>
      </w:r>
      <w:r>
        <w:rPr>
          <w:rFonts w:hint="default"/>
          <w:lang w:val="en-US" w:eastAsia="zh-CN"/>
        </w:rPr>
        <w:t>1%，总体处中等水平。有效硫平均值36</w:t>
      </w:r>
      <w:r>
        <w:rPr>
          <w:rFonts w:hint="eastAsia"/>
          <w:lang w:val="en-US" w:eastAsia="zh-CN"/>
        </w:rPr>
        <w:t>.</w:t>
      </w:r>
      <w:r>
        <w:rPr>
          <w:rFonts w:hint="default"/>
          <w:lang w:val="en-US" w:eastAsia="zh-CN"/>
        </w:rPr>
        <w:t>29毫克/公斤，含量缺乏的土样占12</w:t>
      </w:r>
      <w:r>
        <w:rPr>
          <w:rFonts w:hint="eastAsia"/>
          <w:lang w:val="en-US" w:eastAsia="zh-CN"/>
        </w:rPr>
        <w:t>.</w:t>
      </w:r>
      <w:r>
        <w:rPr>
          <w:rFonts w:hint="default"/>
          <w:lang w:val="en-US" w:eastAsia="zh-CN"/>
        </w:rPr>
        <w:t>2%，含量中等的占32</w:t>
      </w:r>
      <w:r>
        <w:rPr>
          <w:rFonts w:hint="eastAsia"/>
          <w:lang w:val="en-US" w:eastAsia="zh-CN"/>
        </w:rPr>
        <w:t>.</w:t>
      </w:r>
      <w:r>
        <w:rPr>
          <w:rFonts w:hint="default"/>
          <w:lang w:val="en-US" w:eastAsia="zh-CN"/>
        </w:rPr>
        <w:t>8%，含量丰富的占55</w:t>
      </w:r>
      <w:r>
        <w:rPr>
          <w:rFonts w:hint="eastAsia"/>
          <w:lang w:val="en-US" w:eastAsia="zh-CN"/>
        </w:rPr>
        <w:t>.</w:t>
      </w:r>
      <w:r>
        <w:rPr>
          <w:rFonts w:hint="default"/>
          <w:lang w:val="en-US" w:eastAsia="zh-CN"/>
        </w:rPr>
        <w:t>0%，总体处中上水平。有效锌平均值2</w:t>
      </w:r>
      <w:r>
        <w:rPr>
          <w:rFonts w:hint="eastAsia"/>
          <w:lang w:val="en-US" w:eastAsia="zh-CN"/>
        </w:rPr>
        <w:t>.</w:t>
      </w:r>
      <w:r>
        <w:rPr>
          <w:rFonts w:hint="default"/>
          <w:lang w:val="en-US" w:eastAsia="zh-CN"/>
        </w:rPr>
        <w:t>85 毫克/公斤，含量缺乏的土样占24</w:t>
      </w:r>
      <w:r>
        <w:rPr>
          <w:rFonts w:hint="eastAsia"/>
          <w:lang w:val="en-US" w:eastAsia="zh-CN"/>
        </w:rPr>
        <w:t>.</w:t>
      </w:r>
      <w:r>
        <w:rPr>
          <w:rFonts w:hint="default"/>
          <w:lang w:val="en-US" w:eastAsia="zh-CN"/>
        </w:rPr>
        <w:t>1%，含量中等的占31</w:t>
      </w:r>
      <w:r>
        <w:rPr>
          <w:rFonts w:hint="eastAsia"/>
          <w:lang w:val="en-US" w:eastAsia="zh-CN"/>
        </w:rPr>
        <w:t>.</w:t>
      </w:r>
      <w:r>
        <w:rPr>
          <w:rFonts w:hint="default"/>
          <w:lang w:val="en-US" w:eastAsia="zh-CN"/>
        </w:rPr>
        <w:t>1%，含量丰富的占44</w:t>
      </w:r>
      <w:r>
        <w:rPr>
          <w:rFonts w:hint="eastAsia"/>
          <w:lang w:val="en-US" w:eastAsia="zh-CN"/>
        </w:rPr>
        <w:t>.</w:t>
      </w:r>
      <w:r>
        <w:rPr>
          <w:rFonts w:hint="default"/>
          <w:lang w:val="en-US" w:eastAsia="zh-CN"/>
        </w:rPr>
        <w:t>8%，总体处中上水平。有效硼平均值0</w:t>
      </w:r>
      <w:r>
        <w:rPr>
          <w:rFonts w:hint="eastAsia"/>
          <w:lang w:val="en-US" w:eastAsia="zh-CN"/>
        </w:rPr>
        <w:t>.</w:t>
      </w:r>
      <w:r>
        <w:rPr>
          <w:rFonts w:hint="default"/>
          <w:lang w:val="en-US" w:eastAsia="zh-CN"/>
        </w:rPr>
        <w:t>21毫克/公斤，含量缺乏的土样占96</w:t>
      </w:r>
      <w:r>
        <w:rPr>
          <w:rFonts w:hint="eastAsia"/>
          <w:lang w:val="en-US" w:eastAsia="zh-CN"/>
        </w:rPr>
        <w:t>.</w:t>
      </w:r>
      <w:r>
        <w:rPr>
          <w:rFonts w:hint="default"/>
          <w:lang w:val="en-US" w:eastAsia="zh-CN"/>
        </w:rPr>
        <w:t>3%，含量中等的占3</w:t>
      </w:r>
      <w:r>
        <w:rPr>
          <w:rFonts w:hint="eastAsia"/>
          <w:lang w:val="en-US" w:eastAsia="zh-CN"/>
        </w:rPr>
        <w:t>.</w:t>
      </w:r>
      <w:r>
        <w:rPr>
          <w:rFonts w:hint="default"/>
          <w:lang w:val="en-US" w:eastAsia="zh-CN"/>
        </w:rPr>
        <w:t>7%，没有土样处丰富水平，表明全县耕地土壤处于严重缺硼状况，应注重增施硼肥。</w:t>
      </w:r>
    </w:p>
    <w:p>
      <w:pPr>
        <w:pStyle w:val="5"/>
        <w:bidi w:val="0"/>
        <w:rPr>
          <w:rFonts w:hint="default"/>
          <w:lang w:val="en-US" w:eastAsia="zh-CN"/>
        </w:rPr>
      </w:pPr>
      <w:bookmarkStart w:id="14" w:name="_Toc16675"/>
      <w:r>
        <w:rPr>
          <w:rFonts w:hint="eastAsia"/>
          <w:lang w:val="en-US" w:eastAsia="zh-CN"/>
        </w:rPr>
        <w:t>2.2社会经济概况</w:t>
      </w:r>
      <w:bookmarkEnd w:id="14"/>
    </w:p>
    <w:p>
      <w:pPr>
        <w:pStyle w:val="6"/>
        <w:bidi w:val="0"/>
        <w:rPr>
          <w:rFonts w:hint="default"/>
          <w:lang w:val="en-US" w:eastAsia="zh-CN"/>
        </w:rPr>
      </w:pPr>
      <w:r>
        <w:rPr>
          <w:rFonts w:hint="eastAsia"/>
          <w:lang w:val="en-US" w:eastAsia="zh-CN"/>
        </w:rPr>
        <w:t>2.2.1行政区划与人口结构</w:t>
      </w:r>
    </w:p>
    <w:p>
      <w:pPr>
        <w:bidi w:val="0"/>
        <w:rPr>
          <w:rFonts w:hint="default"/>
          <w:lang w:val="en-US" w:eastAsia="zh-CN"/>
        </w:rPr>
      </w:pPr>
      <w:r>
        <w:rPr>
          <w:rFonts w:hint="default"/>
          <w:lang w:val="en-US" w:eastAsia="zh-CN"/>
        </w:rPr>
        <w:t>闽侯县隶属于福建省福州市，位于福建省东部，省会福州市西南侧，介于北纬25°47'~26°36'，东经118°52'~119°25'之间。南北长89.7千米，东西宽55.75千米，总面积2136平方千米。闽侯县境内属中亚热带气候区，气候温和，四季如春，夏长无酷暑，冬短无严寒。根据第七次人口普查数据，截至2020年11月1日零时，闽侯县常住人口为988200人。</w:t>
      </w:r>
    </w:p>
    <w:p>
      <w:pPr>
        <w:bidi w:val="0"/>
        <w:rPr>
          <w:rFonts w:hint="default"/>
          <w:lang w:val="en-US" w:eastAsia="zh-CN"/>
        </w:rPr>
      </w:pPr>
      <w:r>
        <w:rPr>
          <w:rFonts w:hint="default"/>
          <w:lang w:val="en-US" w:eastAsia="zh-CN"/>
        </w:rPr>
        <w:t>截至202</w:t>
      </w:r>
      <w:r>
        <w:rPr>
          <w:rFonts w:hint="eastAsia"/>
          <w:lang w:val="en-US" w:eastAsia="zh-CN"/>
        </w:rPr>
        <w:t>2</w:t>
      </w:r>
      <w:r>
        <w:rPr>
          <w:rFonts w:hint="default"/>
          <w:lang w:val="en-US" w:eastAsia="zh-CN"/>
        </w:rPr>
        <w:t>年</w:t>
      </w:r>
      <w:r>
        <w:rPr>
          <w:rFonts w:hint="eastAsia"/>
          <w:lang w:val="en-US" w:eastAsia="zh-CN"/>
        </w:rPr>
        <w:t>7月</w:t>
      </w:r>
      <w:r>
        <w:rPr>
          <w:rFonts w:hint="default"/>
          <w:lang w:val="en-US" w:eastAsia="zh-CN"/>
        </w:rPr>
        <w:t>，闽侯县辖甘蔗1个街道，荆溪、白沙、青口、祥谦、尚干、南通、上街7个镇，竹岐、鸿尾、大湖、廷坪、洋里、小箬6个乡。全县</w:t>
      </w:r>
      <w:r>
        <w:rPr>
          <w:rFonts w:hint="eastAsia"/>
          <w:lang w:val="en-US" w:eastAsia="zh-CN"/>
        </w:rPr>
        <w:t>300</w:t>
      </w:r>
      <w:r>
        <w:rPr>
          <w:rFonts w:hint="default"/>
          <w:lang w:val="en-US" w:eastAsia="zh-CN"/>
        </w:rPr>
        <w:t>个村（居）委会，其中村委会</w:t>
      </w:r>
      <w:r>
        <w:rPr>
          <w:rFonts w:hint="eastAsia"/>
          <w:lang w:val="en-US" w:eastAsia="zh-CN"/>
        </w:rPr>
        <w:t>300</w:t>
      </w:r>
      <w:r>
        <w:rPr>
          <w:rFonts w:hint="default"/>
          <w:lang w:val="en-US" w:eastAsia="zh-CN"/>
        </w:rPr>
        <w:t>个，居委会</w:t>
      </w:r>
      <w:r>
        <w:rPr>
          <w:rFonts w:hint="eastAsia"/>
          <w:lang w:val="en-US" w:eastAsia="zh-CN"/>
        </w:rPr>
        <w:t>30</w:t>
      </w:r>
      <w:r>
        <w:rPr>
          <w:rFonts w:hint="default"/>
          <w:lang w:val="en-US" w:eastAsia="zh-CN"/>
        </w:rPr>
        <w:t>个。</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黑体" w:cs="Times New Roman"/>
          <w:b/>
          <w:bCs/>
          <w:color w:val="000000"/>
          <w:kern w:val="2"/>
          <w:sz w:val="22"/>
          <w:szCs w:val="24"/>
          <w:lang w:val="en-US" w:eastAsia="zh-CN" w:bidi="ar-SA"/>
        </w:rPr>
      </w:pPr>
      <w:r>
        <w:rPr>
          <w:rFonts w:hint="eastAsia" w:ascii="Times New Roman" w:hAnsi="Times New Roman" w:eastAsia="黑体" w:cs="Times New Roman"/>
          <w:b/>
          <w:bCs/>
          <w:color w:val="000000"/>
          <w:kern w:val="2"/>
          <w:sz w:val="22"/>
          <w:szCs w:val="24"/>
          <w:lang w:val="en-US" w:eastAsia="zh-CN" w:bidi="ar-SA"/>
        </w:rPr>
        <w:t>表2</w:t>
      </w:r>
      <w:r>
        <w:rPr>
          <w:rFonts w:hint="eastAsia" w:eastAsia="黑体" w:cs="Times New Roman"/>
          <w:b/>
          <w:bCs/>
          <w:color w:val="000000"/>
          <w:kern w:val="2"/>
          <w:sz w:val="22"/>
          <w:szCs w:val="24"/>
          <w:lang w:val="en-US" w:eastAsia="zh-CN" w:bidi="ar-SA"/>
        </w:rPr>
        <w:t>.</w:t>
      </w:r>
      <w:r>
        <w:rPr>
          <w:rFonts w:hint="eastAsia" w:ascii="Times New Roman" w:hAnsi="Times New Roman" w:eastAsia="黑体" w:cs="Times New Roman"/>
          <w:b/>
          <w:bCs/>
          <w:color w:val="000000"/>
          <w:kern w:val="2"/>
          <w:sz w:val="22"/>
          <w:szCs w:val="24"/>
          <w:lang w:val="en-US" w:eastAsia="zh-CN" w:bidi="ar-SA"/>
        </w:rPr>
        <w:t>1  闽侯县乡镇行政区基本信息表</w:t>
      </w:r>
    </w:p>
    <w:tbl>
      <w:tblPr>
        <w:tblStyle w:val="15"/>
        <w:tblW w:w="10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6"/>
        <w:gridCol w:w="1109"/>
        <w:gridCol w:w="900"/>
        <w:gridCol w:w="982"/>
        <w:gridCol w:w="63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114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镇街名称</w:t>
            </w:r>
          </w:p>
        </w:tc>
        <w:tc>
          <w:tcPr>
            <w:tcW w:w="1109"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国土</w:t>
            </w:r>
            <w:r>
              <w:rPr>
                <w:rFonts w:hint="eastAsia" w:ascii="宋体" w:hAnsi="宋体" w:eastAsia="宋体" w:cs="宋体"/>
                <w:b w:val="0"/>
                <w:bCs w:val="0"/>
                <w:color w:val="000000"/>
                <w:kern w:val="0"/>
                <w:sz w:val="21"/>
                <w:szCs w:val="21"/>
                <w:lang w:val="en-US" w:eastAsia="zh-CN" w:bidi="ar"/>
              </w:rPr>
              <w:t>面积</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（平方公里）</w:t>
            </w:r>
          </w:p>
        </w:tc>
        <w:tc>
          <w:tcPr>
            <w:tcW w:w="18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村（居）数</w:t>
            </w:r>
          </w:p>
        </w:tc>
        <w:tc>
          <w:tcPr>
            <w:tcW w:w="638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管辖居委会/村委会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114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pPr>
          </w:p>
        </w:tc>
        <w:tc>
          <w:tcPr>
            <w:tcW w:w="1109"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总数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其中：居</w:t>
            </w:r>
          </w:p>
        </w:tc>
        <w:tc>
          <w:tcPr>
            <w:tcW w:w="6387"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甘蔗街道</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46.8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青岐、十字、长江、大元、双池、五福、化龙、横屿、三英、山前、洽浦、南山、昙石、流洋</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福龙社区居委会、双福社区居委会、三福社区居委会、滨江社区居委会、瀛洲社区居委会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荆溪镇</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131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8</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仁洲、六垱、埔前、关中、关西、关东、荷洋、关口、港头、溪下、光明、桐口、桃田</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荆溪社区居委会、古山洲社区居委会、厚屿社区居委会、永丰社区居委会、大佳社区居委会、福鼓社区居委会、临江社区居委会、南亭社区居委会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白沙镇</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176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eastAsia" w:ascii="宋体" w:hAnsi="宋体" w:eastAsia="宋体" w:cs="宋体"/>
                <w:kern w:val="0"/>
                <w:sz w:val="20"/>
                <w:szCs w:val="20"/>
                <w:lang w:val="en-US" w:eastAsia="zh-CN" w:bidi="ar-SA"/>
              </w:rPr>
            </w:pPr>
            <w:r>
              <w:rPr>
                <w:rFonts w:hint="eastAsia" w:ascii="宋体" w:hAnsi="宋体" w:eastAsia="宋体" w:cs="宋体"/>
                <w:b w:val="0"/>
                <w:bCs w:val="0"/>
                <w:color w:val="000000"/>
                <w:kern w:val="0"/>
                <w:sz w:val="21"/>
                <w:szCs w:val="21"/>
                <w:lang w:val="en-US" w:eastAsia="zh-CN" w:bidi="ar"/>
              </w:rPr>
              <w:t>白沙、联坑、院埕、林柄、井下、汤院、洋石、大目溪、新坡、上寨、孔元、梧桐下、溪头、楼格、大濑、马坑、大目埕、上岐、唐举、汶溪、坑头、白沙社区居委会、闽兴社区居委会、云头岭社区居委会、木帆社社区居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青口镇</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127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cs="宋体"/>
                <w:kern w:val="0"/>
                <w:sz w:val="20"/>
                <w:szCs w:val="20"/>
                <w:highlight w:val="none"/>
              </w:rPr>
            </w:pPr>
            <w:r>
              <w:rPr>
                <w:rFonts w:hint="eastAsia" w:ascii="宋体" w:hAnsi="宋体" w:cs="宋体"/>
                <w:kern w:val="0"/>
                <w:sz w:val="20"/>
                <w:szCs w:val="20"/>
                <w:highlight w:val="none"/>
              </w:rPr>
              <w:t>镜上、前洋、杨厝、沪屿、村里、壶山、农光、庄头、团结、文华、青秀、红旗、升旗、幸福、青圃里、青圃岭、宏一、宏二 、宏三 、宏四、吉山、后福、莲峰、付竹、梅岭、船尾、长楼、前街、后街、坊口、大埕、溪东、梅溪、西台、联光、联丰、东台、青林</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highlight w:val="none"/>
                <w:lang w:val="en-US" w:eastAsia="zh-CN" w:bidi="ar-SA"/>
              </w:rPr>
            </w:pPr>
            <w:r>
              <w:rPr>
                <w:rFonts w:hint="eastAsia" w:ascii="宋体" w:hAnsi="宋体" w:cs="宋体"/>
                <w:kern w:val="0"/>
                <w:sz w:val="20"/>
                <w:szCs w:val="20"/>
                <w:highlight w:val="none"/>
              </w:rPr>
              <w:t>青口社区居委会、青新社区居委会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祥谦镇</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89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cs="宋体"/>
                <w:kern w:val="0"/>
                <w:sz w:val="20"/>
                <w:szCs w:val="20"/>
                <w:highlight w:val="none"/>
              </w:rPr>
            </w:pPr>
            <w:r>
              <w:rPr>
                <w:rFonts w:hint="eastAsia" w:ascii="宋体" w:hAnsi="宋体" w:cs="宋体"/>
                <w:kern w:val="0"/>
                <w:sz w:val="20"/>
                <w:szCs w:val="20"/>
                <w:highlight w:val="none"/>
              </w:rPr>
              <w:t>禄家、江中、肖家道、门口、中院、枕峰、泮洋、琯前、双龙、虎山、岐尾、澜澄、兰圃、洋下、凤港、卜洲、辅翼、三溪口</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highlight w:val="none"/>
                <w:lang w:val="en-US" w:eastAsia="zh-CN" w:bidi="ar-SA"/>
              </w:rPr>
            </w:pPr>
            <w:r>
              <w:rPr>
                <w:rFonts w:hint="eastAsia" w:ascii="宋体" w:hAnsi="宋体" w:cs="宋体"/>
                <w:kern w:val="0"/>
                <w:sz w:val="20"/>
                <w:szCs w:val="20"/>
                <w:highlight w:val="none"/>
              </w:rPr>
              <w:t>峡南社区居委会、新建社区居委会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尚干镇</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highlight w:val="none"/>
                <w:lang w:val="en-US" w:eastAsia="zh-CN" w:bidi="ar-SA"/>
              </w:rPr>
            </w:pPr>
            <w:r>
              <w:rPr>
                <w:rFonts w:hint="eastAsia" w:ascii="宋体" w:hAnsi="宋体" w:cs="宋体"/>
                <w:kern w:val="0"/>
                <w:sz w:val="20"/>
                <w:szCs w:val="20"/>
                <w:highlight w:val="none"/>
              </w:rPr>
              <w:t>东升、过浦、洋中、后村、乌门、亭上、红新、龙醒、后福、后浦、后厝、尚干社区居委会、浦里社区居委会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南通镇</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112.2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highlight w:val="none"/>
                <w:lang w:val="en-US" w:eastAsia="zh-CN" w:bidi="ar-SA"/>
              </w:rPr>
            </w:pPr>
            <w:r>
              <w:rPr>
                <w:rFonts w:hint="eastAsia" w:ascii="宋体" w:hAnsi="宋体" w:cs="宋体"/>
                <w:kern w:val="0"/>
                <w:sz w:val="20"/>
                <w:szCs w:val="20"/>
                <w:highlight w:val="none"/>
              </w:rPr>
              <w:t>新岐、马腾、文山、陈厝、罗洲、洲头、上洲、泽苗、泽洋、廷宅、银安、瓜山、建南、古城、方庄、南通社区居委会、桥街社区居委会、三洲社区居委会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上街镇</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157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cs="宋体"/>
                <w:color w:val="auto"/>
                <w:kern w:val="0"/>
                <w:sz w:val="20"/>
                <w:szCs w:val="20"/>
                <w:highlight w:val="none"/>
              </w:rPr>
            </w:pPr>
            <w:r>
              <w:rPr>
                <w:rFonts w:hint="eastAsia" w:ascii="宋体" w:hAnsi="宋体" w:cs="宋体"/>
                <w:kern w:val="0"/>
                <w:sz w:val="20"/>
                <w:szCs w:val="20"/>
                <w:highlight w:val="none"/>
              </w:rPr>
              <w:t>侯官、沙堤、厚美、榕桥、联心、金屿、溪源宫、青州、美岐、浦口、岐</w:t>
            </w:r>
            <w:r>
              <w:rPr>
                <w:rFonts w:hint="eastAsia" w:ascii="宋体" w:hAnsi="宋体" w:cs="宋体"/>
                <w:color w:val="auto"/>
                <w:kern w:val="0"/>
                <w:sz w:val="20"/>
                <w:szCs w:val="20"/>
                <w:highlight w:val="none"/>
              </w:rPr>
              <w:t>安、岐头、蔗洲、中美</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highlight w:val="none"/>
                <w:lang w:val="en-US" w:eastAsia="zh-CN" w:bidi="ar-SA"/>
              </w:rPr>
            </w:pPr>
            <w:r>
              <w:rPr>
                <w:rFonts w:hint="eastAsia" w:ascii="宋体" w:hAnsi="宋体" w:cs="宋体"/>
                <w:color w:val="auto"/>
                <w:kern w:val="0"/>
                <w:sz w:val="20"/>
                <w:szCs w:val="20"/>
                <w:highlight w:val="none"/>
              </w:rPr>
              <w:t>上街社区居委会、新峰社区居委会、庄南社区居委会、红峰社区居委会( 马保、马排、新洲、厚庭、建平、博海湾社区、新保社区属高新区)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竹岐乡</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224.26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元格、竹岐、竹西、汶洲、榕西、榕中、榕东、春风、白龙、苏洋、火炬、半岭、山洋、南洋、罗洋、前山、春光、蒲洋、叶洋、溪南、里洋、天台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鸿尾乡</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157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青马、埕头、古洋、元口、奎石、鸿尾、超墘、官路、大坑、南坑、大模、桥头、汉头、溪源、南元、安樟、里头、大罕、岩石、南下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大湖乡</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333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大湖、碾坑、大池、岭头、六锦、雪峰、东姚、兰田、墙坪、上苑、茶坪、后洋、双溪、新塘、坂头、东墘、马墘、箬洋、大坪、洋山、仙山、珍山、后井、江洋、角洋、彭湖、武竹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廷坪乡</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217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廷坪、洪山、西山、岩头、下洋、文山岗、马厝、黄埔、西坑、池坑、盘岭、石井、赤坑、溪坪、石洋、曹地、流源、后溪、蕉溪、罗桥、石坑、尾桥、广坪、塘里、汶合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洋里乡</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151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梧洋、仙门、岭兜、仙洋、林洋、长基、刘洋、刘地、张际、田垱、茶苑、友泉、梧溪、安仁、洋里、花桥、绅带、新见、金田、锡地、廷洋、洋头、后坑、际兜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小箬乡</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小箬、大坂、西村、湖柄、中平、尚格、福田、尚锦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合计</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1967.26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30</w:t>
            </w:r>
          </w:p>
        </w:tc>
        <w:tc>
          <w:tcPr>
            <w:tcW w:w="63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全县（不含高新区）共300个村（居）委会，其中：村委会270个、社区居委会30个。高新区：南屿镇26个村居，上街部分7个村居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52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备注：南屿镇：26个村（居）划归高新区：双龙、九都、桐南、窗厦、芝田、玉田、茂田、新联、五都、中溪、尧沙、江口、柳浪、六十份、后山、流洲、元峰、高岐、葛岐、晓岐、南井、南前、南屿社区、南旗社区、旗山文城社区、安里社区</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default"/>
          <w:lang w:val="en-US" w:eastAsia="zh-CN"/>
        </w:rPr>
        <w:drawing>
          <wp:inline distT="0" distB="0" distL="114300" distR="114300">
            <wp:extent cx="5621655" cy="4115435"/>
            <wp:effectExtent l="0" t="0" r="17145" b="18415"/>
            <wp:docPr id="1" name="图片 1" descr="闽侯县位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闽侯县位置图_00"/>
                    <pic:cNvPicPr>
                      <a:picLocks noChangeAspect="1"/>
                    </pic:cNvPicPr>
                  </pic:nvPicPr>
                  <pic:blipFill>
                    <a:blip r:embed="rId9"/>
                    <a:srcRect t="23969" b="24284"/>
                    <a:stretch>
                      <a:fillRect/>
                    </a:stretch>
                  </pic:blipFill>
                  <pic:spPr>
                    <a:xfrm>
                      <a:off x="0" y="0"/>
                      <a:ext cx="5621655" cy="411543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黑体" w:cs="Times New Roman"/>
          <w:b/>
          <w:bCs/>
          <w:color w:val="000000"/>
          <w:kern w:val="2"/>
          <w:sz w:val="22"/>
          <w:szCs w:val="24"/>
          <w:lang w:val="en-US" w:eastAsia="zh-CN" w:bidi="ar-SA"/>
        </w:rPr>
      </w:pPr>
      <w:r>
        <w:rPr>
          <w:rFonts w:hint="eastAsia" w:ascii="Times New Roman" w:hAnsi="Times New Roman" w:eastAsia="黑体" w:cs="Times New Roman"/>
          <w:b/>
          <w:bCs/>
          <w:color w:val="000000"/>
          <w:kern w:val="2"/>
          <w:sz w:val="22"/>
          <w:szCs w:val="24"/>
          <w:lang w:val="en-US" w:eastAsia="zh-CN" w:bidi="ar-SA"/>
        </w:rPr>
        <w:t>图2</w:t>
      </w:r>
      <w:r>
        <w:rPr>
          <w:rFonts w:hint="eastAsia" w:eastAsia="黑体" w:cs="Times New Roman"/>
          <w:b/>
          <w:bCs/>
          <w:color w:val="000000"/>
          <w:kern w:val="2"/>
          <w:sz w:val="22"/>
          <w:szCs w:val="24"/>
          <w:lang w:val="en-US" w:eastAsia="zh-CN" w:bidi="ar-SA"/>
        </w:rPr>
        <w:t>-</w:t>
      </w:r>
      <w:r>
        <w:rPr>
          <w:rFonts w:hint="eastAsia" w:ascii="Times New Roman" w:hAnsi="Times New Roman" w:eastAsia="黑体" w:cs="Times New Roman"/>
          <w:b/>
          <w:bCs/>
          <w:color w:val="000000"/>
          <w:kern w:val="2"/>
          <w:sz w:val="22"/>
          <w:szCs w:val="24"/>
          <w:lang w:val="en-US" w:eastAsia="zh-CN" w:bidi="ar-SA"/>
        </w:rPr>
        <w:t>2  闽侯县位置图</w:t>
      </w:r>
    </w:p>
    <w:p>
      <w:pPr>
        <w:pStyle w:val="21"/>
        <w:adjustRightInd w:val="0"/>
        <w:snapToGrid w:val="0"/>
        <w:spacing w:line="360" w:lineRule="auto"/>
        <w:rPr>
          <w:rFonts w:hint="default" w:ascii="Times New Roman" w:hAnsi="Times New Roman" w:eastAsia="宋体" w:cs="Times New Roman"/>
          <w:lang w:val="en-US" w:eastAsia="zh-CN"/>
        </w:rPr>
      </w:pPr>
      <w:r>
        <w:rPr>
          <w:rFonts w:hint="eastAsia" w:cs="Times New Roman"/>
          <w:lang w:val="en-US" w:eastAsia="zh-CN"/>
        </w:rPr>
        <w:t>2020年闽侯县（高新区除外）总户数16.95万户，户籍人口54.21万人，平均每户3.2人，流动人口52.45万人，户籍人口比上年增加2670人。60岁以上的老年人口10.67万人，占总人口19.68%，比上年增加2025人</w:t>
      </w:r>
      <w:r>
        <w:rPr>
          <w:rFonts w:ascii="Times New Roman" w:hAnsi="Times New Roman" w:cs="Times New Roman"/>
        </w:rPr>
        <w:t>。</w:t>
      </w:r>
      <w:r>
        <w:rPr>
          <w:rFonts w:hint="eastAsia" w:cs="Times New Roman"/>
          <w:lang w:val="en-US" w:eastAsia="zh-CN"/>
        </w:rPr>
        <w:t>男女比例：男性27.97万人，占51.6%；女性26.24万人，占48.4%，男性比女性多1.73万人。</w:t>
      </w:r>
    </w:p>
    <w:p>
      <w:pPr>
        <w:pStyle w:val="6"/>
        <w:bidi w:val="0"/>
        <w:rPr>
          <w:rFonts w:hint="default"/>
          <w:lang w:val="en-US" w:eastAsia="zh-CN"/>
        </w:rPr>
      </w:pPr>
      <w:r>
        <w:rPr>
          <w:rFonts w:hint="eastAsia"/>
          <w:lang w:val="en-US" w:eastAsia="zh-CN"/>
        </w:rPr>
        <w:t>2.2.2产业类型</w:t>
      </w:r>
    </w:p>
    <w:p>
      <w:pPr>
        <w:bidi w:val="0"/>
        <w:rPr>
          <w:rFonts w:hint="eastAsia"/>
          <w:lang w:val="en-US" w:eastAsia="zh-CN"/>
        </w:rPr>
      </w:pPr>
      <w:r>
        <w:rPr>
          <w:rFonts w:hint="eastAsia"/>
          <w:lang w:val="en-US" w:eastAsia="zh-CN"/>
        </w:rPr>
        <w:t>闽侯县特色产业小金鱼从闽侯游遍全国、游向世界。金鱼产业的兴盛是近年来闽侯县大力发展农业产业的缩影。作为农业大县，闽侯的金鱼、橄榄、畜禽、果蔬、食用菌、茶等六大产业并驾齐驱，撑起农业产业助力乡村振兴的一片天。</w:t>
      </w:r>
    </w:p>
    <w:p>
      <w:pPr>
        <w:bidi w:val="0"/>
        <w:rPr>
          <w:rFonts w:hint="eastAsia"/>
          <w:lang w:val="en-US" w:eastAsia="zh-CN"/>
        </w:rPr>
      </w:pPr>
      <w:r>
        <w:rPr>
          <w:rFonts w:hint="eastAsia"/>
          <w:lang w:val="en-US" w:eastAsia="zh-CN"/>
        </w:rPr>
        <w:t>近年来，闽侯县致力以高质量发展实现赶超，竞争实力、投资潜力持续攀升。目前，全县拥有57家高新技术企业，212家产值亿元以上工业企业，8家上市企业，以及汽车、机电、建材、工艺品、轻纺等5个百亿产业集群，青口投资区、闽侯经济技术开发区、南通物流园等一批产业园区，2018年三次产业结构优化调整为6.5：56.5：37，全县GDP完成603.55亿元，增长8.6%。全国县域经济基本竞争力百强县（市）排名第44位，全国县域经济投资潜力百强县（市）冲进前十、排名第8位，连续九年获评全省县域经济实力十强县，上街、荆溪、青口、祥谦、南通五镇入围全国综合实力千强镇。</w:t>
      </w:r>
    </w:p>
    <w:p>
      <w:pPr>
        <w:bidi w:val="0"/>
        <w:rPr>
          <w:rFonts w:hint="eastAsia" w:ascii="仿宋" w:hAnsi="仿宋" w:eastAsia="仿宋" w:cs="仿宋"/>
          <w:b w:val="0"/>
          <w:bCs w:val="0"/>
          <w:color w:val="000000"/>
          <w:kern w:val="0"/>
          <w:szCs w:val="28"/>
          <w:lang w:val="en-US" w:eastAsia="zh-CN" w:bidi="ar"/>
        </w:rPr>
      </w:pPr>
      <w:r>
        <w:rPr>
          <w:rFonts w:hint="eastAsia"/>
          <w:lang w:val="en-US" w:eastAsia="zh-CN"/>
        </w:rPr>
        <w:t>三产情况：农业：全县共有市级农业龙头企业36家、省级12家。“三品”认证企业18家产品56个，名优特农产品5种。工业：全县共有规上工业企业415家，其中亿元以上企业212家。工业中前六大支柱产业分别是：汽车产业、机电产业、工艺品产业、建材产业、轻纺产业、食品产业。服务业：全县共有规上服务业企业86家，现有营业收入亿元以上企业12家。前三大行业分别是：非营利性服务业、房地产业、批发零售业。</w:t>
      </w:r>
    </w:p>
    <w:p>
      <w:pPr>
        <w:pStyle w:val="6"/>
        <w:bidi w:val="0"/>
      </w:pPr>
      <w:r>
        <w:rPr>
          <w:rFonts w:hint="default"/>
          <w:lang w:val="en-US" w:eastAsia="zh-CN"/>
        </w:rPr>
        <w:t xml:space="preserve">2.2.3 </w:t>
      </w:r>
      <w:r>
        <w:rPr>
          <w:lang w:val="en-US" w:eastAsia="zh-CN"/>
        </w:rPr>
        <w:t>经济概况</w:t>
      </w:r>
    </w:p>
    <w:p>
      <w:pPr>
        <w:bidi w:val="0"/>
        <w:rPr>
          <w:rFonts w:hint="eastAsia" w:ascii="仿宋" w:hAnsi="仿宋" w:eastAsia="仿宋" w:cs="仿宋"/>
          <w:b w:val="0"/>
          <w:bCs w:val="0"/>
          <w:color w:val="000000"/>
          <w:kern w:val="0"/>
          <w:szCs w:val="28"/>
          <w:lang w:val="en-US" w:eastAsia="zh-CN" w:bidi="ar"/>
        </w:rPr>
      </w:pPr>
      <w:r>
        <w:rPr>
          <w:rFonts w:hint="eastAsia"/>
          <w:lang w:val="en-US" w:eastAsia="zh-CN"/>
        </w:rPr>
        <w:t>2020年，闽侯县全年完成地区生产总值793亿元，增长5.0%，其中第一产业完成48.5亿元，增长3.7%；第二产业完成413.4亿元，增长5.1%；第三产业完成331.1亿元，增长4.9%。三次产业比例6.1：52.1：41.8。工业方面全县规模以上工业增加值同比增长3.5%。投资方面全县固定资产投资增长11.4%，消费方面全县社会消费品零售总额为297.2亿元，同比下降3.9%。财政收入：全县一般公共预算总收入126.1亿元，同比增长8.4%。其中，地方一般公共预算收入78.1亿元，同比增长6.7%。全年县本级实际利用外资20839万元，增长42.6%。全年全体居民可支配收入33534元，增长4.5%，其中城镇居民可支配收入46538元，增长3.0%；农村居民可支配收入21693元，增长6.2%。</w:t>
      </w:r>
    </w:p>
    <w:p>
      <w:pPr>
        <w:pStyle w:val="6"/>
        <w:bidi w:val="0"/>
        <w:rPr>
          <w:rFonts w:hint="default"/>
          <w:lang w:val="en-US" w:eastAsia="zh-CN"/>
        </w:rPr>
      </w:pPr>
      <w:r>
        <w:rPr>
          <w:rFonts w:hint="default"/>
          <w:lang w:val="en-US" w:eastAsia="zh-CN"/>
        </w:rPr>
        <w:t xml:space="preserve">2.2.4 </w:t>
      </w:r>
      <w:r>
        <w:rPr>
          <w:lang w:val="en-US" w:eastAsia="zh-CN"/>
        </w:rPr>
        <w:t>土地利用</w:t>
      </w:r>
    </w:p>
    <w:p>
      <w:pPr>
        <w:bidi w:val="0"/>
        <w:rPr>
          <w:rFonts w:hint="eastAsia"/>
          <w:lang w:val="en-US" w:eastAsia="zh-CN"/>
        </w:rPr>
      </w:pPr>
      <w:r>
        <w:rPr>
          <w:rFonts w:hint="eastAsia"/>
          <w:lang w:val="en-US" w:eastAsia="zh-CN"/>
        </w:rPr>
        <w:t>根据2019年闽侯县第三次全国国土调查初步成果，闽侯县土地总面积212625.57公顷，按土地利用现状分类主要有湿地、耕地、种植园用地、林地、草地、商业及服务业用地、工况用地、住宅用地、公共管理与公共服务用地、特殊用地、交通运输用地、水域及水利设施用地、其他土地。</w:t>
      </w:r>
    </w:p>
    <w:p>
      <w:pPr>
        <w:bidi w:val="0"/>
        <w:rPr>
          <w:rFonts w:hint="eastAsia"/>
          <w:lang w:val="en-US" w:eastAsia="zh-CN"/>
        </w:rPr>
      </w:pPr>
      <w:r>
        <w:rPr>
          <w:rFonts w:hint="eastAsia"/>
          <w:lang w:val="en-US" w:eastAsia="zh-CN"/>
        </w:rPr>
        <w:t>其中，耕地总面积124257.93公顷，占全县土地总面积8.77%，其中水田16013.14公顷、旱地1762.39公顷、水浇地863.16公顷、分别占耕地的85.91%、9.46%、4.63%。</w:t>
      </w:r>
    </w:p>
    <w:p>
      <w:pPr>
        <w:bidi w:val="0"/>
        <w:rPr>
          <w:rFonts w:hint="eastAsia"/>
          <w:lang w:val="en-US" w:eastAsia="zh-CN"/>
        </w:rPr>
      </w:pPr>
      <w:r>
        <w:rPr>
          <w:rFonts w:hint="eastAsia"/>
          <w:lang w:val="en-US" w:eastAsia="zh-CN"/>
        </w:rPr>
        <w:t>种植园用地总面积15834.81公顷，占全县土地总面积7.45%。其中，果园面积14325.42公顷、茶园面积405.08公顷、其他园地面积1104.31公顷，分别占园地总面积的90.47%、2.56%、6.97%。</w:t>
      </w:r>
    </w:p>
    <w:p>
      <w:pPr>
        <w:bidi w:val="0"/>
        <w:rPr>
          <w:rFonts w:hint="eastAsia"/>
          <w:lang w:val="en-US" w:eastAsia="zh-CN"/>
        </w:rPr>
      </w:pPr>
      <w:r>
        <w:rPr>
          <w:rFonts w:hint="eastAsia"/>
          <w:lang w:val="en-US" w:eastAsia="zh-CN"/>
        </w:rPr>
        <w:t>林地总面积142023.16公顷，占全县土地总面积66.79%。其中，乔木林地面积11093.31公顷、竹林地面积12184.6公顷、灌木林地面积5927.97公顷、其他林地面积13817.28公顷，分别占林地总面积的77.52%、8.58%、4.17%、9.73%。</w:t>
      </w:r>
    </w:p>
    <w:p>
      <w:pPr>
        <w:bidi w:val="0"/>
        <w:rPr>
          <w:rFonts w:hint="default"/>
          <w:lang w:val="en-US" w:eastAsia="zh-CN"/>
        </w:rPr>
      </w:pPr>
      <w:r>
        <w:rPr>
          <w:rFonts w:hint="eastAsia"/>
          <w:lang w:val="en-US" w:eastAsia="zh-CN"/>
        </w:rPr>
        <w:t>草地总面积890.43公顷，占全县土地总面积0.42%。</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outlineLvl w:val="9"/>
        <w:rPr>
          <w:rFonts w:hint="eastAsia" w:ascii="Times New Roman" w:hAnsi="Times New Roman" w:eastAsia="黑体" w:cs="Times New Roman"/>
          <w:b/>
          <w:bCs/>
          <w:color w:val="000000"/>
          <w:kern w:val="2"/>
          <w:sz w:val="22"/>
          <w:szCs w:val="24"/>
          <w:lang w:val="en-US" w:eastAsia="zh-CN" w:bidi="ar-SA"/>
        </w:rPr>
      </w:pPr>
      <w:r>
        <w:rPr>
          <w:rFonts w:hint="eastAsia" w:ascii="Times New Roman" w:hAnsi="Times New Roman" w:eastAsia="黑体" w:cs="Times New Roman"/>
          <w:b/>
          <w:bCs/>
          <w:color w:val="000000"/>
          <w:kern w:val="2"/>
          <w:sz w:val="22"/>
          <w:szCs w:val="24"/>
          <w:lang w:val="en-US" w:eastAsia="zh-CN" w:bidi="ar-SA"/>
        </w:rPr>
        <w:t>表2.2  闽侯县农林土地利用现状</w:t>
      </w:r>
    </w:p>
    <w:tbl>
      <w:tblPr>
        <w:tblStyle w:val="1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一级类名称</w:t>
            </w: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二级类名称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面积（公顷）</w:t>
            </w:r>
          </w:p>
        </w:tc>
        <w:tc>
          <w:tcPr>
            <w:tcW w:w="2262"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占全县土地总面积%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耕地01</w:t>
            </w: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水田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16013.14</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旱地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1762.39</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水浇地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863.16</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园地02</w:t>
            </w: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果园</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14325.42</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茶园</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405.08</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其他园地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1104.31</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林地03</w:t>
            </w: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乔木林地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110093.31</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51.78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竹林地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12184.6</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灌木林地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5927.97</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其他林地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13817.28</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草地04</w:t>
            </w: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草地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890.43</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水域及水利设施11</w:t>
            </w: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河流水面</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8970.9</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水库水面</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719.76</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坑塘水面</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1235.28</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沟渠面积</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68.71</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水工建筑用地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317.89</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其他土地12</w:t>
            </w: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空闲地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20.62</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设施农用地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497.71</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田坎</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3238.2</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裸土地</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4.8</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213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裸岩石砾</w:t>
            </w:r>
          </w:p>
        </w:tc>
        <w:tc>
          <w:tcPr>
            <w:tcW w:w="213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29.28</w:t>
            </w:r>
          </w:p>
        </w:tc>
        <w:tc>
          <w:tcPr>
            <w:tcW w:w="22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0.01</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outlineLvl w:val="9"/>
        <w:rPr>
          <w:rFonts w:hint="eastAsia" w:ascii="Times New Roman" w:hAnsi="Times New Roman" w:eastAsia="黑体" w:cs="Times New Roman"/>
          <w:b/>
          <w:bCs/>
          <w:color w:val="000000"/>
          <w:kern w:val="2"/>
          <w:sz w:val="22"/>
          <w:szCs w:val="24"/>
          <w:lang w:val="en-US" w:eastAsia="zh-CN" w:bidi="ar-SA"/>
        </w:rPr>
      </w:pPr>
      <w:r>
        <w:rPr>
          <w:rFonts w:hint="eastAsia" w:ascii="Times New Roman" w:hAnsi="Times New Roman" w:eastAsia="黑体" w:cs="Times New Roman"/>
          <w:b/>
          <w:bCs/>
          <w:color w:val="000000"/>
          <w:kern w:val="2"/>
          <w:sz w:val="22"/>
          <w:szCs w:val="24"/>
          <w:lang w:val="en-US" w:eastAsia="zh-CN" w:bidi="ar-SA"/>
        </w:rPr>
        <w:t>表2.</w:t>
      </w:r>
      <w:r>
        <w:rPr>
          <w:rFonts w:hint="eastAsia" w:eastAsia="黑体" w:cs="Times New Roman"/>
          <w:b/>
          <w:bCs/>
          <w:color w:val="000000"/>
          <w:kern w:val="2"/>
          <w:sz w:val="22"/>
          <w:szCs w:val="24"/>
          <w:lang w:val="en-US" w:eastAsia="zh-CN" w:bidi="ar-SA"/>
        </w:rPr>
        <w:t>3</w:t>
      </w:r>
      <w:r>
        <w:rPr>
          <w:rFonts w:hint="eastAsia" w:ascii="Times New Roman" w:hAnsi="Times New Roman" w:eastAsia="黑体" w:cs="Times New Roman"/>
          <w:b/>
          <w:bCs/>
          <w:color w:val="000000"/>
          <w:kern w:val="2"/>
          <w:sz w:val="22"/>
          <w:szCs w:val="24"/>
          <w:lang w:val="en-US" w:eastAsia="zh-CN" w:bidi="ar-SA"/>
        </w:rPr>
        <w:t xml:space="preserve">  闽侯县各乡镇基本永久农田保护责任一览表（单位：公顷）</w:t>
      </w:r>
    </w:p>
    <w:tbl>
      <w:tblPr>
        <w:tblStyle w:val="15"/>
        <w:tblW w:w="87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62"/>
        <w:gridCol w:w="1080"/>
        <w:gridCol w:w="1483"/>
        <w:gridCol w:w="1364"/>
        <w:gridCol w:w="1268"/>
        <w:gridCol w:w="1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行政区域</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地块数量</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总面积</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耕地</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园地</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林地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白沙镇</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58</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2135.68</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1673.07</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413.49</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44.92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大湖乡</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68</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4373.7</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4159.73</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57.12</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146.12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甘蔗街道</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23</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391.97</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292.64</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61.42</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鸿尾乡</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59</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2793.44</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2441.93</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285.42</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62.99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荆溪镇</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59</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1487.11</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1345.39</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122.8</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南通镇</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24</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811.24</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710.05</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39.24</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青口镇</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96</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1745.76</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1495.27</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105.27</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141.44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上街镇</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20</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313.68</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288.91</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13.01</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尚干镇</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8</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34.43</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34.43</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0</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廷坪乡</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100</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3106.55</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2908.8</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112.69</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83.78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祥谦镇</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52</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864.42</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709.03</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75.39</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56.76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小箬乡</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23</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859.92</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824.45</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31.7</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洋里乡</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56</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2687.77</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2518.1</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35.04</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128.93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竹岐乡</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61</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2498.65</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2276.5</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171.91</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45.36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合计</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707</w:t>
            </w: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24104.32</w:t>
            </w:r>
          </w:p>
        </w:tc>
        <w:tc>
          <w:tcPr>
            <w:tcW w:w="13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21678.3</w:t>
            </w:r>
          </w:p>
        </w:tc>
        <w:tc>
          <w:tcPr>
            <w:tcW w:w="12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1524.5</w:t>
            </w:r>
          </w:p>
        </w:tc>
        <w:tc>
          <w:tcPr>
            <w:tcW w:w="13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Theme="minorEastAsia" w:cstheme="minorEastAsia"/>
                <w:b w:val="0"/>
                <w:bCs w:val="0"/>
                <w:color w:val="000000"/>
                <w:kern w:val="0"/>
                <w:sz w:val="21"/>
                <w:szCs w:val="21"/>
                <w:lang w:val="en-US" w:eastAsia="zh-CN" w:bidi="ar"/>
              </w:rPr>
            </w:pPr>
            <w:r>
              <w:rPr>
                <w:rFonts w:hint="eastAsia" w:ascii="Times New Roman" w:hAnsi="Times New Roman" w:eastAsiaTheme="minorEastAsia" w:cstheme="minorEastAsia"/>
                <w:b w:val="0"/>
                <w:bCs w:val="0"/>
                <w:color w:val="000000"/>
                <w:kern w:val="0"/>
                <w:sz w:val="21"/>
                <w:szCs w:val="21"/>
                <w:lang w:val="en-US" w:eastAsia="zh-CN" w:bidi="ar"/>
              </w:rPr>
              <w:t>808.02</w:t>
            </w:r>
          </w:p>
        </w:tc>
      </w:tr>
    </w:tbl>
    <w:p>
      <w:pPr>
        <w:pStyle w:val="5"/>
        <w:bidi w:val="0"/>
        <w:rPr>
          <w:rFonts w:hint="eastAsia"/>
          <w:lang w:val="en-US" w:eastAsia="zh-CN"/>
        </w:rPr>
      </w:pPr>
      <w:bookmarkStart w:id="15" w:name="_Toc25898"/>
      <w:r>
        <w:rPr>
          <w:rFonts w:hint="eastAsia"/>
          <w:lang w:val="en-US" w:eastAsia="zh-CN"/>
        </w:rPr>
        <w:t>2.3 生态环境概况</w:t>
      </w:r>
      <w:bookmarkEnd w:id="15"/>
      <w:r>
        <w:rPr>
          <w:rFonts w:hint="eastAsia"/>
          <w:lang w:val="en-US" w:eastAsia="zh-CN"/>
        </w:rPr>
        <w:t xml:space="preserve"> </w:t>
      </w:r>
    </w:p>
    <w:p>
      <w:pPr>
        <w:pStyle w:val="6"/>
        <w:bidi w:val="0"/>
        <w:rPr>
          <w:rFonts w:hint="default"/>
          <w:lang w:val="en-US" w:eastAsia="zh-CN"/>
        </w:rPr>
      </w:pPr>
      <w:r>
        <w:rPr>
          <w:rFonts w:hint="default"/>
          <w:lang w:val="en-US" w:eastAsia="zh-CN"/>
        </w:rPr>
        <w:t xml:space="preserve">2.3.1 环境功能区及红线区 </w:t>
      </w:r>
    </w:p>
    <w:p>
      <w:pPr>
        <w:bidi w:val="0"/>
        <w:rPr>
          <w:rFonts w:hint="eastAsia"/>
          <w:lang w:val="en-US" w:eastAsia="zh-CN"/>
        </w:rPr>
      </w:pPr>
      <w:r>
        <w:rPr>
          <w:rFonts w:hint="eastAsia"/>
          <w:lang w:val="en-US" w:eastAsia="zh-CN"/>
        </w:rPr>
        <w:t>（1）地表水环境功能区</w:t>
      </w:r>
    </w:p>
    <w:p>
      <w:pPr>
        <w:bidi w:val="0"/>
        <w:rPr>
          <w:rFonts w:hint="eastAsia" w:ascii="仿宋" w:hAnsi="仿宋" w:eastAsia="仿宋" w:cs="仿宋"/>
          <w:b w:val="0"/>
          <w:bCs w:val="0"/>
          <w:color w:val="000000"/>
          <w:kern w:val="0"/>
          <w:szCs w:val="28"/>
          <w:lang w:val="en-US" w:eastAsia="zh-CN" w:bidi="ar"/>
        </w:rPr>
      </w:pPr>
      <w:r>
        <w:rPr>
          <w:rFonts w:hint="eastAsia"/>
          <w:lang w:val="en-US" w:eastAsia="zh-CN"/>
        </w:rPr>
        <w:t>根据《福州市地表水环境功能区划定方案》，闽侯县地表水环境功能区划包括：</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outlineLvl w:val="9"/>
        <w:rPr>
          <w:rFonts w:hint="eastAsia" w:ascii="Times New Roman" w:hAnsi="Times New Roman" w:eastAsia="黑体" w:cs="Times New Roman"/>
          <w:b/>
          <w:bCs/>
          <w:color w:val="000000"/>
          <w:kern w:val="2"/>
          <w:sz w:val="22"/>
          <w:szCs w:val="24"/>
          <w:lang w:val="en-US" w:eastAsia="zh-CN" w:bidi="ar-SA"/>
        </w:rPr>
      </w:pPr>
      <w:r>
        <w:rPr>
          <w:rFonts w:hint="eastAsia" w:ascii="Times New Roman" w:hAnsi="Times New Roman" w:eastAsia="黑体" w:cs="Times New Roman"/>
          <w:b/>
          <w:bCs/>
          <w:color w:val="000000"/>
          <w:kern w:val="2"/>
          <w:sz w:val="22"/>
          <w:szCs w:val="24"/>
          <w:lang w:val="en-US" w:eastAsia="zh-CN" w:bidi="ar-SA"/>
        </w:rPr>
        <w:t>表2.</w:t>
      </w:r>
      <w:r>
        <w:rPr>
          <w:rFonts w:hint="eastAsia" w:eastAsia="黑体" w:cs="Times New Roman"/>
          <w:b/>
          <w:bCs/>
          <w:color w:val="000000"/>
          <w:kern w:val="2"/>
          <w:sz w:val="22"/>
          <w:szCs w:val="24"/>
          <w:lang w:val="en-US" w:eastAsia="zh-CN" w:bidi="ar-SA"/>
        </w:rPr>
        <w:t>4</w:t>
      </w:r>
      <w:r>
        <w:rPr>
          <w:rFonts w:hint="eastAsia" w:ascii="Times New Roman" w:hAnsi="Times New Roman" w:eastAsia="黑体" w:cs="Times New Roman"/>
          <w:b/>
          <w:bCs/>
          <w:color w:val="000000"/>
          <w:kern w:val="2"/>
          <w:sz w:val="22"/>
          <w:szCs w:val="24"/>
          <w:lang w:val="en-US" w:eastAsia="zh-CN" w:bidi="ar-SA"/>
        </w:rPr>
        <w:t xml:space="preserve">  闽侯县地表水环境功能区划</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953"/>
        <w:gridCol w:w="928"/>
        <w:gridCol w:w="3069"/>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序号</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水系</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水体</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水域范围</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水体主要功能</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环境功能类别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闽清县塔山水厂取水口下游100m至闽侯县自来水公司化龙泵站取水口上游3000m</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渔业用水、工业用水、农业用水</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闽侯县自来水公司化龙泵站取水口上游3000m至闽侯县资料水公司化龙泵站取水口上游1000m</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闽侯县自来水公司化龙泵站取水口上游1000m至取水口下游200m（以中泓线为界左侧水域）</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饮用水源一级保护地</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闽侯县自来水公司化龙泵站取水口上游1000m至取水口下游200m（以中泓线为界右侧水域）</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闽侯县自来水公司化龙泵站取水口下游200m至侯官断面（乌龙江、北港分流处）</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北港</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侯官断面（乌龙江、北港分流处）至永丰村桥头浦里排涝站断面</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7</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北港</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永丰村桥头浦里排涝站断面至文山里水文站断面</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8</w:t>
            </w:r>
          </w:p>
        </w:tc>
        <w:tc>
          <w:tcPr>
            <w:tcW w:w="95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乌龙江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侯官断面（乌龙江、北港分流处）至福州义序水厂取水口上游1000m</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9</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乌龙江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福州义序水厂取水口半径100m范围内水域</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饮用水源一级保护地</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10</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乌龙江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福州义序水厂取水口上游1000m至取水口下游300m（取水口半径100m范围内水域除外）</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w:t>
            </w:r>
          </w:p>
        </w:tc>
        <w:tc>
          <w:tcPr>
            <w:tcW w:w="142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11</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乌龙江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福州义序水厂取水口下游300m至福州城门水厂取水口上游2000m</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乌龙江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福州城门水厂取水口上游2000m至取水口上游1000m</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13</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乌龙江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福州城门水厂取水口上游1000m至取水口下游100m</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饮用水源一级保护地</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14</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乌龙江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福州城门水厂取水口下游100m至乌龙江大桥断面</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15</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源里溪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塝上水库支流与源里溪汇合处（大模）以上</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16</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源里溪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塝上水库支流与源里溪汇合处（大模）至源口水闸</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17</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大目溪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全河段</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18</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井下溪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井下溪支流源溪汇合处，干流上寨溪与孔源溪汇合处以上</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19</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井下溪</w:t>
            </w:r>
          </w:p>
        </w:tc>
        <w:tc>
          <w:tcPr>
            <w:tcW w:w="3069"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井下溪支流源溪汇合处，干流上寨溪与孔源溪汇合处以下</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20</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小目溪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半岭桥断面以上</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21</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小目溪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半岭桥断面至竹西水闸</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22</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闽侯内河</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全河段</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一般景观用水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23</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荆溪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关东汇合处以上</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24</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荆溪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关东汇合处至闽江口</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25</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第一溪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溪源宫汇合处以上水域</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饮用水源一级保护地</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26</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第一溪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溪源宫汇合处至榕桥断面</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饮用水源二级保护地、渔业用水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27</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第一溪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榕桥断面至九孔水闸断面</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28</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南通内河</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全河段</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29</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梧溪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蓬莱莲芳水库坝址以下至南旗安得楼桥断面、五峰桥断面至中溪桥断面、南井九石亭桥断面以上</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30</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梧溪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南旗安得楼桥断面、中溪桥断面、南井九石亭桥断面至入闽江口</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一般景观用水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31</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大樟溪</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大樟溪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永泰南区水厂取水口下游100m至大樟溪口</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渔业用水、工业用水、农业用水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32</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大樟溪</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十八重溪</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全河段</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33</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大樟溪</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龙屿溪</w:t>
            </w:r>
          </w:p>
        </w:tc>
        <w:tc>
          <w:tcPr>
            <w:tcW w:w="3069"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全河段</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34</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淘江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三溪口水库坝址、西台桥断面、梅溪桥断面、青圃螺路拦溪坝的上游</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35</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淘江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三溪口水库坝址以下至卜州汇合处、西台桥断面至吉山汇合处、梅溪桥断面至后福福厦高速公路桥断面、青圃螺路拦溪坝以下至青圃里水电站断面</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36</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淘江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卜州汇合处、吉山汇合处、后福福厦高速公路桥断面、青圃里水电站断面至镜上汇合处</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一般景观用水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37</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淘江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镜上汇合处至尚干桥断面</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农业用水、工业用水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38</w:t>
            </w:r>
          </w:p>
        </w:tc>
        <w:tc>
          <w:tcPr>
            <w:tcW w:w="95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闽江</w:t>
            </w:r>
          </w:p>
        </w:tc>
        <w:tc>
          <w:tcPr>
            <w:tcW w:w="92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淘江</w:t>
            </w:r>
          </w:p>
        </w:tc>
        <w:tc>
          <w:tcPr>
            <w:tcW w:w="306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尚干桥断面至入闽江口</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渔业用水、农业用水</w:t>
            </w:r>
          </w:p>
        </w:tc>
        <w:tc>
          <w:tcPr>
            <w:tcW w:w="14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Ⅲ</w:t>
            </w:r>
          </w:p>
        </w:tc>
      </w:tr>
    </w:tbl>
    <w:p>
      <w:pPr>
        <w:numPr>
          <w:ilvl w:val="0"/>
          <w:numId w:val="2"/>
        </w:numPr>
        <w:bidi w:val="0"/>
        <w:rPr>
          <w:rFonts w:hint="eastAsia"/>
          <w:lang w:val="en-US" w:eastAsia="zh-CN"/>
        </w:rPr>
      </w:pPr>
      <w:r>
        <w:rPr>
          <w:rFonts w:hint="eastAsia"/>
          <w:lang w:val="en-US" w:eastAsia="zh-CN"/>
        </w:rPr>
        <w:t>生态保护红线区</w:t>
      </w:r>
    </w:p>
    <w:p>
      <w:pPr>
        <w:bidi w:val="0"/>
        <w:rPr>
          <w:rFonts w:hint="eastAsia"/>
          <w:lang w:val="en-US" w:eastAsia="zh-CN"/>
        </w:rPr>
      </w:pPr>
      <w:r>
        <w:rPr>
          <w:rFonts w:hint="eastAsia"/>
          <w:lang w:val="en-US" w:eastAsia="zh-CN"/>
        </w:rPr>
        <w:t>闽侯县生态红线总面积361.5平方千米，占全县陆域总面积18.87%。闽侯县生态红线区主要包括：闽侯县旗山国家森林公园、闽侯县石牛山风景名胜区、闽侯县十八重溪风景名胜区、闽侯县姬岩风景名胜区、闽侯县五虎山森林公园、闽侯县旗山森林公园、闽侯县塔礁洲湿地公园、闽侯县自来水公司水源保护区、闽侯县西区、北区水厂水源保护区、闽侯县飞凤山水厂水源保护区、闽侯县城门水厂水源保护区、闽侯县闽江调水工程峡南水源保护区。</w:t>
      </w:r>
    </w:p>
    <w:p>
      <w:pPr>
        <w:pStyle w:val="6"/>
        <w:bidi w:val="0"/>
        <w:rPr>
          <w:rFonts w:hint="default"/>
          <w:lang w:val="en-US" w:eastAsia="zh-CN"/>
        </w:rPr>
      </w:pPr>
      <w:r>
        <w:rPr>
          <w:rFonts w:hint="default"/>
          <w:lang w:val="en-US" w:eastAsia="zh-CN"/>
        </w:rPr>
        <w:t xml:space="preserve">2.3.2 环境质量状况 </w:t>
      </w:r>
    </w:p>
    <w:p>
      <w:pPr>
        <w:bidi w:val="0"/>
        <w:rPr>
          <w:rFonts w:hint="eastAsia"/>
          <w:lang w:val="en-US" w:eastAsia="zh-CN"/>
        </w:rPr>
      </w:pPr>
      <w:r>
        <w:rPr>
          <w:rFonts w:hint="eastAsia"/>
          <w:lang w:val="en-US" w:eastAsia="zh-CN"/>
        </w:rPr>
        <w:t>（1）环境空气质量</w:t>
      </w:r>
    </w:p>
    <w:p>
      <w:pPr>
        <w:bidi w:val="0"/>
        <w:rPr>
          <w:rFonts w:hint="default"/>
          <w:lang w:val="en-US" w:eastAsia="zh-CN"/>
        </w:rPr>
      </w:pPr>
      <w:r>
        <w:rPr>
          <w:rFonts w:hint="eastAsia"/>
          <w:lang w:val="en-US" w:eastAsia="zh-CN"/>
        </w:rPr>
        <w:t>2020年，闽侯县环境空气质量以优、良为主，其中优238天，良天数125天，轻度污染天数8天，无中、重度污染天气，空气优良率99.4%，空气质量综合指数（AQI）2.73，空气中二氧化硫、二氧化氮、一氧化碳、臭氧与可吸入颗粒物PM2.5、PM10浓度年日均值分别为5毫克/立方米、22毫克/立方米、0.8毫克/立方米、122毫克/立方米、21毫克/立方米、38毫克/立方米。</w:t>
      </w:r>
    </w:p>
    <w:p>
      <w:pPr>
        <w:bidi w:val="0"/>
        <w:rPr>
          <w:rFonts w:hint="eastAsia"/>
          <w:lang w:val="en-US" w:eastAsia="zh-CN"/>
        </w:rPr>
      </w:pPr>
      <w:r>
        <w:rPr>
          <w:rFonts w:hint="eastAsia"/>
          <w:lang w:val="en-US" w:eastAsia="zh-CN"/>
        </w:rPr>
        <w:t>（2）水环境质量</w:t>
      </w:r>
    </w:p>
    <w:p>
      <w:pPr>
        <w:bidi w:val="0"/>
        <w:rPr>
          <w:rFonts w:hint="eastAsia"/>
          <w:lang w:val="en-US" w:eastAsia="zh-CN"/>
        </w:rPr>
      </w:pPr>
      <w:r>
        <w:rPr>
          <w:rFonts w:hint="eastAsia"/>
          <w:lang w:val="en-US" w:eastAsia="zh-CN"/>
        </w:rPr>
        <w:t>2020年，闽侯县干流国、省控断面有两个，分别为闽江干流竹岐断面和闽江支流大樟溪口断面。省控小流域断面共为11个，分别为三落厝、侯官村桥、园厝前、鸿尾桥头、白沙桥头、上溪口、铁岭、十八重溪（闽侯）口、后福渡口、樟村、上洋河。2020年除大樟溪口年均水质未达到Ⅱ类考核目标之外（超标因子为总磷，可能的超标原因在于大樟溪口断面汇水范围农村、城镇生活污水收集处理短板突出、污水管网覆盖率低、雨污分流不完善；农业污染物难以控制；沿岸大规模的工程开发建设存在水土流失现象；河坝建设减小生态流量，河湖连通性差，受水葫芦、福寿螺等外来物种入侵影响），其余断面水质考核均达标，县城饮用水源水质达标率为100%。</w:t>
      </w:r>
    </w:p>
    <w:p>
      <w:pPr>
        <w:bidi w:val="0"/>
        <w:rPr>
          <w:rFonts w:hint="eastAsia"/>
          <w:lang w:val="en-US" w:eastAsia="zh-CN"/>
        </w:rPr>
      </w:pPr>
      <w:r>
        <w:rPr>
          <w:rFonts w:hint="eastAsia"/>
          <w:lang w:val="en-US" w:eastAsia="zh-CN"/>
        </w:rPr>
        <w:t>（3）生态环境状况</w:t>
      </w:r>
    </w:p>
    <w:p>
      <w:pPr>
        <w:bidi w:val="0"/>
        <w:rPr>
          <w:rFonts w:hint="default"/>
          <w:lang w:val="en-US" w:eastAsia="zh-CN"/>
        </w:rPr>
      </w:pPr>
      <w:r>
        <w:rPr>
          <w:rFonts w:hint="eastAsia"/>
          <w:lang w:val="en-US" w:eastAsia="zh-CN"/>
        </w:rPr>
        <w:t>闽侯县</w:t>
      </w:r>
      <w:r>
        <w:rPr>
          <w:rFonts w:hint="default"/>
          <w:lang w:val="en-US" w:eastAsia="zh-CN"/>
        </w:rPr>
        <w:t>山川秀丽，生态优美。这里融“山河湖泉林”于一体，境内44座海拔千米以上的山峰延绵起伏、气势磅礴，闽江、乌龙江、大樟溪三大流域穿境而过，金水湖等湖滩点缀其间，光明温泉、双龙温泉、汤院温泉等温泉闻名遐迩，森林覆盖率达60.52%，更有“福建文明从这里开始”的昙石山文化遗址、国家级风景名胜区十八重溪、五虎山国家森林公园、“南方丛林第一”雪峰崇圣禅寺、与鼓山齐名的旗山，以及闽都民俗园、江滨湿地公园、千家山公园等众多名山、名寺、名园。近年来，</w:t>
      </w:r>
      <w:r>
        <w:rPr>
          <w:rFonts w:hint="eastAsia"/>
          <w:lang w:val="en-US" w:eastAsia="zh-CN"/>
        </w:rPr>
        <w:t>闽侯县</w:t>
      </w:r>
      <w:r>
        <w:rPr>
          <w:rFonts w:hint="default"/>
          <w:lang w:val="en-US" w:eastAsia="zh-CN"/>
        </w:rPr>
        <w:t>先后荣获“全国休闲农业与乡村旅游示范县”“国家生态县”，以及省级“双拥模范县”“卫生应急示范县”“文明县城”“森林县城”等荣誉称号。</w:t>
      </w:r>
    </w:p>
    <w:p>
      <w:pPr>
        <w:rPr>
          <w:rFonts w:ascii="Times New Roman" w:hAnsi="Times New Roman" w:eastAsia="黑体" w:cs="Times New Roman"/>
          <w:b/>
          <w:bCs/>
          <w:sz w:val="36"/>
          <w:szCs w:val="44"/>
        </w:rPr>
      </w:pPr>
      <w:bookmarkStart w:id="16" w:name="_Toc3064"/>
      <w:bookmarkStart w:id="17" w:name="_Toc28960"/>
      <w:r>
        <w:rPr>
          <w:rFonts w:ascii="Times New Roman" w:hAnsi="Times New Roman" w:eastAsia="黑体" w:cs="Times New Roman"/>
          <w:b/>
          <w:bCs/>
          <w:sz w:val="36"/>
          <w:szCs w:val="44"/>
        </w:rPr>
        <w:br w:type="page"/>
      </w:r>
    </w:p>
    <w:p>
      <w:pPr>
        <w:pStyle w:val="4"/>
        <w:bidi w:val="0"/>
      </w:pPr>
      <w:bookmarkStart w:id="18" w:name="_Toc19774"/>
      <w:r>
        <w:t xml:space="preserve">第 </w:t>
      </w:r>
      <w:r>
        <w:rPr>
          <w:rFonts w:hint="eastAsia"/>
        </w:rPr>
        <w:t>3</w:t>
      </w:r>
      <w:r>
        <w:t xml:space="preserve"> 章  </w:t>
      </w:r>
      <w:r>
        <w:rPr>
          <w:rFonts w:hint="eastAsia"/>
        </w:rPr>
        <w:t>畜禽养殖基本情况</w:t>
      </w:r>
      <w:bookmarkEnd w:id="16"/>
      <w:bookmarkEnd w:id="17"/>
      <w:bookmarkEnd w:id="18"/>
    </w:p>
    <w:p>
      <w:pPr>
        <w:pStyle w:val="5"/>
        <w:bidi w:val="0"/>
        <w:outlineLvl w:val="2"/>
      </w:pPr>
      <w:bookmarkStart w:id="19" w:name="_Toc25849"/>
      <w:bookmarkStart w:id="20" w:name="_Toc18170"/>
      <w:r>
        <w:rPr>
          <w:rFonts w:hint="eastAsia"/>
        </w:rPr>
        <w:t>3</w:t>
      </w:r>
      <w:r>
        <w:t>.1</w:t>
      </w:r>
      <w:r>
        <w:rPr>
          <w:rFonts w:hint="eastAsia"/>
        </w:rPr>
        <w:t xml:space="preserve"> 2020年</w:t>
      </w:r>
      <w:r>
        <w:rPr>
          <w:rFonts w:hint="eastAsia"/>
          <w:lang w:val="en-US" w:eastAsia="zh-CN"/>
        </w:rPr>
        <w:t>闽侯县</w:t>
      </w:r>
      <w:r>
        <w:rPr>
          <w:rFonts w:hint="eastAsia"/>
        </w:rPr>
        <w:t>畜禽养殖发展现状</w:t>
      </w:r>
      <w:bookmarkEnd w:id="19"/>
      <w:bookmarkEnd w:id="20"/>
    </w:p>
    <w:p>
      <w:pPr>
        <w:pStyle w:val="6"/>
        <w:bidi w:val="0"/>
      </w:pPr>
      <w:bookmarkStart w:id="21" w:name="_Toc262"/>
      <w:bookmarkStart w:id="22" w:name="_Toc10400"/>
      <w:r>
        <w:rPr>
          <w:rFonts w:hint="eastAsia"/>
        </w:rPr>
        <w:t>3.1.1 2020年区域畜禽养殖总体发展情况</w:t>
      </w:r>
      <w:bookmarkEnd w:id="21"/>
      <w:bookmarkEnd w:id="22"/>
    </w:p>
    <w:p>
      <w:pPr>
        <w:bidi w:val="0"/>
        <w:rPr>
          <w:rFonts w:hint="eastAsia"/>
          <w:lang w:val="en-US" w:eastAsia="zh-CN"/>
        </w:rPr>
      </w:pPr>
      <w:r>
        <w:rPr>
          <w:rFonts w:hint="eastAsia"/>
          <w:lang w:val="en-US" w:eastAsia="zh-CN"/>
        </w:rPr>
        <w:t>2020年，闽侯县支持畜牧养殖场扩栏增养，全县生猪存栏19.13万头，出栏28.86万头；家禽存栏328.61万只，出栏418.11万只；肉蛋奶总量4.86万吨，其中肉类3.41万吨，蛋类1.37万吨，奶类0.08万吨。</w:t>
      </w:r>
    </w:p>
    <w:p>
      <w:pPr>
        <w:bidi w:val="0"/>
        <w:rPr>
          <w:rFonts w:hint="eastAsia"/>
          <w:lang w:val="en-US" w:eastAsia="zh-CN"/>
        </w:rPr>
      </w:pPr>
      <w:r>
        <w:rPr>
          <w:rFonts w:hint="eastAsia"/>
          <w:lang w:val="en-US" w:eastAsia="zh-CN"/>
        </w:rPr>
        <w:t>根据生态环境部印发的《畜禽养殖污染防治规划编制指南（试行）》（环办土壤函〔2021〕456号）猪当量计算方法：存栏1头生猪年平均氮排泄量为1个猪当量，推荐一个猪当量1年氮排泄量为11千克，按存栏量折算，100头猪相当于15头奶牛、30头肉牛、250只羊、2500只家禽。对具</w:t>
      </w:r>
      <w:r>
        <w:rPr>
          <w:rFonts w:hint="eastAsia"/>
        </w:rPr>
        <w:t>有不同畜禽种类的排污单位，污染物产生系数可将养殖量换算成相应的畜禽品种养殖量后进行核定，换算比例为：1只鸭折算成1只鸡（蛋鸭折算成蛋</w:t>
      </w:r>
      <w:r>
        <w:rPr>
          <w:rFonts w:hint="eastAsia"/>
          <w:lang w:val="en-US" w:eastAsia="zh-CN"/>
        </w:rPr>
        <w:t>鸡</w:t>
      </w:r>
      <w:r>
        <w:rPr>
          <w:rFonts w:hint="eastAsia"/>
        </w:rPr>
        <w:t>，肉鸭折算成肉鸡），1只鹅折算成2只鸡（蛋鹅折算成蛋鸡，肉鹅折算成肉鸡），省级人民政府明确规定规模标准的其他养殖品种由省级政府部门自行设定换算系数。按照《畜禽粪污土地承载力测算技术指南》（农办牧﹝2018﹞1号），30只兔折算成一头猪。</w:t>
      </w:r>
    </w:p>
    <w:p>
      <w:pPr>
        <w:pStyle w:val="11"/>
        <w:adjustRightInd w:val="0"/>
        <w:snapToGrid w:val="0"/>
        <w:spacing w:line="240" w:lineRule="auto"/>
        <w:ind w:firstLine="0"/>
        <w:jc w:val="center"/>
        <w:rPr>
          <w:rFonts w:ascii="Times New Roman" w:hAnsi="Times New Roman" w:eastAsia="宋体" w:cs="Times New Roman"/>
        </w:rPr>
      </w:pPr>
      <w:r>
        <w:rPr>
          <w:rFonts w:ascii="Times New Roman" w:hAnsi="Times New Roman" w:eastAsia="黑体" w:cs="Times New Roman"/>
          <w:b/>
          <w:bCs/>
        </w:rPr>
        <w:t>表3.</w:t>
      </w:r>
      <w:r>
        <w:rPr>
          <w:rFonts w:hint="eastAsia" w:eastAsia="黑体" w:cs="Times New Roman"/>
          <w:b/>
          <w:bCs/>
          <w:lang w:val="en-US" w:eastAsia="zh-CN"/>
        </w:rPr>
        <w:t>1</w:t>
      </w:r>
      <w:r>
        <w:rPr>
          <w:rFonts w:ascii="Times New Roman" w:hAnsi="Times New Roman" w:eastAsia="黑体" w:cs="Times New Roman"/>
          <w:b/>
          <w:bCs/>
        </w:rPr>
        <w:t xml:space="preserve">  </w:t>
      </w:r>
      <w:r>
        <w:rPr>
          <w:rFonts w:hint="eastAsia" w:eastAsia="黑体" w:cs="Times New Roman"/>
          <w:b/>
          <w:bCs/>
          <w:lang w:val="en-US" w:eastAsia="zh-CN"/>
        </w:rPr>
        <w:t>闽侯县</w:t>
      </w:r>
      <w:r>
        <w:rPr>
          <w:rFonts w:hint="eastAsia" w:ascii="Times New Roman" w:hAnsi="Times New Roman" w:eastAsia="黑体" w:cs="Times New Roman"/>
          <w:b/>
          <w:bCs/>
        </w:rPr>
        <w:t>2020年</w:t>
      </w:r>
      <w:r>
        <w:rPr>
          <w:rFonts w:ascii="Times New Roman" w:hAnsi="Times New Roman" w:eastAsia="黑体" w:cs="Times New Roman"/>
          <w:b/>
          <w:bCs/>
        </w:rPr>
        <w:t>畜禽养殖种类及数量情况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860"/>
        <w:gridCol w:w="2506"/>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序号</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畜禽种类</w:t>
            </w:r>
          </w:p>
        </w:tc>
        <w:tc>
          <w:tcPr>
            <w:tcW w:w="25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存栏量（头、只）</w:t>
            </w:r>
          </w:p>
        </w:tc>
        <w:tc>
          <w:tcPr>
            <w:tcW w:w="2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猪当量（头）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1</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生猪</w:t>
            </w:r>
          </w:p>
        </w:tc>
        <w:tc>
          <w:tcPr>
            <w:tcW w:w="25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191296</w:t>
            </w:r>
          </w:p>
        </w:tc>
        <w:tc>
          <w:tcPr>
            <w:tcW w:w="2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191296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2</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lang w:val="en-US" w:eastAsia="zh-CN"/>
              </w:rPr>
              <w:t>肉</w:t>
            </w:r>
            <w:r>
              <w:rPr>
                <w:rFonts w:hint="eastAsia" w:ascii="Times New Roman" w:hAnsi="Times New Roman" w:eastAsia="宋体" w:cs="仿宋"/>
                <w:sz w:val="22"/>
                <w:szCs w:val="22"/>
              </w:rPr>
              <w:t>牛</w:t>
            </w:r>
          </w:p>
        </w:tc>
        <w:tc>
          <w:tcPr>
            <w:tcW w:w="25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8524</w:t>
            </w:r>
          </w:p>
        </w:tc>
        <w:tc>
          <w:tcPr>
            <w:tcW w:w="2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28413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3</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羊</w:t>
            </w:r>
          </w:p>
        </w:tc>
        <w:tc>
          <w:tcPr>
            <w:tcW w:w="25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59655</w:t>
            </w:r>
          </w:p>
        </w:tc>
        <w:tc>
          <w:tcPr>
            <w:tcW w:w="2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23862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4</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家禽</w:t>
            </w:r>
          </w:p>
        </w:tc>
        <w:tc>
          <w:tcPr>
            <w:tcW w:w="25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3286147</w:t>
            </w:r>
          </w:p>
        </w:tc>
        <w:tc>
          <w:tcPr>
            <w:tcW w:w="2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131446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5</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sz w:val="22"/>
                <w:szCs w:val="22"/>
              </w:rPr>
              <w:t>兔</w:t>
            </w:r>
          </w:p>
        </w:tc>
        <w:tc>
          <w:tcPr>
            <w:tcW w:w="25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184830</w:t>
            </w:r>
          </w:p>
        </w:tc>
        <w:tc>
          <w:tcPr>
            <w:tcW w:w="2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sz w:val="22"/>
                <w:szCs w:val="22"/>
              </w:rPr>
            </w:pPr>
            <w:r>
              <w:rPr>
                <w:rFonts w:hint="eastAsia" w:ascii="Times New Roman" w:hAnsi="Times New Roman" w:eastAsia="宋体" w:cs="仿宋"/>
                <w:b w:val="0"/>
                <w:bCs w:val="0"/>
                <w:color w:val="000000"/>
                <w:kern w:val="0"/>
                <w:sz w:val="22"/>
                <w:szCs w:val="22"/>
                <w:lang w:val="en-US" w:eastAsia="zh-CN" w:bidi="ar"/>
              </w:rPr>
              <w:t>6161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合计猪当量</w:t>
            </w:r>
          </w:p>
        </w:tc>
        <w:tc>
          <w:tcPr>
            <w:tcW w:w="2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381178</w:t>
            </w:r>
          </w:p>
        </w:tc>
      </w:tr>
    </w:tbl>
    <w:p>
      <w:pPr>
        <w:bidi w:val="0"/>
        <w:rPr>
          <w:rFonts w:hint="eastAsia"/>
        </w:rPr>
      </w:pPr>
      <w:r>
        <w:rPr>
          <w:rFonts w:hint="eastAsia"/>
        </w:rPr>
        <w:t>数据来源：《2021年</w:t>
      </w:r>
      <w:r>
        <w:rPr>
          <w:rFonts w:hint="eastAsia"/>
          <w:lang w:val="en-US" w:eastAsia="zh-CN"/>
        </w:rPr>
        <w:t>福州市</w:t>
      </w:r>
      <w:r>
        <w:rPr>
          <w:rFonts w:hint="eastAsia"/>
        </w:rPr>
        <w:t>统计年鉴》</w:t>
      </w:r>
    </w:p>
    <w:p>
      <w:pPr>
        <w:pStyle w:val="6"/>
        <w:bidi w:val="0"/>
      </w:pPr>
      <w:bookmarkStart w:id="23" w:name="_Toc31000"/>
      <w:bookmarkStart w:id="24" w:name="_Toc9870"/>
      <w:r>
        <w:rPr>
          <w:rFonts w:hint="eastAsia"/>
        </w:rPr>
        <w:t>3.1.2</w:t>
      </w:r>
      <w:r>
        <w:rPr>
          <w:rFonts w:hint="eastAsia"/>
          <w:lang w:val="en-US" w:eastAsia="zh-CN"/>
        </w:rPr>
        <w:t>闽侯县</w:t>
      </w:r>
      <w:r>
        <w:rPr>
          <w:rFonts w:hint="eastAsia"/>
        </w:rPr>
        <w:t>畜禽养殖规模企业分布情况</w:t>
      </w:r>
      <w:bookmarkEnd w:id="23"/>
      <w:bookmarkEnd w:id="24"/>
    </w:p>
    <w:p>
      <w:pPr>
        <w:pStyle w:val="7"/>
        <w:bidi w:val="0"/>
      </w:pPr>
      <w:r>
        <w:rPr>
          <w:rFonts w:hint="eastAsia"/>
        </w:rPr>
        <w:t>3.1.2.1</w:t>
      </w:r>
      <w:r>
        <w:rPr>
          <w:rFonts w:hint="eastAsia"/>
          <w:lang w:val="en-US" w:eastAsia="zh-CN"/>
        </w:rPr>
        <w:t>闽侯县</w:t>
      </w:r>
      <w:r>
        <w:rPr>
          <w:rFonts w:hint="eastAsia"/>
        </w:rPr>
        <w:t>畜禽养殖规模企业分布情况</w:t>
      </w:r>
    </w:p>
    <w:p>
      <w:pPr>
        <w:adjustRightInd w:val="0"/>
        <w:snapToGrid w:val="0"/>
        <w:spacing w:line="360" w:lineRule="auto"/>
        <w:ind w:firstLine="480"/>
        <w:rPr>
          <w:rFonts w:ascii="Times New Roman" w:hAnsi="Times New Roman" w:eastAsia="宋体" w:cs="Times New Roman"/>
          <w:sz w:val="24"/>
          <w:szCs w:val="32"/>
        </w:rPr>
      </w:pPr>
      <w:r>
        <w:rPr>
          <w:rFonts w:hint="eastAsia" w:cs="Times New Roman"/>
          <w:sz w:val="24"/>
          <w:szCs w:val="32"/>
          <w:lang w:val="en-US" w:eastAsia="zh-CN"/>
        </w:rPr>
        <w:t>目前闽侯县</w:t>
      </w:r>
      <w:r>
        <w:rPr>
          <w:rFonts w:hint="eastAsia" w:ascii="Times New Roman" w:hAnsi="Times New Roman" w:eastAsia="宋体" w:cs="Times New Roman"/>
          <w:sz w:val="24"/>
          <w:szCs w:val="32"/>
        </w:rPr>
        <w:t>畜禽养殖规模企业、未来拟建的畜禽养殖规模企业全部避开禁养区，以及基本农田、国家和省级森林公园、水源地保护区等环境敏感区。</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根据</w:t>
      </w:r>
      <w:r>
        <w:rPr>
          <w:rFonts w:hint="eastAsia" w:cs="Times New Roman"/>
          <w:sz w:val="24"/>
          <w:szCs w:val="32"/>
          <w:lang w:val="en-US" w:eastAsia="zh-CN"/>
        </w:rPr>
        <w:t>闽侯县</w:t>
      </w:r>
      <w:r>
        <w:rPr>
          <w:rFonts w:hint="eastAsia" w:ascii="Times New Roman" w:hAnsi="Times New Roman" w:eastAsia="宋体" w:cs="Times New Roman"/>
          <w:sz w:val="24"/>
          <w:szCs w:val="32"/>
        </w:rPr>
        <w:t>农业农村局</w:t>
      </w:r>
      <w:r>
        <w:rPr>
          <w:rFonts w:hint="eastAsia" w:cs="Times New Roman"/>
          <w:sz w:val="24"/>
          <w:szCs w:val="32"/>
          <w:lang w:val="en-US" w:eastAsia="zh-CN"/>
        </w:rPr>
        <w:t>和福州市闽侯生态环境局</w:t>
      </w:r>
      <w:r>
        <w:rPr>
          <w:rFonts w:hint="eastAsia" w:ascii="Times New Roman" w:hAnsi="Times New Roman" w:eastAsia="宋体" w:cs="Times New Roman"/>
          <w:sz w:val="24"/>
          <w:szCs w:val="32"/>
        </w:rPr>
        <w:t>最新统计数据，</w:t>
      </w:r>
      <w:r>
        <w:rPr>
          <w:rFonts w:hint="eastAsia" w:cs="Times New Roman"/>
          <w:sz w:val="24"/>
          <w:szCs w:val="32"/>
          <w:lang w:val="en-US" w:eastAsia="zh-CN"/>
        </w:rPr>
        <w:t>闽侯县</w:t>
      </w:r>
      <w:r>
        <w:rPr>
          <w:rFonts w:hint="eastAsia" w:ascii="Times New Roman" w:hAnsi="Times New Roman" w:eastAsia="宋体" w:cs="Times New Roman"/>
          <w:sz w:val="24"/>
          <w:szCs w:val="32"/>
        </w:rPr>
        <w:t>现存规模化养殖场</w:t>
      </w:r>
      <w:r>
        <w:rPr>
          <w:rFonts w:hint="eastAsia" w:cs="Times New Roman"/>
          <w:sz w:val="24"/>
          <w:szCs w:val="32"/>
          <w:lang w:val="en-US" w:eastAsia="zh-CN"/>
        </w:rPr>
        <w:t>39</w:t>
      </w:r>
      <w:r>
        <w:rPr>
          <w:rFonts w:hint="eastAsia" w:ascii="Times New Roman" w:hAnsi="Times New Roman" w:eastAsia="宋体" w:cs="Times New Roman"/>
          <w:sz w:val="24"/>
          <w:szCs w:val="32"/>
        </w:rPr>
        <w:t>家，</w:t>
      </w:r>
      <w:r>
        <w:rPr>
          <w:rFonts w:hint="eastAsia" w:cs="Times New Roman"/>
          <w:sz w:val="24"/>
          <w:szCs w:val="32"/>
          <w:lang w:val="en-US" w:eastAsia="zh-CN"/>
        </w:rPr>
        <w:t>其中生猪16家、家禽15家、牛3家、兔1家、羊4家，</w:t>
      </w:r>
      <w:r>
        <w:rPr>
          <w:rFonts w:hint="eastAsia" w:ascii="Times New Roman" w:hAnsi="Times New Roman" w:eastAsia="宋体" w:cs="Times New Roman"/>
          <w:sz w:val="24"/>
          <w:szCs w:val="32"/>
        </w:rPr>
        <w:t>具体情况详见表3.</w:t>
      </w:r>
      <w:r>
        <w:rPr>
          <w:rFonts w:hint="eastAsia" w:cs="Times New Roman"/>
          <w:sz w:val="24"/>
          <w:szCs w:val="32"/>
          <w:lang w:val="en-US" w:eastAsia="zh-CN"/>
        </w:rPr>
        <w:t>2和表3.3</w:t>
      </w:r>
      <w:r>
        <w:rPr>
          <w:rFonts w:hint="eastAsia" w:ascii="Times New Roman" w:hAnsi="Times New Roman" w:eastAsia="宋体" w:cs="Times New Roman"/>
          <w:sz w:val="24"/>
          <w:szCs w:val="32"/>
        </w:rPr>
        <w:t>。</w:t>
      </w:r>
    </w:p>
    <w:p>
      <w:pPr>
        <w:pStyle w:val="11"/>
        <w:adjustRightInd w:val="0"/>
        <w:snapToGrid w:val="0"/>
        <w:spacing w:line="240" w:lineRule="auto"/>
        <w:ind w:left="0" w:firstLine="0"/>
        <w:jc w:val="center"/>
        <w:rPr>
          <w:rFonts w:ascii="Times New Roman" w:hAnsi="Times New Roman" w:eastAsia="黑体" w:cs="Times New Roman"/>
          <w:b/>
          <w:bCs/>
        </w:rPr>
      </w:pPr>
      <w:r>
        <w:rPr>
          <w:rFonts w:ascii="Times New Roman" w:hAnsi="Times New Roman" w:eastAsia="黑体" w:cs="Times New Roman"/>
          <w:b/>
          <w:bCs/>
        </w:rPr>
        <w:t>表</w:t>
      </w:r>
      <w:r>
        <w:rPr>
          <w:rFonts w:hint="eastAsia" w:ascii="Times New Roman" w:hAnsi="Times New Roman" w:eastAsia="黑体" w:cs="Times New Roman"/>
          <w:b/>
          <w:bCs/>
        </w:rPr>
        <w:t>3</w:t>
      </w:r>
      <w:r>
        <w:rPr>
          <w:rFonts w:ascii="Times New Roman" w:hAnsi="Times New Roman" w:eastAsia="黑体" w:cs="Times New Roman"/>
          <w:b/>
          <w:bCs/>
        </w:rPr>
        <w:t>.</w:t>
      </w:r>
      <w:r>
        <w:rPr>
          <w:rFonts w:hint="eastAsia" w:eastAsia="黑体" w:cs="Times New Roman"/>
          <w:b/>
          <w:bCs/>
          <w:lang w:val="en-US" w:eastAsia="zh-CN"/>
        </w:rPr>
        <w:t>2</w:t>
      </w:r>
      <w:r>
        <w:rPr>
          <w:rFonts w:ascii="Times New Roman" w:hAnsi="Times New Roman" w:eastAsia="黑体" w:cs="Times New Roman"/>
          <w:b/>
          <w:bCs/>
        </w:rPr>
        <w:t xml:space="preserve">  </w:t>
      </w:r>
      <w:r>
        <w:rPr>
          <w:rFonts w:hint="eastAsia" w:ascii="Times New Roman" w:hAnsi="Times New Roman" w:eastAsia="黑体" w:cs="Times New Roman"/>
          <w:b/>
          <w:bCs/>
          <w:lang w:val="en-US" w:eastAsia="zh-CN"/>
        </w:rPr>
        <w:t>闽侯县</w:t>
      </w:r>
      <w:r>
        <w:rPr>
          <w:rFonts w:ascii="Times New Roman" w:hAnsi="Times New Roman" w:eastAsia="黑体" w:cs="Times New Roman"/>
          <w:b/>
          <w:bCs/>
        </w:rPr>
        <w:t>2020年</w:t>
      </w:r>
      <w:r>
        <w:rPr>
          <w:rFonts w:hint="eastAsia" w:ascii="Times New Roman" w:hAnsi="Times New Roman" w:eastAsia="黑体" w:cs="Times New Roman"/>
          <w:b/>
          <w:bCs/>
          <w:lang w:val="en-US" w:eastAsia="zh-CN"/>
        </w:rPr>
        <w:t>规模化</w:t>
      </w:r>
      <w:r>
        <w:rPr>
          <w:rFonts w:ascii="Times New Roman" w:hAnsi="Times New Roman" w:eastAsia="黑体" w:cs="Times New Roman"/>
          <w:b/>
          <w:bCs/>
        </w:rPr>
        <w:t>畜禽养殖分布情况统计表</w:t>
      </w:r>
    </w:p>
    <w:tbl>
      <w:tblPr>
        <w:tblStyle w:val="15"/>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3"/>
        <w:gridCol w:w="1630"/>
        <w:gridCol w:w="1216"/>
        <w:gridCol w:w="1634"/>
        <w:gridCol w:w="2171"/>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序号</w:t>
            </w:r>
          </w:p>
        </w:tc>
        <w:tc>
          <w:tcPr>
            <w:tcW w:w="16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畜禽类别</w:t>
            </w:r>
          </w:p>
        </w:tc>
        <w:tc>
          <w:tcPr>
            <w:tcW w:w="12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畜禽养殖场（个）</w:t>
            </w:r>
          </w:p>
        </w:tc>
        <w:tc>
          <w:tcPr>
            <w:tcW w:w="16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规模化养殖存栏数（头、羽）</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养殖场主要区域分布</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规模以下养殖存栏数（头、羽）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w:t>
            </w:r>
          </w:p>
        </w:tc>
        <w:tc>
          <w:tcPr>
            <w:tcW w:w="16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生猪</w:t>
            </w:r>
          </w:p>
        </w:tc>
        <w:tc>
          <w:tcPr>
            <w:tcW w:w="12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w:t>
            </w:r>
            <w:r>
              <w:rPr>
                <w:rFonts w:hint="eastAsia" w:cs="仿宋"/>
                <w:b w:val="0"/>
                <w:bCs w:val="0"/>
                <w:color w:val="000000"/>
                <w:kern w:val="0"/>
                <w:sz w:val="22"/>
                <w:szCs w:val="22"/>
                <w:lang w:val="en-US" w:eastAsia="zh-CN" w:bidi="ar"/>
              </w:rPr>
              <w:t>6</w:t>
            </w:r>
          </w:p>
        </w:tc>
        <w:tc>
          <w:tcPr>
            <w:tcW w:w="16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189420</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竹岐乡、洋里乡、大湖乡、白沙镇、小箬乡</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w:t>
            </w:r>
          </w:p>
        </w:tc>
        <w:tc>
          <w:tcPr>
            <w:tcW w:w="16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家禽</w:t>
            </w:r>
          </w:p>
        </w:tc>
        <w:tc>
          <w:tcPr>
            <w:tcW w:w="12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15</w:t>
            </w:r>
          </w:p>
        </w:tc>
        <w:tc>
          <w:tcPr>
            <w:tcW w:w="16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996600</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大湖乡、荆溪镇、小箬乡、鸿尾乡、廷坪乡</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2289547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3</w:t>
            </w:r>
          </w:p>
        </w:tc>
        <w:tc>
          <w:tcPr>
            <w:tcW w:w="16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牛</w:t>
            </w:r>
          </w:p>
        </w:tc>
        <w:tc>
          <w:tcPr>
            <w:tcW w:w="12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w:t>
            </w:r>
          </w:p>
        </w:tc>
        <w:tc>
          <w:tcPr>
            <w:tcW w:w="16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1000</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白沙镇、大湖乡</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7524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4</w:t>
            </w:r>
          </w:p>
        </w:tc>
        <w:tc>
          <w:tcPr>
            <w:tcW w:w="16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羊</w:t>
            </w:r>
          </w:p>
        </w:tc>
        <w:tc>
          <w:tcPr>
            <w:tcW w:w="12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w:t>
            </w:r>
          </w:p>
        </w:tc>
        <w:tc>
          <w:tcPr>
            <w:tcW w:w="16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2420</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大湖乡、白沙镇、鸿尾乡</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57235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5</w:t>
            </w:r>
          </w:p>
        </w:tc>
        <w:tc>
          <w:tcPr>
            <w:tcW w:w="16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兔</w:t>
            </w:r>
          </w:p>
        </w:tc>
        <w:tc>
          <w:tcPr>
            <w:tcW w:w="12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w:t>
            </w:r>
          </w:p>
        </w:tc>
        <w:tc>
          <w:tcPr>
            <w:tcW w:w="16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28000</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鸿尾乡</w:t>
            </w:r>
          </w:p>
        </w:tc>
        <w:tc>
          <w:tcPr>
            <w:tcW w:w="21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156830</w:t>
            </w:r>
          </w:p>
        </w:tc>
      </w:tr>
    </w:tbl>
    <w:p>
      <w:pPr>
        <w:pStyle w:val="11"/>
        <w:adjustRightInd w:val="0"/>
        <w:snapToGrid w:val="0"/>
        <w:spacing w:line="240" w:lineRule="auto"/>
        <w:ind w:left="0" w:firstLine="0"/>
        <w:jc w:val="center"/>
        <w:rPr>
          <w:rFonts w:ascii="Times New Roman" w:hAnsi="Times New Roman" w:eastAsia="黑体" w:cs="Times New Roman"/>
          <w:b/>
          <w:bCs/>
        </w:rPr>
      </w:pPr>
      <w:r>
        <w:rPr>
          <w:rFonts w:ascii="Times New Roman" w:hAnsi="Times New Roman" w:eastAsia="黑体" w:cs="Times New Roman"/>
          <w:b/>
          <w:bCs/>
        </w:rPr>
        <w:t>表</w:t>
      </w:r>
      <w:r>
        <w:rPr>
          <w:rFonts w:hint="eastAsia" w:ascii="Times New Roman" w:hAnsi="Times New Roman" w:eastAsia="黑体" w:cs="Times New Roman"/>
          <w:b/>
          <w:bCs/>
        </w:rPr>
        <w:t>3</w:t>
      </w:r>
      <w:r>
        <w:rPr>
          <w:rFonts w:ascii="Times New Roman" w:hAnsi="Times New Roman" w:eastAsia="黑体" w:cs="Times New Roman"/>
          <w:b/>
          <w:bCs/>
        </w:rPr>
        <w:t>.</w:t>
      </w:r>
      <w:r>
        <w:rPr>
          <w:rFonts w:hint="eastAsia" w:eastAsia="黑体" w:cs="Times New Roman"/>
          <w:b/>
          <w:bCs/>
          <w:lang w:val="en-US" w:eastAsia="zh-CN"/>
        </w:rPr>
        <w:t>3</w:t>
      </w:r>
      <w:r>
        <w:rPr>
          <w:rFonts w:ascii="Times New Roman" w:hAnsi="Times New Roman" w:eastAsia="黑体" w:cs="Times New Roman"/>
          <w:b/>
          <w:bCs/>
        </w:rPr>
        <w:t xml:space="preserve">  </w:t>
      </w:r>
      <w:r>
        <w:rPr>
          <w:rFonts w:hint="eastAsia" w:ascii="Times New Roman" w:hAnsi="Times New Roman" w:eastAsia="黑体" w:cs="Times New Roman"/>
          <w:b/>
          <w:bCs/>
          <w:lang w:val="en-US" w:eastAsia="zh-CN"/>
        </w:rPr>
        <w:t>闽侯县</w:t>
      </w:r>
      <w:r>
        <w:rPr>
          <w:rFonts w:ascii="Times New Roman" w:hAnsi="Times New Roman" w:eastAsia="黑体" w:cs="Times New Roman"/>
          <w:b/>
          <w:bCs/>
        </w:rPr>
        <w:t>2020年</w:t>
      </w:r>
      <w:r>
        <w:rPr>
          <w:rFonts w:hint="eastAsia" w:ascii="Times New Roman" w:hAnsi="Times New Roman" w:eastAsia="黑体" w:cs="Times New Roman"/>
          <w:b/>
          <w:bCs/>
          <w:lang w:val="en-US" w:eastAsia="zh-CN"/>
        </w:rPr>
        <w:t>规模化</w:t>
      </w:r>
      <w:r>
        <w:rPr>
          <w:rFonts w:ascii="Times New Roman" w:hAnsi="Times New Roman" w:eastAsia="黑体" w:cs="Times New Roman"/>
          <w:b/>
          <w:bCs/>
        </w:rPr>
        <w:t>畜禽养殖</w:t>
      </w:r>
      <w:r>
        <w:rPr>
          <w:rFonts w:hint="eastAsia" w:eastAsia="黑体" w:cs="Times New Roman"/>
          <w:b/>
          <w:bCs/>
          <w:lang w:eastAsia="zh-CN"/>
        </w:rPr>
        <w:t>厂</w:t>
      </w:r>
      <w:r>
        <w:rPr>
          <w:rFonts w:ascii="Times New Roman" w:hAnsi="Times New Roman" w:eastAsia="黑体" w:cs="Times New Roman"/>
          <w:b/>
          <w:bCs/>
        </w:rPr>
        <w:t>分布情况统计表</w:t>
      </w:r>
    </w:p>
    <w:tbl>
      <w:tblPr>
        <w:tblStyle w:val="15"/>
        <w:tblW w:w="9551" w:type="dxa"/>
        <w:jc w:val="center"/>
        <w:tblLayout w:type="fixed"/>
        <w:tblCellMar>
          <w:top w:w="0" w:type="dxa"/>
          <w:left w:w="0" w:type="dxa"/>
          <w:bottom w:w="0" w:type="dxa"/>
          <w:right w:w="0" w:type="dxa"/>
        </w:tblCellMar>
      </w:tblPr>
      <w:tblGrid>
        <w:gridCol w:w="492"/>
        <w:gridCol w:w="1109"/>
        <w:gridCol w:w="1412"/>
        <w:gridCol w:w="1338"/>
        <w:gridCol w:w="1262"/>
        <w:gridCol w:w="1262"/>
        <w:gridCol w:w="1338"/>
        <w:gridCol w:w="1338"/>
      </w:tblGrid>
      <w:tr>
        <w:tblPrEx>
          <w:tblCellMar>
            <w:top w:w="0" w:type="dxa"/>
            <w:left w:w="0" w:type="dxa"/>
            <w:bottom w:w="0" w:type="dxa"/>
            <w:right w:w="0" w:type="dxa"/>
          </w:tblCellMar>
        </w:tblPrEx>
        <w:trPr>
          <w:trHeight w:val="654"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序号</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乡镇名称</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生猪存栏量（万头）</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家禽存栏量（万羽）</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牛存栏数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（万头）</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羊存栏数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（万头）</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兔存栏数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（万头）</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合计猪当量（头）</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白沙镇</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1.54</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0.03</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0.15</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17000</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大湖乡</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12.24</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36.06</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0.07</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0.05</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139813</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甘蔗街道</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鸿尾乡</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0.042</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2.8</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3101</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荆溪镇</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30</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12000</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南通镇</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7</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青口镇</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8</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上街镇</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9</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尚干镇</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10</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廷坪乡</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13</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5200</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11</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祥谦镇</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小箬乡</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0.24</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15.6</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8640</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洋里乡</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4.42</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44200</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竹岐乡</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0.5</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5000</w:t>
            </w:r>
          </w:p>
        </w:tc>
      </w:tr>
      <w:tr>
        <w:tblPrEx>
          <w:tblCellMar>
            <w:top w:w="0" w:type="dxa"/>
            <w:left w:w="0" w:type="dxa"/>
            <w:bottom w:w="0" w:type="dxa"/>
            <w:right w:w="0" w:type="dxa"/>
          </w:tblCellMar>
        </w:tblPrEx>
        <w:trPr>
          <w:trHeight w:val="438" w:hRule="atLeast"/>
          <w:jc w:val="center"/>
        </w:trPr>
        <w:tc>
          <w:tcPr>
            <w:tcW w:w="1601"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18.94</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99.66</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0.1</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0.242</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2.8</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234954</w:t>
            </w:r>
          </w:p>
        </w:tc>
      </w:tr>
      <w:tr>
        <w:tblPrEx>
          <w:tblCellMar>
            <w:top w:w="0" w:type="dxa"/>
            <w:left w:w="0" w:type="dxa"/>
            <w:bottom w:w="0" w:type="dxa"/>
            <w:right w:w="0" w:type="dxa"/>
          </w:tblCellMar>
        </w:tblPrEx>
        <w:trPr>
          <w:trHeight w:val="438" w:hRule="atLeast"/>
          <w:jc w:val="center"/>
        </w:trPr>
        <w:tc>
          <w:tcPr>
            <w:tcW w:w="1601"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25" w:name="_Toc26511"/>
            <w:bookmarkStart w:id="26" w:name="_Toc24354"/>
            <w:r>
              <w:rPr>
                <w:rFonts w:hint="eastAsia" w:ascii="Times New Roman" w:hAnsi="Times New Roman" w:eastAsia="宋体" w:cs="仿宋"/>
                <w:b w:val="0"/>
                <w:bCs w:val="0"/>
                <w:color w:val="000000"/>
                <w:kern w:val="0"/>
                <w:sz w:val="22"/>
                <w:szCs w:val="22"/>
                <w:lang w:val="en-US" w:eastAsia="zh-CN" w:bidi="ar"/>
              </w:rPr>
              <w:t>合计猪当量（头）</w:t>
            </w:r>
          </w:p>
        </w:tc>
        <w:tc>
          <w:tcPr>
            <w:tcW w:w="14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189400</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39864</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3333</w:t>
            </w:r>
          </w:p>
        </w:tc>
        <w:tc>
          <w:tcPr>
            <w:tcW w:w="12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968</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933</w:t>
            </w:r>
          </w:p>
        </w:tc>
        <w:tc>
          <w:tcPr>
            <w:tcW w:w="13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234954</w:t>
            </w:r>
          </w:p>
        </w:tc>
      </w:tr>
    </w:tbl>
    <w:p>
      <w:pPr>
        <w:adjustRightInd w:val="0"/>
        <w:snapToGrid w:val="0"/>
        <w:spacing w:before="156" w:beforeLines="50" w:line="360" w:lineRule="auto"/>
        <w:ind w:left="0" w:leftChars="0" w:firstLine="0" w:firstLineChars="0"/>
        <w:outlineLvl w:val="2"/>
        <w:rPr>
          <w:rFonts w:ascii="Times New Roman" w:hAnsi="Times New Roman" w:eastAsia="黑体" w:cs="Times New Roman"/>
          <w:b/>
          <w:bCs/>
          <w:sz w:val="28"/>
          <w:szCs w:val="36"/>
        </w:rPr>
      </w:pPr>
      <w:r>
        <w:rPr>
          <w:rFonts w:hint="eastAsia" w:ascii="Times New Roman" w:hAnsi="Times New Roman" w:eastAsia="黑体" w:cs="Times New Roman"/>
          <w:b/>
          <w:bCs/>
          <w:sz w:val="28"/>
          <w:szCs w:val="36"/>
        </w:rPr>
        <w:t>3.1.3畜禽养殖规模养殖场（户）情况</w:t>
      </w:r>
      <w:bookmarkEnd w:id="25"/>
      <w:bookmarkEnd w:id="26"/>
    </w:p>
    <w:p>
      <w:pPr>
        <w:adjustRightInd w:val="0"/>
        <w:snapToGrid w:val="0"/>
        <w:spacing w:line="360" w:lineRule="auto"/>
        <w:rPr>
          <w:rFonts w:hint="eastAsia" w:cs="Times New Roman"/>
          <w:sz w:val="24"/>
          <w:szCs w:val="32"/>
          <w:lang w:val="en-US" w:eastAsia="zh-CN"/>
        </w:rPr>
      </w:pPr>
      <w:r>
        <w:rPr>
          <w:rFonts w:hint="eastAsia" w:ascii="Times New Roman" w:hAnsi="Times New Roman" w:eastAsia="宋体" w:cs="Times New Roman"/>
          <w:sz w:val="24"/>
          <w:szCs w:val="32"/>
        </w:rPr>
        <w:t>根据农业农村局最新数据统计情况，</w:t>
      </w:r>
      <w:r>
        <w:rPr>
          <w:rFonts w:hint="eastAsia" w:cs="Times New Roman"/>
          <w:sz w:val="24"/>
          <w:szCs w:val="32"/>
          <w:lang w:val="en-US" w:eastAsia="zh-CN"/>
        </w:rPr>
        <w:t>闽侯县各乡镇养殖户情况详见表3.4。</w:t>
      </w:r>
    </w:p>
    <w:p>
      <w:pPr>
        <w:adjustRightInd w:val="0"/>
        <w:snapToGrid w:val="0"/>
        <w:spacing w:line="360" w:lineRule="auto"/>
        <w:ind w:firstLine="480" w:firstLineChars="200"/>
        <w:rPr>
          <w:rFonts w:hint="default" w:ascii="Times New Roman" w:hAnsi="Times New Roman" w:eastAsia="宋体" w:cs="Times New Roman"/>
          <w:sz w:val="24"/>
          <w:szCs w:val="32"/>
          <w:lang w:val="en-US" w:eastAsia="zh-CN"/>
        </w:rPr>
      </w:pPr>
      <w:r>
        <w:rPr>
          <w:rFonts w:hint="eastAsia" w:cs="Times New Roman"/>
          <w:sz w:val="24"/>
          <w:szCs w:val="32"/>
          <w:lang w:val="en-US" w:eastAsia="zh-CN"/>
        </w:rPr>
        <w:t>由表中信息可知，闽侯县规模以下养殖户分布在闽侯县大部分乡镇，上街镇和竹岐乡无规下养殖户。由表中信息可知闽侯县规模以下养殖主要以家禽为主，白沙镇规模以下养殖户存栏量最大。规模以下养殖户的固液粪污去向基本为就地消纳，其中固体粪污去向为主要用于农家肥，液体粪污基本用于肥水还田作用。</w:t>
      </w:r>
    </w:p>
    <w:p>
      <w:pPr>
        <w:pStyle w:val="11"/>
        <w:adjustRightInd w:val="0"/>
        <w:snapToGrid w:val="0"/>
        <w:spacing w:line="240" w:lineRule="auto"/>
        <w:ind w:left="0" w:firstLine="0"/>
        <w:jc w:val="center"/>
        <w:rPr>
          <w:rFonts w:ascii="Times New Roman" w:hAnsi="Times New Roman" w:eastAsia="黑体" w:cs="Times New Roman"/>
          <w:b/>
          <w:bCs/>
        </w:rPr>
      </w:pPr>
      <w:r>
        <w:rPr>
          <w:rFonts w:ascii="Times New Roman" w:hAnsi="Times New Roman" w:eastAsia="黑体" w:cs="Times New Roman"/>
          <w:b/>
          <w:bCs/>
        </w:rPr>
        <w:t>表</w:t>
      </w:r>
      <w:r>
        <w:rPr>
          <w:rFonts w:hint="eastAsia" w:ascii="Times New Roman" w:hAnsi="Times New Roman" w:eastAsia="黑体" w:cs="Times New Roman"/>
          <w:b/>
          <w:bCs/>
        </w:rPr>
        <w:t>3</w:t>
      </w:r>
      <w:r>
        <w:rPr>
          <w:rFonts w:hint="eastAsia" w:eastAsia="黑体" w:cs="Times New Roman"/>
          <w:b/>
          <w:bCs/>
          <w:lang w:val="en-US" w:eastAsia="zh-CN"/>
        </w:rPr>
        <w:t>.4</w:t>
      </w:r>
      <w:r>
        <w:rPr>
          <w:rFonts w:ascii="Times New Roman" w:hAnsi="Times New Roman" w:eastAsia="黑体" w:cs="Times New Roman"/>
          <w:b/>
          <w:bCs/>
        </w:rPr>
        <w:t xml:space="preserve">  </w:t>
      </w:r>
      <w:r>
        <w:rPr>
          <w:rFonts w:hint="eastAsia" w:ascii="Times New Roman" w:hAnsi="Times New Roman" w:eastAsia="黑体" w:cs="Times New Roman"/>
          <w:b/>
          <w:bCs/>
          <w:lang w:val="en-US" w:eastAsia="zh-CN"/>
        </w:rPr>
        <w:t>闽侯县</w:t>
      </w:r>
      <w:r>
        <w:rPr>
          <w:rFonts w:hint="eastAsia" w:eastAsia="黑体" w:cs="Times New Roman"/>
          <w:b/>
          <w:bCs/>
          <w:lang w:val="en-US" w:eastAsia="zh-CN"/>
        </w:rPr>
        <w:t>规模以下</w:t>
      </w:r>
      <w:r>
        <w:rPr>
          <w:rFonts w:ascii="Times New Roman" w:hAnsi="Times New Roman" w:eastAsia="黑体" w:cs="Times New Roman"/>
          <w:b/>
          <w:bCs/>
        </w:rPr>
        <w:t>畜禽养殖</w:t>
      </w:r>
      <w:r>
        <w:rPr>
          <w:rFonts w:hint="eastAsia" w:eastAsia="黑体" w:cs="Times New Roman"/>
          <w:b/>
          <w:bCs/>
          <w:lang w:val="en-US" w:eastAsia="zh-CN"/>
        </w:rPr>
        <w:t>户</w:t>
      </w:r>
      <w:r>
        <w:rPr>
          <w:rFonts w:ascii="Times New Roman" w:hAnsi="Times New Roman" w:eastAsia="黑体" w:cs="Times New Roman"/>
          <w:b/>
          <w:bCs/>
        </w:rPr>
        <w:t>分布情况统计表</w:t>
      </w:r>
    </w:p>
    <w:tbl>
      <w:tblPr>
        <w:tblStyle w:val="15"/>
        <w:tblW w:w="8255" w:type="dxa"/>
        <w:jc w:val="center"/>
        <w:tblLayout w:type="fixed"/>
        <w:tblCellMar>
          <w:top w:w="0" w:type="dxa"/>
          <w:left w:w="0" w:type="dxa"/>
          <w:bottom w:w="0" w:type="dxa"/>
          <w:right w:w="0" w:type="dxa"/>
        </w:tblCellMar>
      </w:tblPr>
      <w:tblGrid>
        <w:gridCol w:w="492"/>
        <w:gridCol w:w="1109"/>
        <w:gridCol w:w="1109"/>
        <w:gridCol w:w="1109"/>
        <w:gridCol w:w="1109"/>
        <w:gridCol w:w="1109"/>
        <w:gridCol w:w="1109"/>
        <w:gridCol w:w="1109"/>
      </w:tblGrid>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序号</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乡镇名称</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涉及村庄数量</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是否在禁养区</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畜禽品种</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散养户数</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固体粪污去向</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液体粪污去向</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青口镇</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鸡鸭牛羊</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7</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农家肥、鱼塘养殖</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灌溉林木、鱼塘</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祥谦镇</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6</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尚干镇</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1</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鸭</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南通镇</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13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农田灌溉</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上街镇</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0</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r>
              <w:rPr>
                <w:rFonts w:hint="default" w:cs="仿宋"/>
                <w:b w:val="0"/>
                <w:bCs w:val="0"/>
                <w:color w:val="000000"/>
                <w:kern w:val="0"/>
                <w:sz w:val="22"/>
                <w:szCs w:val="22"/>
                <w:lang w:val="en-US" w:eastAsia="zh-CN" w:bidi="ar"/>
              </w:rPr>
              <w:t>　</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6</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竹岐乡</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0</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r>
              <w:rPr>
                <w:rFonts w:hint="default" w:cs="仿宋"/>
                <w:b w:val="0"/>
                <w:bCs w:val="0"/>
                <w:color w:val="000000"/>
                <w:kern w:val="0"/>
                <w:sz w:val="22"/>
                <w:szCs w:val="22"/>
                <w:lang w:val="en-US" w:eastAsia="zh-CN" w:bidi="ar"/>
              </w:rPr>
              <w:t>　</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7</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鸿尾乡</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鸡鸭牛</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农田灌溉</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8</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荆溪镇</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鸡鸭牛羊</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13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r>
      <w:tr>
        <w:tblPrEx>
          <w:tblCellMar>
            <w:top w:w="0" w:type="dxa"/>
            <w:left w:w="0" w:type="dxa"/>
            <w:bottom w:w="0" w:type="dxa"/>
            <w:right w:w="0" w:type="dxa"/>
          </w:tblCellMar>
        </w:tblPrEx>
        <w:trPr>
          <w:trHeight w:val="41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9</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甘蔗街道</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17</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肥水还田</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10</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白沙镇</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7</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农田灌溉</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11</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洋里乡</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鸭羊</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农田灌溉</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大湖乡</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2</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13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小箬乡</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6</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14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r>
      <w:tr>
        <w:tblPrEx>
          <w:tblCellMar>
            <w:top w:w="0" w:type="dxa"/>
            <w:left w:w="0" w:type="dxa"/>
            <w:bottom w:w="0" w:type="dxa"/>
            <w:right w:w="0" w:type="dxa"/>
          </w:tblCellMar>
        </w:tblPrEx>
        <w:trPr>
          <w:trHeight w:val="428" w:hRule="atLeast"/>
          <w:jc w:val="center"/>
        </w:trPr>
        <w:tc>
          <w:tcPr>
            <w:tcW w:w="4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14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廷坪乡</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否</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鸡鸭羊</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3</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农家肥</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仿宋"/>
                <w:b w:val="0"/>
                <w:bCs w:val="0"/>
                <w:color w:val="000000"/>
                <w:kern w:val="0"/>
                <w:sz w:val="22"/>
                <w:szCs w:val="22"/>
                <w:lang w:val="en-US" w:eastAsia="zh-CN" w:bidi="ar"/>
              </w:rPr>
            </w:pPr>
            <w:r>
              <w:rPr>
                <w:rFonts w:hint="default" w:cs="仿宋"/>
                <w:b w:val="0"/>
                <w:bCs w:val="0"/>
                <w:color w:val="000000"/>
                <w:kern w:val="0"/>
                <w:sz w:val="22"/>
                <w:szCs w:val="22"/>
                <w:lang w:val="en-US" w:eastAsia="zh-CN" w:bidi="ar"/>
              </w:rPr>
              <w:t>农田灌溉</w:t>
            </w:r>
          </w:p>
        </w:tc>
      </w:tr>
      <w:tr>
        <w:tblPrEx>
          <w:tblCellMar>
            <w:top w:w="0" w:type="dxa"/>
            <w:left w:w="0" w:type="dxa"/>
            <w:bottom w:w="0" w:type="dxa"/>
            <w:right w:w="0" w:type="dxa"/>
          </w:tblCellMar>
        </w:tblPrEx>
        <w:trPr>
          <w:trHeight w:val="438" w:hRule="atLeast"/>
          <w:jc w:val="center"/>
        </w:trPr>
        <w:tc>
          <w:tcPr>
            <w:tcW w:w="1601"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合计</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34</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cs="仿宋"/>
                <w:b w:val="0"/>
                <w:bCs w:val="0"/>
                <w:color w:val="000000"/>
                <w:kern w:val="0"/>
                <w:sz w:val="22"/>
                <w:szCs w:val="22"/>
                <w:lang w:val="en-US" w:eastAsia="zh-CN" w:bidi="ar"/>
              </w:rPr>
              <w:t>89</w:t>
            </w: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p>
        </w:tc>
        <w:tc>
          <w:tcPr>
            <w:tcW w:w="11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p>
        </w:tc>
      </w:tr>
    </w:tbl>
    <w:p>
      <w:pPr>
        <w:pStyle w:val="5"/>
        <w:bidi w:val="0"/>
      </w:pPr>
      <w:bookmarkStart w:id="27" w:name="_Toc16288"/>
      <w:bookmarkStart w:id="28" w:name="_Toc2194"/>
      <w:r>
        <w:rPr>
          <w:rFonts w:hint="eastAsia"/>
        </w:rPr>
        <w:t>3</w:t>
      </w:r>
      <w:r>
        <w:t>.</w:t>
      </w:r>
      <w:r>
        <w:rPr>
          <w:rFonts w:hint="eastAsia"/>
        </w:rPr>
        <w:t>2</w:t>
      </w:r>
      <w:r>
        <w:rPr>
          <w:rFonts w:hint="eastAsia"/>
          <w:lang w:val="en-US" w:eastAsia="zh-CN"/>
        </w:rPr>
        <w:t>闽侯县</w:t>
      </w:r>
      <w:r>
        <w:rPr>
          <w:rFonts w:hint="eastAsia"/>
        </w:rPr>
        <w:t>2020年畜禽养殖污染物产生情况</w:t>
      </w:r>
      <w:bookmarkEnd w:id="27"/>
      <w:bookmarkEnd w:id="28"/>
    </w:p>
    <w:p>
      <w:pPr>
        <w:pStyle w:val="6"/>
        <w:bidi w:val="0"/>
        <w:rPr>
          <w:rFonts w:ascii="Times New Roman" w:hAnsi="Times New Roman" w:eastAsia="黑体" w:cs="Times New Roman"/>
          <w:b/>
          <w:bCs/>
          <w:szCs w:val="36"/>
        </w:rPr>
      </w:pPr>
      <w:bookmarkStart w:id="29" w:name="_Toc26124"/>
      <w:bookmarkStart w:id="30" w:name="_Toc23428"/>
      <w:r>
        <w:rPr>
          <w:rFonts w:hint="eastAsia"/>
        </w:rPr>
        <w:t>3.2.1畜禽养殖污染物产生量核算方法</w:t>
      </w:r>
      <w:bookmarkEnd w:id="29"/>
      <w:bookmarkEnd w:id="30"/>
    </w:p>
    <w:p>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 根据</w:t>
      </w:r>
      <w:r>
        <w:rPr>
          <w:rFonts w:hint="eastAsia" w:cs="Times New Roman"/>
          <w:sz w:val="24"/>
          <w:szCs w:val="32"/>
          <w:lang w:eastAsia="zh-CN"/>
        </w:rPr>
        <w:t>《</w:t>
      </w:r>
      <w:r>
        <w:rPr>
          <w:rFonts w:hint="eastAsia" w:cs="Times New Roman"/>
          <w:sz w:val="24"/>
          <w:szCs w:val="32"/>
          <w:lang w:val="en-US" w:eastAsia="zh-CN"/>
        </w:rPr>
        <w:t>第二次全国污染源普查排放源统计调查产排污系数核算方法和系数手册</w:t>
      </w:r>
      <w:r>
        <w:rPr>
          <w:rFonts w:hint="eastAsia" w:cs="Times New Roman"/>
          <w:sz w:val="24"/>
          <w:szCs w:val="32"/>
          <w:lang w:eastAsia="zh-CN"/>
        </w:rPr>
        <w:t>》</w:t>
      </w:r>
      <w:r>
        <w:rPr>
          <w:rFonts w:hint="eastAsia" w:cs="Times New Roman"/>
          <w:sz w:val="24"/>
          <w:szCs w:val="32"/>
          <w:lang w:val="en-US" w:eastAsia="zh-CN"/>
        </w:rPr>
        <w:t>中《农业污染源产排污系数手册》以及对国内同类地区畜禽养殖污染物产生量的类比调查，闽侯县规模化畜禽养殖和规模以下畜禽养殖过程中各污染物产污系数详见</w:t>
      </w:r>
      <w:r>
        <w:rPr>
          <w:rFonts w:hint="eastAsia" w:ascii="Times New Roman" w:hAnsi="Times New Roman" w:eastAsia="宋体" w:cs="Times New Roman"/>
          <w:sz w:val="24"/>
          <w:szCs w:val="32"/>
        </w:rPr>
        <w:t>表3.</w:t>
      </w:r>
      <w:r>
        <w:rPr>
          <w:rFonts w:hint="eastAsia" w:cs="Times New Roman"/>
          <w:sz w:val="24"/>
          <w:szCs w:val="32"/>
          <w:lang w:val="en-US" w:eastAsia="zh-CN"/>
        </w:rPr>
        <w:t>4和3.5</w:t>
      </w:r>
      <w:r>
        <w:rPr>
          <w:rFonts w:hint="eastAsia" w:ascii="Times New Roman" w:hAnsi="Times New Roman" w:eastAsia="宋体" w:cs="Times New Roman"/>
          <w:sz w:val="24"/>
          <w:szCs w:val="32"/>
        </w:rPr>
        <w:t>。</w:t>
      </w:r>
    </w:p>
    <w:p>
      <w:pPr>
        <w:pStyle w:val="11"/>
        <w:adjustRightInd w:val="0"/>
        <w:snapToGrid w:val="0"/>
        <w:spacing w:line="240" w:lineRule="auto"/>
        <w:ind w:left="0" w:firstLine="0"/>
        <w:jc w:val="center"/>
        <w:rPr>
          <w:rFonts w:hint="eastAsia" w:eastAsia="黑体" w:cs="Times New Roman"/>
          <w:b/>
          <w:bCs/>
          <w:lang w:val="en-US" w:eastAsia="zh-CN"/>
        </w:rPr>
      </w:pPr>
      <w:r>
        <w:rPr>
          <w:rFonts w:ascii="Times New Roman" w:hAnsi="Times New Roman" w:eastAsia="黑体" w:cs="Times New Roman"/>
          <w:b/>
          <w:bCs/>
        </w:rPr>
        <w:t>表</w:t>
      </w:r>
      <w:r>
        <w:rPr>
          <w:rFonts w:hint="eastAsia" w:ascii="Times New Roman" w:hAnsi="Times New Roman" w:eastAsia="黑体" w:cs="Times New Roman"/>
          <w:b/>
          <w:bCs/>
        </w:rPr>
        <w:t>3</w:t>
      </w:r>
      <w:r>
        <w:rPr>
          <w:rFonts w:ascii="Times New Roman" w:hAnsi="Times New Roman" w:eastAsia="黑体" w:cs="Times New Roman"/>
          <w:b/>
          <w:bCs/>
        </w:rPr>
        <w:t>.</w:t>
      </w:r>
      <w:r>
        <w:rPr>
          <w:rFonts w:hint="eastAsia" w:eastAsia="黑体" w:cs="Times New Roman"/>
          <w:b/>
          <w:bCs/>
          <w:lang w:val="en-US" w:eastAsia="zh-CN"/>
        </w:rPr>
        <w:t>5</w:t>
      </w:r>
      <w:r>
        <w:rPr>
          <w:rFonts w:ascii="Times New Roman" w:hAnsi="Times New Roman" w:eastAsia="黑体" w:cs="Times New Roman"/>
          <w:b/>
          <w:bCs/>
        </w:rPr>
        <w:t xml:space="preserve">  </w:t>
      </w:r>
      <w:r>
        <w:rPr>
          <w:rFonts w:hint="eastAsia" w:eastAsia="黑体" w:cs="Times New Roman"/>
          <w:b/>
          <w:bCs/>
          <w:lang w:val="en-US" w:eastAsia="zh-CN"/>
        </w:rPr>
        <w:t>畜禽规模化养殖产污系数表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81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地区</w:t>
            </w: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畜禽种类</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化学需氧量</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总氮</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氨氮</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福建省</w:t>
            </w: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生猪（千克/头）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69.111</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5.551</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1.542</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奶牛（千克/头）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1696.002</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62.468</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4.060</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9.407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肉牛（千克/头）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1288.153</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62.468</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4.060</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9.407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蛋鸡（千克/头）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12.398</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0.613</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0.048</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肉鸡（千克/头）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2.695</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0.100</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0.037</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羊（千克/头）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27.644</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2.220</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0.617</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兔（千克/头）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2.304</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0.185</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0.051</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i/>
                <w:iCs/>
                <w:color w:val="000000"/>
                <w:kern w:val="0"/>
                <w:sz w:val="22"/>
                <w:szCs w:val="22"/>
                <w:lang w:val="en-US" w:eastAsia="zh-CN" w:bidi="ar"/>
              </w:rPr>
              <w:t>备注：羊和兔的系数按照猪当量折算</w:t>
            </w:r>
          </w:p>
        </w:tc>
      </w:tr>
    </w:tbl>
    <w:p>
      <w:pPr>
        <w:pStyle w:val="11"/>
        <w:adjustRightInd w:val="0"/>
        <w:snapToGrid w:val="0"/>
        <w:spacing w:line="240" w:lineRule="auto"/>
        <w:ind w:left="0" w:firstLine="0"/>
        <w:jc w:val="center"/>
        <w:rPr>
          <w:rFonts w:hint="eastAsia" w:eastAsia="黑体" w:cs="Times New Roman"/>
          <w:b/>
          <w:bCs/>
          <w:lang w:val="en-US" w:eastAsia="zh-CN"/>
        </w:rPr>
      </w:pPr>
      <w:r>
        <w:rPr>
          <w:rFonts w:ascii="Times New Roman" w:hAnsi="Times New Roman" w:eastAsia="黑体" w:cs="Times New Roman"/>
          <w:b/>
          <w:bCs/>
        </w:rPr>
        <w:t>表</w:t>
      </w:r>
      <w:r>
        <w:rPr>
          <w:rFonts w:hint="eastAsia" w:ascii="Times New Roman" w:hAnsi="Times New Roman" w:eastAsia="黑体" w:cs="Times New Roman"/>
          <w:b/>
          <w:bCs/>
        </w:rPr>
        <w:t>3</w:t>
      </w:r>
      <w:r>
        <w:rPr>
          <w:rFonts w:ascii="Times New Roman" w:hAnsi="Times New Roman" w:eastAsia="黑体" w:cs="Times New Roman"/>
          <w:b/>
          <w:bCs/>
        </w:rPr>
        <w:t>.</w:t>
      </w:r>
      <w:r>
        <w:rPr>
          <w:rFonts w:hint="eastAsia" w:eastAsia="黑体" w:cs="Times New Roman"/>
          <w:b/>
          <w:bCs/>
          <w:lang w:val="en-US" w:eastAsia="zh-CN"/>
        </w:rPr>
        <w:t>6</w:t>
      </w:r>
      <w:r>
        <w:rPr>
          <w:rFonts w:ascii="Times New Roman" w:hAnsi="Times New Roman" w:eastAsia="黑体" w:cs="Times New Roman"/>
          <w:b/>
          <w:bCs/>
        </w:rPr>
        <w:t xml:space="preserve">  </w:t>
      </w:r>
      <w:r>
        <w:rPr>
          <w:rFonts w:hint="eastAsia" w:eastAsia="黑体" w:cs="Times New Roman"/>
          <w:b/>
          <w:bCs/>
          <w:lang w:val="en-US" w:eastAsia="zh-CN"/>
        </w:rPr>
        <w:t>畜禽规模以下养殖产污系数表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81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地区</w:t>
            </w: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畜禽种类</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化学需氧量</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总氮</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氨氮</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福建省</w:t>
            </w: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生猪（千克/头）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75.5</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3.4</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0.4</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奶牛（千克/头）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2170.9</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72.4</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3.3</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肉牛（千克/头）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1860.4</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45.6</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3.2</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蛋鸡（千克/头）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10.4</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0.7</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0.1</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肉鸡（千克/头）</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2.2</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0.1</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0.01</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羊（千克/头）</w:t>
            </w:r>
          </w:p>
        </w:tc>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30.2</w:t>
            </w:r>
          </w:p>
        </w:tc>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1.36</w:t>
            </w:r>
          </w:p>
        </w:tc>
        <w:tc>
          <w:tcPr>
            <w:tcW w:w="14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0.16</w:t>
            </w:r>
          </w:p>
        </w:tc>
        <w:tc>
          <w:tcPr>
            <w:tcW w:w="14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p>
        </w:tc>
        <w:tc>
          <w:tcPr>
            <w:tcW w:w="1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兔（千克/头）</w:t>
            </w:r>
          </w:p>
        </w:tc>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2.52</w:t>
            </w:r>
          </w:p>
        </w:tc>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0.11</w:t>
            </w:r>
          </w:p>
        </w:tc>
        <w:tc>
          <w:tcPr>
            <w:tcW w:w="14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0.013</w:t>
            </w:r>
          </w:p>
        </w:tc>
        <w:tc>
          <w:tcPr>
            <w:tcW w:w="14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i/>
                <w:iCs/>
                <w:color w:val="000000"/>
                <w:kern w:val="0"/>
                <w:sz w:val="22"/>
                <w:szCs w:val="22"/>
                <w:lang w:val="en-US" w:eastAsia="zh-CN" w:bidi="ar"/>
              </w:rPr>
              <w:t>备注：羊和兔的系数按照猪当量折算</w:t>
            </w:r>
          </w:p>
        </w:tc>
      </w:tr>
    </w:tbl>
    <w:p>
      <w:pPr>
        <w:pStyle w:val="6"/>
        <w:bidi w:val="0"/>
      </w:pPr>
      <w:bookmarkStart w:id="31" w:name="_Toc12335"/>
      <w:bookmarkStart w:id="32" w:name="_Toc6701"/>
      <w:r>
        <w:rPr>
          <w:rFonts w:hint="eastAsia"/>
        </w:rPr>
        <w:t>3.2.2</w:t>
      </w:r>
      <w:r>
        <w:rPr>
          <w:rFonts w:hint="eastAsia"/>
          <w:lang w:val="en-US" w:eastAsia="zh-CN"/>
        </w:rPr>
        <w:t>闽侯县</w:t>
      </w:r>
      <w:r>
        <w:rPr>
          <w:rFonts w:hint="eastAsia"/>
        </w:rPr>
        <w:t>各类畜禽养殖污染物产生量统计</w:t>
      </w:r>
      <w:bookmarkEnd w:id="31"/>
      <w:bookmarkEnd w:id="32"/>
    </w:p>
    <w:p>
      <w:pPr>
        <w:adjustRightInd w:val="0"/>
        <w:snapToGrid w:val="0"/>
        <w:spacing w:line="360" w:lineRule="auto"/>
        <w:rPr>
          <w:rFonts w:hint="eastAsia" w:cs="Times New Roman"/>
          <w:sz w:val="24"/>
          <w:szCs w:val="32"/>
          <w:lang w:val="en-US" w:eastAsia="zh-CN"/>
        </w:rPr>
      </w:pPr>
      <w:r>
        <w:rPr>
          <w:rFonts w:hint="eastAsia" w:cs="Times New Roman"/>
          <w:sz w:val="24"/>
          <w:szCs w:val="32"/>
          <w:lang w:val="en-US" w:eastAsia="zh-CN"/>
        </w:rPr>
        <w:t>根据表3.4和3.5的计算结果可知，闽侯县各类畜种规模以上养殖场污染物产生情况计算结果详见表3.6，规模以下养殖户由于所得信息不全，根据福州统计年鉴2021和表3.2计算结果各类畜种规模以下养殖量，由此计算出闽侯县规模以上养殖场和规模以下养殖户各个畜种污染物排放情况。</w:t>
      </w:r>
    </w:p>
    <w:p>
      <w:pPr>
        <w:pStyle w:val="2"/>
        <w:ind w:left="0" w:leftChars="0" w:firstLine="0" w:firstLineChars="0"/>
        <w:rPr>
          <w:rFonts w:hint="eastAsia" w:cs="Times New Roman"/>
          <w:sz w:val="24"/>
          <w:szCs w:val="32"/>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1"/>
        <w:adjustRightInd w:val="0"/>
        <w:snapToGrid w:val="0"/>
        <w:spacing w:line="240" w:lineRule="auto"/>
        <w:ind w:left="0" w:firstLine="0"/>
        <w:jc w:val="center"/>
        <w:rPr>
          <w:rFonts w:ascii="Times New Roman" w:hAnsi="Times New Roman" w:eastAsia="黑体" w:cs="Times New Roman"/>
          <w:b/>
          <w:bCs/>
        </w:rPr>
      </w:pPr>
      <w:r>
        <w:rPr>
          <w:rFonts w:ascii="Times New Roman" w:hAnsi="Times New Roman" w:eastAsia="黑体" w:cs="Times New Roman"/>
          <w:b/>
          <w:bCs/>
        </w:rPr>
        <w:t>表</w:t>
      </w:r>
      <w:r>
        <w:rPr>
          <w:rFonts w:hint="eastAsia" w:ascii="Times New Roman" w:hAnsi="Times New Roman" w:eastAsia="黑体" w:cs="Times New Roman"/>
          <w:b/>
          <w:bCs/>
        </w:rPr>
        <w:t>3</w:t>
      </w:r>
      <w:r>
        <w:rPr>
          <w:rFonts w:ascii="Times New Roman" w:hAnsi="Times New Roman" w:eastAsia="黑体" w:cs="Times New Roman"/>
          <w:b/>
          <w:bCs/>
        </w:rPr>
        <w:t>.</w:t>
      </w:r>
      <w:r>
        <w:rPr>
          <w:rFonts w:hint="eastAsia" w:eastAsia="黑体" w:cs="Times New Roman"/>
          <w:b/>
          <w:bCs/>
          <w:lang w:val="en-US" w:eastAsia="zh-CN"/>
        </w:rPr>
        <w:t>7</w:t>
      </w:r>
      <w:r>
        <w:rPr>
          <w:rFonts w:ascii="Times New Roman" w:hAnsi="Times New Roman" w:eastAsia="黑体" w:cs="Times New Roman"/>
          <w:b/>
          <w:bCs/>
        </w:rPr>
        <w:t xml:space="preserve">  </w:t>
      </w:r>
      <w:r>
        <w:rPr>
          <w:rFonts w:hint="eastAsia" w:ascii="Times New Roman" w:hAnsi="Times New Roman" w:eastAsia="黑体" w:cs="Times New Roman"/>
          <w:b/>
          <w:bCs/>
        </w:rPr>
        <w:t>2020年</w:t>
      </w:r>
      <w:r>
        <w:rPr>
          <w:rFonts w:hint="eastAsia" w:ascii="Times New Roman" w:hAnsi="Times New Roman" w:eastAsia="黑体" w:cs="Times New Roman"/>
          <w:b/>
          <w:bCs/>
          <w:lang w:val="en-US" w:eastAsia="zh-CN"/>
        </w:rPr>
        <w:t>闽侯县</w:t>
      </w:r>
      <w:r>
        <w:rPr>
          <w:rFonts w:hint="eastAsia" w:ascii="Times New Roman" w:hAnsi="Times New Roman" w:eastAsia="黑体" w:cs="Times New Roman"/>
          <w:b/>
          <w:bCs/>
        </w:rPr>
        <w:t>各类畜禽养殖污染物</w:t>
      </w:r>
      <w:r>
        <w:rPr>
          <w:rFonts w:hint="eastAsia" w:ascii="Times New Roman" w:hAnsi="Times New Roman" w:eastAsia="黑体" w:cs="Times New Roman"/>
          <w:b/>
          <w:bCs/>
          <w:lang w:val="en-US" w:eastAsia="zh-CN"/>
        </w:rPr>
        <w:t>排放</w:t>
      </w:r>
      <w:r>
        <w:rPr>
          <w:rFonts w:hint="eastAsia" w:ascii="Times New Roman" w:hAnsi="Times New Roman" w:eastAsia="黑体" w:cs="Times New Roman"/>
          <w:b/>
          <w:bCs/>
        </w:rPr>
        <w:t>情况</w:t>
      </w:r>
    </w:p>
    <w:tbl>
      <w:tblPr>
        <w:tblStyle w:val="16"/>
        <w:tblW w:w="10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163"/>
        <w:gridCol w:w="1100"/>
        <w:gridCol w:w="1055"/>
        <w:gridCol w:w="1007"/>
        <w:gridCol w:w="893"/>
        <w:gridCol w:w="1000"/>
        <w:gridCol w:w="1125"/>
        <w:gridCol w:w="937"/>
        <w:gridCol w:w="92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1" w:type="dxa"/>
            <w:vMerge w:val="restart"/>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33" w:name="_Toc17122"/>
            <w:bookmarkStart w:id="34" w:name="_Toc3413"/>
            <w:r>
              <w:rPr>
                <w:rFonts w:hint="eastAsia" w:ascii="Times New Roman" w:hAnsi="Times New Roman" w:eastAsia="宋体" w:cs="仿宋"/>
                <w:b w:val="0"/>
                <w:bCs w:val="0"/>
                <w:color w:val="000000"/>
                <w:kern w:val="0"/>
                <w:sz w:val="22"/>
                <w:szCs w:val="22"/>
                <w:lang w:val="en-US" w:eastAsia="zh-CN" w:bidi="ar"/>
              </w:rPr>
              <w:t>畜种</w:t>
            </w:r>
            <w:bookmarkEnd w:id="33"/>
            <w:bookmarkEnd w:id="34"/>
          </w:p>
        </w:tc>
        <w:tc>
          <w:tcPr>
            <w:tcW w:w="10120" w:type="dxa"/>
            <w:gridSpan w:val="10"/>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35" w:name="_Toc24721"/>
            <w:bookmarkStart w:id="36" w:name="_Toc24903"/>
            <w:r>
              <w:rPr>
                <w:rFonts w:hint="eastAsia" w:ascii="Times New Roman" w:hAnsi="Times New Roman" w:eastAsia="宋体" w:cs="仿宋"/>
                <w:b w:val="0"/>
                <w:bCs w:val="0"/>
                <w:color w:val="000000"/>
                <w:kern w:val="0"/>
                <w:sz w:val="22"/>
                <w:szCs w:val="22"/>
                <w:lang w:val="en-US" w:eastAsia="zh-CN" w:bidi="ar"/>
              </w:rPr>
              <w:t>年排放量（t/a）</w:t>
            </w:r>
            <w:bookmarkEnd w:id="35"/>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continue"/>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outlineLvl w:val="9"/>
              <w:rPr>
                <w:rFonts w:hint="eastAsia" w:ascii="Times New Roman" w:hAnsi="Times New Roman" w:eastAsia="宋体" w:cs="仿宋"/>
                <w:b w:val="0"/>
                <w:bCs w:val="0"/>
                <w:color w:val="000000"/>
                <w:kern w:val="0"/>
                <w:sz w:val="22"/>
                <w:szCs w:val="22"/>
                <w:lang w:val="en-US" w:eastAsia="zh-CN" w:bidi="ar"/>
              </w:rPr>
            </w:pPr>
          </w:p>
        </w:tc>
        <w:tc>
          <w:tcPr>
            <w:tcW w:w="5218" w:type="dxa"/>
            <w:gridSpan w:val="5"/>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37" w:name="_Toc12891"/>
            <w:bookmarkStart w:id="38" w:name="_Toc29118"/>
            <w:r>
              <w:rPr>
                <w:rFonts w:hint="eastAsia" w:ascii="Times New Roman" w:hAnsi="Times New Roman" w:eastAsia="宋体" w:cs="仿宋"/>
                <w:b w:val="0"/>
                <w:bCs w:val="0"/>
                <w:color w:val="000000"/>
                <w:kern w:val="0"/>
                <w:sz w:val="22"/>
                <w:szCs w:val="22"/>
                <w:lang w:val="en-US" w:eastAsia="zh-CN" w:bidi="ar"/>
              </w:rPr>
              <w:t>规模以上养殖场</w:t>
            </w:r>
            <w:bookmarkEnd w:id="37"/>
            <w:bookmarkEnd w:id="38"/>
          </w:p>
        </w:tc>
        <w:tc>
          <w:tcPr>
            <w:tcW w:w="4902" w:type="dxa"/>
            <w:gridSpan w:val="5"/>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39" w:name="_Toc4295"/>
            <w:bookmarkStart w:id="40" w:name="_Toc20294"/>
            <w:r>
              <w:rPr>
                <w:rFonts w:hint="eastAsia" w:ascii="Times New Roman" w:hAnsi="Times New Roman" w:eastAsia="宋体" w:cs="仿宋"/>
                <w:b w:val="0"/>
                <w:bCs w:val="0"/>
                <w:color w:val="000000"/>
                <w:kern w:val="0"/>
                <w:sz w:val="22"/>
                <w:szCs w:val="22"/>
                <w:lang w:val="en-US" w:eastAsia="zh-CN" w:bidi="ar"/>
              </w:rPr>
              <w:t>规模以下养殖户</w:t>
            </w:r>
            <w:bookmarkEnd w:id="39"/>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continue"/>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outlineLvl w:val="9"/>
              <w:rPr>
                <w:rFonts w:hint="eastAsia" w:ascii="Times New Roman" w:hAnsi="Times New Roman" w:eastAsia="宋体" w:cs="仿宋"/>
                <w:b w:val="0"/>
                <w:bCs w:val="0"/>
                <w:color w:val="000000"/>
                <w:kern w:val="0"/>
                <w:sz w:val="22"/>
                <w:szCs w:val="22"/>
                <w:lang w:val="en-US" w:eastAsia="zh-CN" w:bidi="ar"/>
              </w:rPr>
            </w:pPr>
          </w:p>
        </w:tc>
        <w:tc>
          <w:tcPr>
            <w:tcW w:w="1163"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41" w:name="_Toc11892"/>
            <w:bookmarkStart w:id="42" w:name="_Toc15675"/>
            <w:r>
              <w:rPr>
                <w:rFonts w:hint="eastAsia" w:ascii="Times New Roman" w:hAnsi="Times New Roman" w:eastAsia="宋体" w:cs="仿宋"/>
                <w:b w:val="0"/>
                <w:bCs w:val="0"/>
                <w:color w:val="000000"/>
                <w:kern w:val="0"/>
                <w:sz w:val="22"/>
                <w:szCs w:val="22"/>
                <w:lang w:val="en-US" w:eastAsia="zh-CN" w:bidi="ar"/>
              </w:rPr>
              <w:t>养殖量（头、羽）</w:t>
            </w:r>
            <w:bookmarkEnd w:id="41"/>
            <w:bookmarkEnd w:id="42"/>
          </w:p>
        </w:tc>
        <w:tc>
          <w:tcPr>
            <w:tcW w:w="1100"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43" w:name="_Toc26826"/>
            <w:bookmarkStart w:id="44" w:name="_Toc27300"/>
            <w:r>
              <w:rPr>
                <w:rFonts w:hint="eastAsia" w:ascii="Times New Roman" w:hAnsi="Times New Roman" w:eastAsia="宋体" w:cs="仿宋"/>
                <w:b w:val="0"/>
                <w:bCs w:val="0"/>
                <w:color w:val="000000"/>
                <w:kern w:val="0"/>
                <w:sz w:val="22"/>
                <w:szCs w:val="22"/>
                <w:lang w:val="en-US" w:eastAsia="zh-CN" w:bidi="ar"/>
              </w:rPr>
              <w:t>COD</w:t>
            </w:r>
            <w:bookmarkEnd w:id="43"/>
            <w:bookmarkEnd w:id="44"/>
          </w:p>
        </w:tc>
        <w:tc>
          <w:tcPr>
            <w:tcW w:w="1055"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45" w:name="_Toc13470"/>
            <w:bookmarkStart w:id="46" w:name="_Toc27729"/>
            <w:r>
              <w:rPr>
                <w:rFonts w:hint="eastAsia" w:ascii="Times New Roman" w:hAnsi="Times New Roman" w:eastAsia="宋体" w:cs="仿宋"/>
                <w:b w:val="0"/>
                <w:bCs w:val="0"/>
                <w:color w:val="000000"/>
                <w:kern w:val="0"/>
                <w:sz w:val="22"/>
                <w:szCs w:val="22"/>
                <w:lang w:val="en-US" w:eastAsia="zh-CN" w:bidi="ar"/>
              </w:rPr>
              <w:t>总氮</w:t>
            </w:r>
            <w:bookmarkEnd w:id="45"/>
            <w:bookmarkEnd w:id="46"/>
          </w:p>
        </w:tc>
        <w:tc>
          <w:tcPr>
            <w:tcW w:w="1007"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47" w:name="_Toc6478"/>
            <w:bookmarkStart w:id="48" w:name="_Toc8962"/>
            <w:r>
              <w:rPr>
                <w:rFonts w:hint="eastAsia" w:ascii="Times New Roman" w:hAnsi="Times New Roman" w:eastAsia="宋体" w:cs="仿宋"/>
                <w:b w:val="0"/>
                <w:bCs w:val="0"/>
                <w:color w:val="000000"/>
                <w:kern w:val="0"/>
                <w:sz w:val="22"/>
                <w:szCs w:val="22"/>
                <w:lang w:val="en-US" w:eastAsia="zh-CN" w:bidi="ar"/>
              </w:rPr>
              <w:t>氨氮</w:t>
            </w:r>
            <w:bookmarkEnd w:id="47"/>
            <w:bookmarkEnd w:id="48"/>
          </w:p>
        </w:tc>
        <w:tc>
          <w:tcPr>
            <w:tcW w:w="893"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49" w:name="_Toc32627"/>
            <w:bookmarkStart w:id="50" w:name="_Toc10408"/>
            <w:r>
              <w:rPr>
                <w:rFonts w:hint="eastAsia" w:ascii="Times New Roman" w:hAnsi="Times New Roman" w:eastAsia="宋体" w:cs="仿宋"/>
                <w:b w:val="0"/>
                <w:bCs w:val="0"/>
                <w:color w:val="000000"/>
                <w:kern w:val="0"/>
                <w:sz w:val="22"/>
                <w:szCs w:val="22"/>
                <w:lang w:val="en-US" w:eastAsia="zh-CN" w:bidi="ar"/>
              </w:rPr>
              <w:t>总磷</w:t>
            </w:r>
            <w:bookmarkEnd w:id="49"/>
            <w:bookmarkEnd w:id="50"/>
          </w:p>
        </w:tc>
        <w:tc>
          <w:tcPr>
            <w:tcW w:w="1000"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51" w:name="_Toc16524"/>
            <w:bookmarkStart w:id="52" w:name="_Toc3457"/>
            <w:r>
              <w:rPr>
                <w:rFonts w:hint="eastAsia" w:ascii="Times New Roman" w:hAnsi="Times New Roman" w:eastAsia="宋体" w:cs="仿宋"/>
                <w:b w:val="0"/>
                <w:bCs w:val="0"/>
                <w:color w:val="000000"/>
                <w:kern w:val="0"/>
                <w:sz w:val="22"/>
                <w:szCs w:val="22"/>
                <w:lang w:val="en-US" w:eastAsia="zh-CN" w:bidi="ar"/>
              </w:rPr>
              <w:t>养殖量（头、羽）</w:t>
            </w:r>
            <w:bookmarkEnd w:id="51"/>
            <w:bookmarkEnd w:id="52"/>
          </w:p>
        </w:tc>
        <w:tc>
          <w:tcPr>
            <w:tcW w:w="1125"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53" w:name="_Toc19040"/>
            <w:bookmarkStart w:id="54" w:name="_Toc27769"/>
            <w:r>
              <w:rPr>
                <w:rFonts w:hint="eastAsia" w:ascii="Times New Roman" w:hAnsi="Times New Roman" w:eastAsia="宋体" w:cs="仿宋"/>
                <w:b w:val="0"/>
                <w:bCs w:val="0"/>
                <w:color w:val="000000"/>
                <w:kern w:val="0"/>
                <w:sz w:val="22"/>
                <w:szCs w:val="22"/>
                <w:lang w:val="en-US" w:eastAsia="zh-CN" w:bidi="ar"/>
              </w:rPr>
              <w:t>COD</w:t>
            </w:r>
            <w:bookmarkEnd w:id="53"/>
            <w:bookmarkEnd w:id="54"/>
          </w:p>
        </w:tc>
        <w:tc>
          <w:tcPr>
            <w:tcW w:w="937"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55" w:name="_Toc32154"/>
            <w:bookmarkStart w:id="56" w:name="_Toc11036"/>
            <w:r>
              <w:rPr>
                <w:rFonts w:hint="eastAsia" w:ascii="Times New Roman" w:hAnsi="Times New Roman" w:eastAsia="宋体" w:cs="仿宋"/>
                <w:b w:val="0"/>
                <w:bCs w:val="0"/>
                <w:color w:val="000000"/>
                <w:kern w:val="0"/>
                <w:sz w:val="22"/>
                <w:szCs w:val="22"/>
                <w:lang w:val="en-US" w:eastAsia="zh-CN" w:bidi="ar"/>
              </w:rPr>
              <w:t>总氮</w:t>
            </w:r>
            <w:bookmarkEnd w:id="55"/>
            <w:bookmarkEnd w:id="56"/>
          </w:p>
        </w:tc>
        <w:tc>
          <w:tcPr>
            <w:tcW w:w="925"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57" w:name="_Toc31856"/>
            <w:bookmarkStart w:id="58" w:name="_Toc7570"/>
            <w:r>
              <w:rPr>
                <w:rFonts w:hint="eastAsia" w:ascii="Times New Roman" w:hAnsi="Times New Roman" w:eastAsia="宋体" w:cs="仿宋"/>
                <w:b w:val="0"/>
                <w:bCs w:val="0"/>
                <w:color w:val="000000"/>
                <w:kern w:val="0"/>
                <w:sz w:val="22"/>
                <w:szCs w:val="22"/>
                <w:lang w:val="en-US" w:eastAsia="zh-CN" w:bidi="ar"/>
              </w:rPr>
              <w:t>氨氮</w:t>
            </w:r>
            <w:bookmarkEnd w:id="57"/>
            <w:bookmarkEnd w:id="58"/>
          </w:p>
        </w:tc>
        <w:tc>
          <w:tcPr>
            <w:tcW w:w="915"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59" w:name="_Toc22130"/>
            <w:bookmarkStart w:id="60" w:name="_Toc14366"/>
            <w:r>
              <w:rPr>
                <w:rFonts w:hint="eastAsia" w:ascii="Times New Roman" w:hAnsi="Times New Roman" w:eastAsia="宋体" w:cs="仿宋"/>
                <w:b w:val="0"/>
                <w:bCs w:val="0"/>
                <w:color w:val="000000"/>
                <w:kern w:val="0"/>
                <w:sz w:val="22"/>
                <w:szCs w:val="22"/>
                <w:lang w:val="en-US" w:eastAsia="zh-CN" w:bidi="ar"/>
              </w:rPr>
              <w:t>总磷</w:t>
            </w:r>
            <w:bookmarkEnd w:id="59"/>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bookmarkStart w:id="61" w:name="_Toc15697"/>
            <w:bookmarkStart w:id="62" w:name="_Toc17120"/>
            <w:r>
              <w:rPr>
                <w:rFonts w:hint="eastAsia" w:ascii="Times New Roman" w:hAnsi="Times New Roman" w:eastAsia="宋体" w:cs="仿宋"/>
                <w:b w:val="0"/>
                <w:bCs w:val="0"/>
                <w:color w:val="000000"/>
                <w:kern w:val="0"/>
                <w:sz w:val="22"/>
                <w:szCs w:val="22"/>
                <w:lang w:val="en-US" w:eastAsia="zh-CN" w:bidi="ar"/>
              </w:rPr>
              <w:t>生猪</w:t>
            </w:r>
            <w:bookmarkEnd w:id="61"/>
            <w:bookmarkEnd w:id="62"/>
          </w:p>
        </w:tc>
        <w:tc>
          <w:tcPr>
            <w:tcW w:w="116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189420</w:t>
            </w:r>
          </w:p>
        </w:tc>
        <w:tc>
          <w:tcPr>
            <w:tcW w:w="11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13091</w:t>
            </w:r>
          </w:p>
        </w:tc>
        <w:tc>
          <w:tcPr>
            <w:tcW w:w="10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1051.47</w:t>
            </w:r>
          </w:p>
        </w:tc>
        <w:tc>
          <w:tcPr>
            <w:tcW w:w="100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292.09</w:t>
            </w:r>
          </w:p>
        </w:tc>
        <w:tc>
          <w:tcPr>
            <w:tcW w:w="8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251.36</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1876</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141.64</w:t>
            </w:r>
          </w:p>
        </w:tc>
        <w:tc>
          <w:tcPr>
            <w:tcW w:w="9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6.38</w:t>
            </w:r>
          </w:p>
        </w:tc>
        <w:tc>
          <w:tcPr>
            <w:tcW w:w="9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0.75</w:t>
            </w:r>
          </w:p>
        </w:tc>
        <w:tc>
          <w:tcPr>
            <w:tcW w:w="91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highlight w:val="none"/>
                <w:lang w:val="en-US" w:eastAsia="zh-CN" w:bidi="ar"/>
              </w:rPr>
            </w:pPr>
            <w:bookmarkStart w:id="63" w:name="_Toc17115"/>
            <w:bookmarkStart w:id="64" w:name="_Toc178"/>
            <w:r>
              <w:rPr>
                <w:rFonts w:hint="eastAsia" w:ascii="Times New Roman" w:hAnsi="Times New Roman" w:eastAsia="宋体" w:cs="仿宋"/>
                <w:b w:val="0"/>
                <w:bCs w:val="0"/>
                <w:color w:val="000000"/>
                <w:kern w:val="0"/>
                <w:sz w:val="22"/>
                <w:szCs w:val="22"/>
                <w:highlight w:val="none"/>
                <w:lang w:val="en-US" w:eastAsia="zh-CN" w:bidi="ar"/>
              </w:rPr>
              <w:t>家禽</w:t>
            </w:r>
            <w:bookmarkEnd w:id="63"/>
            <w:bookmarkEnd w:id="64"/>
          </w:p>
        </w:tc>
        <w:tc>
          <w:tcPr>
            <w:tcW w:w="116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i w:val="0"/>
                <w:iCs w:val="0"/>
                <w:color w:val="000000"/>
                <w:kern w:val="0"/>
                <w:sz w:val="22"/>
                <w:szCs w:val="22"/>
                <w:highlight w:val="none"/>
                <w:u w:val="none"/>
                <w:lang w:val="en-US" w:eastAsia="zh-CN" w:bidi="ar"/>
              </w:rPr>
              <w:t>996600</w:t>
            </w:r>
          </w:p>
        </w:tc>
        <w:tc>
          <w:tcPr>
            <w:tcW w:w="11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b w:val="0"/>
                <w:bCs w:val="0"/>
                <w:color w:val="000000"/>
                <w:kern w:val="0"/>
                <w:sz w:val="22"/>
                <w:szCs w:val="22"/>
                <w:highlight w:val="none"/>
                <w:lang w:val="en-US" w:eastAsia="zh-CN" w:bidi="ar"/>
              </w:rPr>
              <w:t>2685.84</w:t>
            </w:r>
          </w:p>
        </w:tc>
        <w:tc>
          <w:tcPr>
            <w:tcW w:w="10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b w:val="0"/>
                <w:bCs w:val="0"/>
                <w:color w:val="000000"/>
                <w:kern w:val="0"/>
                <w:sz w:val="22"/>
                <w:szCs w:val="22"/>
                <w:highlight w:val="none"/>
                <w:lang w:val="en-US" w:eastAsia="zh-CN" w:bidi="ar"/>
              </w:rPr>
              <w:t>99.66</w:t>
            </w:r>
          </w:p>
        </w:tc>
        <w:tc>
          <w:tcPr>
            <w:tcW w:w="100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b w:val="0"/>
                <w:bCs w:val="0"/>
                <w:color w:val="000000"/>
                <w:kern w:val="0"/>
                <w:sz w:val="22"/>
                <w:szCs w:val="22"/>
                <w:highlight w:val="none"/>
                <w:lang w:val="en-US" w:eastAsia="zh-CN" w:bidi="ar"/>
              </w:rPr>
              <w:t>36.87</w:t>
            </w:r>
          </w:p>
        </w:tc>
        <w:tc>
          <w:tcPr>
            <w:tcW w:w="8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b w:val="0"/>
                <w:bCs w:val="0"/>
                <w:color w:val="000000"/>
                <w:kern w:val="0"/>
                <w:sz w:val="22"/>
                <w:szCs w:val="22"/>
                <w:highlight w:val="none"/>
                <w:lang w:val="en-US" w:eastAsia="zh-CN" w:bidi="ar"/>
              </w:rPr>
              <w:t>21.93</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highlight w:val="none"/>
                <w:lang w:val="en-US" w:eastAsia="zh-CN" w:bidi="ar"/>
              </w:rPr>
            </w:pPr>
            <w:r>
              <w:rPr>
                <w:rFonts w:hint="eastAsia" w:ascii="Times New Roman" w:hAnsi="Times New Roman" w:eastAsia="宋体" w:cs="仿宋"/>
                <w:b w:val="0"/>
                <w:bCs w:val="0"/>
                <w:color w:val="000000"/>
                <w:kern w:val="0"/>
                <w:sz w:val="22"/>
                <w:szCs w:val="22"/>
                <w:highlight w:val="none"/>
                <w:lang w:val="en-US" w:eastAsia="zh-CN" w:bidi="ar"/>
              </w:rPr>
              <w:t>2289547</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i w:val="0"/>
                <w:iCs w:val="0"/>
                <w:color w:val="000000"/>
                <w:kern w:val="0"/>
                <w:sz w:val="22"/>
                <w:szCs w:val="22"/>
                <w:highlight w:val="none"/>
                <w:u w:val="none"/>
                <w:lang w:val="en-US" w:eastAsia="zh-CN" w:bidi="ar"/>
              </w:rPr>
              <w:t>5037.00</w:t>
            </w:r>
          </w:p>
        </w:tc>
        <w:tc>
          <w:tcPr>
            <w:tcW w:w="9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i w:val="0"/>
                <w:iCs w:val="0"/>
                <w:color w:val="000000"/>
                <w:kern w:val="0"/>
                <w:sz w:val="22"/>
                <w:szCs w:val="22"/>
                <w:highlight w:val="none"/>
                <w:u w:val="none"/>
                <w:lang w:val="en-US" w:eastAsia="zh-CN" w:bidi="ar"/>
              </w:rPr>
              <w:t>228.95</w:t>
            </w:r>
          </w:p>
        </w:tc>
        <w:tc>
          <w:tcPr>
            <w:tcW w:w="9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i w:val="0"/>
                <w:iCs w:val="0"/>
                <w:color w:val="000000"/>
                <w:kern w:val="0"/>
                <w:sz w:val="22"/>
                <w:szCs w:val="22"/>
                <w:highlight w:val="none"/>
                <w:u w:val="none"/>
                <w:lang w:val="en-US" w:eastAsia="zh-CN" w:bidi="ar"/>
              </w:rPr>
              <w:t>22.89</w:t>
            </w:r>
          </w:p>
        </w:tc>
        <w:tc>
          <w:tcPr>
            <w:tcW w:w="91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仿宋"/>
                <w:b w:val="0"/>
                <w:bCs w:val="0"/>
                <w:color w:val="000000"/>
                <w:kern w:val="0"/>
                <w:sz w:val="22"/>
                <w:szCs w:val="22"/>
                <w:highlight w:val="none"/>
                <w:lang w:val="en-US" w:eastAsia="zh-CN" w:bidi="ar"/>
              </w:rPr>
            </w:pPr>
            <w:r>
              <w:rPr>
                <w:rFonts w:hint="eastAsia" w:cs="仿宋"/>
                <w:i w:val="0"/>
                <w:iCs w:val="0"/>
                <w:color w:val="000000"/>
                <w:kern w:val="0"/>
                <w:sz w:val="22"/>
                <w:szCs w:val="22"/>
                <w:highlight w:val="none"/>
                <w:u w:val="none"/>
                <w:lang w:val="en-US" w:eastAsia="zh-CN" w:bidi="ar"/>
              </w:rPr>
              <w:t>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65" w:name="_Toc5080"/>
            <w:bookmarkStart w:id="66" w:name="_Toc2692"/>
            <w:r>
              <w:rPr>
                <w:rFonts w:hint="eastAsia" w:ascii="Times New Roman" w:hAnsi="Times New Roman" w:eastAsia="宋体" w:cs="仿宋"/>
                <w:b w:val="0"/>
                <w:bCs w:val="0"/>
                <w:color w:val="000000"/>
                <w:kern w:val="0"/>
                <w:sz w:val="22"/>
                <w:szCs w:val="22"/>
                <w:lang w:val="en-US" w:eastAsia="zh-CN" w:bidi="ar"/>
              </w:rPr>
              <w:t>牛</w:t>
            </w:r>
            <w:bookmarkEnd w:id="65"/>
            <w:bookmarkEnd w:id="66"/>
          </w:p>
        </w:tc>
        <w:tc>
          <w:tcPr>
            <w:tcW w:w="116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1000</w:t>
            </w:r>
          </w:p>
        </w:tc>
        <w:tc>
          <w:tcPr>
            <w:tcW w:w="11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1288.16</w:t>
            </w:r>
          </w:p>
        </w:tc>
        <w:tc>
          <w:tcPr>
            <w:tcW w:w="10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62.47</w:t>
            </w:r>
          </w:p>
        </w:tc>
        <w:tc>
          <w:tcPr>
            <w:tcW w:w="100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4.06</w:t>
            </w:r>
          </w:p>
        </w:tc>
        <w:tc>
          <w:tcPr>
            <w:tcW w:w="8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9.41</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7524</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13997.65</w:t>
            </w:r>
          </w:p>
        </w:tc>
        <w:tc>
          <w:tcPr>
            <w:tcW w:w="9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343.09</w:t>
            </w:r>
          </w:p>
        </w:tc>
        <w:tc>
          <w:tcPr>
            <w:tcW w:w="9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24.08</w:t>
            </w:r>
          </w:p>
        </w:tc>
        <w:tc>
          <w:tcPr>
            <w:tcW w:w="91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56.43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67" w:name="_Toc22791"/>
            <w:bookmarkStart w:id="68" w:name="_Toc32094"/>
            <w:r>
              <w:rPr>
                <w:rFonts w:hint="eastAsia" w:ascii="Times New Roman" w:hAnsi="Times New Roman" w:eastAsia="宋体" w:cs="仿宋"/>
                <w:b w:val="0"/>
                <w:bCs w:val="0"/>
                <w:color w:val="000000"/>
                <w:kern w:val="0"/>
                <w:sz w:val="22"/>
                <w:szCs w:val="22"/>
                <w:lang w:val="en-US" w:eastAsia="zh-CN" w:bidi="ar"/>
              </w:rPr>
              <w:t>羊</w:t>
            </w:r>
            <w:bookmarkEnd w:id="67"/>
            <w:bookmarkEnd w:id="68"/>
          </w:p>
        </w:tc>
        <w:tc>
          <w:tcPr>
            <w:tcW w:w="116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2420</w:t>
            </w:r>
          </w:p>
        </w:tc>
        <w:tc>
          <w:tcPr>
            <w:tcW w:w="11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66.9</w:t>
            </w:r>
          </w:p>
        </w:tc>
        <w:tc>
          <w:tcPr>
            <w:tcW w:w="10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5.37</w:t>
            </w:r>
          </w:p>
        </w:tc>
        <w:tc>
          <w:tcPr>
            <w:tcW w:w="100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1.49</w:t>
            </w:r>
          </w:p>
        </w:tc>
        <w:tc>
          <w:tcPr>
            <w:tcW w:w="8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1.29</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57235</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1728.50</w:t>
            </w:r>
          </w:p>
        </w:tc>
        <w:tc>
          <w:tcPr>
            <w:tcW w:w="9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77.84</w:t>
            </w:r>
          </w:p>
        </w:tc>
        <w:tc>
          <w:tcPr>
            <w:tcW w:w="9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9.16</w:t>
            </w:r>
          </w:p>
        </w:tc>
        <w:tc>
          <w:tcPr>
            <w:tcW w:w="91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27.47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5"/>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仿宋"/>
                <w:b w:val="0"/>
                <w:bCs w:val="0"/>
                <w:color w:val="000000"/>
                <w:kern w:val="0"/>
                <w:sz w:val="22"/>
                <w:szCs w:val="22"/>
                <w:lang w:val="en-US" w:eastAsia="zh-CN" w:bidi="ar"/>
              </w:rPr>
            </w:pPr>
            <w:bookmarkStart w:id="69" w:name="_Toc3921"/>
            <w:bookmarkStart w:id="70" w:name="_Toc8247"/>
            <w:r>
              <w:rPr>
                <w:rFonts w:hint="eastAsia" w:ascii="Times New Roman" w:hAnsi="Times New Roman" w:eastAsia="宋体" w:cs="仿宋"/>
                <w:b w:val="0"/>
                <w:bCs w:val="0"/>
                <w:color w:val="000000"/>
                <w:kern w:val="0"/>
                <w:sz w:val="22"/>
                <w:szCs w:val="22"/>
                <w:lang w:val="en-US" w:eastAsia="zh-CN" w:bidi="ar"/>
              </w:rPr>
              <w:t>兔</w:t>
            </w:r>
            <w:bookmarkEnd w:id="69"/>
            <w:bookmarkEnd w:id="70"/>
          </w:p>
        </w:tc>
        <w:tc>
          <w:tcPr>
            <w:tcW w:w="116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28000</w:t>
            </w:r>
          </w:p>
        </w:tc>
        <w:tc>
          <w:tcPr>
            <w:tcW w:w="11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64.51</w:t>
            </w:r>
          </w:p>
        </w:tc>
        <w:tc>
          <w:tcPr>
            <w:tcW w:w="10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5.18</w:t>
            </w:r>
          </w:p>
        </w:tc>
        <w:tc>
          <w:tcPr>
            <w:tcW w:w="100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1.428</w:t>
            </w:r>
          </w:p>
        </w:tc>
        <w:tc>
          <w:tcPr>
            <w:tcW w:w="8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1.232</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b w:val="0"/>
                <w:bCs w:val="0"/>
                <w:color w:val="000000"/>
                <w:kern w:val="0"/>
                <w:sz w:val="22"/>
                <w:szCs w:val="22"/>
                <w:lang w:val="en-US" w:eastAsia="zh-CN" w:bidi="ar"/>
              </w:rPr>
              <w:t>156830</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395.21</w:t>
            </w:r>
          </w:p>
        </w:tc>
        <w:tc>
          <w:tcPr>
            <w:tcW w:w="9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17.25</w:t>
            </w:r>
          </w:p>
        </w:tc>
        <w:tc>
          <w:tcPr>
            <w:tcW w:w="92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2.04</w:t>
            </w:r>
          </w:p>
        </w:tc>
        <w:tc>
          <w:tcPr>
            <w:tcW w:w="91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仿宋"/>
                <w:b w:val="0"/>
                <w:bCs w:val="0"/>
                <w:color w:val="000000"/>
                <w:kern w:val="0"/>
                <w:sz w:val="22"/>
                <w:szCs w:val="22"/>
                <w:lang w:val="en-US" w:eastAsia="zh-CN" w:bidi="ar"/>
              </w:rPr>
            </w:pPr>
            <w:r>
              <w:rPr>
                <w:rFonts w:hint="eastAsia" w:ascii="Times New Roman" w:hAnsi="Times New Roman" w:eastAsia="宋体" w:cs="仿宋"/>
                <w:i w:val="0"/>
                <w:iCs w:val="0"/>
                <w:color w:val="000000"/>
                <w:kern w:val="0"/>
                <w:sz w:val="22"/>
                <w:szCs w:val="22"/>
                <w:u w:val="none"/>
                <w:lang w:val="en-US" w:eastAsia="zh-CN" w:bidi="ar"/>
              </w:rPr>
              <w:t>6.27</w:t>
            </w:r>
          </w:p>
        </w:tc>
      </w:tr>
    </w:tbl>
    <w:p>
      <w:pPr>
        <w:pStyle w:val="5"/>
        <w:bidi w:val="0"/>
        <w:outlineLvl w:val="9"/>
        <w:rPr>
          <w:rFonts w:hint="eastAsia"/>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1" w:name="_Toc22488"/>
    </w:p>
    <w:p>
      <w:pPr>
        <w:pStyle w:val="5"/>
        <w:bidi w:val="0"/>
        <w:rPr>
          <w:rFonts w:hint="eastAsia"/>
          <w:color w:val="auto"/>
          <w:lang w:val="en-US" w:eastAsia="zh-CN"/>
        </w:rPr>
      </w:pPr>
      <w:bookmarkStart w:id="72" w:name="_Toc1960"/>
      <w:r>
        <w:rPr>
          <w:rFonts w:hint="eastAsia"/>
          <w:color w:val="auto"/>
        </w:rPr>
        <w:t>3</w:t>
      </w:r>
      <w:r>
        <w:rPr>
          <w:color w:val="auto"/>
        </w:rPr>
        <w:t>.</w:t>
      </w:r>
      <w:r>
        <w:rPr>
          <w:rFonts w:hint="eastAsia"/>
          <w:color w:val="auto"/>
        </w:rPr>
        <w:t>3</w:t>
      </w:r>
      <w:r>
        <w:rPr>
          <w:rFonts w:hint="eastAsia"/>
          <w:color w:val="auto"/>
          <w:lang w:val="en-US" w:eastAsia="zh-CN"/>
        </w:rPr>
        <w:t>闽侯县</w:t>
      </w:r>
      <w:r>
        <w:rPr>
          <w:rFonts w:hint="eastAsia"/>
          <w:color w:val="auto"/>
        </w:rPr>
        <w:t>畜禽养殖污染物</w:t>
      </w:r>
      <w:r>
        <w:rPr>
          <w:rFonts w:hint="eastAsia"/>
          <w:color w:val="auto"/>
          <w:lang w:val="en-US" w:eastAsia="zh-CN"/>
        </w:rPr>
        <w:t>防治现状</w:t>
      </w:r>
      <w:bookmarkEnd w:id="71"/>
      <w:bookmarkEnd w:id="72"/>
    </w:p>
    <w:p>
      <w:pPr>
        <w:bidi w:val="0"/>
        <w:rPr>
          <w:rFonts w:hint="eastAsia"/>
          <w:lang w:val="en-US" w:eastAsia="zh-CN"/>
        </w:rPr>
      </w:pPr>
      <w:r>
        <w:rPr>
          <w:rFonts w:hint="eastAsia"/>
          <w:lang w:val="en-US" w:eastAsia="zh-CN"/>
        </w:rPr>
        <w:t>根据《2021福州统计年鉴》，2020年福州市畜牧业各畜种主要集中在福清市和闽侯县，其中生猪饲养主要集中在福清市、闽侯县和连江县，三地生猪2020年年末存栏量占全市58.7%；牛饲养主要在福清市、闽侯县和罗源县，三地牛年末存栏量占全市57.97%；羊饲养单位主要集中在福清市、闽侯县和永泰县，三地年末存栏量占全市68.23%；兔饲养单位主要集中于福清市、闽侯县和永泰县，三地年末存栏量占全市64.06%；家禽饲养主要集中于福清市、闽侯县和闽清县，三地年末存栏量占全市62.22%。</w:t>
      </w:r>
    </w:p>
    <w:p>
      <w:pPr>
        <w:bidi w:val="0"/>
        <w:rPr>
          <w:rFonts w:hint="eastAsia"/>
          <w:lang w:val="en-US" w:eastAsia="zh-CN"/>
        </w:rPr>
      </w:pPr>
      <w:r>
        <w:rPr>
          <w:rFonts w:hint="eastAsia"/>
          <w:lang w:val="en-US" w:eastAsia="zh-CN"/>
        </w:rPr>
        <w:t>依据《福州市2021年统计年鉴》，闽侯县畜禽养殖存栏量见下表，按照</w:t>
      </w:r>
      <w:r>
        <w:rPr>
          <w:rFonts w:hint="default"/>
          <w:lang w:val="en-US" w:eastAsia="zh-CN"/>
        </w:rPr>
        <w:t>100</w:t>
      </w:r>
      <w:r>
        <w:rPr>
          <w:rFonts w:hint="eastAsia"/>
          <w:lang w:val="en-US" w:eastAsia="zh-CN"/>
        </w:rPr>
        <w:t>头猪相当于</w:t>
      </w:r>
      <w:r>
        <w:rPr>
          <w:rFonts w:hint="default"/>
          <w:lang w:val="en-US" w:eastAsia="zh-CN"/>
        </w:rPr>
        <w:t>15</w:t>
      </w:r>
      <w:r>
        <w:rPr>
          <w:rFonts w:hint="eastAsia"/>
          <w:lang w:val="en-US" w:eastAsia="zh-CN"/>
        </w:rPr>
        <w:t>头奶牛、</w:t>
      </w:r>
      <w:r>
        <w:rPr>
          <w:rFonts w:hint="default"/>
          <w:lang w:val="en-US" w:eastAsia="zh-CN"/>
        </w:rPr>
        <w:t>30</w:t>
      </w:r>
      <w:r>
        <w:rPr>
          <w:rFonts w:hint="eastAsia"/>
          <w:lang w:val="en-US" w:eastAsia="zh-CN"/>
        </w:rPr>
        <w:t>头肉牛、250只羊、</w:t>
      </w:r>
      <w:r>
        <w:rPr>
          <w:rFonts w:hint="default"/>
          <w:lang w:val="en-US" w:eastAsia="zh-CN"/>
        </w:rPr>
        <w:t>2500</w:t>
      </w:r>
      <w:r>
        <w:rPr>
          <w:rFonts w:hint="eastAsia"/>
          <w:lang w:val="en-US" w:eastAsia="zh-CN"/>
        </w:rPr>
        <w:t>只禽、3000只兔核算猪当量，以计算畜禽养殖规模。</w:t>
      </w:r>
    </w:p>
    <w:p>
      <w:pPr>
        <w:pStyle w:val="11"/>
        <w:adjustRightInd w:val="0"/>
        <w:snapToGrid w:val="0"/>
        <w:spacing w:line="240" w:lineRule="auto"/>
        <w:ind w:left="0" w:firstLine="0"/>
        <w:jc w:val="center"/>
        <w:rPr>
          <w:rFonts w:ascii="Times New Roman" w:hAnsi="Times New Roman" w:eastAsia="黑体" w:cs="Times New Roman"/>
          <w:b/>
          <w:bCs/>
        </w:rPr>
      </w:pPr>
      <w:r>
        <w:rPr>
          <w:rFonts w:hint="eastAsia" w:ascii="Times New Roman" w:hAnsi="Times New Roman" w:eastAsia="黑体" w:cs="Times New Roman"/>
          <w:b/>
          <w:bCs/>
          <w:lang w:val="en-US" w:eastAsia="zh-CN"/>
        </w:rPr>
        <w:t>表 3.</w:t>
      </w:r>
      <w:r>
        <w:rPr>
          <w:rFonts w:hint="eastAsia" w:eastAsia="黑体" w:cs="Times New Roman"/>
          <w:b/>
          <w:bCs/>
          <w:lang w:val="en-US" w:eastAsia="zh-CN"/>
        </w:rPr>
        <w:t xml:space="preserve">8 </w:t>
      </w:r>
      <w:r>
        <w:rPr>
          <w:rFonts w:hint="default" w:ascii="Times New Roman" w:hAnsi="Times New Roman" w:eastAsia="黑体" w:cs="Times New Roman"/>
          <w:b/>
          <w:bCs/>
          <w:lang w:val="en-US" w:eastAsia="zh-CN"/>
        </w:rPr>
        <w:t xml:space="preserve"> </w:t>
      </w:r>
      <w:r>
        <w:rPr>
          <w:rFonts w:hint="eastAsia" w:ascii="Times New Roman" w:hAnsi="Times New Roman" w:eastAsia="黑体" w:cs="Times New Roman"/>
          <w:b/>
          <w:bCs/>
          <w:lang w:val="en-US" w:eastAsia="zh-CN"/>
        </w:rPr>
        <w:t>闽侯县畜禽养殖折算猪当量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511"/>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9"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种类</w:t>
            </w:r>
          </w:p>
        </w:tc>
        <w:tc>
          <w:tcPr>
            <w:tcW w:w="151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福州市养殖存栏量（头/万只）</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猪当量（头）</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闽侯县养殖存栏量（头/万只）</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猪当量（头）</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闽侯县占全市比重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猪</w:t>
            </w:r>
          </w:p>
        </w:tc>
        <w:tc>
          <w:tcPr>
            <w:tcW w:w="151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1077164</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1077164</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191296</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191296</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肉牛</w:t>
            </w:r>
          </w:p>
        </w:tc>
        <w:tc>
          <w:tcPr>
            <w:tcW w:w="151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42713</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142377</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8524</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28413</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禽类</w:t>
            </w:r>
          </w:p>
        </w:tc>
        <w:tc>
          <w:tcPr>
            <w:tcW w:w="151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12222454</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488898</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3286147</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131446</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329"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羊</w:t>
            </w:r>
          </w:p>
        </w:tc>
        <w:tc>
          <w:tcPr>
            <w:tcW w:w="151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274696</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109878</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59655</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23862</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兔</w:t>
            </w:r>
          </w:p>
        </w:tc>
        <w:tc>
          <w:tcPr>
            <w:tcW w:w="151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811042</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27035</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184830</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6161</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猪当量合计</w:t>
            </w:r>
          </w:p>
        </w:tc>
        <w:tc>
          <w:tcPr>
            <w:tcW w:w="151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1845352</w:t>
            </w:r>
          </w:p>
        </w:tc>
        <w:tc>
          <w:tcPr>
            <w:tcW w:w="1420"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381178</w:t>
            </w:r>
          </w:p>
        </w:tc>
        <w:tc>
          <w:tcPr>
            <w:tcW w:w="142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000000"/>
                <w:kern w:val="0"/>
                <w:sz w:val="21"/>
                <w:szCs w:val="22"/>
                <w:lang w:val="en-US" w:eastAsia="zh-CN" w:bidi="ar"/>
              </w:rPr>
            </w:pPr>
            <w:r>
              <w:rPr>
                <w:rFonts w:hint="eastAsia" w:ascii="Times New Roman" w:hAnsi="Times New Roman" w:eastAsia="宋体" w:cs="仿宋"/>
                <w:b w:val="0"/>
                <w:bCs w:val="0"/>
                <w:color w:val="000000"/>
                <w:kern w:val="0"/>
                <w:sz w:val="21"/>
                <w:szCs w:val="22"/>
                <w:lang w:val="en-US" w:eastAsia="zh-CN" w:bidi="ar"/>
              </w:rPr>
              <w:t>20.66%</w:t>
            </w:r>
          </w:p>
        </w:tc>
      </w:tr>
    </w:tbl>
    <w:p>
      <w:pPr>
        <w:bidi w:val="0"/>
        <w:rPr>
          <w:rFonts w:hint="eastAsia"/>
          <w:lang w:val="en-US" w:eastAsia="zh-CN"/>
        </w:rPr>
      </w:pPr>
      <w:r>
        <w:rPr>
          <w:rFonts w:hint="eastAsia"/>
          <w:lang w:val="en-US" w:eastAsia="zh-CN"/>
        </w:rPr>
        <w:t>从表中可见，福州市2020年畜禽养殖折算猪当量为184.5万头，其中闽侯县38.1万头。其中禽类养殖量占据福州市四分之一以上，闽侯县猪当量占福州市比重为五分之一左右，证明了闽侯县是福州市的养殖大县。</w:t>
      </w:r>
    </w:p>
    <w:p>
      <w:pPr>
        <w:bidi w:val="0"/>
        <w:rPr>
          <w:rFonts w:hint="eastAsia"/>
          <w:lang w:val="en-US" w:eastAsia="zh-CN"/>
        </w:rPr>
      </w:pPr>
      <w:r>
        <w:rPr>
          <w:rFonts w:hint="eastAsia"/>
          <w:lang w:val="en-US" w:eastAsia="zh-CN"/>
        </w:rPr>
        <w:t>2020年，闽侯县深入实施畜禽粪污资源化利用整县推进行动，支持利用畜禽粪污生产商品有机肥，规模化养殖场粪污处理设施装备配套率100%；全县所有生猪养殖场完成标准化改造，2个蛋鸡养殖场实现采光、供水、供料、粪污收集自动化，生产效率得到提高。全面推进全县畜禽标准化示范建设。按照“畜禽良种化、养殖设施化、生产规范化、防疫制度化、废物处理无害化或资源化和监管常态化”的要求，积极加强畜禽标准化示范建设，推动畜牧业健康发展。规模养猪场污染物处理面达100%，建有废弃物资源化利用设施，根据《闽侯县畜牧业发展规划》（2019-2025）中指出，随着监管体系日渐成熟，畜牧业污染防控和粪污综合利用应更上一层台阶。2020年，闽侯县畜禽粪污资源化利用综合利用率为95.48%，仍有一定空间进一步提高散养畜禽粪污废弃物资源化综合利用水平。同时，以生猪养殖面源污染整治工作为重要抓手，大力推进保留猪场升级改造，或关闭拆除工作。</w:t>
      </w:r>
    </w:p>
    <w:p>
      <w:pPr>
        <w:bidi w:val="0"/>
        <w:rPr>
          <w:rFonts w:hint="eastAsia"/>
          <w:lang w:val="zh-CN"/>
        </w:rPr>
      </w:pPr>
      <w:r>
        <w:rPr>
          <w:rFonts w:hint="eastAsia"/>
          <w:lang w:val="zh-CN"/>
        </w:rPr>
        <w:t>同时，国家和地方近几年对于畜禽养殖粪污资源化利用模式的推广强度和政策扶持力度越来越大，如《福建省人民政府关于进一步加强生猪养殖面源污染防治工作六条措施的通知》（闽政﹝2014﹞44 号），</w:t>
      </w:r>
      <w:r>
        <w:rPr>
          <w:rFonts w:hint="eastAsia"/>
          <w:lang w:val="en-US" w:eastAsia="zh-CN"/>
        </w:rPr>
        <w:t>闽侯县</w:t>
      </w:r>
      <w:r>
        <w:rPr>
          <w:rFonts w:hint="eastAsia"/>
          <w:lang w:val="zh-CN"/>
        </w:rPr>
        <w:t>积极推广“一禁、二表、三分离”，“一禁”严禁水冲清粪，猪舍应铺设半漏缝或全漏缝地板，实行干清粪，猪栏免冲洗；“二表”即安装畜禽饮用水的水表和清洗栏舍的水表，安装节水式饮水器；“三分离”即实行生活用水与生产用水分离、雨水与污水、饮水与污水分离，从源头减少畜禽养殖污水产生量。基本建立科学规范、权责清晰、约束有力的畜禽粪污资源化利用制度，基本形成种养循环发展机制，全县畜禽粪污基本实现资源化利用。</w:t>
      </w:r>
    </w:p>
    <w:p>
      <w:pPr>
        <w:adjustRightInd w:val="0"/>
        <w:snapToGrid w:val="0"/>
        <w:spacing w:before="0" w:beforeLines="0" w:line="360" w:lineRule="auto"/>
        <w:ind w:left="0" w:leftChars="0" w:firstLine="0" w:firstLineChars="0"/>
        <w:outlineLvl w:val="1"/>
        <w:rPr>
          <w:rFonts w:ascii="Times New Roman" w:hAnsi="Times New Roman" w:eastAsia="宋体" w:cs="Times New Roman"/>
          <w:color w:val="auto"/>
          <w:sz w:val="24"/>
          <w:szCs w:val="32"/>
        </w:rPr>
      </w:pPr>
      <w:bookmarkStart w:id="73" w:name="_Toc2817"/>
      <w:bookmarkStart w:id="74" w:name="_Toc21460"/>
      <w:r>
        <w:rPr>
          <w:rFonts w:hint="eastAsia" w:ascii="Times New Roman" w:hAnsi="Times New Roman" w:eastAsia="黑体" w:cs="Times New Roman"/>
          <w:b/>
          <w:bCs/>
          <w:color w:val="auto"/>
          <w:sz w:val="32"/>
          <w:szCs w:val="40"/>
        </w:rPr>
        <w:t>3</w:t>
      </w:r>
      <w:r>
        <w:rPr>
          <w:rFonts w:ascii="Times New Roman" w:hAnsi="Times New Roman" w:eastAsia="黑体" w:cs="Times New Roman"/>
          <w:b/>
          <w:bCs/>
          <w:color w:val="auto"/>
          <w:sz w:val="32"/>
          <w:szCs w:val="40"/>
        </w:rPr>
        <w:t>.</w:t>
      </w:r>
      <w:r>
        <w:rPr>
          <w:rFonts w:hint="eastAsia" w:ascii="Times New Roman" w:hAnsi="Times New Roman" w:eastAsia="黑体" w:cs="Times New Roman"/>
          <w:b/>
          <w:bCs/>
          <w:color w:val="auto"/>
          <w:sz w:val="32"/>
          <w:szCs w:val="40"/>
          <w:lang w:val="en-US" w:eastAsia="zh-CN"/>
        </w:rPr>
        <w:t>4</w:t>
      </w:r>
      <w:r>
        <w:rPr>
          <w:rFonts w:hint="eastAsia" w:eastAsia="黑体" w:cs="Times New Roman"/>
          <w:b/>
          <w:bCs/>
          <w:color w:val="auto"/>
          <w:sz w:val="32"/>
          <w:szCs w:val="40"/>
          <w:lang w:val="en-US" w:eastAsia="zh-CN"/>
        </w:rPr>
        <w:t>闽侯县</w:t>
      </w:r>
      <w:r>
        <w:rPr>
          <w:rFonts w:hint="eastAsia" w:ascii="Times New Roman" w:hAnsi="Times New Roman" w:eastAsia="黑体" w:cs="Times New Roman"/>
          <w:b/>
          <w:bCs/>
          <w:color w:val="auto"/>
          <w:sz w:val="32"/>
          <w:szCs w:val="40"/>
        </w:rPr>
        <w:t>畜禽养殖污染防治总结与面临的挑战</w:t>
      </w:r>
      <w:bookmarkEnd w:id="73"/>
      <w:bookmarkEnd w:id="74"/>
    </w:p>
    <w:p>
      <w:pPr>
        <w:adjustRightInd w:val="0"/>
        <w:snapToGrid w:val="0"/>
        <w:spacing w:line="360" w:lineRule="auto"/>
        <w:ind w:left="0" w:leftChars="0" w:firstLine="0" w:firstLineChars="0"/>
        <w:outlineLvl w:val="2"/>
        <w:rPr>
          <w:rFonts w:ascii="Times New Roman" w:hAnsi="Times New Roman" w:eastAsia="黑体" w:cs="Times New Roman"/>
          <w:b/>
          <w:bCs/>
          <w:sz w:val="28"/>
          <w:szCs w:val="36"/>
        </w:rPr>
      </w:pPr>
      <w:bookmarkStart w:id="75" w:name="_Toc6952"/>
      <w:r>
        <w:rPr>
          <w:rFonts w:hint="eastAsia" w:ascii="Times New Roman" w:hAnsi="Times New Roman" w:eastAsia="黑体" w:cs="Times New Roman"/>
          <w:b/>
          <w:bCs/>
          <w:sz w:val="28"/>
          <w:szCs w:val="36"/>
        </w:rPr>
        <w:t>3.</w:t>
      </w:r>
      <w:r>
        <w:rPr>
          <w:rFonts w:hint="eastAsia" w:ascii="Times New Roman" w:hAnsi="Times New Roman" w:eastAsia="黑体" w:cs="Times New Roman"/>
          <w:b/>
          <w:bCs/>
          <w:sz w:val="28"/>
          <w:szCs w:val="36"/>
          <w:lang w:val="en-US" w:eastAsia="zh-CN"/>
        </w:rPr>
        <w:t>4.</w:t>
      </w:r>
      <w:r>
        <w:rPr>
          <w:rFonts w:hint="eastAsia" w:ascii="Times New Roman" w:hAnsi="Times New Roman" w:eastAsia="黑体" w:cs="Times New Roman"/>
          <w:b/>
          <w:bCs/>
          <w:sz w:val="28"/>
          <w:szCs w:val="36"/>
        </w:rPr>
        <w:t>1畜禽养殖污染防治工作发展成果</w:t>
      </w:r>
      <w:bookmarkEnd w:id="75"/>
    </w:p>
    <w:p>
      <w:pPr>
        <w:bidi w:val="0"/>
        <w:rPr>
          <w:rFonts w:hint="eastAsia"/>
          <w:lang w:val="en-US" w:eastAsia="zh-CN"/>
        </w:rPr>
      </w:pPr>
      <w:r>
        <w:rPr>
          <w:rFonts w:hint="eastAsia"/>
          <w:b/>
          <w:bCs/>
          <w:color w:val="auto"/>
          <w:lang w:val="en-US" w:eastAsia="zh-CN"/>
        </w:rPr>
        <w:t>一、畜禽养殖产业化经营有序发展。</w:t>
      </w:r>
      <w:r>
        <w:rPr>
          <w:rFonts w:hint="eastAsia"/>
          <w:lang w:val="zh-CN"/>
        </w:rPr>
        <w:t>“十</w:t>
      </w:r>
      <w:r>
        <w:rPr>
          <w:rFonts w:hint="eastAsia"/>
          <w:lang w:val="en-US" w:eastAsia="zh-CN"/>
        </w:rPr>
        <w:t>三</w:t>
      </w:r>
      <w:r>
        <w:rPr>
          <w:rFonts w:hint="eastAsia"/>
          <w:lang w:val="zh-CN"/>
        </w:rPr>
        <w:t>五”以来，</w:t>
      </w:r>
      <w:r>
        <w:rPr>
          <w:rFonts w:hint="eastAsia"/>
          <w:lang w:val="en-US" w:eastAsia="zh-CN"/>
        </w:rPr>
        <w:t>闽侯县</w:t>
      </w:r>
      <w:r>
        <w:rPr>
          <w:rFonts w:hint="eastAsia"/>
          <w:lang w:val="zh-CN"/>
        </w:rPr>
        <w:t>有效推进了畜禽养殖产业化经营，优质畜产品生产基地初步形成，引导养殖企业和农民改变传统的饲养方式，扩大饲养规模；引导果牧结合，坚持种养结合的立体农业模式。养殖业主要推广长大瘦肉型生猪无公害养殖技术、养殖污染全程“一站式处理”达标排放技术和自动喂料系统及推广“猪—沼—果”生猪生态养殖模式。培育出一批畜牧重点龙头企业，强力支撑了对</w:t>
      </w:r>
      <w:r>
        <w:rPr>
          <w:rFonts w:hint="eastAsia"/>
          <w:lang w:val="en-US" w:eastAsia="zh-CN"/>
        </w:rPr>
        <w:t>闽侯县</w:t>
      </w:r>
      <w:r>
        <w:rPr>
          <w:rFonts w:hint="eastAsia"/>
          <w:lang w:val="zh-CN"/>
        </w:rPr>
        <w:t>畜禽养殖产业化经营发展，</w:t>
      </w:r>
      <w:r>
        <w:rPr>
          <w:rFonts w:hint="eastAsia"/>
          <w:lang w:val="en-US" w:eastAsia="zh-CN"/>
        </w:rPr>
        <w:t>根据《闽侯县畜牧业发展规划（2019-2025年）》主要成效中指出闽侯</w:t>
      </w:r>
      <w:r>
        <w:rPr>
          <w:rFonts w:hint="eastAsia"/>
        </w:rPr>
        <w:t>县</w:t>
      </w:r>
      <w:r>
        <w:rPr>
          <w:rFonts w:hint="eastAsia"/>
          <w:lang w:val="en-US" w:eastAsia="zh-CN"/>
        </w:rPr>
        <w:t>已</w:t>
      </w:r>
      <w:r>
        <w:rPr>
          <w:rFonts w:hint="eastAsia"/>
        </w:rPr>
        <w:t>创建有国家级生猪标准化示范场2家，省级肉羊标准化示范场1家。</w:t>
      </w:r>
    </w:p>
    <w:p>
      <w:pPr>
        <w:bidi w:val="0"/>
        <w:rPr>
          <w:rFonts w:hint="eastAsia"/>
          <w:lang w:val="zh-CN"/>
        </w:rPr>
      </w:pPr>
      <w:r>
        <w:rPr>
          <w:rFonts w:hint="eastAsia"/>
          <w:b/>
          <w:bCs/>
          <w:lang w:val="en-US" w:eastAsia="zh-CN"/>
        </w:rPr>
        <w:t>二、</w:t>
      </w:r>
      <w:r>
        <w:rPr>
          <w:rFonts w:hint="eastAsia"/>
          <w:b/>
          <w:bCs/>
          <w:lang w:val="zh-CN"/>
        </w:rPr>
        <w:t>疫病防控能力有所增强。</w:t>
      </w:r>
      <w:r>
        <w:rPr>
          <w:rFonts w:hint="eastAsia"/>
          <w:lang w:val="zh-CN"/>
        </w:rPr>
        <w:t>“十</w:t>
      </w:r>
      <w:r>
        <w:rPr>
          <w:rFonts w:hint="eastAsia"/>
          <w:lang w:val="en-US" w:eastAsia="zh-CN"/>
        </w:rPr>
        <w:t>三</w:t>
      </w:r>
      <w:r>
        <w:rPr>
          <w:rFonts w:hint="eastAsia"/>
          <w:lang w:val="zh-CN"/>
        </w:rPr>
        <w:t>五”期间，</w:t>
      </w:r>
      <w:r>
        <w:rPr>
          <w:rFonts w:hint="eastAsia"/>
        </w:rPr>
        <w:t>闽侯县</w:t>
      </w:r>
      <w:r>
        <w:rPr>
          <w:rFonts w:hint="eastAsia"/>
          <w:lang w:val="zh-CN"/>
        </w:rPr>
        <w:t>进一步完善动物疫病防治的基础设施建设，提高动物疫病防治控制能力。一是稳定地控制动物重大疫病免疫率达100%，保证免疫密度和免疫质量；二是强化动物检疫监督，健全和规范检疫制度，严禁不符合卫生标准的动物及动物产品进入流通领域；三是健全疫情监测体系，建立完善动物疫情测报体系，充实技术力量。“十</w:t>
      </w:r>
      <w:r>
        <w:rPr>
          <w:rFonts w:hint="eastAsia"/>
          <w:lang w:val="en-US" w:eastAsia="zh-CN"/>
        </w:rPr>
        <w:t>三</w:t>
      </w:r>
      <w:r>
        <w:rPr>
          <w:rFonts w:hint="eastAsia"/>
          <w:lang w:val="zh-CN"/>
        </w:rPr>
        <w:t>五”以来，全</w:t>
      </w:r>
      <w:r>
        <w:rPr>
          <w:rFonts w:hint="eastAsia"/>
        </w:rPr>
        <w:t>县</w:t>
      </w:r>
      <w:r>
        <w:rPr>
          <w:rFonts w:hint="eastAsia"/>
          <w:lang w:val="zh-CN"/>
        </w:rPr>
        <w:t>动物防疫体系建设进一步完善，未发生区域性重大动物疫情。</w:t>
      </w:r>
    </w:p>
    <w:p>
      <w:pPr>
        <w:bidi w:val="0"/>
        <w:rPr>
          <w:color w:val="auto"/>
        </w:rPr>
      </w:pPr>
      <w:r>
        <w:rPr>
          <w:rFonts w:hint="eastAsia"/>
          <w:b/>
          <w:bCs/>
          <w:color w:val="auto"/>
          <w:lang w:val="en-US" w:eastAsia="zh-CN"/>
        </w:rPr>
        <w:t>三、</w:t>
      </w:r>
      <w:r>
        <w:rPr>
          <w:rFonts w:hint="eastAsia"/>
          <w:b/>
          <w:bCs/>
          <w:color w:val="auto"/>
        </w:rPr>
        <w:t>畜牧业</w:t>
      </w:r>
      <w:r>
        <w:rPr>
          <w:rFonts w:hint="eastAsia"/>
          <w:b/>
          <w:bCs/>
          <w:color w:val="auto"/>
          <w:lang w:val="en-US" w:eastAsia="zh-CN"/>
        </w:rPr>
        <w:t>规模化废物</w:t>
      </w:r>
      <w:r>
        <w:rPr>
          <w:rFonts w:hint="eastAsia"/>
          <w:b/>
          <w:bCs/>
          <w:color w:val="auto"/>
        </w:rPr>
        <w:t>养殖</w:t>
      </w:r>
      <w:r>
        <w:rPr>
          <w:rFonts w:hint="eastAsia"/>
          <w:b/>
          <w:bCs/>
          <w:color w:val="auto"/>
          <w:lang w:val="en-US" w:eastAsia="zh-CN"/>
        </w:rPr>
        <w:t>资源利用率</w:t>
      </w:r>
      <w:r>
        <w:rPr>
          <w:rFonts w:hint="eastAsia"/>
          <w:b/>
          <w:bCs/>
          <w:color w:val="auto"/>
        </w:rPr>
        <w:t>稳步提升</w:t>
      </w:r>
      <w:r>
        <w:rPr>
          <w:rFonts w:hint="eastAsia"/>
          <w:b/>
          <w:bCs/>
          <w:color w:val="auto"/>
          <w:lang w:eastAsia="zh-CN"/>
        </w:rPr>
        <w:t>。</w:t>
      </w:r>
      <w:r>
        <w:rPr>
          <w:rFonts w:hint="eastAsia"/>
          <w:color w:val="auto"/>
          <w:lang w:eastAsia="zh-CN"/>
        </w:rPr>
        <w:t>为贯彻落实福建省、福州市</w:t>
      </w:r>
      <w:r>
        <w:rPr>
          <w:rFonts w:hint="eastAsia"/>
          <w:color w:val="auto"/>
          <w:lang w:val="en-US" w:eastAsia="zh-CN"/>
        </w:rPr>
        <w:t>关于</w:t>
      </w:r>
      <w:r>
        <w:rPr>
          <w:rFonts w:hint="eastAsia"/>
          <w:color w:val="auto"/>
          <w:lang w:eastAsia="zh-CN"/>
        </w:rPr>
        <w:t>畜禽粪污资源化利用</w:t>
      </w:r>
      <w:r>
        <w:rPr>
          <w:rFonts w:hint="eastAsia"/>
          <w:color w:val="auto"/>
          <w:lang w:val="en-US" w:eastAsia="zh-CN"/>
        </w:rPr>
        <w:t>的文件精神，闽侯县人民政府印发了《闽侯县人民政府办公室关于印发闽侯县畜禽粪污资源化利用整县推进项目调整方案的通知》（侯政办〔2022〕12号），</w:t>
      </w:r>
      <w:r>
        <w:rPr>
          <w:rFonts w:hint="eastAsia"/>
          <w:color w:val="auto"/>
        </w:rPr>
        <w:t>全面</w:t>
      </w:r>
      <w:r>
        <w:rPr>
          <w:rFonts w:hint="eastAsia"/>
          <w:color w:val="auto"/>
          <w:lang w:val="en-US" w:eastAsia="zh-CN"/>
        </w:rPr>
        <w:t>提升闽侯县畜禽粪污资源化利用水平</w:t>
      </w:r>
      <w:r>
        <w:rPr>
          <w:rFonts w:hint="eastAsia"/>
          <w:color w:val="auto"/>
        </w:rPr>
        <w:t>。积极加强畜禽</w:t>
      </w:r>
      <w:r>
        <w:rPr>
          <w:rFonts w:hint="eastAsia"/>
          <w:color w:val="auto"/>
          <w:lang w:val="en-US" w:eastAsia="zh-CN"/>
        </w:rPr>
        <w:t>规模化养殖场</w:t>
      </w:r>
      <w:r>
        <w:rPr>
          <w:rFonts w:hint="eastAsia"/>
          <w:color w:val="auto"/>
        </w:rPr>
        <w:t>标准化建设，按照源头减量、过程控制、末端利用的要求，提高畜禽粪污综合利用率</w:t>
      </w:r>
      <w:r>
        <w:rPr>
          <w:rFonts w:hint="eastAsia"/>
          <w:color w:val="auto"/>
          <w:lang w:eastAsia="zh-CN"/>
        </w:rPr>
        <w:t>。</w:t>
      </w:r>
      <w:r>
        <w:rPr>
          <w:rFonts w:hint="eastAsia"/>
          <w:color w:val="auto"/>
        </w:rPr>
        <w:t>同时，以生猪养殖面源污染整治工作为重要抓手，大力推进保留猪场升级改造工作。</w:t>
      </w:r>
    </w:p>
    <w:p>
      <w:pPr>
        <w:bidi w:val="0"/>
        <w:rPr>
          <w:rFonts w:hint="eastAsia"/>
          <w:lang w:val="en-US" w:eastAsia="zh-CN"/>
        </w:rPr>
      </w:pPr>
      <w:r>
        <w:rPr>
          <w:rFonts w:hint="eastAsia"/>
          <w:b/>
          <w:bCs/>
          <w:lang w:val="en-US" w:eastAsia="zh-CN"/>
        </w:rPr>
        <w:t>四</w:t>
      </w:r>
      <w:r>
        <w:rPr>
          <w:rFonts w:hint="eastAsia"/>
          <w:b/>
          <w:bCs/>
        </w:rPr>
        <w:t>、进一步规范畜禽养殖禁养区划定和管理。</w:t>
      </w:r>
      <w:r>
        <w:rPr>
          <w:rFonts w:hint="eastAsia"/>
          <w:lang w:val="en-US" w:eastAsia="zh-CN"/>
        </w:rPr>
        <w:t>闽侯县</w:t>
      </w:r>
      <w:r>
        <w:rPr>
          <w:rFonts w:hint="eastAsia"/>
        </w:rPr>
        <w:t>于2020年</w:t>
      </w:r>
      <w:r>
        <w:rPr>
          <w:rFonts w:hint="eastAsia"/>
          <w:lang w:val="en-US" w:eastAsia="zh-CN"/>
        </w:rPr>
        <w:t>2月</w:t>
      </w:r>
      <w:r>
        <w:rPr>
          <w:rFonts w:hint="eastAsia"/>
        </w:rPr>
        <w:t>印发了《</w:t>
      </w:r>
      <w:r>
        <w:rPr>
          <w:rFonts w:hint="eastAsia"/>
          <w:lang w:val="en-US" w:eastAsia="zh-CN"/>
        </w:rPr>
        <w:t>闽侯县</w:t>
      </w:r>
      <w:r>
        <w:rPr>
          <w:rFonts w:hint="eastAsia"/>
        </w:rPr>
        <w:t>人民政府关于印发</w:t>
      </w:r>
      <w:r>
        <w:rPr>
          <w:rFonts w:hint="eastAsia"/>
          <w:lang w:val="en-US" w:eastAsia="zh-CN"/>
        </w:rPr>
        <w:t>闽侯县</w:t>
      </w:r>
      <w:r>
        <w:rPr>
          <w:rFonts w:hint="eastAsia"/>
        </w:rPr>
        <w:t>畜禽养殖禁养区划定调整方案的通知》（</w:t>
      </w:r>
      <w:r>
        <w:rPr>
          <w:rFonts w:hint="eastAsia"/>
          <w:lang w:val="en-US" w:eastAsia="zh-CN"/>
        </w:rPr>
        <w:t>侯政文</w:t>
      </w:r>
      <w:r>
        <w:rPr>
          <w:rFonts w:hint="eastAsia"/>
        </w:rPr>
        <w:t>[2020]1</w:t>
      </w:r>
      <w:r>
        <w:rPr>
          <w:rFonts w:hint="eastAsia"/>
          <w:lang w:val="en-US" w:eastAsia="zh-CN"/>
        </w:rPr>
        <w:t>5</w:t>
      </w:r>
      <w:r>
        <w:rPr>
          <w:rFonts w:hint="eastAsia"/>
        </w:rPr>
        <w:t>号），</w:t>
      </w:r>
      <w:r>
        <w:rPr>
          <w:rFonts w:hint="eastAsia"/>
          <w:lang w:val="en-US" w:eastAsia="zh-CN"/>
        </w:rPr>
        <w:t>该方案</w:t>
      </w:r>
      <w:r>
        <w:rPr>
          <w:rFonts w:hint="eastAsia"/>
        </w:rPr>
        <w:t>划定全县畜禽禁养区面积</w:t>
      </w:r>
      <w:r>
        <w:rPr>
          <w:rFonts w:hint="eastAsia"/>
          <w:lang w:val="en-US" w:eastAsia="zh-CN"/>
        </w:rPr>
        <w:t>835.1</w:t>
      </w:r>
      <w:r>
        <w:rPr>
          <w:rFonts w:hint="eastAsia"/>
        </w:rPr>
        <w:t>平方公里，进一步规范畜禽养殖禁养区划定和管理，促进生猪生产和生态环境全面协调发展。严格落实《中华人民共和国畜牧法》《畜禽规模养殖污染防治条例》《福建省农业生态环境保护条例》等法律法规对两区划定的要求，禁养区范围包括饮用水水源保护区、</w:t>
      </w:r>
      <w:r>
        <w:rPr>
          <w:rFonts w:hint="eastAsia"/>
          <w:lang w:val="en-US" w:eastAsia="zh-CN"/>
        </w:rPr>
        <w:t>城镇规划建成区</w:t>
      </w:r>
      <w:r>
        <w:rPr>
          <w:rFonts w:hint="eastAsia"/>
        </w:rPr>
        <w:t>、自然保护区</w:t>
      </w:r>
      <w:r>
        <w:rPr>
          <w:rFonts w:hint="eastAsia"/>
          <w:lang w:val="en-US" w:eastAsia="zh-CN"/>
        </w:rPr>
        <w:t>和</w:t>
      </w:r>
      <w:r>
        <w:rPr>
          <w:rFonts w:hint="eastAsia"/>
        </w:rPr>
        <w:t>风景名胜区、重要</w:t>
      </w:r>
      <w:r>
        <w:rPr>
          <w:rFonts w:hint="eastAsia"/>
          <w:lang w:val="en-US" w:eastAsia="zh-CN"/>
        </w:rPr>
        <w:t>地表水体功能区、重要交通干线</w:t>
      </w:r>
      <w:r>
        <w:rPr>
          <w:rFonts w:hint="eastAsia"/>
        </w:rPr>
        <w:t>以及法律、法规、规章规定的其他禁养区域和需特殊保护的其他区域</w:t>
      </w:r>
      <w:r>
        <w:rPr>
          <w:rFonts w:hint="eastAsia"/>
          <w:lang w:eastAsia="zh-CN"/>
        </w:rPr>
        <w:t>。根据闽侯县闽侯县畜牧业发展规划（2019-2025年）情况排查统计的结果，闽侯县禁养区内没有规模化畜禽养殖企业。</w:t>
      </w:r>
    </w:p>
    <w:p>
      <w:pPr>
        <w:pStyle w:val="6"/>
        <w:bidi w:val="0"/>
      </w:pPr>
      <w:bookmarkStart w:id="76" w:name="_Toc5822"/>
      <w:bookmarkStart w:id="77" w:name="_Toc11673"/>
      <w:r>
        <w:rPr>
          <w:rFonts w:hint="eastAsia"/>
        </w:rPr>
        <w:t>3.</w:t>
      </w:r>
      <w:r>
        <w:rPr>
          <w:rFonts w:hint="eastAsia"/>
          <w:lang w:val="en-US" w:eastAsia="zh-CN"/>
        </w:rPr>
        <w:t>4</w:t>
      </w:r>
      <w:r>
        <w:rPr>
          <w:rFonts w:hint="eastAsia"/>
        </w:rPr>
        <w:t>.2畜禽养殖污染防治工作面临的挑战</w:t>
      </w:r>
      <w:bookmarkEnd w:id="76"/>
      <w:bookmarkEnd w:id="77"/>
    </w:p>
    <w:p>
      <w:pPr>
        <w:bidi w:val="0"/>
        <w:rPr>
          <w:rFonts w:ascii="仿宋" w:hAnsi="仿宋" w:eastAsia="仿宋"/>
          <w:snapToGrid w:val="0"/>
          <w:kern w:val="0"/>
          <w:szCs w:val="28"/>
          <w:lang w:val="zh-CN"/>
        </w:rPr>
      </w:pPr>
      <w:r>
        <w:rPr>
          <w:rFonts w:hint="default"/>
          <w:lang w:val="en-US" w:eastAsia="zh-CN"/>
        </w:rPr>
        <w:t>畜牧业是闽侯县农业主导产业之一，与农民生活水平的提高息息相关，影响着农村经济结构发展多元化进程。然而，受到城镇建设加快等因素的制约</w:t>
      </w:r>
      <w:r>
        <w:rPr>
          <w:rFonts w:hint="eastAsia"/>
          <w:lang w:val="en-US" w:eastAsia="zh-CN"/>
        </w:rPr>
        <w:t>。</w:t>
      </w:r>
      <w:r>
        <w:rPr>
          <w:rFonts w:hint="eastAsia"/>
          <w:lang w:val="zh-CN"/>
        </w:rPr>
        <w:t>在畜牧业环保、质量、安全、技术创新转型的新时期，畜牧业在发展方式、产业结构、饲养环境、公共服务支撑体系建设及品牌创建上仍有差距，给全县畜牧业向更高层次突破带来了新的制约与挑战。</w:t>
      </w:r>
    </w:p>
    <w:p>
      <w:pPr>
        <w:bidi w:val="0"/>
        <w:rPr>
          <w:rFonts w:hint="default"/>
          <w:lang w:val="en-US" w:eastAsia="zh-CN"/>
        </w:rPr>
      </w:pPr>
      <w:r>
        <w:rPr>
          <w:rFonts w:hint="eastAsia"/>
          <w:b/>
          <w:bCs/>
          <w:lang w:val="en-US" w:eastAsia="zh-CN"/>
        </w:rPr>
        <w:t>一、种养结合不紧密，畜禽粪肥还田难。</w:t>
      </w:r>
      <w:r>
        <w:rPr>
          <w:rFonts w:hint="eastAsia"/>
          <w:lang w:val="en-US" w:eastAsia="zh-CN"/>
        </w:rPr>
        <w:t>一方面，种养主体分离，畜禽粪便无处可“还”。随着规模养殖加快发展，养殖与种植分离成两个主体，养猪的不种地，种地的不养猪。另一方面，</w:t>
      </w:r>
      <w:r>
        <w:rPr>
          <w:rFonts w:hint="default"/>
          <w:lang w:val="en-US" w:eastAsia="zh-CN"/>
        </w:rPr>
        <w:t>随着新农村建设步伐加快，人畜分离是美丽乡村建设的必然要求，远离村庄的标准化、规模化养殖用地需求也会越来越大，</w:t>
      </w:r>
      <w:r>
        <w:rPr>
          <w:rFonts w:hint="eastAsia"/>
          <w:lang w:val="en-US" w:eastAsia="zh-CN"/>
        </w:rPr>
        <w:t>闽侯县</w:t>
      </w:r>
      <w:r>
        <w:rPr>
          <w:rFonts w:hint="default"/>
          <w:lang w:val="en-US" w:eastAsia="zh-CN"/>
        </w:rPr>
        <w:t>多年来的农业用地规划和基本农田划分大多以种植业为主，林地利用、林下养殖没有明确指导办法，没有把畜牧业用地纳入土地总体规划</w:t>
      </w:r>
      <w:r>
        <w:rPr>
          <w:rFonts w:hint="eastAsia"/>
          <w:lang w:val="en-US" w:eastAsia="zh-CN"/>
        </w:rPr>
        <w:t>，</w:t>
      </w:r>
      <w:r>
        <w:rPr>
          <w:rFonts w:hint="default"/>
          <w:lang w:val="en-US" w:eastAsia="zh-CN"/>
        </w:rPr>
        <w:t>给养殖业带来许多安全隐患，直接威胁着畜牧业的健康发展。</w:t>
      </w:r>
    </w:p>
    <w:p>
      <w:pPr>
        <w:bidi w:val="0"/>
        <w:rPr>
          <w:rFonts w:hint="default"/>
          <w:color w:val="0000FF"/>
          <w:lang w:val="en-US" w:eastAsia="zh-CN"/>
        </w:rPr>
      </w:pPr>
      <w:r>
        <w:rPr>
          <w:rFonts w:hint="eastAsia"/>
          <w:b/>
          <w:bCs/>
          <w:color w:val="auto"/>
          <w:lang w:val="en-US" w:eastAsia="zh-CN"/>
        </w:rPr>
        <w:t>二、粪污资源化利用体系不完善，粪污生产有机肥比例低。</w:t>
      </w:r>
      <w:r>
        <w:rPr>
          <w:rFonts w:hint="eastAsia"/>
          <w:color w:val="auto"/>
          <w:lang w:val="en-US" w:eastAsia="zh-CN"/>
        </w:rPr>
        <w:t>目前，闽侯县家禽、牛、羊畜禽养殖场粪污资源化利用方式主要以畜禽粪便就近农业还田为主，其中贵山、湖鑫、上风山、美洋洋4家养殖场均为半放牧养殖，牛、羊粪等就在山林就地消纳，未经发酵直接排放山体，一定程度上将影响当地土壤健康。除规模化生猪养殖场已经签订配套消纳地协议，牛和羊的规模化养殖场无确定消纳地范围，无法判断其消纳地是否合理及容量充足。另外少部分牛羊养殖场粪便生产加工商品有机肥，粪污生产有机肥比例也较低。规模化养猪场中兴盛天兆、扬帆、金源达、光华已签订协议的消纳地中有种植松树、杉树的土地，此类树种无法吸收肥水养分，长此以往将对消纳土地造成负担。福丰、光华、邑丰、长基、兴盛五家养猪场部分养殖废水采用经厂区污水处理设施处理后回用于猪舍冲洗，养殖废水应经沼液池发酵处理后前往消纳地进行消纳。另外闽侯县散养户分布广且较分散、养殖量一般较小、大部分位于山区半山区区域，目前养殖粪污废弃物采用就地堆肥发酵后供周边农田、林地、鱼塘等消纳的方式，可能会对土地造成污染。闽侯县目前有有机肥厂3家，产能为5.36万吨/年，肥料来源主要是从各个家禽、牛、羊养殖场收集，闽侯县各个生猪养殖场自备有机肥发酵罐，发酵出的简易有机肥供给附近农田农户，猪粪的有机肥商品化程度较低。</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eastAsia"/>
          <w:color w:val="auto"/>
          <w:lang w:val="en-US" w:eastAsia="zh-CN"/>
        </w:rPr>
      </w:pPr>
      <w:r>
        <w:rPr>
          <w:rFonts w:hint="eastAsia"/>
          <w:b/>
          <w:bCs/>
          <w:color w:val="auto"/>
          <w:lang w:val="en-US" w:eastAsia="zh-CN"/>
        </w:rPr>
        <w:t>三、沼气利用设施建设不足，消纳地自动化程度低。</w:t>
      </w:r>
      <w:r>
        <w:rPr>
          <w:rFonts w:hint="eastAsia"/>
          <w:color w:val="auto"/>
          <w:lang w:val="en-US" w:eastAsia="zh-CN"/>
        </w:rPr>
        <w:t>闽侯县目前规模化养猪场均按照要求配套沼气池、储液池和消纳地，异地消纳也已完成沼液运输车辆的配套，虽然全部生猪规模化养殖场已配套沼气池，但是沼气配套相关设施例如储存、发电等设施尚未在养殖场尚未建立，也无明确沼气资源去向，且多数养殖场消纳地为山地不好配套机械化管网措施，机械化程度低，未来可通过消纳地调整、养殖模式创新、养殖机械化、养殖粪污处理技术升级等手段，可进一步提高畜禽养殖废弃物资源化利用，进一步释放养殖产能，全面提升污染治理水平。</w:t>
      </w:r>
    </w:p>
    <w:p>
      <w:pPr>
        <w:bidi w:val="0"/>
        <w:rPr>
          <w:rFonts w:hint="eastAsia"/>
          <w:color w:val="auto"/>
          <w:lang w:val="en-US" w:eastAsia="zh-CN"/>
        </w:rPr>
      </w:pPr>
      <w:r>
        <w:rPr>
          <w:rFonts w:hint="eastAsia"/>
          <w:b/>
          <w:bCs/>
          <w:color w:val="auto"/>
          <w:lang w:val="en-US" w:eastAsia="zh-CN"/>
        </w:rPr>
        <w:t>四、现有监管系统不完善，环境监督管理难。</w:t>
      </w:r>
      <w:r>
        <w:rPr>
          <w:rFonts w:hint="eastAsia"/>
          <w:color w:val="auto"/>
          <w:lang w:val="en-US" w:eastAsia="zh-CN"/>
        </w:rPr>
        <w:t>闽侯县生猪养殖场已全部完成在线监测设施的安装与联网，但由于消纳地多为人工施用，现有监管体系难以监管处理后的废水在田间地头的真正施用情况。这就导致了养殖场粪污最终的去向不明朗，偷排漏排或超标排放的现象可能发生。目前闽侯县家禽非规模化养殖量大，例如闽侯县廷坪乡五七前峰家庭农场等规模化家禽养殖场尚未完善备案流程，专业的鸭子饲养场缺少监管，有污染当地小流域的风险。非规模化养殖环境监管理难，执法依据不足将导致非规模化养殖畜禽粪污的随意丢弃，从而造成农村黑臭水体的重要原因之一，目前，存在非规模化养殖家底不清，污染防治现状统计较为缺乏。同时，非规模养殖环境执法依据不足，现有的政策对非规模养殖在污染防治上给予的补贴很少，导致非规模化养殖户粪污资源利用方式粗狂，有污染环境的风险。</w:t>
      </w:r>
    </w:p>
    <w:p>
      <w:pPr>
        <w:rPr>
          <w:rFonts w:ascii="Times New Roman" w:hAnsi="Times New Roman" w:eastAsia="黑体" w:cs="Times New Roman"/>
          <w:b/>
          <w:bCs/>
          <w:sz w:val="36"/>
          <w:szCs w:val="44"/>
        </w:rPr>
      </w:pPr>
      <w:bookmarkStart w:id="78" w:name="_Toc22177"/>
      <w:r>
        <w:rPr>
          <w:rFonts w:ascii="Times New Roman" w:hAnsi="Times New Roman" w:eastAsia="黑体" w:cs="Times New Roman"/>
          <w:b/>
          <w:bCs/>
          <w:sz w:val="36"/>
          <w:szCs w:val="44"/>
        </w:rPr>
        <w:br w:type="page"/>
      </w:r>
    </w:p>
    <w:p>
      <w:pPr>
        <w:pStyle w:val="4"/>
        <w:bidi w:val="0"/>
      </w:pPr>
      <w:bookmarkStart w:id="79" w:name="_Toc5901"/>
      <w:r>
        <w:t xml:space="preserve">第 </w:t>
      </w:r>
      <w:r>
        <w:rPr>
          <w:rFonts w:hint="eastAsia"/>
        </w:rPr>
        <w:t>4</w:t>
      </w:r>
      <w:r>
        <w:t xml:space="preserve"> 章  </w:t>
      </w:r>
      <w:r>
        <w:rPr>
          <w:rFonts w:hint="eastAsia"/>
        </w:rPr>
        <w:t>规划目标指标分析</w:t>
      </w:r>
      <w:bookmarkEnd w:id="78"/>
      <w:bookmarkEnd w:id="79"/>
    </w:p>
    <w:p>
      <w:pPr>
        <w:pStyle w:val="11"/>
        <w:jc w:val="both"/>
        <w:rPr>
          <w:rFonts w:hint="eastAsia"/>
          <w:lang w:val="en-US" w:eastAsia="zh-CN"/>
        </w:rPr>
      </w:pPr>
    </w:p>
    <w:p>
      <w:pPr>
        <w:pStyle w:val="5"/>
        <w:bidi w:val="0"/>
      </w:pPr>
      <w:bookmarkStart w:id="80" w:name="_Toc24334"/>
      <w:bookmarkStart w:id="81" w:name="_Toc22089"/>
      <w:r>
        <w:rPr>
          <w:rFonts w:hint="eastAsia"/>
        </w:rPr>
        <w:t>4.1规划目标指标</w:t>
      </w:r>
      <w:bookmarkEnd w:id="80"/>
      <w:bookmarkEnd w:id="81"/>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结合“十四五”生态环境保护规划、重点流域水生态环境“十四五”规划、国民经济和社会发展第十四个五年规划和2035年远景目标纲要、</w:t>
      </w:r>
      <w:r>
        <w:rPr>
          <w:rFonts w:hint="eastAsia" w:cs="Times New Roman"/>
          <w:sz w:val="24"/>
          <w:szCs w:val="32"/>
          <w:lang w:eastAsia="zh-CN"/>
        </w:rPr>
        <w:t>闽侯</w:t>
      </w:r>
      <w:r>
        <w:rPr>
          <w:rFonts w:hint="eastAsia" w:ascii="Times New Roman" w:hAnsi="Times New Roman" w:eastAsia="宋体" w:cs="Times New Roman"/>
          <w:sz w:val="24"/>
          <w:szCs w:val="32"/>
        </w:rPr>
        <w:t>县“十四五”畜牧业发展规划（2021~2025年）等文件部署要求，合理确定规划目标。目标分为约束性指标和预期性指标，具体提出指标有：</w:t>
      </w:r>
    </w:p>
    <w:p>
      <w:pPr>
        <w:adjustRightInd w:val="0"/>
        <w:snapToGrid w:val="0"/>
        <w:spacing w:line="360" w:lineRule="auto"/>
        <w:ind w:firstLine="480"/>
        <w:outlineLvl w:val="2"/>
        <w:rPr>
          <w:rFonts w:ascii="Times New Roman" w:hAnsi="Times New Roman" w:eastAsia="宋体" w:cs="Times New Roman"/>
          <w:sz w:val="24"/>
          <w:szCs w:val="32"/>
        </w:rPr>
      </w:pPr>
      <w:r>
        <w:rPr>
          <w:rFonts w:hint="eastAsia" w:ascii="Times New Roman" w:hAnsi="Times New Roman" w:eastAsia="宋体" w:cs="Times New Roman"/>
          <w:sz w:val="24"/>
          <w:szCs w:val="32"/>
        </w:rPr>
        <w:t>（一）约束性指标</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1.畜禽规模养殖场粪污处理设施配套率，范围内规模化畜禽养殖场粪污贮存设施依据《畜禽规模养殖场粪污资源化利用设施建设规范（试行）》的要求进行标准化改造，到2025年规模化养殖场粪污贮存设施标准化达标率100%。</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2.畜禽粪污资源化利用和无害化处理率，2025年全县畜禽粪污资源化利用率达9</w:t>
      </w:r>
      <w:r>
        <w:rPr>
          <w:rFonts w:hint="eastAsia" w:cs="Times New Roman"/>
          <w:sz w:val="24"/>
          <w:szCs w:val="32"/>
          <w:lang w:val="en-US" w:eastAsia="zh-CN"/>
        </w:rPr>
        <w:t>5</w:t>
      </w:r>
      <w:r>
        <w:rPr>
          <w:rFonts w:hint="eastAsia" w:ascii="Times New Roman" w:hAnsi="Times New Roman" w:eastAsia="宋体" w:cs="Times New Roman"/>
          <w:sz w:val="24"/>
          <w:szCs w:val="32"/>
        </w:rPr>
        <w:t>%以上。</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3.规模养殖场资源化利用台账建立，按照《农业农村部办公厅 生态环境部办公厅关于加强畜禽粪污资源化利用和台账管理的通知》（农办牧[2021]46号）台账建设要求，完成台账标准化建设，2025年全</w:t>
      </w:r>
      <w:r>
        <w:rPr>
          <w:rFonts w:hint="eastAsia" w:cs="Times New Roman"/>
          <w:sz w:val="24"/>
          <w:szCs w:val="32"/>
          <w:lang w:val="en-US" w:eastAsia="zh-CN"/>
        </w:rPr>
        <w:t>县</w:t>
      </w:r>
      <w:r>
        <w:rPr>
          <w:rFonts w:hint="eastAsia" w:ascii="Times New Roman" w:hAnsi="Times New Roman" w:eastAsia="宋体" w:cs="Times New Roman"/>
          <w:sz w:val="24"/>
          <w:szCs w:val="32"/>
        </w:rPr>
        <w:t>规模养殖场资源化利用台账覆盖率100%。</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4.禁养区需关闭、拆除、搬迁养殖场整治率100%，禁养区范围无出现新建、扩建养殖场。</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5.规模化畜禽养殖场新、改、扩建项目环境影响评价执行率达到100%。</w:t>
      </w:r>
    </w:p>
    <w:p>
      <w:pPr>
        <w:adjustRightInd w:val="0"/>
        <w:snapToGrid w:val="0"/>
        <w:spacing w:line="360" w:lineRule="auto"/>
        <w:ind w:firstLine="480"/>
        <w:rPr>
          <w:rFonts w:hint="eastAsia" w:ascii="Times New Roman" w:hAnsi="Times New Roman" w:eastAsia="宋体" w:cs="Times New Roman"/>
          <w:sz w:val="24"/>
          <w:szCs w:val="32"/>
        </w:rPr>
      </w:pPr>
      <w:r>
        <w:rPr>
          <w:rFonts w:hint="eastAsia" w:ascii="Times New Roman" w:hAnsi="Times New Roman" w:eastAsia="宋体" w:cs="Times New Roman"/>
          <w:sz w:val="24"/>
          <w:szCs w:val="32"/>
        </w:rPr>
        <w:t>6.2021-2025年，逐步提升畜禽规模养殖率达</w:t>
      </w:r>
      <w:r>
        <w:rPr>
          <w:rFonts w:hint="eastAsia" w:cs="Times New Roman"/>
          <w:sz w:val="24"/>
          <w:szCs w:val="32"/>
          <w:lang w:val="en-US" w:eastAsia="zh-CN"/>
        </w:rPr>
        <w:t>90</w:t>
      </w:r>
      <w:r>
        <w:rPr>
          <w:rFonts w:hint="eastAsia" w:ascii="Times New Roman" w:hAnsi="Times New Roman" w:eastAsia="宋体" w:cs="Times New Roman"/>
          <w:sz w:val="24"/>
          <w:szCs w:val="32"/>
        </w:rPr>
        <w:t>%以上，畜禽粪污资源化利用率达9</w:t>
      </w:r>
      <w:r>
        <w:rPr>
          <w:rFonts w:hint="eastAsia" w:cs="Times New Roman"/>
          <w:sz w:val="24"/>
          <w:szCs w:val="32"/>
          <w:lang w:val="en-US" w:eastAsia="zh-CN"/>
        </w:rPr>
        <w:t>5</w:t>
      </w:r>
      <w:r>
        <w:rPr>
          <w:rFonts w:hint="eastAsia" w:ascii="Times New Roman" w:hAnsi="Times New Roman" w:eastAsia="宋体" w:cs="Times New Roman"/>
          <w:sz w:val="24"/>
          <w:szCs w:val="32"/>
        </w:rPr>
        <w:t>%以上，规模化畜禽养殖场粪污储存、处理、利用设施配设备套率达到100%。</w:t>
      </w:r>
    </w:p>
    <w:p>
      <w:pPr>
        <w:adjustRightInd w:val="0"/>
        <w:snapToGrid w:val="0"/>
        <w:spacing w:line="360" w:lineRule="auto"/>
        <w:ind w:firstLine="480"/>
        <w:outlineLvl w:val="2"/>
        <w:rPr>
          <w:rFonts w:ascii="Times New Roman" w:hAnsi="Times New Roman" w:eastAsia="宋体" w:cs="Times New Roman"/>
          <w:sz w:val="24"/>
          <w:szCs w:val="32"/>
        </w:rPr>
      </w:pPr>
      <w:r>
        <w:rPr>
          <w:rFonts w:hint="eastAsia" w:ascii="Times New Roman" w:hAnsi="Times New Roman" w:eastAsia="宋体" w:cs="Times New Roman"/>
          <w:sz w:val="24"/>
          <w:szCs w:val="32"/>
        </w:rPr>
        <w:t>（二）预期性指标</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1.逐步建立成熟的畜禽养殖污染防治与优化养殖结构和资源化利用体系。鼓励有条件的镇实施养殖场（养殖小区）升级改造；结合生态文明</w:t>
      </w:r>
      <w:r>
        <w:rPr>
          <w:rFonts w:hint="eastAsia" w:cs="Times New Roman"/>
          <w:sz w:val="24"/>
          <w:szCs w:val="32"/>
          <w:lang w:eastAsia="zh-CN"/>
        </w:rPr>
        <w:t>建设</w:t>
      </w:r>
      <w:r>
        <w:rPr>
          <w:rFonts w:hint="eastAsia" w:ascii="Times New Roman" w:hAnsi="Times New Roman" w:eastAsia="宋体" w:cs="Times New Roman"/>
          <w:sz w:val="24"/>
          <w:szCs w:val="32"/>
        </w:rPr>
        <w:t>示范</w:t>
      </w:r>
      <w:r>
        <w:rPr>
          <w:rFonts w:hint="eastAsia" w:cs="Times New Roman"/>
          <w:sz w:val="24"/>
          <w:szCs w:val="32"/>
          <w:lang w:eastAsia="zh-CN"/>
        </w:rPr>
        <w:t>区</w:t>
      </w:r>
      <w:r>
        <w:rPr>
          <w:rFonts w:hint="eastAsia" w:ascii="Times New Roman" w:hAnsi="Times New Roman" w:eastAsia="宋体" w:cs="Times New Roman"/>
          <w:sz w:val="24"/>
          <w:szCs w:val="32"/>
        </w:rPr>
        <w:t>及新农村建设，逐步减少养殖散户数量。</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2.调整、优化养殖禁养区范围，根据国土空间规模、水源地划定、“三线一单”等规划内增、减禁养区范围。</w:t>
      </w:r>
    </w:p>
    <w:p>
      <w:pPr>
        <w:bidi w:val="0"/>
        <w:rPr>
          <w:rFonts w:hint="eastAsia"/>
        </w:rPr>
      </w:pPr>
      <w:r>
        <w:rPr>
          <w:rFonts w:hint="eastAsia"/>
        </w:rPr>
        <w:t>3.创新监管机制，逐步推进养殖场台账信息化建设、监控设施建设，减少畜禽养殖场疫情防控压力。</w:t>
      </w:r>
    </w:p>
    <w:p>
      <w:pPr>
        <w:pStyle w:val="11"/>
        <w:adjustRightInd w:val="0"/>
        <w:snapToGrid w:val="0"/>
        <w:spacing w:line="240" w:lineRule="auto"/>
        <w:ind w:left="0" w:firstLine="0"/>
        <w:jc w:val="center"/>
        <w:rPr>
          <w:rFonts w:hint="eastAsia" w:ascii="Times New Roman" w:hAnsi="Times New Roman" w:eastAsia="黑体" w:cs="Times New Roman"/>
          <w:b/>
          <w:bCs/>
          <w:lang w:val="en-US" w:eastAsia="zh-CN"/>
        </w:rPr>
      </w:pPr>
      <w:r>
        <w:rPr>
          <w:rFonts w:hint="eastAsia" w:ascii="Times New Roman" w:hAnsi="Times New Roman" w:eastAsia="黑体" w:cs="Times New Roman"/>
          <w:b/>
          <w:bCs/>
          <w:lang w:val="en-US" w:eastAsia="zh-CN"/>
        </w:rPr>
        <w:t>表4.1  规划目标指标一览表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23"/>
        <w:gridCol w:w="4115"/>
        <w:gridCol w:w="140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类别</w:t>
            </w: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序号</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指标</w:t>
            </w:r>
          </w:p>
        </w:tc>
        <w:tc>
          <w:tcPr>
            <w:tcW w:w="1486" w:type="dxa"/>
            <w:vAlign w:val="center"/>
          </w:tcPr>
          <w:p>
            <w:pPr>
              <w:pStyle w:val="11"/>
              <w:spacing w:line="240" w:lineRule="auto"/>
              <w:ind w:firstLine="0"/>
              <w:jc w:val="center"/>
              <w:rPr>
                <w:rFonts w:hint="default" w:ascii="Times New Roman" w:eastAsia="宋体"/>
                <w:sz w:val="21"/>
                <w:szCs w:val="21"/>
                <w:lang w:val="en-US" w:eastAsia="zh-CN"/>
              </w:rPr>
            </w:pPr>
            <w:r>
              <w:rPr>
                <w:rFonts w:hint="eastAsia" w:ascii="Times New Roman" w:eastAsia="宋体"/>
                <w:sz w:val="21"/>
                <w:szCs w:val="21"/>
                <w:lang w:val="en-US" w:eastAsia="zh-CN"/>
              </w:rPr>
              <w:t>基准年现状（2020年）</w:t>
            </w:r>
          </w:p>
        </w:tc>
        <w:tc>
          <w:tcPr>
            <w:tcW w:w="1486" w:type="dxa"/>
            <w:vAlign w:val="center"/>
          </w:tcPr>
          <w:p>
            <w:pPr>
              <w:pStyle w:val="11"/>
              <w:spacing w:line="240" w:lineRule="auto"/>
              <w:ind w:left="0" w:leftChars="0" w:firstLine="0" w:firstLineChars="0"/>
              <w:jc w:val="center"/>
              <w:rPr>
                <w:rFonts w:hint="eastAsia" w:ascii="Times New Roman" w:eastAsia="宋体"/>
                <w:sz w:val="21"/>
                <w:szCs w:val="21"/>
              </w:rPr>
            </w:pPr>
            <w:r>
              <w:rPr>
                <w:rFonts w:hint="eastAsia" w:ascii="Times New Roman" w:eastAsia="宋体"/>
                <w:sz w:val="21"/>
                <w:szCs w:val="21"/>
              </w:rPr>
              <w:t>2025年目标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restart"/>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约束性指标</w:t>
            </w: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1</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畜禽规模养殖场粪污处理设施配备率</w:t>
            </w:r>
          </w:p>
        </w:tc>
        <w:tc>
          <w:tcPr>
            <w:tcW w:w="1486"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100%</w:t>
            </w:r>
          </w:p>
        </w:tc>
        <w:tc>
          <w:tcPr>
            <w:tcW w:w="1486" w:type="dxa"/>
            <w:vAlign w:val="center"/>
          </w:tcPr>
          <w:p>
            <w:pPr>
              <w:pStyle w:val="11"/>
              <w:spacing w:line="240" w:lineRule="auto"/>
              <w:ind w:left="0" w:leftChars="0" w:firstLine="0" w:firstLineChars="0"/>
              <w:jc w:val="center"/>
              <w:rPr>
                <w:rFonts w:hint="eastAsia" w:ascii="Times New Roman" w:eastAsia="宋体"/>
                <w:sz w:val="21"/>
                <w:szCs w:val="21"/>
              </w:rPr>
            </w:pPr>
            <w:r>
              <w:rPr>
                <w:rFonts w:hint="eastAsia" w:asci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continue"/>
            <w:vAlign w:val="center"/>
          </w:tcPr>
          <w:p>
            <w:pPr>
              <w:pStyle w:val="11"/>
              <w:spacing w:line="240" w:lineRule="auto"/>
              <w:ind w:firstLine="0"/>
              <w:jc w:val="center"/>
              <w:rPr>
                <w:rFonts w:ascii="Times New Roman" w:eastAsia="宋体"/>
                <w:sz w:val="21"/>
                <w:szCs w:val="21"/>
              </w:rPr>
            </w:pP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2</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畜禽粪污资源化利用和无害化处理率</w:t>
            </w:r>
          </w:p>
        </w:tc>
        <w:tc>
          <w:tcPr>
            <w:tcW w:w="1486" w:type="dxa"/>
            <w:vAlign w:val="center"/>
          </w:tcPr>
          <w:p>
            <w:pPr>
              <w:pStyle w:val="11"/>
              <w:spacing w:line="240" w:lineRule="auto"/>
              <w:ind w:firstLine="0"/>
              <w:jc w:val="center"/>
              <w:rPr>
                <w:rFonts w:ascii="Times New Roman" w:eastAsia="宋体"/>
                <w:sz w:val="21"/>
                <w:szCs w:val="21"/>
              </w:rPr>
            </w:pPr>
            <w:r>
              <w:rPr>
                <w:rFonts w:hint="eastAsia" w:eastAsia="宋体"/>
                <w:sz w:val="21"/>
                <w:szCs w:val="21"/>
                <w:lang w:val="en-US" w:eastAsia="zh-CN"/>
              </w:rPr>
              <w:t>95.48</w:t>
            </w:r>
            <w:r>
              <w:rPr>
                <w:rFonts w:hint="eastAsia" w:ascii="Times New Roman" w:eastAsia="宋体"/>
                <w:sz w:val="21"/>
                <w:szCs w:val="21"/>
              </w:rPr>
              <w:t>%</w:t>
            </w:r>
          </w:p>
        </w:tc>
        <w:tc>
          <w:tcPr>
            <w:tcW w:w="1486" w:type="dxa"/>
            <w:vAlign w:val="center"/>
          </w:tcPr>
          <w:p>
            <w:pPr>
              <w:pStyle w:val="11"/>
              <w:spacing w:line="240" w:lineRule="auto"/>
              <w:ind w:left="0" w:leftChars="0" w:firstLine="0" w:firstLineChars="0"/>
              <w:jc w:val="center"/>
              <w:rPr>
                <w:rFonts w:hint="eastAsia" w:ascii="Times New Roman" w:eastAsia="宋体"/>
                <w:sz w:val="21"/>
                <w:szCs w:val="21"/>
              </w:rPr>
            </w:pPr>
            <w:r>
              <w:rPr>
                <w:rFonts w:hint="eastAsia" w:ascii="Times New Roman" w:eastAsia="宋体"/>
                <w:sz w:val="21"/>
                <w:szCs w:val="21"/>
              </w:rPr>
              <w:t>≥9</w:t>
            </w:r>
            <w:r>
              <w:rPr>
                <w:rFonts w:hint="eastAsia" w:eastAsia="宋体"/>
                <w:sz w:val="21"/>
                <w:szCs w:val="21"/>
                <w:lang w:val="en-US" w:eastAsia="zh-CN"/>
              </w:rPr>
              <w:t>5</w:t>
            </w:r>
            <w:r>
              <w:rPr>
                <w:rFonts w:hint="eastAsia" w:asci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continue"/>
            <w:vAlign w:val="center"/>
          </w:tcPr>
          <w:p>
            <w:pPr>
              <w:pStyle w:val="11"/>
              <w:spacing w:line="240" w:lineRule="auto"/>
              <w:ind w:firstLine="0"/>
              <w:jc w:val="center"/>
              <w:rPr>
                <w:rFonts w:ascii="Times New Roman" w:eastAsia="宋体"/>
                <w:sz w:val="21"/>
                <w:szCs w:val="21"/>
              </w:rPr>
            </w:pP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3</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规划养殖场资源化利用台账建立</w:t>
            </w:r>
          </w:p>
        </w:tc>
        <w:tc>
          <w:tcPr>
            <w:tcW w:w="1486" w:type="dxa"/>
            <w:vAlign w:val="center"/>
          </w:tcPr>
          <w:p>
            <w:pPr>
              <w:pStyle w:val="11"/>
              <w:spacing w:line="240" w:lineRule="auto"/>
              <w:ind w:firstLine="0"/>
              <w:jc w:val="center"/>
              <w:rPr>
                <w:rFonts w:hint="eastAsia" w:ascii="Times New Roman" w:eastAsia="宋体"/>
                <w:sz w:val="21"/>
                <w:szCs w:val="21"/>
                <w:lang w:eastAsia="zh-CN"/>
              </w:rPr>
            </w:pPr>
            <w:r>
              <w:rPr>
                <w:rFonts w:hint="eastAsia" w:ascii="Times New Roman" w:eastAsia="宋体"/>
                <w:sz w:val="21"/>
                <w:szCs w:val="21"/>
                <w:lang w:val="en-US" w:eastAsia="zh-CN"/>
              </w:rPr>
              <w:t>/</w:t>
            </w:r>
          </w:p>
        </w:tc>
        <w:tc>
          <w:tcPr>
            <w:tcW w:w="1486" w:type="dxa"/>
            <w:vAlign w:val="center"/>
          </w:tcPr>
          <w:p>
            <w:pPr>
              <w:pStyle w:val="11"/>
              <w:spacing w:line="240" w:lineRule="auto"/>
              <w:ind w:left="0" w:leftChars="0" w:firstLine="0" w:firstLineChars="0"/>
              <w:jc w:val="center"/>
              <w:rPr>
                <w:rFonts w:hint="eastAsia" w:ascii="Times New Roman" w:eastAsia="宋体"/>
                <w:sz w:val="21"/>
                <w:szCs w:val="21"/>
              </w:rPr>
            </w:pPr>
            <w:r>
              <w:rPr>
                <w:rFonts w:hint="eastAsia" w:asci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continue"/>
            <w:vAlign w:val="center"/>
          </w:tcPr>
          <w:p>
            <w:pPr>
              <w:pStyle w:val="11"/>
              <w:spacing w:line="240" w:lineRule="auto"/>
              <w:ind w:firstLine="0"/>
              <w:jc w:val="center"/>
              <w:rPr>
                <w:rFonts w:ascii="Times New Roman" w:eastAsia="宋体"/>
                <w:sz w:val="21"/>
                <w:szCs w:val="21"/>
              </w:rPr>
            </w:pP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4</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禁养区需关闭、拆除、搬迁养殖场整治率</w:t>
            </w:r>
          </w:p>
        </w:tc>
        <w:tc>
          <w:tcPr>
            <w:tcW w:w="1486"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100%</w:t>
            </w:r>
          </w:p>
        </w:tc>
        <w:tc>
          <w:tcPr>
            <w:tcW w:w="1486" w:type="dxa"/>
            <w:vAlign w:val="center"/>
          </w:tcPr>
          <w:p>
            <w:pPr>
              <w:pStyle w:val="11"/>
              <w:spacing w:line="240" w:lineRule="auto"/>
              <w:ind w:left="0" w:leftChars="0" w:firstLine="0" w:firstLineChars="0"/>
              <w:jc w:val="center"/>
              <w:rPr>
                <w:rFonts w:hint="eastAsia" w:ascii="Times New Roman" w:eastAsia="宋体"/>
                <w:sz w:val="21"/>
                <w:szCs w:val="21"/>
              </w:rPr>
            </w:pPr>
            <w:r>
              <w:rPr>
                <w:rFonts w:hint="eastAsia" w:asci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continue"/>
            <w:vAlign w:val="center"/>
          </w:tcPr>
          <w:p>
            <w:pPr>
              <w:pStyle w:val="11"/>
              <w:spacing w:line="240" w:lineRule="auto"/>
              <w:ind w:firstLine="0"/>
              <w:jc w:val="center"/>
              <w:rPr>
                <w:rFonts w:ascii="Times New Roman" w:eastAsia="宋体"/>
                <w:sz w:val="21"/>
                <w:szCs w:val="21"/>
              </w:rPr>
            </w:pP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5</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规模化畜禽养殖场新、改、扩建项目环境影响评价执行率</w:t>
            </w:r>
          </w:p>
        </w:tc>
        <w:tc>
          <w:tcPr>
            <w:tcW w:w="1486"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100%</w:t>
            </w:r>
          </w:p>
        </w:tc>
        <w:tc>
          <w:tcPr>
            <w:tcW w:w="1486" w:type="dxa"/>
            <w:vAlign w:val="center"/>
          </w:tcPr>
          <w:p>
            <w:pPr>
              <w:pStyle w:val="11"/>
              <w:spacing w:line="240" w:lineRule="auto"/>
              <w:ind w:left="0" w:leftChars="0" w:firstLine="0" w:firstLineChars="0"/>
              <w:jc w:val="center"/>
              <w:rPr>
                <w:rFonts w:hint="eastAsia" w:ascii="Times New Roman" w:eastAsia="宋体"/>
                <w:sz w:val="21"/>
                <w:szCs w:val="21"/>
              </w:rPr>
            </w:pPr>
            <w:r>
              <w:rPr>
                <w:rFonts w:hint="eastAsia" w:asci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continue"/>
            <w:vAlign w:val="center"/>
          </w:tcPr>
          <w:p>
            <w:pPr>
              <w:pStyle w:val="11"/>
              <w:spacing w:line="240" w:lineRule="auto"/>
              <w:ind w:firstLine="0"/>
              <w:jc w:val="center"/>
              <w:rPr>
                <w:rFonts w:ascii="Times New Roman" w:eastAsia="宋体"/>
                <w:sz w:val="21"/>
                <w:szCs w:val="21"/>
              </w:rPr>
            </w:pP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6</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已核发排污许可证的畜禽规模养殖场自行监测覆盖率</w:t>
            </w:r>
          </w:p>
        </w:tc>
        <w:tc>
          <w:tcPr>
            <w:tcW w:w="1486"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100%</w:t>
            </w:r>
          </w:p>
        </w:tc>
        <w:tc>
          <w:tcPr>
            <w:tcW w:w="1486" w:type="dxa"/>
            <w:vAlign w:val="center"/>
          </w:tcPr>
          <w:p>
            <w:pPr>
              <w:pStyle w:val="11"/>
              <w:spacing w:line="240" w:lineRule="auto"/>
              <w:ind w:left="0" w:leftChars="0" w:firstLine="0" w:firstLineChars="0"/>
              <w:jc w:val="center"/>
              <w:rPr>
                <w:rFonts w:hint="eastAsia" w:ascii="Times New Roman" w:eastAsia="宋体"/>
                <w:sz w:val="21"/>
                <w:szCs w:val="21"/>
              </w:rPr>
            </w:pPr>
            <w:r>
              <w:rPr>
                <w:rFonts w:hint="eastAsia" w:asci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restart"/>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预期性指标</w:t>
            </w: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1</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逐步建立成熟的畜禽养殖污染防治与优化养殖结构和资源化利用体系</w:t>
            </w:r>
          </w:p>
        </w:tc>
        <w:tc>
          <w:tcPr>
            <w:tcW w:w="1486"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w:t>
            </w:r>
          </w:p>
        </w:tc>
        <w:tc>
          <w:tcPr>
            <w:tcW w:w="1486" w:type="dxa"/>
            <w:vAlign w:val="center"/>
          </w:tcPr>
          <w:p>
            <w:pPr>
              <w:pStyle w:val="11"/>
              <w:spacing w:line="240" w:lineRule="auto"/>
              <w:ind w:left="0" w:leftChars="0" w:firstLine="0" w:firstLineChars="0"/>
              <w:jc w:val="center"/>
              <w:rPr>
                <w:rFonts w:hint="default" w:ascii="Times New Roman" w:eastAsia="宋体"/>
                <w:sz w:val="21"/>
                <w:szCs w:val="21"/>
                <w:lang w:val="en-US" w:eastAsia="zh-CN"/>
              </w:rPr>
            </w:pPr>
            <w:r>
              <w:rPr>
                <w:rFonts w:hint="eastAsia" w:eastAsia="宋体"/>
                <w:sz w:val="21"/>
                <w:szCs w:val="21"/>
                <w:lang w:val="en-US" w:eastAsia="zh-CN"/>
              </w:rPr>
              <w:t>减少养殖散户数量，规模化养殖率达到90%以上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7" w:type="dxa"/>
            <w:vMerge w:val="continue"/>
            <w:vAlign w:val="center"/>
          </w:tcPr>
          <w:p>
            <w:pPr>
              <w:pStyle w:val="11"/>
              <w:spacing w:line="240" w:lineRule="auto"/>
              <w:ind w:firstLine="0"/>
              <w:jc w:val="center"/>
              <w:rPr>
                <w:rFonts w:ascii="Times New Roman" w:eastAsia="宋体"/>
                <w:sz w:val="21"/>
                <w:szCs w:val="21"/>
              </w:rPr>
            </w:pP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2</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调整、优化养殖禁养区范围</w:t>
            </w:r>
          </w:p>
        </w:tc>
        <w:tc>
          <w:tcPr>
            <w:tcW w:w="1486"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w:t>
            </w:r>
          </w:p>
        </w:tc>
        <w:tc>
          <w:tcPr>
            <w:tcW w:w="1486" w:type="dxa"/>
            <w:vAlign w:val="center"/>
          </w:tcPr>
          <w:p>
            <w:pPr>
              <w:pStyle w:val="11"/>
              <w:spacing w:line="240" w:lineRule="auto"/>
              <w:ind w:left="0" w:leftChars="0" w:firstLine="0" w:firstLineChars="0"/>
              <w:jc w:val="center"/>
              <w:rPr>
                <w:rFonts w:hint="default" w:ascii="Times New Roman" w:eastAsia="宋体"/>
                <w:sz w:val="21"/>
                <w:szCs w:val="21"/>
                <w:lang w:val="en-US" w:eastAsia="zh-CN"/>
              </w:rPr>
            </w:pPr>
            <w:r>
              <w:rPr>
                <w:rFonts w:hint="eastAsia" w:eastAsia="宋体"/>
                <w:sz w:val="21"/>
                <w:szCs w:val="21"/>
                <w:lang w:val="en-US" w:eastAsia="zh-CN"/>
              </w:rPr>
              <w:t>优化重点流域乡镇禁养区范围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67" w:type="dxa"/>
            <w:vMerge w:val="continue"/>
            <w:vAlign w:val="center"/>
          </w:tcPr>
          <w:p>
            <w:pPr>
              <w:pStyle w:val="11"/>
              <w:spacing w:line="240" w:lineRule="auto"/>
              <w:ind w:firstLine="0"/>
              <w:jc w:val="center"/>
              <w:rPr>
                <w:rFonts w:ascii="Times New Roman" w:eastAsia="宋体"/>
                <w:sz w:val="21"/>
                <w:szCs w:val="21"/>
              </w:rPr>
            </w:pPr>
          </w:p>
        </w:tc>
        <w:tc>
          <w:tcPr>
            <w:tcW w:w="887"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3</w:t>
            </w:r>
          </w:p>
        </w:tc>
        <w:tc>
          <w:tcPr>
            <w:tcW w:w="4673"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创新监管机制，逐步推进养殖场台账信息化建设、监控设施建设，配套率</w:t>
            </w:r>
          </w:p>
        </w:tc>
        <w:tc>
          <w:tcPr>
            <w:tcW w:w="1486" w:type="dxa"/>
            <w:vAlign w:val="center"/>
          </w:tcPr>
          <w:p>
            <w:pPr>
              <w:pStyle w:val="11"/>
              <w:spacing w:line="240" w:lineRule="auto"/>
              <w:ind w:firstLine="0"/>
              <w:jc w:val="center"/>
              <w:rPr>
                <w:rFonts w:ascii="Times New Roman" w:eastAsia="宋体"/>
                <w:sz w:val="21"/>
                <w:szCs w:val="21"/>
              </w:rPr>
            </w:pPr>
            <w:r>
              <w:rPr>
                <w:rFonts w:hint="eastAsia" w:ascii="Times New Roman" w:eastAsia="宋体"/>
                <w:sz w:val="21"/>
                <w:szCs w:val="21"/>
              </w:rPr>
              <w:t>/</w:t>
            </w:r>
          </w:p>
        </w:tc>
        <w:tc>
          <w:tcPr>
            <w:tcW w:w="1486" w:type="dxa"/>
            <w:vAlign w:val="center"/>
          </w:tcPr>
          <w:p>
            <w:pPr>
              <w:pStyle w:val="11"/>
              <w:spacing w:line="240" w:lineRule="auto"/>
              <w:ind w:left="0" w:leftChars="0" w:firstLine="0" w:firstLineChars="0"/>
              <w:jc w:val="center"/>
              <w:rPr>
                <w:rFonts w:hint="default" w:ascii="Times New Roman" w:eastAsia="宋体"/>
                <w:sz w:val="21"/>
                <w:szCs w:val="21"/>
                <w:lang w:val="en-US" w:eastAsia="zh-CN"/>
              </w:rPr>
            </w:pPr>
            <w:r>
              <w:rPr>
                <w:rFonts w:hint="eastAsia" w:eastAsia="宋体"/>
                <w:sz w:val="21"/>
                <w:szCs w:val="21"/>
                <w:lang w:val="en-US" w:eastAsia="zh-CN"/>
              </w:rPr>
              <w:t>建设规模化养殖场监控平台，规模养殖场平台接入率达90%以上</w:t>
            </w:r>
          </w:p>
        </w:tc>
      </w:tr>
    </w:tbl>
    <w:p>
      <w:pPr>
        <w:bidi w:val="0"/>
        <w:rPr>
          <w:rFonts w:hint="default"/>
          <w:color w:val="auto"/>
          <w:lang w:val="en-US" w:eastAsia="zh-CN"/>
        </w:rPr>
      </w:pPr>
      <w:bookmarkStart w:id="82" w:name="_Toc20873"/>
      <w:bookmarkStart w:id="83" w:name="_Toc30538"/>
      <w:r>
        <w:rPr>
          <w:rFonts w:hint="eastAsia"/>
          <w:color w:val="auto"/>
          <w:lang w:eastAsia="zh-CN"/>
        </w:rPr>
        <w:t>根据闽侯县农业局直连直报系统调度，</w:t>
      </w:r>
      <w:r>
        <w:rPr>
          <w:rFonts w:hint="eastAsia"/>
          <w:color w:val="auto"/>
          <w:lang w:val="en-US" w:eastAsia="zh-CN"/>
        </w:rPr>
        <w:t>2020年闽侯县畜禽粪污资源化利用和无害化处理率为95.48%，根据现状调查情况来看，生猪规模化养殖场固体粪污配套有机发酵罐和异位发酵床进行处理，部分养殖场养殖废液全部配套沼液池和储液池进行发酵处理，后通过消纳地进行消纳，福丰、光华、邑丰、长基养殖场的部分废水通过场内污水处理设施处理后回用于猪舍清洗工作，其余废水通过配套沼液池和储液池进行发酵处理，后通过消纳地进行消纳。其余畜种的规模化养殖场固体粪污通过搜集、简易堆肥处理成有机肥进行销售处理，液体粪污采取就地消纳的方式进行处置。总体来说畜禽粪污资源化利用和无害化处理率达到95.48%基本无误。</w:t>
      </w:r>
    </w:p>
    <w:p>
      <w:pPr>
        <w:pStyle w:val="5"/>
        <w:bidi w:val="0"/>
      </w:pPr>
      <w:r>
        <w:rPr>
          <w:rFonts w:hint="eastAsia"/>
        </w:rPr>
        <w:t>4.2畜禽养殖规模控制指标分析</w:t>
      </w:r>
      <w:bookmarkEnd w:id="82"/>
      <w:bookmarkEnd w:id="83"/>
    </w:p>
    <w:p>
      <w:pPr>
        <w:pStyle w:val="6"/>
        <w:bidi w:val="0"/>
      </w:pPr>
      <w:bookmarkStart w:id="84" w:name="_Toc2209"/>
      <w:bookmarkStart w:id="85" w:name="_Toc19859"/>
      <w:r>
        <w:rPr>
          <w:rFonts w:hint="eastAsia"/>
        </w:rPr>
        <w:t>4.2.1</w:t>
      </w:r>
      <w:r>
        <w:rPr>
          <w:rFonts w:hint="eastAsia"/>
          <w:lang w:val="en-US" w:eastAsia="zh-CN"/>
        </w:rPr>
        <w:t>闽侯县</w:t>
      </w:r>
      <w:r>
        <w:rPr>
          <w:rFonts w:hint="eastAsia"/>
        </w:rPr>
        <w:t>畜禽养殖规模合理性分析技术路线</w:t>
      </w:r>
      <w:bookmarkEnd w:id="84"/>
      <w:bookmarkEnd w:id="85"/>
    </w:p>
    <w:p>
      <w:pPr>
        <w:bidi w:val="0"/>
        <w:rPr>
          <w:rFonts w:hint="eastAsia"/>
          <w:lang w:val="en-US" w:eastAsia="zh-CN"/>
        </w:rPr>
      </w:pPr>
      <w:r>
        <w:rPr>
          <w:rFonts w:hint="default"/>
          <w:lang w:val="en-US" w:eastAsia="zh-CN"/>
        </w:rPr>
        <w:t>本次规划通过计算</w:t>
      </w:r>
      <w:r>
        <w:rPr>
          <w:rFonts w:hint="eastAsia"/>
          <w:lang w:val="en-US" w:eastAsia="zh-CN"/>
        </w:rPr>
        <w:t>闽侯县</w:t>
      </w:r>
      <w:r>
        <w:rPr>
          <w:rFonts w:hint="default"/>
          <w:lang w:val="en-US" w:eastAsia="zh-CN"/>
        </w:rPr>
        <w:t>境内的</w:t>
      </w:r>
      <w:r>
        <w:rPr>
          <w:rFonts w:hint="eastAsia"/>
          <w:lang w:val="en-US" w:eastAsia="zh-CN"/>
        </w:rPr>
        <w:t>各个现有的规模化养殖场污染防治能力分析、</w:t>
      </w:r>
      <w:r>
        <w:rPr>
          <w:rFonts w:hint="default"/>
          <w:lang w:val="en-US" w:eastAsia="zh-CN"/>
        </w:rPr>
        <w:t>水资源承载力、水环境承载力、土地资源承载力和畜禽粪污土地承载力，基于上述计算结果，与《</w:t>
      </w:r>
      <w:r>
        <w:rPr>
          <w:rFonts w:hint="eastAsia"/>
          <w:lang w:val="en-US" w:eastAsia="zh-CN"/>
        </w:rPr>
        <w:t>闽侯县</w:t>
      </w:r>
      <w:r>
        <w:rPr>
          <w:rFonts w:hint="default"/>
          <w:lang w:val="en-US" w:eastAsia="zh-CN"/>
        </w:rPr>
        <w:t>“十四五”畜牧业发展规划（20</w:t>
      </w:r>
      <w:r>
        <w:rPr>
          <w:rFonts w:hint="eastAsia"/>
          <w:lang w:val="en-US" w:eastAsia="zh-CN"/>
        </w:rPr>
        <w:t>19</w:t>
      </w:r>
      <w:r>
        <w:rPr>
          <w:rFonts w:hint="default"/>
          <w:lang w:val="en-US" w:eastAsia="zh-CN"/>
        </w:rPr>
        <w:t>~2025）》中规划规模进行衔接和对比，从水环境和土壤环境的角度对规划的畜禽养殖规模的合理性进行分析</w:t>
      </w:r>
      <w:r>
        <w:rPr>
          <w:rFonts w:hint="eastAsia"/>
          <w:lang w:val="en-US" w:eastAsia="zh-CN"/>
        </w:rPr>
        <w:t>。</w:t>
      </w:r>
    </w:p>
    <w:p>
      <w:pPr>
        <w:pStyle w:val="6"/>
        <w:bidi w:val="0"/>
        <w:rPr>
          <w:rFonts w:hint="default" w:eastAsia="黑体"/>
          <w:color w:val="auto"/>
          <w:highlight w:val="none"/>
          <w:lang w:val="en-US" w:eastAsia="zh-CN"/>
        </w:rPr>
      </w:pPr>
      <w:bookmarkStart w:id="86" w:name="_Toc27399"/>
      <w:bookmarkStart w:id="87" w:name="_Toc25985"/>
      <w:r>
        <w:rPr>
          <w:rFonts w:hint="eastAsia"/>
          <w:color w:val="auto"/>
          <w:highlight w:val="none"/>
        </w:rPr>
        <w:t>4.2.2</w:t>
      </w:r>
      <w:r>
        <w:rPr>
          <w:rFonts w:hint="eastAsia"/>
          <w:color w:val="auto"/>
          <w:highlight w:val="none"/>
          <w:lang w:val="en-US" w:eastAsia="zh-CN"/>
        </w:rPr>
        <w:t>现有规模化养殖场污染防治能力分析</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heme="minorBidi"/>
          <w:color w:val="auto"/>
          <w:kern w:val="2"/>
          <w:sz w:val="24"/>
          <w:szCs w:val="24"/>
          <w:highlight w:val="none"/>
          <w:lang w:val="en-US" w:eastAsia="zh-CN" w:bidi="ar-SA"/>
        </w:rPr>
      </w:pPr>
      <w:r>
        <w:rPr>
          <w:rFonts w:hint="eastAsia" w:ascii="Times New Roman" w:hAnsi="Times New Roman" w:eastAsia="宋体" w:cstheme="minorBidi"/>
          <w:color w:val="auto"/>
          <w:kern w:val="2"/>
          <w:sz w:val="24"/>
          <w:szCs w:val="24"/>
          <w:highlight w:val="none"/>
          <w:lang w:val="en-US" w:eastAsia="zh-CN" w:bidi="ar-SA"/>
        </w:rPr>
        <w:t>目前，闽侯县</w:t>
      </w:r>
      <w:r>
        <w:rPr>
          <w:rFonts w:hint="eastAsia" w:cstheme="minorBidi"/>
          <w:color w:val="auto"/>
          <w:kern w:val="2"/>
          <w:sz w:val="24"/>
          <w:szCs w:val="24"/>
          <w:highlight w:val="none"/>
          <w:lang w:val="en-US" w:eastAsia="zh-CN" w:bidi="ar-SA"/>
        </w:rPr>
        <w:t>的</w:t>
      </w:r>
      <w:r>
        <w:rPr>
          <w:rFonts w:hint="eastAsia" w:ascii="Times New Roman" w:hAnsi="Times New Roman" w:eastAsia="宋体" w:cstheme="minorBidi"/>
          <w:color w:val="auto"/>
          <w:kern w:val="2"/>
          <w:sz w:val="24"/>
          <w:szCs w:val="24"/>
          <w:highlight w:val="none"/>
          <w:lang w:val="en-US" w:eastAsia="zh-CN" w:bidi="ar-SA"/>
        </w:rPr>
        <w:t>规模化养殖场已完成畜禽粪污资源化利用整县推进项目调整方案</w:t>
      </w:r>
      <w:r>
        <w:rPr>
          <w:rFonts w:hint="eastAsia" w:cstheme="minorBidi"/>
          <w:color w:val="auto"/>
          <w:kern w:val="2"/>
          <w:sz w:val="24"/>
          <w:szCs w:val="24"/>
          <w:highlight w:val="none"/>
          <w:lang w:val="en-US" w:eastAsia="zh-CN" w:bidi="ar-SA"/>
        </w:rPr>
        <w:t>的整改内容，目前闽侯县规模养殖场畜禽粪污资源化利用情况详见附表1，整县推进项目养殖场粪污去向详见表4.2。</w:t>
      </w:r>
    </w:p>
    <w:p>
      <w:pPr>
        <w:pStyle w:val="11"/>
        <w:adjustRightInd w:val="0"/>
        <w:snapToGrid w:val="0"/>
        <w:spacing w:line="240" w:lineRule="auto"/>
        <w:ind w:left="0" w:firstLine="0"/>
        <w:jc w:val="center"/>
        <w:rPr>
          <w:rFonts w:hint="default" w:ascii="Times New Roman" w:hAnsi="Times New Roman" w:eastAsia="黑体" w:cs="Times New Roman"/>
          <w:b/>
          <w:bCs/>
          <w:color w:val="auto"/>
          <w:highlight w:val="none"/>
          <w:lang w:val="en-US" w:eastAsia="zh-CN"/>
        </w:rPr>
      </w:pPr>
      <w:r>
        <w:rPr>
          <w:rFonts w:hint="eastAsia" w:ascii="Times New Roman" w:hAnsi="Times New Roman" w:eastAsia="黑体" w:cs="Times New Roman"/>
          <w:b/>
          <w:bCs/>
          <w:color w:val="auto"/>
          <w:highlight w:val="none"/>
          <w:lang w:val="en-US" w:eastAsia="zh-CN"/>
        </w:rPr>
        <w:t>表</w:t>
      </w:r>
      <w:r>
        <w:rPr>
          <w:rFonts w:hint="eastAsia" w:eastAsia="黑体" w:cs="Times New Roman"/>
          <w:b/>
          <w:bCs/>
          <w:color w:val="auto"/>
          <w:highlight w:val="none"/>
          <w:lang w:val="en-US" w:eastAsia="zh-CN"/>
        </w:rPr>
        <w:t>4.2</w:t>
      </w:r>
      <w:r>
        <w:rPr>
          <w:rFonts w:hint="eastAsia" w:ascii="Times New Roman" w:hAnsi="Times New Roman" w:eastAsia="黑体" w:cs="Times New Roman"/>
          <w:b/>
          <w:bCs/>
          <w:color w:val="auto"/>
          <w:highlight w:val="none"/>
          <w:lang w:val="en-US" w:eastAsia="zh-CN"/>
        </w:rPr>
        <w:t xml:space="preserve">  </w:t>
      </w:r>
      <w:r>
        <w:rPr>
          <w:rFonts w:hint="eastAsia" w:eastAsia="黑体" w:cs="Times New Roman"/>
          <w:b/>
          <w:bCs/>
          <w:color w:val="auto"/>
          <w:highlight w:val="none"/>
          <w:lang w:val="en-US" w:eastAsia="zh-CN"/>
        </w:rPr>
        <w:t>规模化养殖场</w:t>
      </w:r>
      <w:r>
        <w:rPr>
          <w:rFonts w:hint="eastAsia" w:ascii="Times New Roman" w:hAnsi="Times New Roman" w:eastAsia="黑体" w:cs="Times New Roman"/>
          <w:b/>
          <w:bCs/>
          <w:color w:val="auto"/>
          <w:highlight w:val="none"/>
          <w:lang w:val="en-US" w:eastAsia="zh-CN"/>
        </w:rPr>
        <w:t>整县推进项目</w:t>
      </w:r>
      <w:r>
        <w:rPr>
          <w:rFonts w:hint="eastAsia" w:eastAsia="黑体" w:cs="Times New Roman"/>
          <w:b/>
          <w:bCs/>
          <w:color w:val="auto"/>
          <w:highlight w:val="none"/>
          <w:lang w:val="en-US" w:eastAsia="zh-CN"/>
        </w:rPr>
        <w:t>养殖粪污去向</w:t>
      </w:r>
    </w:p>
    <w:tbl>
      <w:tblPr>
        <w:tblStyle w:val="16"/>
        <w:tblW w:w="8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2181"/>
        <w:gridCol w:w="1125"/>
        <w:gridCol w:w="1515"/>
        <w:gridCol w:w="160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序号</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规模化养殖场名称</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养殖畜种</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环评存栏规模（头/羽）</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粪便去向</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养殖废水去向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福建福丰生态农业股份有限公司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20520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2</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福建光华农牧科技开发有限公司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25000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3</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福州市邑丰农业发展有限公司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20000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4</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闽侯县盛源农牧发展有限公司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15000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5</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闽侯县连富农牧发展有限公司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10000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6</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闽侯金源达副食品开发有限公司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6500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7</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闽侯宏盛农牧有限公司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5000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8</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闽侯县扬帆农业发展有限公司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5000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9</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闽侯县宏兴农业专业合作社</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5000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10</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福建长基畜牧有限公司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5000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废水回用+沼气池配套储液池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11</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闽侯县白沙和盛畜牧养殖有限公司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2400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12</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福州中牧绿丰生态农业发展有限公司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2400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13</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闽侯县恒顺生态农业综合开发有限公司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2400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14</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福州市农垦种禽有限责任公司闽侯分公司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种鸡</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90000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15</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福州绿苑农业发展有限公司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蛋鸡</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50000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16</w:t>
            </w:r>
          </w:p>
        </w:tc>
        <w:tc>
          <w:tcPr>
            <w:tcW w:w="2181"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福建兴盛天兆猪业有</w:t>
            </w: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仿宋"/>
                <w:b w:val="0"/>
                <w:bCs w:val="0"/>
                <w:color w:val="auto"/>
                <w:kern w:val="0"/>
                <w:sz w:val="22"/>
                <w:szCs w:val="22"/>
                <w:highlight w:val="none"/>
                <w:lang w:val="en-US" w:eastAsia="zh-CN" w:bidi="ar"/>
              </w:rPr>
            </w:pPr>
            <w:r>
              <w:rPr>
                <w:rFonts w:hint="default" w:ascii="Times New Roman" w:hAnsi="Times New Roman" w:eastAsia="宋体" w:cs="仿宋"/>
                <w:b w:val="0"/>
                <w:bCs w:val="0"/>
                <w:color w:val="auto"/>
                <w:kern w:val="0"/>
                <w:sz w:val="22"/>
                <w:szCs w:val="22"/>
                <w:highlight w:val="none"/>
                <w:lang w:val="en-US" w:eastAsia="zh-CN" w:bidi="ar"/>
              </w:rPr>
              <w:t>限公司</w:t>
            </w:r>
          </w:p>
        </w:tc>
        <w:tc>
          <w:tcPr>
            <w:tcW w:w="112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生猪</w:t>
            </w:r>
          </w:p>
        </w:tc>
        <w:tc>
          <w:tcPr>
            <w:tcW w:w="151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50000</w:t>
            </w:r>
          </w:p>
        </w:tc>
        <w:tc>
          <w:tcPr>
            <w:tcW w:w="160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异位发酵床+有机肥发酵罐</w:t>
            </w:r>
          </w:p>
        </w:tc>
        <w:tc>
          <w:tcPr>
            <w:tcW w:w="1695" w:type="dxa"/>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异位发酵床+</w:t>
            </w: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s="仿宋"/>
                <w:b w:val="0"/>
                <w:bCs w:val="0"/>
                <w:color w:val="auto"/>
                <w:kern w:val="0"/>
                <w:sz w:val="22"/>
                <w:szCs w:val="22"/>
                <w:highlight w:val="none"/>
                <w:lang w:val="en-US" w:eastAsia="zh-CN" w:bidi="ar"/>
              </w:rPr>
            </w:pPr>
            <w:r>
              <w:rPr>
                <w:rFonts w:hint="eastAsia" w:eastAsia="宋体" w:cs="仿宋"/>
                <w:b w:val="0"/>
                <w:bCs w:val="0"/>
                <w:color w:val="auto"/>
                <w:kern w:val="0"/>
                <w:sz w:val="22"/>
                <w:szCs w:val="22"/>
                <w:highlight w:val="none"/>
                <w:lang w:val="en-US" w:eastAsia="zh-CN" w:bidi="ar"/>
              </w:rPr>
              <w:t>沼气池配套储液池+中水回用</w:t>
            </w:r>
          </w:p>
        </w:tc>
      </w:tr>
    </w:tbl>
    <w:p>
      <w:pPr>
        <w:keepNext/>
        <w:keepLines/>
        <w:pageBreakBefore w:val="0"/>
        <w:widowControl w:val="0"/>
        <w:kinsoku/>
        <w:wordWrap/>
        <w:overflowPunct/>
        <w:topLinePunct w:val="0"/>
        <w:autoSpaceDE/>
        <w:autoSpaceDN/>
        <w:bidi w:val="0"/>
        <w:adjustRightInd/>
        <w:snapToGrid/>
        <w:ind w:firstLine="480" w:firstLineChars="200"/>
        <w:textAlignment w:val="auto"/>
        <w:outlineLvl w:val="9"/>
        <w:rPr>
          <w:rFonts w:hint="eastAsia" w:cstheme="minorBidi"/>
          <w:b w:val="0"/>
          <w:color w:val="auto"/>
          <w:kern w:val="2"/>
          <w:sz w:val="24"/>
          <w:szCs w:val="24"/>
          <w:highlight w:val="none"/>
          <w:lang w:val="en-US" w:eastAsia="zh-CN" w:bidi="ar-SA"/>
        </w:rPr>
      </w:pPr>
      <w:r>
        <w:rPr>
          <w:rFonts w:hint="eastAsia" w:ascii="Times New Roman" w:hAnsi="Times New Roman" w:eastAsia="宋体" w:cstheme="minorBidi"/>
          <w:b w:val="0"/>
          <w:color w:val="auto"/>
          <w:kern w:val="2"/>
          <w:sz w:val="24"/>
          <w:szCs w:val="24"/>
          <w:highlight w:val="none"/>
          <w:lang w:val="en-US" w:eastAsia="zh-CN" w:bidi="ar-SA"/>
        </w:rPr>
        <w:t>由</w:t>
      </w:r>
      <w:r>
        <w:rPr>
          <w:rFonts w:hint="eastAsia" w:eastAsia="宋体" w:cstheme="minorBidi"/>
          <w:b w:val="0"/>
          <w:color w:val="auto"/>
          <w:kern w:val="2"/>
          <w:sz w:val="24"/>
          <w:szCs w:val="24"/>
          <w:highlight w:val="none"/>
          <w:lang w:val="en-US" w:eastAsia="zh-CN" w:bidi="ar-SA"/>
        </w:rPr>
        <w:t>闽侯县畜禽粪污资源化利用整县推进项目</w:t>
      </w:r>
      <w:r>
        <w:rPr>
          <w:rFonts w:hint="eastAsia" w:ascii="Times New Roman" w:hAnsi="Times New Roman" w:eastAsia="宋体" w:cstheme="minorBidi"/>
          <w:b w:val="0"/>
          <w:color w:val="auto"/>
          <w:kern w:val="2"/>
          <w:sz w:val="24"/>
          <w:szCs w:val="24"/>
          <w:highlight w:val="none"/>
          <w:lang w:val="en-US" w:eastAsia="zh-CN" w:bidi="ar-SA"/>
        </w:rPr>
        <w:t>可知</w:t>
      </w:r>
      <w:r>
        <w:rPr>
          <w:rFonts w:hint="eastAsia" w:cstheme="minorBidi"/>
          <w:b w:val="0"/>
          <w:color w:val="auto"/>
          <w:kern w:val="2"/>
          <w:sz w:val="24"/>
          <w:szCs w:val="24"/>
          <w:highlight w:val="none"/>
          <w:lang w:val="en-US" w:eastAsia="zh-CN" w:bidi="ar-SA"/>
        </w:rPr>
        <w:t>目前闽侯县规模化生猪养殖场固体粪污均采用有机肥发酵罐的方式生产有机肥（福建兴盛天兆猪业有限公司有异位发酵床措施），发酵罐建设按照有机肥发酵周期不少于7天（堆肥温度维持50℃以上）的容积要求并安装除臭设施，签订有机肥购销协议。养殖废水采取沼气池配套储液池的方式进行发酵处理，沼气池建设按照产能要求沼液停留30天需配套容积，储液池建设按照产能要求沼液停留90天需配套容积。并配套消纳地，但整县推进项目中兴盛天兆、扬帆、金源达、光华已签订协议的消纳地中有种植松树、杉树的土地，此类树种无法吸收肥水养分，长此以往将对消纳土地造成负担，且多数消纳地多为人工施用沼液，因闽侯县猪场均位于山区地带，灌溉区多数分布在周边山林上，均有一定的坡度，日常相关猪场均系在晴天时候进行灌溉，雨天停止灌溉，但有时山区天气变化较大，白天艳阳高照猪场将处理好的污水进行林地浇灌，但午间或傍晚确突然下起雨，刚浇灌到林地的尾水未被充分消纳吸收，尾水随着雨水冲刷可能会流到下游的汇水区小溪内，对水质有可能造成影响。</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heme="minorBidi"/>
          <w:b w:val="0"/>
          <w:color w:val="auto"/>
          <w:kern w:val="2"/>
          <w:sz w:val="24"/>
          <w:szCs w:val="24"/>
          <w:highlight w:val="none"/>
          <w:lang w:val="en-US" w:eastAsia="zh-CN" w:bidi="ar-SA"/>
        </w:rPr>
      </w:pPr>
      <w:r>
        <w:rPr>
          <w:rFonts w:hint="eastAsia" w:ascii="Times New Roman" w:hAnsi="Times New Roman" w:eastAsia="宋体" w:cstheme="minorBidi"/>
          <w:b w:val="0"/>
          <w:color w:val="auto"/>
          <w:kern w:val="2"/>
          <w:sz w:val="24"/>
          <w:szCs w:val="24"/>
          <w:highlight w:val="none"/>
          <w:lang w:val="en-US" w:eastAsia="zh-CN" w:bidi="ar-SA"/>
        </w:rPr>
        <w:t>除生猪外，其他畜种的养殖场</w:t>
      </w:r>
      <w:r>
        <w:rPr>
          <w:rFonts w:hint="eastAsia" w:cstheme="minorBidi"/>
          <w:b w:val="0"/>
          <w:color w:val="auto"/>
          <w:kern w:val="2"/>
          <w:sz w:val="24"/>
          <w:szCs w:val="24"/>
          <w:highlight w:val="none"/>
          <w:lang w:val="en-US" w:eastAsia="zh-CN" w:bidi="ar-SA"/>
        </w:rPr>
        <w:t>除</w:t>
      </w:r>
      <w:r>
        <w:rPr>
          <w:rFonts w:hint="eastAsia" w:ascii="Times New Roman" w:hAnsi="Times New Roman" w:eastAsia="宋体" w:cstheme="minorBidi"/>
          <w:b w:val="0"/>
          <w:color w:val="auto"/>
          <w:kern w:val="2"/>
          <w:sz w:val="24"/>
          <w:szCs w:val="24"/>
          <w:highlight w:val="none"/>
          <w:lang w:val="en-US" w:eastAsia="zh-CN" w:bidi="ar-SA"/>
        </w:rPr>
        <w:t>闽侯县湖鑫农业综合开发有限公司</w:t>
      </w:r>
      <w:r>
        <w:rPr>
          <w:rFonts w:hint="eastAsia" w:cstheme="minorBidi"/>
          <w:b w:val="0"/>
          <w:color w:val="auto"/>
          <w:kern w:val="2"/>
          <w:sz w:val="24"/>
          <w:szCs w:val="24"/>
          <w:highlight w:val="none"/>
          <w:lang w:val="en-US" w:eastAsia="zh-CN" w:bidi="ar-SA"/>
        </w:rPr>
        <w:t>生产有机肥料用于用于自家果林农业种植外，其余养殖场液体粪污均为直接向周边地区消纳，在不明确消纳地范围的情况下无法计算其土地承载力是否满足备案规定养殖数量的要求。规模以下养殖户养殖方式均为散养畜种，粪污就地消纳，有污染当地自然水体的风险。</w:t>
      </w:r>
    </w:p>
    <w:p>
      <w:pPr>
        <w:pStyle w:val="6"/>
        <w:bidi w:val="0"/>
      </w:pPr>
      <w:r>
        <w:rPr>
          <w:rFonts w:hint="eastAsia"/>
        </w:rPr>
        <w:t>4.2.2基于水资源承载力的畜禽养殖规模控制</w:t>
      </w:r>
      <w:bookmarkEnd w:id="86"/>
      <w:bookmarkEnd w:id="87"/>
    </w:p>
    <w:p>
      <w:pPr>
        <w:pStyle w:val="7"/>
        <w:bidi w:val="0"/>
      </w:pPr>
      <w:r>
        <w:rPr>
          <w:rFonts w:hint="eastAsia"/>
        </w:rPr>
        <w:t>4.2.2.1区域水资源</w:t>
      </w:r>
    </w:p>
    <w:p>
      <w:pPr>
        <w:bidi w:val="0"/>
        <w:rPr>
          <w:rFonts w:hint="eastAsia"/>
        </w:rPr>
      </w:pPr>
      <w:r>
        <w:rPr>
          <w:rFonts w:hint="eastAsia"/>
          <w:lang w:val="en-US" w:eastAsia="zh-CN"/>
        </w:rPr>
        <w:t>依据福州市水资源公报2020统计结果，2020年闽侯县全县降水量1310.9毫米，折合水量28.05亿立方米，闽侯县多年平均降雨量为1631.76毫米，2020年全县降雨量较多年平均降雨量下降1.4%。2020年闽侯县水资源总量为15.28亿立方米，总用水量2.98亿立方米，其中农田灌溉用水量1.81亿立方米，占总用水量60.7%；林木鱼畜用水量为0.24亿立方米，占总用水量8%；工业用水0.26亿立方米，占总用水量8.7%；城镇公共用水量为0.32亿立方米，占总用水量10.7%；居民生活用水量为0.35亿立方米，占总用水量11.7%。</w:t>
      </w:r>
      <w:r>
        <w:rPr>
          <w:rFonts w:hint="eastAsia"/>
        </w:rPr>
        <w:t>区域地表水水资源仍有较大剩余量。</w:t>
      </w:r>
    </w:p>
    <w:p>
      <w:pPr>
        <w:adjustRightInd w:val="0"/>
        <w:snapToGrid w:val="0"/>
        <w:spacing w:line="360" w:lineRule="auto"/>
        <w:ind w:left="0" w:leftChars="0" w:firstLine="0" w:firstLineChars="0"/>
        <w:outlineLvl w:val="3"/>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4.2.2.2《</w:t>
      </w:r>
      <w:r>
        <w:rPr>
          <w:rFonts w:hint="eastAsia" w:cs="Times New Roman"/>
          <w:b/>
          <w:bCs/>
          <w:color w:val="auto"/>
          <w:sz w:val="24"/>
          <w:szCs w:val="32"/>
          <w:lang w:val="en-US" w:eastAsia="zh-CN"/>
        </w:rPr>
        <w:t>闽侯县</w:t>
      </w:r>
      <w:r>
        <w:rPr>
          <w:rFonts w:hint="eastAsia" w:ascii="Times New Roman" w:hAnsi="Times New Roman" w:eastAsia="宋体" w:cs="Times New Roman"/>
          <w:b/>
          <w:bCs/>
          <w:color w:val="auto"/>
          <w:sz w:val="24"/>
          <w:szCs w:val="32"/>
        </w:rPr>
        <w:t>畜牧业发展规划（20</w:t>
      </w:r>
      <w:r>
        <w:rPr>
          <w:rFonts w:hint="eastAsia" w:cs="Times New Roman"/>
          <w:b/>
          <w:bCs/>
          <w:color w:val="auto"/>
          <w:sz w:val="24"/>
          <w:szCs w:val="32"/>
          <w:lang w:val="en-US" w:eastAsia="zh-CN"/>
        </w:rPr>
        <w:t>19</w:t>
      </w:r>
      <w:r>
        <w:rPr>
          <w:rFonts w:hint="eastAsia" w:ascii="Times New Roman" w:hAnsi="Times New Roman" w:eastAsia="宋体" w:cs="Times New Roman"/>
          <w:b/>
          <w:bCs/>
          <w:color w:val="auto"/>
          <w:sz w:val="24"/>
          <w:szCs w:val="32"/>
        </w:rPr>
        <w:t>~2025年）》实施的水资源需求量核算</w:t>
      </w:r>
    </w:p>
    <w:p>
      <w:pPr>
        <w:bidi w:val="0"/>
        <w:rPr>
          <w:rFonts w:hint="eastAsia"/>
        </w:rPr>
      </w:pPr>
      <w:r>
        <w:rPr>
          <w:rFonts w:hint="eastAsia"/>
        </w:rPr>
        <w:t xml:space="preserve"> 按照福建省《行业用水定额》（DB35/T772-2018）畜禽业用水定额，《</w:t>
      </w:r>
      <w:r>
        <w:rPr>
          <w:rFonts w:hint="eastAsia"/>
          <w:lang w:val="en-US" w:eastAsia="zh-CN"/>
        </w:rPr>
        <w:t>闽侯县</w:t>
      </w:r>
      <w:r>
        <w:rPr>
          <w:rFonts w:hint="eastAsia"/>
        </w:rPr>
        <w:t>畜牧业发展规划（20</w:t>
      </w:r>
      <w:r>
        <w:rPr>
          <w:rFonts w:hint="eastAsia"/>
          <w:lang w:val="en-US" w:eastAsia="zh-CN"/>
        </w:rPr>
        <w:t>19</w:t>
      </w:r>
      <w:r>
        <w:rPr>
          <w:rFonts w:hint="eastAsia"/>
        </w:rPr>
        <w:t>~2025年）》实施后畜禽养殖用水量情况见下表4.2。</w:t>
      </w:r>
    </w:p>
    <w:p>
      <w:pPr>
        <w:pStyle w:val="11"/>
        <w:adjustRightInd w:val="0"/>
        <w:snapToGrid w:val="0"/>
        <w:spacing w:line="240" w:lineRule="auto"/>
        <w:ind w:left="0" w:firstLine="0"/>
        <w:jc w:val="center"/>
        <w:rPr>
          <w:rFonts w:hint="eastAsia" w:ascii="Times New Roman" w:hAnsi="Times New Roman" w:eastAsia="黑体" w:cs="Times New Roman"/>
          <w:b/>
          <w:bCs/>
          <w:lang w:val="en-US" w:eastAsia="zh-CN"/>
        </w:rPr>
      </w:pPr>
      <w:r>
        <w:rPr>
          <w:rFonts w:hint="eastAsia" w:ascii="Times New Roman" w:hAnsi="Times New Roman" w:eastAsia="黑体" w:cs="Times New Roman"/>
          <w:b/>
          <w:bCs/>
          <w:lang w:val="en-US" w:eastAsia="zh-CN"/>
        </w:rPr>
        <w:t>表4.2  2025年规划畜禽养殖规模预计用水量核算一览表</w:t>
      </w:r>
    </w:p>
    <w:tbl>
      <w:tblPr>
        <w:tblStyle w:val="2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81"/>
        <w:gridCol w:w="1802"/>
        <w:gridCol w:w="1910"/>
        <w:gridCol w:w="1670"/>
        <w:gridCol w:w="1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类别</w:t>
            </w:r>
          </w:p>
        </w:tc>
        <w:tc>
          <w:tcPr>
            <w:tcW w:w="108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定额值</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升/（头·日）</w:t>
            </w:r>
          </w:p>
        </w:tc>
        <w:tc>
          <w:tcPr>
            <w:tcW w:w="114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用水取值</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升/（头·日）</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2025年规划存栏</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（头、只、羽）</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用水量</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立方米</w:t>
            </w:r>
            <w:r>
              <w:rPr>
                <w:rFonts w:ascii="Times New Roman" w:hAnsi="Times New Roman" w:eastAsia="宋体" w:cs="Times New Roman"/>
                <w:kern w:val="0"/>
                <w:sz w:val="21"/>
                <w:szCs w:val="21"/>
                <w:lang w:eastAsia="en-US"/>
              </w:rPr>
              <w:t>/</w:t>
            </w:r>
            <w:r>
              <w:rPr>
                <w:rFonts w:hint="eastAsia" w:ascii="Times New Roman" w:hAnsi="Times New Roman" w:eastAsia="宋体" w:cs="Times New Roman"/>
                <w:kern w:val="0"/>
                <w:sz w:val="21"/>
                <w:szCs w:val="21"/>
                <w:lang w:val="en-US" w:eastAsia="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牛</w:t>
            </w:r>
          </w:p>
        </w:tc>
        <w:tc>
          <w:tcPr>
            <w:tcW w:w="108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30~40</w:t>
            </w:r>
          </w:p>
        </w:tc>
        <w:tc>
          <w:tcPr>
            <w:tcW w:w="114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40</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hint="eastAsia" w:ascii="Times New Roman" w:hAnsi="Times New Roman" w:eastAsia="宋体" w:cs="Times New Roman"/>
                <w:kern w:val="0"/>
                <w:sz w:val="21"/>
                <w:szCs w:val="21"/>
                <w:lang w:eastAsia="en-US"/>
              </w:rPr>
              <w:t>10555</w:t>
            </w:r>
          </w:p>
        </w:tc>
        <w:tc>
          <w:tcPr>
            <w:tcW w:w="1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0"/>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154103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猪</w:t>
            </w:r>
          </w:p>
        </w:tc>
        <w:tc>
          <w:tcPr>
            <w:tcW w:w="108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30~40</w:t>
            </w:r>
          </w:p>
        </w:tc>
        <w:tc>
          <w:tcPr>
            <w:tcW w:w="114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40</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210000</w:t>
            </w:r>
          </w:p>
        </w:tc>
        <w:tc>
          <w:tcPr>
            <w:tcW w:w="1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0"/>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3066000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羊</w:t>
            </w:r>
          </w:p>
        </w:tc>
        <w:tc>
          <w:tcPr>
            <w:tcW w:w="108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5~10</w:t>
            </w:r>
          </w:p>
        </w:tc>
        <w:tc>
          <w:tcPr>
            <w:tcW w:w="114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10</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68500</w:t>
            </w:r>
          </w:p>
        </w:tc>
        <w:tc>
          <w:tcPr>
            <w:tcW w:w="1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0"/>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250025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hint="eastAsia" w:ascii="Times New Roman" w:hAnsi="Times New Roman" w:eastAsia="宋体" w:cs="Times New Roman"/>
                <w:kern w:val="0"/>
                <w:sz w:val="21"/>
                <w:szCs w:val="21"/>
                <w:lang w:eastAsia="en-US"/>
              </w:rPr>
              <w:t>家禽</w:t>
            </w:r>
          </w:p>
        </w:tc>
        <w:tc>
          <w:tcPr>
            <w:tcW w:w="108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0.5~1.0</w:t>
            </w:r>
          </w:p>
        </w:tc>
        <w:tc>
          <w:tcPr>
            <w:tcW w:w="114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1.0</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3149700</w:t>
            </w:r>
          </w:p>
        </w:tc>
        <w:tc>
          <w:tcPr>
            <w:tcW w:w="1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0"/>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1149640.5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兔</w:t>
            </w:r>
          </w:p>
        </w:tc>
        <w:tc>
          <w:tcPr>
            <w:tcW w:w="108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0.3~0.4</w:t>
            </w:r>
          </w:p>
        </w:tc>
        <w:tc>
          <w:tcPr>
            <w:tcW w:w="114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0.4</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160000</w:t>
            </w:r>
          </w:p>
        </w:tc>
        <w:tc>
          <w:tcPr>
            <w:tcW w:w="1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0"/>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23360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8" w:type="pct"/>
            <w:gridSpan w:val="4"/>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用水合计</w:t>
            </w:r>
          </w:p>
        </w:tc>
        <w:tc>
          <w:tcPr>
            <w:tcW w:w="1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0"/>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4643128.5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5"/>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textAlignment w:val="auto"/>
              <w:rPr>
                <w:rFonts w:ascii="Times New Roman" w:hAnsi="Times New Roman" w:eastAsia="宋体" w:cs="Times New Roman"/>
                <w:kern w:val="0"/>
                <w:sz w:val="21"/>
                <w:szCs w:val="21"/>
                <w:lang w:eastAsia="en-US"/>
              </w:rPr>
            </w:pPr>
            <w:r>
              <w:rPr>
                <w:rFonts w:ascii="Times New Roman" w:hAnsi="Times New Roman" w:eastAsia="宋体" w:cs="Times New Roman"/>
                <w:spacing w:val="-3"/>
                <w:kern w:val="0"/>
                <w:sz w:val="21"/>
                <w:szCs w:val="21"/>
                <w:lang w:eastAsia="en-US"/>
              </w:rPr>
              <w:t>备注：用水定额主要指年农村牲畜、家禽饲养业用水，具体包括牲畜规模化养殖场的冲洗、</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textAlignment w:val="auto"/>
              <w:rPr>
                <w:rFonts w:hint="default" w:ascii="Times New Roman" w:hAnsi="Times New Roman" w:eastAsia="宋体" w:cs="Times New Roman"/>
                <w:kern w:val="0"/>
                <w:sz w:val="21"/>
                <w:szCs w:val="21"/>
                <w:lang w:val="en-US" w:eastAsia="zh-CN"/>
              </w:rPr>
            </w:pPr>
            <w:r>
              <w:rPr>
                <w:rFonts w:ascii="Times New Roman" w:hAnsi="Times New Roman" w:eastAsia="宋体" w:cs="Times New Roman"/>
                <w:kern w:val="0"/>
                <w:sz w:val="21"/>
                <w:szCs w:val="21"/>
                <w:lang w:eastAsia="en-US"/>
              </w:rPr>
              <w:t>牲畜饮用和饲料的清洗、拌和用水（不包括牲畜养殖地的降温用水）</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牛、猪、羊、兔、家禽规划养殖数据来源于</w:t>
            </w:r>
            <w:r>
              <w:rPr>
                <w:rFonts w:hint="eastAsia" w:ascii="Times New Roman" w:hAnsi="Times New Roman" w:eastAsia="宋体" w:cs="Times New Roman"/>
                <w:kern w:val="0"/>
                <w:sz w:val="21"/>
                <w:szCs w:val="21"/>
                <w:lang w:eastAsia="en-US"/>
              </w:rPr>
              <w:t>《</w:t>
            </w:r>
            <w:r>
              <w:rPr>
                <w:rFonts w:hint="eastAsia" w:ascii="Times New Roman" w:hAnsi="Times New Roman" w:cs="Times New Roman"/>
                <w:kern w:val="0"/>
                <w:sz w:val="21"/>
                <w:szCs w:val="21"/>
                <w:lang w:val="en-US" w:eastAsia="zh-CN"/>
              </w:rPr>
              <w:t>闽侯年</w:t>
            </w:r>
            <w:r>
              <w:rPr>
                <w:rFonts w:hint="eastAsia" w:ascii="Times New Roman" w:hAnsi="Times New Roman" w:eastAsia="宋体" w:cs="Times New Roman"/>
                <w:kern w:val="0"/>
                <w:sz w:val="21"/>
                <w:szCs w:val="21"/>
                <w:lang w:eastAsia="en-US"/>
              </w:rPr>
              <w:t>畜牧业发展规划（20</w:t>
            </w:r>
            <w:r>
              <w:rPr>
                <w:rFonts w:hint="eastAsia" w:ascii="Times New Roman" w:hAnsi="Times New Roman" w:cs="Times New Roman"/>
                <w:kern w:val="0"/>
                <w:sz w:val="21"/>
                <w:szCs w:val="21"/>
                <w:lang w:val="en-US" w:eastAsia="zh-CN"/>
              </w:rPr>
              <w:t>19</w:t>
            </w:r>
            <w:r>
              <w:rPr>
                <w:rFonts w:hint="eastAsia" w:ascii="Times New Roman" w:hAnsi="Times New Roman" w:eastAsia="宋体" w:cs="Times New Roman"/>
                <w:kern w:val="0"/>
                <w:sz w:val="21"/>
                <w:szCs w:val="21"/>
                <w:lang w:eastAsia="en-US"/>
              </w:rPr>
              <w:t>~2025年）》</w:t>
            </w:r>
            <w:r>
              <w:rPr>
                <w:rFonts w:hint="eastAsia" w:ascii="Times New Roman" w:hAnsi="Times New Roman" w:cs="Times New Roman"/>
                <w:kern w:val="0"/>
                <w:sz w:val="21"/>
                <w:szCs w:val="21"/>
                <w:lang w:val="en-US" w:eastAsia="zh-CN"/>
              </w:rPr>
              <w:t>2025年畜种存栏量。</w:t>
            </w:r>
          </w:p>
        </w:tc>
      </w:tr>
    </w:tbl>
    <w:p>
      <w:pPr>
        <w:bidi w:val="0"/>
        <w:rPr>
          <w:rFonts w:hint="eastAsia" w:ascii="Times New Roman" w:hAnsi="Times New Roman" w:eastAsia="宋体" w:cs="Times New Roman"/>
          <w:sz w:val="24"/>
          <w:szCs w:val="32"/>
        </w:rPr>
      </w:pPr>
      <w:r>
        <w:rPr>
          <w:rFonts w:hint="eastAsia"/>
        </w:rPr>
        <w:t>根据《</w:t>
      </w:r>
      <w:r>
        <w:rPr>
          <w:rFonts w:hint="eastAsia"/>
          <w:lang w:val="en-US" w:eastAsia="zh-CN"/>
        </w:rPr>
        <w:t>闽侯县</w:t>
      </w:r>
      <w:r>
        <w:rPr>
          <w:rFonts w:hint="eastAsia"/>
        </w:rPr>
        <w:t>畜牧业发展规划（20</w:t>
      </w:r>
      <w:r>
        <w:rPr>
          <w:rFonts w:hint="eastAsia"/>
          <w:lang w:val="en-US" w:eastAsia="zh-CN"/>
        </w:rPr>
        <w:t>19</w:t>
      </w:r>
      <w:r>
        <w:rPr>
          <w:rFonts w:hint="eastAsia"/>
        </w:rPr>
        <w:t>~2025）》，</w:t>
      </w:r>
      <w:r>
        <w:rPr>
          <w:rFonts w:hint="eastAsia"/>
          <w:lang w:val="en-US" w:eastAsia="zh-CN"/>
        </w:rPr>
        <w:t>到2025年闽侯县养殖发展目标为维持生猪、家禽养殖量的基本稳定，支持发展蛋禽（主要是配套系商品高产蛋鸡父母代）、草畜（肉羊、兔等）、特种经济动物（蜜蜂等）养殖业。到2025年，养殖规模控制在：生猪年出栏40万头、牛年出栏4000头、羊年出栏13万头、家禽年出栏500万羽，蛋鸡存栏100万羽，生产商品代蛋鸡苗（主要是配套系商品高产蛋鸡）1000万羽（位于江洋农场的福州市农垦种禽责任有限公司），保持畜牧业可持续发展。按“场区布局合理、设施制度完善、生产全程清洁、产出安全高效、资源循环利用、整体绿化美化”的美丽生态牧场标准进行示范创建，尤其对生猪规模养殖场，各地要组合先进技术，突出资源循环，全面进行生态化改造提升，着力打造养殖污染治理和废弃物资源化利用升级版，建成为优质农产品示范基地。重点完成保留的生猪规模养殖场、存栏2万只以上家禽的规模养殖场全部达到“畜禽良种化、养殖设施化、生产规范化、防疫制度化、粪污资源化和监管常态化”标准，并逐步向智慧型养殖场方向发展。到2025年，全县良种化水平达到100%。争创省级以上优质农产品示范基地15-20个。全面推广标准化养殖技术，大力推进畜禽业绿色循环发展，规范发展屠宰加工业，深化品牌培育推介，推动畜禽业高质量发展。到2025年，肉蛋奶产量达32万吨，其中：肉类产量达20.3万吨、禽蛋产量达10.5万吨、奶类产量达1.2万吨。规划到2025年，全县定点屠宰生猪50万头、牛1万头、羊15万只以上，集中屠宰家禽800万只以上，年深加工肉制品、地方特色肉熟食制品2万吨以上。闽侯县根据福建省《行业用水定额》</w:t>
      </w:r>
      <w:r>
        <w:rPr>
          <w:rFonts w:hint="eastAsia" w:ascii="Times New Roman" w:hAnsi="Times New Roman" w:eastAsia="宋体" w:cs="Times New Roman"/>
          <w:sz w:val="24"/>
          <w:szCs w:val="32"/>
        </w:rPr>
        <w:t>(DB 35/T772-2018）工业用水定额，《</w:t>
      </w:r>
      <w:r>
        <w:rPr>
          <w:rFonts w:hint="eastAsia" w:cs="Times New Roman"/>
          <w:sz w:val="24"/>
          <w:szCs w:val="32"/>
          <w:lang w:val="en-US" w:eastAsia="zh-CN"/>
        </w:rPr>
        <w:t>闽侯县</w:t>
      </w:r>
      <w:r>
        <w:rPr>
          <w:rFonts w:hint="eastAsia" w:ascii="Times New Roman" w:hAnsi="Times New Roman" w:eastAsia="宋体" w:cs="Times New Roman"/>
          <w:sz w:val="24"/>
          <w:szCs w:val="32"/>
        </w:rPr>
        <w:t>畜牧业发展规划（20</w:t>
      </w:r>
      <w:r>
        <w:rPr>
          <w:rFonts w:hint="eastAsia" w:cs="Times New Roman"/>
          <w:sz w:val="24"/>
          <w:szCs w:val="32"/>
          <w:lang w:val="en-US" w:eastAsia="zh-CN"/>
        </w:rPr>
        <w:t>19</w:t>
      </w:r>
      <w:r>
        <w:rPr>
          <w:rFonts w:hint="eastAsia" w:ascii="Times New Roman" w:hAnsi="Times New Roman" w:eastAsia="宋体" w:cs="Times New Roman"/>
          <w:sz w:val="24"/>
          <w:szCs w:val="32"/>
        </w:rPr>
        <w:t>~2025）》实施后，至2025年工业用水量见下表4.</w:t>
      </w:r>
      <w:r>
        <w:rPr>
          <w:rFonts w:hint="eastAsia" w:cs="Times New Roman"/>
          <w:sz w:val="24"/>
          <w:szCs w:val="32"/>
          <w:lang w:val="en-US" w:eastAsia="zh-CN"/>
        </w:rPr>
        <w:t>3</w:t>
      </w:r>
      <w:r>
        <w:rPr>
          <w:rFonts w:hint="eastAsia" w:ascii="Times New Roman" w:hAnsi="Times New Roman" w:eastAsia="宋体" w:cs="Times New Roman"/>
          <w:sz w:val="24"/>
          <w:szCs w:val="32"/>
        </w:rPr>
        <w:t>。</w:t>
      </w:r>
    </w:p>
    <w:p>
      <w:pPr>
        <w:pStyle w:val="11"/>
        <w:adjustRightInd w:val="0"/>
        <w:snapToGrid w:val="0"/>
        <w:spacing w:line="240" w:lineRule="auto"/>
        <w:ind w:left="0" w:firstLine="0"/>
        <w:jc w:val="center"/>
        <w:rPr>
          <w:rFonts w:hint="eastAsia" w:ascii="Times New Roman" w:hAnsi="Times New Roman" w:eastAsia="黑体" w:cs="Times New Roman"/>
          <w:b/>
          <w:bCs/>
          <w:lang w:val="en-US" w:eastAsia="zh-CN"/>
        </w:rPr>
      </w:pPr>
      <w:r>
        <w:rPr>
          <w:rFonts w:hint="eastAsia" w:ascii="Times New Roman" w:hAnsi="Times New Roman" w:eastAsia="黑体" w:cs="Times New Roman"/>
          <w:b/>
          <w:bCs/>
          <w:lang w:val="en-US" w:eastAsia="zh-CN"/>
        </w:rPr>
        <w:t>表4.</w:t>
      </w:r>
      <w:r>
        <w:rPr>
          <w:rFonts w:hint="eastAsia" w:eastAsia="黑体" w:cs="Times New Roman"/>
          <w:b/>
          <w:bCs/>
          <w:lang w:val="en-US" w:eastAsia="zh-CN"/>
        </w:rPr>
        <w:t>3</w:t>
      </w:r>
      <w:r>
        <w:rPr>
          <w:rFonts w:hint="eastAsia" w:ascii="Times New Roman" w:hAnsi="Times New Roman" w:eastAsia="黑体" w:cs="Times New Roman"/>
          <w:b/>
          <w:bCs/>
          <w:lang w:val="en-US" w:eastAsia="zh-CN"/>
        </w:rPr>
        <w:t xml:space="preserve">  2025年规划畜禽养殖规模相关工业用水量核算一览表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113"/>
        <w:gridCol w:w="1123"/>
        <w:gridCol w:w="1275"/>
        <w:gridCol w:w="1108"/>
        <w:gridCol w:w="1116"/>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行业类别</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产品名称</w:t>
            </w: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定额单位</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定额值</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用水取值</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规模/年</w:t>
            </w:r>
          </w:p>
        </w:tc>
        <w:tc>
          <w:tcPr>
            <w:tcW w:w="11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用水量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立方米</w:t>
            </w:r>
            <w:r>
              <w:rPr>
                <w:rFonts w:ascii="Times New Roman" w:hAnsi="Times New Roman" w:eastAsia="宋体" w:cs="Times New Roman"/>
                <w:kern w:val="0"/>
                <w:sz w:val="21"/>
                <w:szCs w:val="21"/>
                <w:lang w:val="en-US" w:eastAsia="en-US" w:bidi="ar-SA"/>
              </w:rPr>
              <w:t>/</w:t>
            </w:r>
            <w:r>
              <w:rPr>
                <w:rFonts w:hint="eastAsia" w:ascii="Times New Roman" w:hAnsi="Times New Roman" w:eastAsia="宋体" w:cs="Times New Roman"/>
                <w:kern w:val="0"/>
                <w:sz w:val="21"/>
                <w:szCs w:val="21"/>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牲畜屠宰</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生猪屠宰</w:t>
            </w: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立方米</w:t>
            </w:r>
            <w:r>
              <w:rPr>
                <w:rFonts w:ascii="Times New Roman" w:hAnsi="Times New Roman" w:eastAsia="宋体" w:cs="Times New Roman"/>
                <w:kern w:val="0"/>
                <w:sz w:val="21"/>
                <w:szCs w:val="21"/>
                <w:lang w:val="en-US" w:eastAsia="en-US" w:bidi="ar-SA"/>
              </w:rPr>
              <w:t>/头</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0.6~1.0</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1.0</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59万头</w:t>
            </w:r>
          </w:p>
        </w:tc>
        <w:tc>
          <w:tcPr>
            <w:tcW w:w="11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590000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肉制品及副产品加工</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肉制品</w:t>
            </w: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立方米/吨</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132.5~132.5</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132.5</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20000吨</w:t>
            </w:r>
          </w:p>
        </w:tc>
        <w:tc>
          <w:tcPr>
            <w:tcW w:w="11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2650000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5"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用水合计</w:t>
            </w:r>
          </w:p>
        </w:tc>
        <w:tc>
          <w:tcPr>
            <w:tcW w:w="11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3240000</w:t>
            </w:r>
          </w:p>
        </w:tc>
      </w:tr>
    </w:tbl>
    <w:p>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szCs w:val="32"/>
        </w:rPr>
        <w:t>根据估算，《</w:t>
      </w:r>
      <w:r>
        <w:rPr>
          <w:rFonts w:hint="eastAsia" w:cs="Times New Roman"/>
          <w:sz w:val="24"/>
          <w:szCs w:val="32"/>
          <w:lang w:val="en-US" w:eastAsia="zh-CN"/>
        </w:rPr>
        <w:t>闽侯县</w:t>
      </w:r>
      <w:r>
        <w:rPr>
          <w:rFonts w:hint="eastAsia" w:ascii="Times New Roman" w:hAnsi="Times New Roman" w:eastAsia="宋体" w:cs="Times New Roman"/>
          <w:sz w:val="24"/>
          <w:szCs w:val="32"/>
        </w:rPr>
        <w:t>畜牧业发展规划（20</w:t>
      </w:r>
      <w:r>
        <w:rPr>
          <w:rFonts w:hint="eastAsia" w:cs="Times New Roman"/>
          <w:sz w:val="24"/>
          <w:szCs w:val="32"/>
          <w:lang w:val="en-US" w:eastAsia="zh-CN"/>
        </w:rPr>
        <w:t>19</w:t>
      </w:r>
      <w:r>
        <w:rPr>
          <w:rFonts w:hint="eastAsia" w:ascii="Times New Roman" w:hAnsi="Times New Roman" w:eastAsia="宋体" w:cs="Times New Roman"/>
          <w:sz w:val="24"/>
          <w:szCs w:val="32"/>
        </w:rPr>
        <w:t>~2025年）》实施后，至2025年，畜禽养殖需水量为4643128.5m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/a，其他相关行业的用水量为3240000m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/a，合计</w:t>
      </w:r>
      <w:r>
        <w:rPr>
          <w:rFonts w:hint="eastAsia" w:cs="Times New Roman"/>
          <w:sz w:val="24"/>
          <w:szCs w:val="32"/>
          <w:lang w:val="en-US" w:eastAsia="zh-CN"/>
        </w:rPr>
        <w:t>7883128.5</w:t>
      </w:r>
      <w:r>
        <w:rPr>
          <w:rFonts w:hint="eastAsia" w:ascii="Times New Roman" w:hAnsi="Times New Roman" w:eastAsia="宋体" w:cs="Times New Roman"/>
          <w:sz w:val="24"/>
          <w:szCs w:val="32"/>
        </w:rPr>
        <w:t>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/a，与</w:t>
      </w:r>
      <w:r>
        <w:rPr>
          <w:rFonts w:hint="eastAsia" w:cs="Times New Roman"/>
          <w:sz w:val="24"/>
          <w:szCs w:val="32"/>
          <w:lang w:val="en-US" w:eastAsia="zh-CN"/>
        </w:rPr>
        <w:t>闽侯县</w:t>
      </w:r>
      <w:r>
        <w:rPr>
          <w:rFonts w:hint="eastAsia" w:ascii="Times New Roman" w:hAnsi="Times New Roman" w:eastAsia="宋体" w:cs="Times New Roman"/>
          <w:sz w:val="24"/>
          <w:szCs w:val="32"/>
        </w:rPr>
        <w:t>多年平均水资源量</w:t>
      </w:r>
      <w:r>
        <w:rPr>
          <w:rFonts w:hint="eastAsia" w:cs="Times New Roman"/>
          <w:sz w:val="24"/>
          <w:szCs w:val="32"/>
          <w:lang w:val="en-US" w:eastAsia="zh-CN"/>
        </w:rPr>
        <w:t>19.62</w:t>
      </w:r>
      <w:r>
        <w:rPr>
          <w:rFonts w:hint="eastAsia" w:ascii="Times New Roman" w:hAnsi="Times New Roman" w:eastAsia="宋体" w:cs="Times New Roman"/>
          <w:sz w:val="24"/>
          <w:szCs w:val="32"/>
        </w:rPr>
        <w:t>亿m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相比，占比仅0.</w:t>
      </w:r>
      <w:r>
        <w:rPr>
          <w:rFonts w:hint="eastAsia" w:cs="Times New Roman"/>
          <w:sz w:val="24"/>
          <w:szCs w:val="32"/>
          <w:lang w:val="en-US" w:eastAsia="zh-CN"/>
        </w:rPr>
        <w:t>4</w:t>
      </w:r>
      <w:r>
        <w:rPr>
          <w:rFonts w:hint="eastAsia" w:ascii="Times New Roman" w:hAnsi="Times New Roman" w:eastAsia="宋体" w:cs="Times New Roman"/>
          <w:sz w:val="24"/>
          <w:szCs w:val="32"/>
        </w:rPr>
        <w:t>%。</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综上所述，</w:t>
      </w:r>
      <w:r>
        <w:rPr>
          <w:rFonts w:hint="eastAsia" w:cs="Times New Roman"/>
          <w:sz w:val="24"/>
          <w:szCs w:val="32"/>
          <w:lang w:val="en-US" w:eastAsia="zh-CN"/>
        </w:rPr>
        <w:t>闽侯县</w:t>
      </w:r>
      <w:r>
        <w:rPr>
          <w:rFonts w:hint="eastAsia" w:ascii="Times New Roman" w:hAnsi="Times New Roman" w:eastAsia="宋体" w:cs="Times New Roman"/>
          <w:sz w:val="24"/>
          <w:szCs w:val="32"/>
        </w:rPr>
        <w:t>的水资源量可以满足《</w:t>
      </w:r>
      <w:r>
        <w:rPr>
          <w:rFonts w:hint="eastAsia" w:cs="Times New Roman"/>
          <w:sz w:val="24"/>
          <w:szCs w:val="32"/>
          <w:lang w:val="en-US" w:eastAsia="zh-CN"/>
        </w:rPr>
        <w:t>闽侯县</w:t>
      </w:r>
      <w:r>
        <w:rPr>
          <w:rFonts w:hint="eastAsia" w:ascii="Times New Roman" w:hAnsi="Times New Roman" w:eastAsia="宋体" w:cs="Times New Roman"/>
          <w:sz w:val="24"/>
          <w:szCs w:val="32"/>
        </w:rPr>
        <w:t>畜牧业发展规划（2</w:t>
      </w:r>
      <w:r>
        <w:rPr>
          <w:rFonts w:hint="eastAsia" w:cs="Times New Roman"/>
          <w:sz w:val="24"/>
          <w:szCs w:val="32"/>
          <w:lang w:val="en-US" w:eastAsia="zh-CN"/>
        </w:rPr>
        <w:t>019</w:t>
      </w:r>
      <w:r>
        <w:rPr>
          <w:rFonts w:hint="eastAsia" w:ascii="Times New Roman" w:hAnsi="Times New Roman" w:eastAsia="宋体" w:cs="Times New Roman"/>
          <w:sz w:val="24"/>
          <w:szCs w:val="32"/>
        </w:rPr>
        <w:t>~2025年）》实施过程中的水资源需求。</w:t>
      </w:r>
    </w:p>
    <w:p>
      <w:pPr>
        <w:pStyle w:val="6"/>
        <w:bidi w:val="0"/>
      </w:pPr>
      <w:bookmarkStart w:id="88" w:name="_Toc4693"/>
      <w:bookmarkStart w:id="89" w:name="_Toc9095"/>
      <w:r>
        <w:rPr>
          <w:rFonts w:hint="eastAsia"/>
        </w:rPr>
        <w:t>4.2.3基于水环境承载力的畜禽养殖规模控制</w:t>
      </w:r>
      <w:bookmarkEnd w:id="88"/>
      <w:bookmarkEnd w:id="89"/>
    </w:p>
    <w:p>
      <w:pPr>
        <w:pStyle w:val="7"/>
        <w:bidi w:val="0"/>
      </w:pPr>
      <w:r>
        <w:rPr>
          <w:rFonts w:hint="eastAsia"/>
        </w:rPr>
        <w:t>4.2.3.1</w:t>
      </w:r>
      <w:r>
        <w:rPr>
          <w:rFonts w:hint="eastAsia"/>
          <w:lang w:val="en-US" w:eastAsia="zh-CN"/>
        </w:rPr>
        <w:t>闽侯县</w:t>
      </w:r>
      <w:r>
        <w:rPr>
          <w:rFonts w:hint="eastAsia"/>
        </w:rPr>
        <w:t>水环境承载力现状</w:t>
      </w:r>
    </w:p>
    <w:p>
      <w:pPr>
        <w:bidi w:val="0"/>
        <w:rPr>
          <w:rFonts w:hint="eastAsia" w:eastAsia="宋体"/>
          <w:color w:val="0000FF"/>
          <w:lang w:val="en-US" w:eastAsia="zh-CN"/>
        </w:rPr>
      </w:pPr>
      <w:r>
        <w:rPr>
          <w:rFonts w:hint="eastAsia"/>
        </w:rPr>
        <w:t>依据《水环境承载力评价办法（试行）》，统计2020年</w:t>
      </w:r>
      <w:r>
        <w:rPr>
          <w:rFonts w:hint="eastAsia"/>
          <w:lang w:val="en-US" w:eastAsia="zh-CN"/>
        </w:rPr>
        <w:t>闽侯县</w:t>
      </w:r>
      <w:r>
        <w:rPr>
          <w:rFonts w:hint="eastAsia"/>
        </w:rPr>
        <w:t>内主要国考及省考河流水质达标情况，计算得到</w:t>
      </w:r>
      <w:r>
        <w:rPr>
          <w:rFonts w:hint="eastAsia"/>
          <w:lang w:val="en-US" w:eastAsia="zh-CN"/>
        </w:rPr>
        <w:t>闽侯县</w:t>
      </w:r>
      <w:r>
        <w:rPr>
          <w:rFonts w:hint="eastAsia"/>
        </w:rPr>
        <w:t>主要河流环境承载力，水环境承载力指数越大，表明区域水环境系统对社会经济系统支持能力越强。</w:t>
      </w:r>
      <w:r>
        <w:rPr>
          <w:rFonts w:hint="eastAsia"/>
          <w:lang w:val="en-US" w:eastAsia="zh-CN"/>
        </w:rPr>
        <w:t>根据计算，闽侯县</w:t>
      </w:r>
      <w:r>
        <w:rPr>
          <w:rFonts w:ascii="Times New Roman" w:hAnsi="Times New Roman" w:eastAsia="宋体" w:cs="Times New Roman"/>
          <w:kern w:val="0"/>
          <w:sz w:val="21"/>
          <w:szCs w:val="21"/>
          <w:lang w:val="en-US" w:eastAsia="en-US" w:bidi="ar-SA"/>
        </w:rPr>
        <w:t>Rc</w:t>
      </w:r>
      <w:r>
        <w:rPr>
          <w:rFonts w:hint="eastAsia" w:eastAsia="宋体" w:cs="Times New Roman"/>
          <w:kern w:val="0"/>
          <w:sz w:val="21"/>
          <w:szCs w:val="21"/>
          <w:lang w:val="en-US" w:eastAsia="zh-CN" w:bidi="ar-SA"/>
        </w:rPr>
        <w:t>=82.695，</w:t>
      </w:r>
      <w:r>
        <w:rPr>
          <w:rFonts w:hint="default" w:cs="Times New Roman"/>
        </w:rPr>
        <w:t>当70%≤Rc＜90%时，判定该区域为临界超载状态</w:t>
      </w:r>
      <w:r>
        <w:rPr>
          <w:rFonts w:hint="eastAsia" w:cs="Times New Roman"/>
          <w:lang w:eastAsia="zh-CN"/>
        </w:rPr>
        <w:t>。表明</w:t>
      </w:r>
      <w:r>
        <w:rPr>
          <w:rFonts w:hint="eastAsia" w:cs="Times New Roman"/>
          <w:lang w:val="en-US" w:eastAsia="zh-CN"/>
        </w:rPr>
        <w:t>闽侯县</w:t>
      </w:r>
      <w:r>
        <w:rPr>
          <w:rFonts w:hint="eastAsia" w:cs="Times New Roman"/>
          <w:lang w:eastAsia="zh-CN"/>
        </w:rPr>
        <w:t>区域水环境系统对社会经济支持的能力</w:t>
      </w:r>
      <w:r>
        <w:rPr>
          <w:rFonts w:hint="eastAsia" w:cs="Times New Roman"/>
          <w:lang w:val="en-US" w:eastAsia="zh-CN"/>
        </w:rPr>
        <w:t>一般</w:t>
      </w:r>
      <w:r>
        <w:rPr>
          <w:rFonts w:hint="eastAsia" w:cs="Times New Roman"/>
          <w:lang w:eastAsia="zh-CN"/>
        </w:rPr>
        <w:t>。</w:t>
      </w:r>
    </w:p>
    <w:p>
      <w:pPr>
        <w:pStyle w:val="11"/>
        <w:adjustRightInd w:val="0"/>
        <w:snapToGrid w:val="0"/>
        <w:spacing w:line="240" w:lineRule="auto"/>
        <w:ind w:left="0" w:firstLine="0"/>
        <w:jc w:val="center"/>
        <w:rPr>
          <w:rFonts w:hint="eastAsia" w:ascii="Times New Roman" w:hAnsi="Times New Roman" w:eastAsia="黑体" w:cs="Times New Roman"/>
          <w:b/>
          <w:bCs/>
          <w:lang w:val="en-US" w:eastAsia="zh-CN"/>
        </w:rPr>
      </w:pPr>
      <w:r>
        <w:rPr>
          <w:rFonts w:hint="eastAsia" w:ascii="Times New Roman" w:hAnsi="Times New Roman" w:eastAsia="黑体" w:cs="Times New Roman"/>
          <w:b/>
          <w:bCs/>
          <w:lang w:val="en-US" w:eastAsia="zh-CN"/>
        </w:rPr>
        <w:t>表</w:t>
      </w:r>
      <w:r>
        <w:rPr>
          <w:rFonts w:hint="eastAsia" w:eastAsia="黑体" w:cs="Times New Roman"/>
          <w:b/>
          <w:bCs/>
          <w:lang w:val="en-US" w:eastAsia="zh-CN"/>
        </w:rPr>
        <w:t>4.4</w:t>
      </w:r>
      <w:r>
        <w:rPr>
          <w:rFonts w:hint="eastAsia" w:ascii="Times New Roman" w:hAnsi="Times New Roman" w:eastAsia="黑体" w:cs="Times New Roman"/>
          <w:b/>
          <w:bCs/>
          <w:lang w:val="en-US" w:eastAsia="zh-CN"/>
        </w:rPr>
        <w:t xml:space="preserve"> 主要河流现状水环境承载力评价</w:t>
      </w:r>
    </w:p>
    <w:tbl>
      <w:tblPr>
        <w:tblStyle w:val="15"/>
        <w:tblW w:w="51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666"/>
        <w:gridCol w:w="637"/>
        <w:gridCol w:w="875"/>
        <w:gridCol w:w="1209"/>
        <w:gridCol w:w="1138"/>
        <w:gridCol w:w="1057"/>
        <w:gridCol w:w="1055"/>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61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河流</w:t>
            </w:r>
          </w:p>
        </w:tc>
        <w:tc>
          <w:tcPr>
            <w:tcW w:w="38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断面性质</w:t>
            </w:r>
          </w:p>
        </w:tc>
        <w:tc>
          <w:tcPr>
            <w:tcW w:w="3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达标次数</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监测次数</w:t>
            </w:r>
          </w:p>
        </w:tc>
        <w:tc>
          <w:tcPr>
            <w:tcW w:w="69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en-US" w:bidi="ar-SA"/>
              </w:rPr>
              <w:t>2020年达标率（%）</w:t>
            </w:r>
          </w:p>
        </w:tc>
        <w:tc>
          <w:tcPr>
            <w:tcW w:w="65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年度</w:t>
            </w:r>
            <w:r>
              <w:rPr>
                <w:rFonts w:ascii="Times New Roman" w:hAnsi="Times New Roman" w:eastAsia="宋体" w:cs="Times New Roman"/>
                <w:kern w:val="0"/>
                <w:sz w:val="21"/>
                <w:szCs w:val="21"/>
                <w:lang w:val="en-US" w:eastAsia="en-US" w:bidi="ar-SA"/>
              </w:rPr>
              <w:t>值达标</w:t>
            </w:r>
          </w:p>
        </w:tc>
        <w:tc>
          <w:tcPr>
            <w:tcW w:w="60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A</w:t>
            </w:r>
            <w:r>
              <w:rPr>
                <w:rFonts w:ascii="Times New Roman" w:hAnsi="Times New Roman" w:eastAsia="宋体" w:cs="Times New Roman"/>
                <w:kern w:val="0"/>
                <w:sz w:val="21"/>
                <w:szCs w:val="21"/>
                <w:vertAlign w:val="subscript"/>
                <w:lang w:val="en-US" w:eastAsia="en-US" w:bidi="ar-SA"/>
              </w:rPr>
              <w:t>1</w:t>
            </w:r>
          </w:p>
        </w:tc>
        <w:tc>
          <w:tcPr>
            <w:tcW w:w="60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A</w:t>
            </w:r>
            <w:r>
              <w:rPr>
                <w:rFonts w:ascii="Times New Roman" w:hAnsi="Times New Roman" w:eastAsia="宋体" w:cs="Times New Roman"/>
                <w:kern w:val="0"/>
                <w:sz w:val="21"/>
                <w:szCs w:val="21"/>
                <w:vertAlign w:val="subscript"/>
                <w:lang w:val="en-US" w:eastAsia="en-US" w:bidi="ar-SA"/>
              </w:rPr>
              <w:t>2</w:t>
            </w:r>
          </w:p>
        </w:tc>
        <w:tc>
          <w:tcPr>
            <w:tcW w:w="5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ascii="Times New Roman" w:hAnsi="Times New Roman" w:eastAsia="宋体" w:cs="Times New Roman"/>
                <w:kern w:val="0"/>
                <w:sz w:val="21"/>
                <w:szCs w:val="21"/>
                <w:lang w:val="en-US" w:eastAsia="en-US" w:bidi="ar-SA"/>
              </w:rPr>
              <w:t>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竹岐</w:t>
            </w:r>
          </w:p>
        </w:tc>
        <w:tc>
          <w:tcPr>
            <w:tcW w:w="38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国考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12</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91.67</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80.77%</w:t>
            </w:r>
          </w:p>
        </w:tc>
        <w:tc>
          <w:tcPr>
            <w:tcW w:w="606" w:type="pct"/>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84.62%</w:t>
            </w:r>
          </w:p>
        </w:tc>
        <w:tc>
          <w:tcPr>
            <w:tcW w:w="567" w:type="pct"/>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82.695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大樟溪口</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国考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12</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41.67</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不达标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西溪/虎溪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16.67</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不达标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溪源溪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100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小目溪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66.67</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源里溪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50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井下溪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100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大目溪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5</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100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荆溪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83.33</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十八重溪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100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淘江</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100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日溪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100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7"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华林溪</w:t>
            </w:r>
          </w:p>
        </w:tc>
        <w:tc>
          <w:tcPr>
            <w:tcW w:w="382" w:type="pct"/>
            <w:shd w:val="clear" w:color="000000"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省考</w:t>
            </w:r>
          </w:p>
        </w:tc>
        <w:tc>
          <w:tcPr>
            <w:tcW w:w="36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0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r>
              <w:rPr>
                <w:rFonts w:hint="eastAsia" w:cs="Times New Roman"/>
                <w:kern w:val="0"/>
                <w:sz w:val="21"/>
                <w:szCs w:val="21"/>
                <w:lang w:val="en-US" w:eastAsia="zh-CN" w:bidi="ar-SA"/>
              </w:rPr>
              <w:t>6</w:t>
            </w:r>
          </w:p>
        </w:tc>
        <w:tc>
          <w:tcPr>
            <w:tcW w:w="69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cs="Times New Roman"/>
                <w:i w:val="0"/>
                <w:iCs w:val="0"/>
                <w:color w:val="000000"/>
                <w:kern w:val="0"/>
                <w:sz w:val="21"/>
                <w:szCs w:val="21"/>
                <w:u w:val="none"/>
                <w:lang w:val="en-US" w:eastAsia="zh-CN" w:bidi="ar"/>
              </w:rPr>
              <w:t>100</w:t>
            </w:r>
          </w:p>
        </w:tc>
        <w:tc>
          <w:tcPr>
            <w:tcW w:w="6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宋体" w:cs="Times New Roman"/>
                <w:kern w:val="0"/>
                <w:sz w:val="21"/>
                <w:szCs w:val="21"/>
                <w:lang w:val="en-US" w:eastAsia="en-US" w:bidi="ar-SA"/>
              </w:rPr>
            </w:pPr>
            <w:r>
              <w:rPr>
                <w:rFonts w:hint="eastAsia" w:ascii="宋体" w:hAnsi="宋体" w:eastAsia="宋体" w:cs="宋体"/>
                <w:i w:val="0"/>
                <w:iCs w:val="0"/>
                <w:color w:val="000000"/>
                <w:kern w:val="0"/>
                <w:sz w:val="21"/>
                <w:szCs w:val="21"/>
                <w:u w:val="none"/>
                <w:lang w:val="en-US" w:eastAsia="zh-CN" w:bidi="ar"/>
              </w:rPr>
              <w:t>达标</w:t>
            </w:r>
          </w:p>
        </w:tc>
        <w:tc>
          <w:tcPr>
            <w:tcW w:w="60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606"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c>
          <w:tcPr>
            <w:tcW w:w="567" w:type="pct"/>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lang w:val="en-US" w:eastAsia="en-US" w:bidi="ar-SA"/>
              </w:rPr>
            </w:pPr>
          </w:p>
        </w:tc>
      </w:tr>
    </w:tbl>
    <w:p>
      <w:pPr>
        <w:pStyle w:val="7"/>
        <w:bidi w:val="0"/>
      </w:pPr>
      <w:r>
        <w:rPr>
          <w:rFonts w:hint="eastAsia"/>
        </w:rPr>
        <w:t>4.2.3.</w:t>
      </w:r>
      <w:r>
        <w:rPr>
          <w:rFonts w:hint="eastAsia"/>
          <w:lang w:val="en-US" w:eastAsia="zh-CN"/>
        </w:rPr>
        <w:t>2闽侯县</w:t>
      </w:r>
      <w:r>
        <w:rPr>
          <w:rFonts w:hint="eastAsia"/>
        </w:rPr>
        <w:t>2025年畜禽养殖废水污染物产生量核算</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sz w:val="24"/>
          <w:szCs w:val="32"/>
        </w:rPr>
      </w:pPr>
      <w:r>
        <w:rPr>
          <w:rFonts w:hint="eastAsia" w:ascii="Times New Roman" w:hAnsi="Times New Roman" w:eastAsia="宋体" w:cs="Times New Roman"/>
          <w:b/>
          <w:bCs/>
          <w:sz w:val="24"/>
          <w:szCs w:val="32"/>
        </w:rPr>
        <w:t>1.畜禽养殖废水</w:t>
      </w:r>
    </w:p>
    <w:p>
      <w:pPr>
        <w:bidi w:val="0"/>
      </w:pPr>
      <w:r>
        <w:rPr>
          <w:rFonts w:hint="eastAsia"/>
        </w:rPr>
        <w:t>根据《</w:t>
      </w:r>
      <w:r>
        <w:rPr>
          <w:rFonts w:hint="eastAsia"/>
          <w:lang w:val="en-US" w:eastAsia="zh-CN"/>
        </w:rPr>
        <w:t>闽侯县</w:t>
      </w:r>
      <w:r>
        <w:rPr>
          <w:rFonts w:hint="eastAsia"/>
        </w:rPr>
        <w:t>畜牧业发展规划（20</w:t>
      </w:r>
      <w:r>
        <w:rPr>
          <w:rFonts w:hint="eastAsia"/>
          <w:lang w:val="en-US" w:eastAsia="zh-CN"/>
        </w:rPr>
        <w:t>19</w:t>
      </w:r>
      <w:r>
        <w:rPr>
          <w:rFonts w:hint="eastAsia"/>
        </w:rPr>
        <w:t>~2025年）》规划的2025年全县畜牧业发展规模，按照《排污许可证申请与核发技术规范 畜禽养殖行业》（HJ1029-2019）中的产污系数法核算2025年发展规模下</w:t>
      </w:r>
      <w:r>
        <w:rPr>
          <w:rFonts w:hint="eastAsia"/>
          <w:lang w:val="en-US" w:eastAsia="zh-CN"/>
        </w:rPr>
        <w:t>闽侯县</w:t>
      </w:r>
      <w:r>
        <w:rPr>
          <w:rFonts w:hint="eastAsia"/>
        </w:rPr>
        <w:t>畜禽养殖行业水污染物排放量，核算结果见下表</w:t>
      </w:r>
      <w:r>
        <w:rPr>
          <w:rFonts w:hint="eastAsia"/>
          <w:lang w:val="en-US" w:eastAsia="zh-CN"/>
        </w:rPr>
        <w:t>4.5</w:t>
      </w:r>
      <w:r>
        <w:rPr>
          <w:rFonts w:hint="eastAsia"/>
        </w:rPr>
        <w:t>。</w:t>
      </w:r>
    </w:p>
    <w:p>
      <w:pPr>
        <w:bidi w:val="0"/>
      </w:pPr>
      <w:r>
        <w:rPr>
          <w:rFonts w:hint="eastAsia"/>
        </w:rPr>
        <w:t>畜禽养殖行业排污单位采用产污系数法核算污染物排放量的，根据单位畜禽污染物的产生量、畜禽养殖量按下列公式进行核算。</w:t>
      </w:r>
    </w:p>
    <w:p>
      <w:pPr>
        <w:adjustRightInd w:val="0"/>
        <w:snapToGrid w:val="0"/>
        <w:spacing w:line="360" w:lineRule="auto"/>
        <w:ind w:firstLine="480" w:firstLineChars="200"/>
        <w:jc w:val="center"/>
        <w:rPr>
          <w:rFonts w:ascii="Times New Roman" w:hAnsi="Times New Roman" w:eastAsia="宋体" w:cs="Times New Roman"/>
          <w:sz w:val="24"/>
          <w:szCs w:val="32"/>
        </w:rPr>
      </w:pPr>
      <w:r>
        <w:rPr>
          <w:rFonts w:ascii="Times New Roman" w:hAnsi="Times New Roman" w:eastAsia="宋体" w:cs="Times New Roman"/>
          <w:sz w:val="24"/>
          <w:szCs w:val="32"/>
        </w:rPr>
        <w:t>E=N×{η×（1-θ）+c }×T×10</w:t>
      </w:r>
      <w:r>
        <w:rPr>
          <w:rFonts w:ascii="Times New Roman" w:hAnsi="Times New Roman" w:eastAsia="宋体" w:cs="Times New Roman"/>
          <w:sz w:val="24"/>
          <w:szCs w:val="32"/>
          <w:vertAlign w:val="superscript"/>
        </w:rPr>
        <w:t>-6</w:t>
      </w:r>
    </w:p>
    <w:p>
      <w:pPr>
        <w:adjustRightInd w:val="0"/>
        <w:snapToGrid w:val="0"/>
        <w:spacing w:line="360" w:lineRule="auto"/>
        <w:ind w:firstLine="480" w:firstLineChars="200"/>
        <w:jc w:val="center"/>
        <w:rPr>
          <w:rFonts w:ascii="Times New Roman" w:hAnsi="Times New Roman" w:eastAsia="宋体" w:cs="Times New Roman"/>
          <w:sz w:val="24"/>
          <w:szCs w:val="32"/>
        </w:rPr>
      </w:pPr>
      <w:r>
        <w:rPr>
          <w:rFonts w:ascii="Times New Roman" w:hAnsi="Times New Roman" w:eastAsia="宋体" w:cs="Times New Roman"/>
          <w:sz w:val="24"/>
          <w:szCs w:val="32"/>
        </w:rPr>
        <w:t>θ=R/（N×β×T）</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式中：E—核算时段内主要排放口某项水污染物的实际排放量，t；</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N—核算时段内排污单位畜禽平均存栏量，头（只）；</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η—单位畜禽粪便中某项水污染物含量，g/d，参见表</w:t>
      </w:r>
      <w:r>
        <w:rPr>
          <w:rFonts w:hint="eastAsia" w:cs="Times New Roman"/>
          <w:sz w:val="24"/>
          <w:szCs w:val="32"/>
          <w:lang w:val="en-US" w:eastAsia="zh-CN"/>
        </w:rPr>
        <w:t>4.5</w:t>
      </w:r>
      <w:r>
        <w:rPr>
          <w:rFonts w:ascii="Times New Roman" w:hAnsi="Times New Roman" w:eastAsia="宋体" w:cs="Times New Roman"/>
          <w:sz w:val="24"/>
          <w:szCs w:val="32"/>
        </w:rPr>
        <w:t>；</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θ—排污单位固体粪便清出比例，%；</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β—单位畜禽粪便日产生量，kg/头（只），参见表</w:t>
      </w:r>
      <w:r>
        <w:rPr>
          <w:rFonts w:hint="eastAsia" w:ascii="Times New Roman" w:hAnsi="Times New Roman" w:eastAsia="宋体" w:cs="Times New Roman"/>
          <w:sz w:val="24"/>
          <w:szCs w:val="32"/>
        </w:rPr>
        <w:t>4.</w:t>
      </w:r>
      <w:r>
        <w:rPr>
          <w:rFonts w:hint="eastAsia" w:cs="Times New Roman"/>
          <w:sz w:val="24"/>
          <w:szCs w:val="32"/>
          <w:lang w:val="en-US" w:eastAsia="zh-CN"/>
        </w:rPr>
        <w:t>5</w:t>
      </w:r>
      <w:r>
        <w:rPr>
          <w:rFonts w:ascii="Times New Roman" w:hAnsi="Times New Roman" w:eastAsia="宋体" w:cs="Times New Roman"/>
          <w:sz w:val="24"/>
          <w:szCs w:val="32"/>
        </w:rPr>
        <w:t>；</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R一核算时段内排污单位畜禽粪便清出量，kg，排污单位根据实际情况统计，无相关记录时取零，本次核算取0</w:t>
      </w:r>
      <w:r>
        <w:rPr>
          <w:rFonts w:hint="eastAsia" w:ascii="Times New Roman" w:hAnsi="Times New Roman" w:eastAsia="宋体" w:cs="Times New Roman"/>
          <w:sz w:val="24"/>
          <w:szCs w:val="32"/>
        </w:rPr>
        <w:t>。</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c—单位畜禽尿液中某项水污染物含量，g/d，参见表</w:t>
      </w:r>
      <w:r>
        <w:rPr>
          <w:rFonts w:hint="eastAsia" w:ascii="Times New Roman" w:hAnsi="Times New Roman" w:eastAsia="宋体" w:cs="Times New Roman"/>
          <w:sz w:val="24"/>
          <w:szCs w:val="32"/>
        </w:rPr>
        <w:t>4</w:t>
      </w:r>
      <w:r>
        <w:rPr>
          <w:rFonts w:ascii="Times New Roman" w:hAnsi="Times New Roman" w:eastAsia="宋体" w:cs="Times New Roman"/>
          <w:sz w:val="24"/>
          <w:szCs w:val="32"/>
        </w:rPr>
        <w:t>.</w:t>
      </w:r>
      <w:r>
        <w:rPr>
          <w:rFonts w:hint="eastAsia" w:cs="Times New Roman"/>
          <w:sz w:val="24"/>
          <w:szCs w:val="32"/>
          <w:lang w:val="en-US" w:eastAsia="zh-CN"/>
        </w:rPr>
        <w:t>5</w:t>
      </w:r>
      <w:r>
        <w:rPr>
          <w:rFonts w:ascii="Times New Roman" w:hAnsi="Times New Roman" w:eastAsia="宋体" w:cs="Times New Roman"/>
          <w:sz w:val="24"/>
          <w:szCs w:val="32"/>
        </w:rPr>
        <w:t>；</w:t>
      </w:r>
    </w:p>
    <w:p>
      <w:pPr>
        <w:adjustRightInd w:val="0"/>
        <w:snapToGrid w:val="0"/>
        <w:spacing w:line="360" w:lineRule="auto"/>
        <w:ind w:firstLine="480"/>
        <w:rPr>
          <w:rFonts w:ascii="Times New Roman" w:hAnsi="Times New Roman" w:eastAsia="宋体" w:cs="Times New Roman"/>
          <w:sz w:val="24"/>
          <w:szCs w:val="32"/>
        </w:rPr>
      </w:pPr>
      <w:r>
        <w:rPr>
          <w:rFonts w:ascii="Times New Roman" w:hAnsi="Times New Roman" w:eastAsia="宋体" w:cs="Times New Roman"/>
          <w:sz w:val="24"/>
          <w:szCs w:val="32"/>
        </w:rPr>
        <w:t>T—核算时段时间，d</w:t>
      </w:r>
      <w:r>
        <w:rPr>
          <w:rFonts w:hint="eastAsia" w:ascii="Times New Roman" w:hAnsi="Times New Roman" w:eastAsia="宋体" w:cs="Times New Roman"/>
          <w:sz w:val="24"/>
          <w:szCs w:val="32"/>
        </w:rPr>
        <w:t>。</w:t>
      </w:r>
    </w:p>
    <w:p>
      <w:pPr>
        <w:pStyle w:val="11"/>
        <w:adjustRightInd w:val="0"/>
        <w:snapToGrid w:val="0"/>
        <w:spacing w:line="240" w:lineRule="auto"/>
        <w:ind w:left="0" w:firstLine="0"/>
        <w:jc w:val="center"/>
        <w:rPr>
          <w:rFonts w:hint="eastAsia" w:ascii="Times New Roman" w:hAnsi="Times New Roman" w:eastAsia="黑体" w:cs="Times New Roman"/>
          <w:b/>
          <w:bCs/>
          <w:lang w:val="en-US" w:eastAsia="zh-CN"/>
        </w:rPr>
      </w:pPr>
      <w:r>
        <w:rPr>
          <w:rFonts w:hint="eastAsia" w:ascii="Times New Roman" w:hAnsi="Times New Roman" w:eastAsia="黑体" w:cs="Times New Roman"/>
          <w:b/>
          <w:bCs/>
          <w:lang w:val="en-US" w:eastAsia="zh-CN"/>
        </w:rPr>
        <w:t>表4.</w:t>
      </w:r>
      <w:r>
        <w:rPr>
          <w:rFonts w:hint="eastAsia" w:eastAsia="黑体" w:cs="Times New Roman"/>
          <w:b/>
          <w:bCs/>
          <w:lang w:val="en-US" w:eastAsia="zh-CN"/>
        </w:rPr>
        <w:t>5</w:t>
      </w:r>
      <w:r>
        <w:rPr>
          <w:rFonts w:hint="eastAsia" w:ascii="Times New Roman" w:hAnsi="Times New Roman" w:eastAsia="黑体" w:cs="Times New Roman"/>
          <w:b/>
          <w:bCs/>
          <w:lang w:val="en-US" w:eastAsia="zh-CN"/>
        </w:rPr>
        <w:t xml:space="preserve">  各类畜禽污染物产污系数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463"/>
        <w:gridCol w:w="923"/>
        <w:gridCol w:w="774"/>
        <w:gridCol w:w="730"/>
        <w:gridCol w:w="730"/>
        <w:gridCol w:w="789"/>
        <w:gridCol w:w="769"/>
        <w:gridCol w:w="686"/>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种类</w:t>
            </w:r>
          </w:p>
        </w:tc>
        <w:tc>
          <w:tcPr>
            <w:tcW w:w="1463"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粪便产生量（kg/d·头/只）</w:t>
            </w:r>
          </w:p>
        </w:tc>
        <w:tc>
          <w:tcPr>
            <w:tcW w:w="3157" w:type="dxa"/>
            <w:gridSpan w:val="4"/>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粪便中污染物含量（g/d·头/只）</w:t>
            </w:r>
          </w:p>
        </w:tc>
        <w:tc>
          <w:tcPr>
            <w:tcW w:w="2975" w:type="dxa"/>
            <w:gridSpan w:val="4"/>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尿液中污染物含量（g/d·头/只）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p>
        </w:tc>
        <w:tc>
          <w:tcPr>
            <w:tcW w:w="1463"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p>
        </w:tc>
        <w:tc>
          <w:tcPr>
            <w:tcW w:w="92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COD</w:t>
            </w:r>
          </w:p>
        </w:tc>
        <w:tc>
          <w:tcPr>
            <w:tcW w:w="774"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总氮</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总磷</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氨氮</w:t>
            </w:r>
          </w:p>
        </w:tc>
        <w:tc>
          <w:tcPr>
            <w:tcW w:w="78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COD</w:t>
            </w:r>
          </w:p>
        </w:tc>
        <w:tc>
          <w:tcPr>
            <w:tcW w:w="76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总氮</w:t>
            </w:r>
          </w:p>
        </w:tc>
        <w:tc>
          <w:tcPr>
            <w:tcW w:w="686"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总磷</w:t>
            </w:r>
          </w:p>
        </w:tc>
        <w:tc>
          <w:tcPr>
            <w:tcW w:w="731"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生猪</w:t>
            </w:r>
          </w:p>
        </w:tc>
        <w:tc>
          <w:tcPr>
            <w:tcW w:w="146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1.24</w:t>
            </w:r>
          </w:p>
        </w:tc>
        <w:tc>
          <w:tcPr>
            <w:tcW w:w="92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167.4</w:t>
            </w:r>
          </w:p>
        </w:tc>
        <w:tc>
          <w:tcPr>
            <w:tcW w:w="774"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9.3</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2.9</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6.1</w:t>
            </w:r>
          </w:p>
        </w:tc>
        <w:tc>
          <w:tcPr>
            <w:tcW w:w="78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35.4</w:t>
            </w:r>
          </w:p>
        </w:tc>
        <w:tc>
          <w:tcPr>
            <w:tcW w:w="76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11.2</w:t>
            </w:r>
          </w:p>
        </w:tc>
        <w:tc>
          <w:tcPr>
            <w:tcW w:w="686"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0.3</w:t>
            </w:r>
          </w:p>
        </w:tc>
        <w:tc>
          <w:tcPr>
            <w:tcW w:w="731"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牛</w:t>
            </w:r>
          </w:p>
        </w:tc>
        <w:tc>
          <w:tcPr>
            <w:tcW w:w="146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10.88</w:t>
            </w:r>
          </w:p>
        </w:tc>
        <w:tc>
          <w:tcPr>
            <w:tcW w:w="92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2435.1</w:t>
            </w:r>
          </w:p>
        </w:tc>
        <w:tc>
          <w:tcPr>
            <w:tcW w:w="774"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68.8</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12.1</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28.6</w:t>
            </w:r>
          </w:p>
        </w:tc>
        <w:tc>
          <w:tcPr>
            <w:tcW w:w="78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175.3</w:t>
            </w:r>
          </w:p>
        </w:tc>
        <w:tc>
          <w:tcPr>
            <w:tcW w:w="76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38.8</w:t>
            </w:r>
          </w:p>
        </w:tc>
        <w:tc>
          <w:tcPr>
            <w:tcW w:w="686"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2.4</w:t>
            </w:r>
          </w:p>
        </w:tc>
        <w:tc>
          <w:tcPr>
            <w:tcW w:w="731"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lang w:eastAsia="zh-CN"/>
              </w:rPr>
            </w:pPr>
            <w:r>
              <w:rPr>
                <w:rFonts w:hint="eastAsia" w:cs="Times New Roman"/>
                <w:sz w:val="21"/>
                <w:lang w:val="en-US" w:eastAsia="zh-CN"/>
              </w:rPr>
              <w:t>家禽</w:t>
            </w:r>
          </w:p>
        </w:tc>
        <w:tc>
          <w:tcPr>
            <w:tcW w:w="146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0.11</w:t>
            </w:r>
          </w:p>
        </w:tc>
        <w:tc>
          <w:tcPr>
            <w:tcW w:w="92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19.5</w:t>
            </w:r>
          </w:p>
        </w:tc>
        <w:tc>
          <w:tcPr>
            <w:tcW w:w="774"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1.1</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0.3</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0.5</w:t>
            </w:r>
          </w:p>
        </w:tc>
        <w:tc>
          <w:tcPr>
            <w:tcW w:w="78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w:t>
            </w:r>
          </w:p>
        </w:tc>
        <w:tc>
          <w:tcPr>
            <w:tcW w:w="76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w:t>
            </w:r>
          </w:p>
        </w:tc>
        <w:tc>
          <w:tcPr>
            <w:tcW w:w="686"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w:t>
            </w:r>
          </w:p>
        </w:tc>
        <w:tc>
          <w:tcPr>
            <w:tcW w:w="731"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rPr>
            </w:pPr>
            <w:r>
              <w:rPr>
                <w:rFonts w:ascii="Times New Roman" w:hAnsi="Times New Roman"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lang w:val="en-US" w:eastAsia="zh-CN"/>
              </w:rPr>
            </w:pPr>
            <w:r>
              <w:rPr>
                <w:rFonts w:hint="eastAsia" w:cs="Times New Roman"/>
                <w:sz w:val="21"/>
                <w:lang w:val="en-US" w:eastAsia="zh-CN"/>
              </w:rPr>
              <w:t>羊</w:t>
            </w:r>
          </w:p>
        </w:tc>
        <w:tc>
          <w:tcPr>
            <w:tcW w:w="146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0.50</w:t>
            </w:r>
          </w:p>
        </w:tc>
        <w:tc>
          <w:tcPr>
            <w:tcW w:w="92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66.96</w:t>
            </w:r>
          </w:p>
        </w:tc>
        <w:tc>
          <w:tcPr>
            <w:tcW w:w="774"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3.72</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1.16</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2.44</w:t>
            </w:r>
          </w:p>
        </w:tc>
        <w:tc>
          <w:tcPr>
            <w:tcW w:w="78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14.16</w:t>
            </w:r>
          </w:p>
        </w:tc>
        <w:tc>
          <w:tcPr>
            <w:tcW w:w="76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4.48</w:t>
            </w:r>
          </w:p>
        </w:tc>
        <w:tc>
          <w:tcPr>
            <w:tcW w:w="686"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0.12</w:t>
            </w:r>
          </w:p>
        </w:tc>
        <w:tc>
          <w:tcPr>
            <w:tcW w:w="731"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lang w:val="en-US" w:eastAsia="zh-CN"/>
              </w:rPr>
            </w:pPr>
            <w:r>
              <w:rPr>
                <w:rFonts w:hint="eastAsia" w:cs="Times New Roman"/>
                <w:sz w:val="21"/>
                <w:lang w:val="en-US" w:eastAsia="zh-CN"/>
              </w:rPr>
              <w:t>兔</w:t>
            </w:r>
          </w:p>
        </w:tc>
        <w:tc>
          <w:tcPr>
            <w:tcW w:w="146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0.041</w:t>
            </w:r>
          </w:p>
        </w:tc>
        <w:tc>
          <w:tcPr>
            <w:tcW w:w="923"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5.58</w:t>
            </w:r>
          </w:p>
        </w:tc>
        <w:tc>
          <w:tcPr>
            <w:tcW w:w="774"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0.31</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0.1</w:t>
            </w:r>
          </w:p>
        </w:tc>
        <w:tc>
          <w:tcPr>
            <w:tcW w:w="730"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0.2</w:t>
            </w:r>
          </w:p>
        </w:tc>
        <w:tc>
          <w:tcPr>
            <w:tcW w:w="78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1.18</w:t>
            </w:r>
          </w:p>
        </w:tc>
        <w:tc>
          <w:tcPr>
            <w:tcW w:w="769"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0.37</w:t>
            </w:r>
          </w:p>
        </w:tc>
        <w:tc>
          <w:tcPr>
            <w:tcW w:w="686"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0.01</w:t>
            </w:r>
          </w:p>
        </w:tc>
        <w:tc>
          <w:tcPr>
            <w:tcW w:w="731" w:type="dxa"/>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10"/>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sz w:val="21"/>
              </w:rPr>
            </w:pPr>
            <w:r>
              <w:rPr>
                <w:rFonts w:ascii="Times New Roman" w:hAnsi="Times New Roman" w:eastAsia="宋体" w:cs="Times New Roman"/>
                <w:sz w:val="21"/>
              </w:rPr>
              <w:t>a为未处理经迁移转化后进入自然环境的校正值</w:t>
            </w:r>
          </w:p>
        </w:tc>
      </w:tr>
    </w:tbl>
    <w:p>
      <w:pPr>
        <w:bidi w:val="0"/>
        <w:rPr>
          <w:rFonts w:hint="eastAsia"/>
        </w:rPr>
      </w:pPr>
      <w:r>
        <w:rPr>
          <w:rFonts w:hint="eastAsia"/>
          <w:lang w:val="en-US" w:eastAsia="zh-CN"/>
        </w:rPr>
        <w:t>根据生态环境部印发的《畜禽养殖污染防治规划编制指南（试行）》（环办土壤函〔2021〕456号）猪当量计算方法：存栏1头生猪年平均氮排泄量为1个猪当量，推荐一个猪当量1年氮排泄量为11千克，按存栏量折算，100头猪相当于15头奶牛、30头肉牛、250只羊、2500只家禽。对具</w:t>
      </w:r>
      <w:r>
        <w:rPr>
          <w:rFonts w:hint="eastAsia"/>
        </w:rPr>
        <w:t>有不同畜禽种类的排污单位，污染物产生系数可将养殖量换算成相应的畜禽品种养殖量后进行核定，换算比例为：1只鸭折算成1只鸡（蛋鸭折算成蛋</w:t>
      </w:r>
      <w:r>
        <w:rPr>
          <w:rFonts w:hint="eastAsia"/>
          <w:lang w:val="en-US" w:eastAsia="zh-CN"/>
        </w:rPr>
        <w:t>鸡</w:t>
      </w:r>
      <w:r>
        <w:rPr>
          <w:rFonts w:hint="eastAsia"/>
        </w:rPr>
        <w:t>，肉鸭折算成肉鸡），1只鹅折算成2只鸡（蛋鹅折算成蛋鸡，肉鹅折算成肉鸡），省级人民政府明确规定规模标准的其他养殖品种由省级政府部门自行设定换算系数。按照《畜禽粪污土地承载力测算技术指南》（农办牧﹝2018﹞1号），30只兔折算成一头猪。</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6</w:t>
      </w:r>
      <w:r>
        <w:rPr>
          <w:rFonts w:hint="eastAsia" w:ascii="Times New Roman" w:hAnsi="Times New Roman" w:eastAsia="黑体" w:cs="Times New Roman"/>
          <w:b/>
          <w:bCs/>
          <w:color w:val="auto"/>
          <w:lang w:val="en-US" w:eastAsia="zh-CN"/>
        </w:rPr>
        <w:t xml:space="preserve">  各类畜禽污染物产生量一览表</w:t>
      </w:r>
    </w:p>
    <w:tbl>
      <w:tblPr>
        <w:tblStyle w:val="23"/>
        <w:tblW w:w="533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32"/>
        <w:gridCol w:w="2010"/>
        <w:gridCol w:w="1492"/>
        <w:gridCol w:w="1237"/>
        <w:gridCol w:w="1237"/>
        <w:gridCol w:w="1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种类</w:t>
            </w:r>
          </w:p>
        </w:tc>
        <w:tc>
          <w:tcPr>
            <w:tcW w:w="11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2025年规划存栏</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（头、只、羽）</w:t>
            </w:r>
          </w:p>
        </w:tc>
        <w:tc>
          <w:tcPr>
            <w:tcW w:w="84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粪便产生量</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（t/a）</w:t>
            </w:r>
          </w:p>
        </w:tc>
        <w:tc>
          <w:tcPr>
            <w:tcW w:w="69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COD产生量</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（t/a）</w:t>
            </w:r>
          </w:p>
        </w:tc>
        <w:tc>
          <w:tcPr>
            <w:tcW w:w="69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氨氮</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（t/a）</w:t>
            </w:r>
          </w:p>
        </w:tc>
        <w:tc>
          <w:tcPr>
            <w:tcW w:w="822"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总磷</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牛</w:t>
            </w:r>
          </w:p>
        </w:tc>
        <w:tc>
          <w:tcPr>
            <w:tcW w:w="11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eastAsia" w:ascii="Times New Roman" w:hAnsi="Times New Roman" w:eastAsia="宋体" w:cs="Times New Roman"/>
                <w:kern w:val="0"/>
                <w:sz w:val="21"/>
                <w:szCs w:val="21"/>
                <w:lang w:eastAsia="en-US"/>
              </w:rPr>
              <w:t>10555</w:t>
            </w:r>
          </w:p>
        </w:tc>
        <w:tc>
          <w:tcPr>
            <w:tcW w:w="84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kern w:val="0"/>
                <w:sz w:val="21"/>
                <w:szCs w:val="21"/>
                <w:lang w:val="en-US" w:eastAsia="en-US"/>
              </w:rPr>
            </w:pPr>
            <w:r>
              <w:rPr>
                <w:rFonts w:hint="eastAsia" w:ascii="Times New Roman" w:hAnsi="Times New Roman" w:eastAsia="宋体" w:cs="Times New Roman"/>
                <w:kern w:val="0"/>
                <w:sz w:val="21"/>
                <w:szCs w:val="21"/>
                <w:lang w:val="en-US" w:eastAsia="zh-CN"/>
              </w:rPr>
              <w:t>95046</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15544.62</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835.4</w:t>
            </w:r>
            <w:r>
              <w:rPr>
                <w:rFonts w:hint="eastAsia" w:cs="Times New Roman"/>
                <w:kern w:val="0"/>
                <w:sz w:val="21"/>
                <w:szCs w:val="21"/>
                <w:lang w:val="en-US" w:eastAsia="zh-CN" w:bidi="ar-SA"/>
              </w:rPr>
              <w:t>9</w:t>
            </w:r>
          </w:p>
        </w:tc>
        <w:tc>
          <w:tcPr>
            <w:tcW w:w="14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245.28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猪</w:t>
            </w:r>
          </w:p>
        </w:tc>
        <w:tc>
          <w:tcPr>
            <w:tcW w:w="11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eastAsia" w:ascii="Times New Roman" w:hAnsi="Times New Roman" w:cs="Times New Roman"/>
                <w:kern w:val="0"/>
                <w:sz w:val="21"/>
                <w:szCs w:val="21"/>
                <w:lang w:val="en-US" w:eastAsia="zh-CN"/>
              </w:rPr>
              <w:t>210000</w:t>
            </w:r>
          </w:p>
        </w:tc>
        <w:tc>
          <w:tcPr>
            <w:tcW w:w="84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kern w:val="0"/>
                <w:sz w:val="21"/>
                <w:szCs w:val="21"/>
                <w:lang w:val="en-US" w:eastAsia="en-US"/>
              </w:rPr>
            </w:pPr>
            <w:r>
              <w:rPr>
                <w:rFonts w:hint="eastAsia" w:ascii="Times New Roman" w:hAnsi="Times New Roman" w:eastAsia="宋体" w:cs="Times New Roman"/>
                <w:kern w:val="0"/>
                <w:sz w:val="21"/>
                <w:szCs w:val="21"/>
                <w:lang w:val="en-US" w:eastAsia="zh-CN"/>
              </w:rPr>
              <w:t>41916.0</w:t>
            </w:r>
            <w:r>
              <w:rPr>
                <w:rFonts w:hint="eastAsia" w:ascii="Times New Roman" w:hAnsi="Times New Roman" w:cs="Times New Roman"/>
                <w:kern w:val="0"/>
                <w:sz w:val="21"/>
                <w:szCs w:val="21"/>
                <w:lang w:val="en-US" w:eastAsia="zh-CN"/>
              </w:rPr>
              <w:t>2</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10056.76</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203.80</w:t>
            </w:r>
          </w:p>
        </w:tc>
        <w:tc>
          <w:tcPr>
            <w:tcW w:w="14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55.86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羊</w:t>
            </w:r>
          </w:p>
        </w:tc>
        <w:tc>
          <w:tcPr>
            <w:tcW w:w="11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eastAsia" w:ascii="Times New Roman" w:hAnsi="Times New Roman" w:cs="Times New Roman"/>
                <w:kern w:val="0"/>
                <w:sz w:val="21"/>
                <w:szCs w:val="21"/>
                <w:lang w:val="en-US" w:eastAsia="zh-CN"/>
              </w:rPr>
              <w:t>68500</w:t>
            </w:r>
          </w:p>
        </w:tc>
        <w:tc>
          <w:tcPr>
            <w:tcW w:w="84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kern w:val="0"/>
                <w:sz w:val="21"/>
                <w:szCs w:val="21"/>
                <w:lang w:val="en-US" w:eastAsia="en-US"/>
              </w:rPr>
            </w:pPr>
            <w:r>
              <w:rPr>
                <w:rFonts w:hint="eastAsia" w:ascii="Times New Roman" w:hAnsi="Times New Roman" w:eastAsia="宋体" w:cs="Times New Roman"/>
                <w:kern w:val="0"/>
                <w:sz w:val="21"/>
                <w:szCs w:val="21"/>
                <w:lang w:val="en-US" w:eastAsia="zh-CN"/>
              </w:rPr>
              <w:t>126460.4</w:t>
            </w:r>
            <w:r>
              <w:rPr>
                <w:rFonts w:hint="eastAsia" w:ascii="Times New Roman" w:hAnsi="Times New Roman" w:cs="Times New Roman"/>
                <w:kern w:val="0"/>
                <w:sz w:val="21"/>
                <w:szCs w:val="21"/>
                <w:lang w:val="en-US" w:eastAsia="zh-CN"/>
              </w:rPr>
              <w:t>6</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22417.9</w:t>
            </w:r>
            <w:r>
              <w:rPr>
                <w:rFonts w:hint="eastAsia" w:cs="Times New Roman"/>
                <w:kern w:val="0"/>
                <w:sz w:val="21"/>
                <w:szCs w:val="21"/>
                <w:lang w:val="en-US" w:eastAsia="zh-CN" w:bidi="ar-SA"/>
              </w:rPr>
              <w:t>9</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574.82</w:t>
            </w:r>
          </w:p>
        </w:tc>
        <w:tc>
          <w:tcPr>
            <w:tcW w:w="14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344.89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en-US" w:bidi="ar-SA"/>
                <w14:textFill>
                  <w14:solidFill>
                    <w14:schemeClr w14:val="tx1"/>
                  </w14:solidFill>
                </w14:textFill>
              </w:rPr>
              <w:t>家禽</w:t>
            </w:r>
          </w:p>
        </w:tc>
        <w:tc>
          <w:tcPr>
            <w:tcW w:w="11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eastAsia" w:ascii="Times New Roman" w:hAnsi="Times New Roman" w:cs="Times New Roman"/>
                <w:kern w:val="0"/>
                <w:sz w:val="21"/>
                <w:szCs w:val="21"/>
                <w:lang w:val="en-US" w:eastAsia="zh-CN"/>
              </w:rPr>
              <w:t>3149700</w:t>
            </w:r>
          </w:p>
        </w:tc>
        <w:tc>
          <w:tcPr>
            <w:tcW w:w="84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kern w:val="0"/>
                <w:sz w:val="21"/>
                <w:szCs w:val="21"/>
                <w:lang w:val="en-US" w:eastAsia="en-US"/>
              </w:rPr>
            </w:pPr>
            <w:r>
              <w:rPr>
                <w:rFonts w:hint="eastAsia" w:ascii="Times New Roman" w:hAnsi="Times New Roman" w:eastAsia="宋体" w:cs="Times New Roman"/>
                <w:kern w:val="0"/>
                <w:sz w:val="21"/>
                <w:szCs w:val="21"/>
                <w:lang w:val="en-US" w:eastAsia="zh-CN"/>
              </w:rPr>
              <w:t>12501.25</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2028.20</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109.01</w:t>
            </w:r>
          </w:p>
        </w:tc>
        <w:tc>
          <w:tcPr>
            <w:tcW w:w="14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兔</w:t>
            </w:r>
          </w:p>
        </w:tc>
        <w:tc>
          <w:tcPr>
            <w:tcW w:w="11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eastAsia" w:ascii="Times New Roman" w:hAnsi="Times New Roman" w:cs="Times New Roman"/>
                <w:kern w:val="0"/>
                <w:sz w:val="21"/>
                <w:szCs w:val="21"/>
                <w:lang w:val="en-US" w:eastAsia="zh-CN"/>
              </w:rPr>
              <w:t>160000</w:t>
            </w:r>
          </w:p>
        </w:tc>
        <w:tc>
          <w:tcPr>
            <w:tcW w:w="84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kern w:val="0"/>
                <w:sz w:val="21"/>
                <w:szCs w:val="21"/>
                <w:lang w:val="en-US" w:eastAsia="en-US"/>
              </w:rPr>
            </w:pPr>
            <w:r>
              <w:rPr>
                <w:rFonts w:hint="eastAsia" w:ascii="Times New Roman" w:hAnsi="Times New Roman" w:eastAsia="宋体" w:cs="Times New Roman"/>
                <w:kern w:val="0"/>
                <w:sz w:val="21"/>
                <w:szCs w:val="21"/>
                <w:lang w:val="en-US" w:eastAsia="zh-CN"/>
              </w:rPr>
              <w:t>2394.4</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394.784</w:t>
            </w:r>
          </w:p>
        </w:tc>
        <w:tc>
          <w:tcPr>
            <w:tcW w:w="123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21.02</w:t>
            </w:r>
          </w:p>
        </w:tc>
        <w:tc>
          <w:tcPr>
            <w:tcW w:w="14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6.42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en-US" w:bidi="ar-SA"/>
                <w14:textFill>
                  <w14:solidFill>
                    <w14:schemeClr w14:val="tx1"/>
                  </w14:solidFill>
                </w14:textFill>
              </w:rPr>
              <w:t>合计</w:t>
            </w:r>
          </w:p>
        </w:tc>
        <w:tc>
          <w:tcPr>
            <w:tcW w:w="11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cs="Times New Roman"/>
                <w:kern w:val="0"/>
                <w:sz w:val="21"/>
                <w:szCs w:val="21"/>
                <w:lang w:val="en-US" w:eastAsia="en-US"/>
              </w:rPr>
            </w:pPr>
            <w:r>
              <w:rPr>
                <w:rFonts w:hint="eastAsia" w:ascii="Times New Roman" w:hAnsi="Times New Roman" w:cs="Times New Roman"/>
                <w:kern w:val="0"/>
                <w:sz w:val="21"/>
                <w:szCs w:val="21"/>
                <w:lang w:val="en-US" w:eastAsia="en-US"/>
              </w:rPr>
              <w:t>/</w:t>
            </w:r>
          </w:p>
        </w:tc>
        <w:tc>
          <w:tcPr>
            <w:tcW w:w="1492" w:type="dxa"/>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cs="Times New Roman"/>
                <w:kern w:val="0"/>
                <w:sz w:val="21"/>
                <w:szCs w:val="21"/>
                <w:lang w:val="en-US" w:eastAsia="en-US"/>
              </w:rPr>
            </w:pPr>
            <w:r>
              <w:rPr>
                <w:rFonts w:hint="eastAsia" w:ascii="Times New Roman" w:hAnsi="Times New Roman" w:cs="Times New Roman"/>
                <w:kern w:val="0"/>
                <w:sz w:val="21"/>
                <w:szCs w:val="21"/>
                <w:lang w:val="en-US" w:eastAsia="zh-CN"/>
              </w:rPr>
              <w:t>278318.12</w:t>
            </w:r>
          </w:p>
        </w:tc>
        <w:tc>
          <w:tcPr>
            <w:tcW w:w="1237" w:type="dxa"/>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cs="Times New Roman"/>
                <w:kern w:val="0"/>
                <w:sz w:val="21"/>
                <w:szCs w:val="21"/>
                <w:lang w:val="en-US" w:eastAsia="en-US"/>
              </w:rPr>
            </w:pPr>
            <w:r>
              <w:rPr>
                <w:rFonts w:hint="eastAsia" w:ascii="Times New Roman" w:hAnsi="Times New Roman" w:cs="Times New Roman"/>
                <w:kern w:val="0"/>
                <w:sz w:val="21"/>
                <w:szCs w:val="21"/>
                <w:lang w:val="en-US" w:eastAsia="zh-CN"/>
              </w:rPr>
              <w:t>50442.36</w:t>
            </w:r>
          </w:p>
        </w:tc>
        <w:tc>
          <w:tcPr>
            <w:tcW w:w="1237" w:type="dxa"/>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cs="Times New Roman"/>
                <w:kern w:val="0"/>
                <w:sz w:val="21"/>
                <w:szCs w:val="21"/>
                <w:lang w:val="en-US" w:eastAsia="en-US"/>
              </w:rPr>
            </w:pPr>
            <w:r>
              <w:rPr>
                <w:rFonts w:hint="eastAsia" w:ascii="Times New Roman" w:hAnsi="Times New Roman" w:cs="Times New Roman"/>
                <w:kern w:val="0"/>
                <w:sz w:val="21"/>
                <w:szCs w:val="21"/>
                <w:lang w:val="en-US" w:eastAsia="zh-CN"/>
              </w:rPr>
              <w:t>1744.14</w:t>
            </w:r>
          </w:p>
        </w:tc>
        <w:tc>
          <w:tcPr>
            <w:tcW w:w="1459" w:type="dxa"/>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cs="Times New Roman"/>
                <w:kern w:val="0"/>
                <w:sz w:val="21"/>
                <w:szCs w:val="21"/>
                <w:lang w:val="en-US" w:eastAsia="en-US"/>
              </w:rPr>
            </w:pPr>
            <w:r>
              <w:rPr>
                <w:rFonts w:hint="eastAsia" w:ascii="Times New Roman" w:hAnsi="Times New Roman" w:cs="Times New Roman"/>
                <w:kern w:val="0"/>
                <w:sz w:val="21"/>
                <w:szCs w:val="21"/>
                <w:lang w:val="en-US" w:eastAsia="zh-CN"/>
              </w:rPr>
              <w:t>684.46</w:t>
            </w:r>
          </w:p>
        </w:tc>
      </w:tr>
    </w:tbl>
    <w:p>
      <w:pPr>
        <w:bidi w:val="0"/>
        <w:rPr>
          <w:rFonts w:hint="eastAsia"/>
        </w:rPr>
      </w:pPr>
      <w:r>
        <w:rPr>
          <w:rFonts w:hint="eastAsia"/>
        </w:rPr>
        <w:t>根据核算结果，《</w:t>
      </w:r>
      <w:r>
        <w:rPr>
          <w:rFonts w:hint="eastAsia"/>
          <w:lang w:val="en-US" w:eastAsia="zh-CN"/>
        </w:rPr>
        <w:t>闽侯县</w:t>
      </w:r>
      <w:r>
        <w:rPr>
          <w:rFonts w:hint="eastAsia"/>
        </w:rPr>
        <w:t>畜牧业发展规划（20</w:t>
      </w:r>
      <w:r>
        <w:rPr>
          <w:rFonts w:hint="eastAsia"/>
          <w:lang w:val="en-US" w:eastAsia="zh-CN"/>
        </w:rPr>
        <w:t>19</w:t>
      </w:r>
      <w:r>
        <w:rPr>
          <w:rFonts w:hint="eastAsia"/>
        </w:rPr>
        <w:t>~2025年）》规划实施后，2025年废水污染物COD预计产生量50442.36t/a，氨氮预计产生量1744.14t/a，总磷预计产生量684.46t/a。</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32"/>
        </w:rPr>
      </w:pPr>
      <w:r>
        <w:rPr>
          <w:rFonts w:hint="eastAsia" w:ascii="Times New Roman" w:hAnsi="Times New Roman" w:eastAsia="宋体" w:cs="Times New Roman"/>
          <w:b/>
          <w:bCs/>
          <w:sz w:val="24"/>
          <w:szCs w:val="32"/>
        </w:rPr>
        <w:t>2.畜禽屠宰废水</w:t>
      </w:r>
    </w:p>
    <w:p>
      <w:pPr>
        <w:bidi w:val="0"/>
      </w:pPr>
      <w:r>
        <w:t>屠宰废水是指屠宰过程中产生的废水，主要含有血污、油脂、碎肉、畜毛、未消化的食物及粪便、尿液等。屠宰废水量及水质参考《屠宰与肉类加工废水治理工程技术规范》（HJ 2004-2010）表 1、表 2、表 3，因多数企业采用机械化屠宰，因此废水产生量取最小值，废水中污染物浓度取中间值。</w:t>
      </w:r>
    </w:p>
    <w:p>
      <w:pPr>
        <w:bidi w:val="0"/>
      </w:pPr>
      <w:r>
        <w:rPr>
          <w:rFonts w:hint="eastAsia"/>
        </w:rPr>
        <w:t>按照规划目标年的出栏规模核算水污染物的排放量和排放浓度，计算结果分别见下表4</w:t>
      </w:r>
      <w:r>
        <w:rPr>
          <w:rFonts w:hint="eastAsia"/>
          <w:lang w:val="en-US" w:eastAsia="zh-CN"/>
        </w:rPr>
        <w:t>.7</w:t>
      </w:r>
      <w:r>
        <w:rPr>
          <w:rFonts w:hint="eastAsia"/>
        </w:rPr>
        <w:t>、表4.</w:t>
      </w:r>
      <w:r>
        <w:rPr>
          <w:rFonts w:hint="eastAsia"/>
          <w:lang w:val="en-US" w:eastAsia="zh-CN"/>
        </w:rPr>
        <w:t>8</w:t>
      </w:r>
      <w:r>
        <w:rPr>
          <w:rFonts w:hint="eastAsia"/>
        </w:rPr>
        <w:t>。</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7</w:t>
      </w:r>
      <w:r>
        <w:rPr>
          <w:rFonts w:hint="eastAsia" w:ascii="Times New Roman" w:hAnsi="Times New Roman" w:eastAsia="黑体" w:cs="Times New Roman"/>
          <w:b/>
          <w:bCs/>
          <w:color w:val="auto"/>
          <w:lang w:val="en-US" w:eastAsia="zh-CN"/>
        </w:rPr>
        <w:t xml:space="preserve">  </w:t>
      </w:r>
      <w:r>
        <w:rPr>
          <w:rFonts w:hint="eastAsia" w:eastAsia="黑体" w:cs="Times New Roman"/>
          <w:b/>
          <w:bCs/>
          <w:color w:val="auto"/>
          <w:lang w:val="en-US" w:eastAsia="zh-CN"/>
        </w:rPr>
        <w:t xml:space="preserve"> </w:t>
      </w:r>
      <w:r>
        <w:rPr>
          <w:rFonts w:hint="eastAsia" w:ascii="Times New Roman" w:hAnsi="Times New Roman" w:eastAsia="黑体" w:cs="Times New Roman"/>
          <w:b/>
          <w:bCs/>
          <w:color w:val="auto"/>
          <w:lang w:val="en-US" w:eastAsia="zh-CN"/>
        </w:rPr>
        <w:t>屠宰废水产生量一览表</w:t>
      </w:r>
    </w:p>
    <w:tbl>
      <w:tblPr>
        <w:tblStyle w:val="23"/>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3"/>
        <w:gridCol w:w="1547"/>
        <w:gridCol w:w="1325"/>
        <w:gridCol w:w="1132"/>
        <w:gridCol w:w="1110"/>
        <w:gridCol w:w="2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畜种</w:t>
            </w:r>
          </w:p>
        </w:tc>
        <w:tc>
          <w:tcPr>
            <w:tcW w:w="92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屠宰量（</w:t>
            </w:r>
            <w:r>
              <w:rPr>
                <w:rFonts w:hint="eastAsia" w:ascii="Times New Roman" w:hAnsi="Times New Roman"/>
                <w:kern w:val="0"/>
                <w:sz w:val="21"/>
                <w:lang w:val="en-US" w:eastAsia="zh-CN"/>
              </w:rPr>
              <w:t>头</w:t>
            </w:r>
            <w:r>
              <w:rPr>
                <w:rFonts w:ascii="Times New Roman" w:hAnsi="Times New Roman"/>
                <w:kern w:val="0"/>
                <w:sz w:val="21"/>
                <w:lang w:eastAsia="en-US"/>
              </w:rPr>
              <w:t>）</w:t>
            </w:r>
          </w:p>
        </w:tc>
        <w:tc>
          <w:tcPr>
            <w:tcW w:w="79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污染物指标</w:t>
            </w:r>
          </w:p>
        </w:tc>
        <w:tc>
          <w:tcPr>
            <w:tcW w:w="67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单位</w:t>
            </w:r>
          </w:p>
        </w:tc>
        <w:tc>
          <w:tcPr>
            <w:tcW w:w="66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产污系数</w:t>
            </w:r>
          </w:p>
        </w:tc>
        <w:tc>
          <w:tcPr>
            <w:tcW w:w="153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2025年废水产生量（t/a)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猪</w:t>
            </w:r>
          </w:p>
        </w:tc>
        <w:tc>
          <w:tcPr>
            <w:tcW w:w="92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500000</w:t>
            </w:r>
          </w:p>
        </w:tc>
        <w:tc>
          <w:tcPr>
            <w:tcW w:w="79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废水产生量</w:t>
            </w:r>
          </w:p>
        </w:tc>
        <w:tc>
          <w:tcPr>
            <w:tcW w:w="67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m³/ 头</w:t>
            </w:r>
          </w:p>
        </w:tc>
        <w:tc>
          <w:tcPr>
            <w:tcW w:w="66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0.5</w:t>
            </w:r>
          </w:p>
        </w:tc>
        <w:tc>
          <w:tcPr>
            <w:tcW w:w="1533"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eastAsia" w:ascii="Times New Roman" w:hAnsi="Times New Roman" w:eastAsia="宋体" w:cstheme="minorBidi"/>
                <w:kern w:val="0"/>
                <w:sz w:val="21"/>
                <w:szCs w:val="24"/>
                <w:lang w:val="en-US" w:eastAsia="en-US" w:bidi="ar-SA"/>
              </w:rPr>
            </w:pPr>
            <w:r>
              <w:rPr>
                <w:rFonts w:hint="default" w:ascii="Times New Roman" w:hAnsi="Times New Roman" w:eastAsia="宋体" w:cstheme="minorBidi"/>
                <w:kern w:val="0"/>
                <w:sz w:val="21"/>
                <w:szCs w:val="24"/>
                <w:lang w:val="en-US" w:eastAsia="zh-CN" w:bidi="ar-SA"/>
              </w:rPr>
              <w:t>250000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牛</w:t>
            </w:r>
          </w:p>
        </w:tc>
        <w:tc>
          <w:tcPr>
            <w:tcW w:w="92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10000</w:t>
            </w:r>
          </w:p>
        </w:tc>
        <w:tc>
          <w:tcPr>
            <w:tcW w:w="79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废水产生量</w:t>
            </w:r>
          </w:p>
        </w:tc>
        <w:tc>
          <w:tcPr>
            <w:tcW w:w="67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m³/ 头</w:t>
            </w:r>
          </w:p>
        </w:tc>
        <w:tc>
          <w:tcPr>
            <w:tcW w:w="66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w:t>
            </w:r>
          </w:p>
        </w:tc>
        <w:tc>
          <w:tcPr>
            <w:tcW w:w="1533"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eastAsia" w:ascii="Times New Roman" w:hAnsi="Times New Roman" w:eastAsia="宋体" w:cstheme="minorBidi"/>
                <w:kern w:val="0"/>
                <w:sz w:val="21"/>
                <w:szCs w:val="24"/>
                <w:lang w:val="en-US" w:eastAsia="en-US" w:bidi="ar-SA"/>
              </w:rPr>
            </w:pPr>
            <w:r>
              <w:rPr>
                <w:rFonts w:hint="default" w:ascii="Times New Roman" w:hAnsi="Times New Roman" w:eastAsia="宋体" w:cstheme="minorBidi"/>
                <w:kern w:val="0"/>
                <w:sz w:val="21"/>
                <w:szCs w:val="24"/>
                <w:lang w:val="en-US" w:eastAsia="zh-CN" w:bidi="ar-SA"/>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羊</w:t>
            </w:r>
          </w:p>
        </w:tc>
        <w:tc>
          <w:tcPr>
            <w:tcW w:w="92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150000</w:t>
            </w:r>
          </w:p>
        </w:tc>
        <w:tc>
          <w:tcPr>
            <w:tcW w:w="79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废水产生量</w:t>
            </w:r>
          </w:p>
        </w:tc>
        <w:tc>
          <w:tcPr>
            <w:tcW w:w="67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m³/ 头</w:t>
            </w:r>
          </w:p>
        </w:tc>
        <w:tc>
          <w:tcPr>
            <w:tcW w:w="66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0.2</w:t>
            </w:r>
          </w:p>
        </w:tc>
        <w:tc>
          <w:tcPr>
            <w:tcW w:w="1533"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eastAsia" w:ascii="Times New Roman" w:hAnsi="Times New Roman" w:eastAsia="宋体" w:cstheme="minorBidi"/>
                <w:kern w:val="0"/>
                <w:sz w:val="21"/>
                <w:szCs w:val="24"/>
                <w:lang w:val="en-US" w:eastAsia="en-US" w:bidi="ar-SA"/>
              </w:rPr>
            </w:pPr>
            <w:r>
              <w:rPr>
                <w:rFonts w:hint="default" w:ascii="Times New Roman" w:hAnsi="Times New Roman" w:eastAsia="宋体" w:cstheme="minorBidi"/>
                <w:kern w:val="0"/>
                <w:sz w:val="21"/>
                <w:szCs w:val="24"/>
                <w:lang w:val="en-US" w:eastAsia="zh-CN" w:bidi="ar-SA"/>
              </w:rPr>
              <w:t>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kern w:val="0"/>
                <w:sz w:val="21"/>
                <w:lang w:val="en-US" w:eastAsia="zh-CN"/>
              </w:rPr>
            </w:pPr>
            <w:r>
              <w:rPr>
                <w:rFonts w:hint="eastAsia" w:ascii="Times New Roman" w:hAnsi="Times New Roman"/>
                <w:kern w:val="0"/>
                <w:sz w:val="21"/>
                <w:lang w:val="en-US" w:eastAsia="zh-CN"/>
              </w:rPr>
              <w:t>家禽</w:t>
            </w:r>
          </w:p>
        </w:tc>
        <w:tc>
          <w:tcPr>
            <w:tcW w:w="92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8000000</w:t>
            </w:r>
          </w:p>
        </w:tc>
        <w:tc>
          <w:tcPr>
            <w:tcW w:w="79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废水产生量</w:t>
            </w:r>
          </w:p>
        </w:tc>
        <w:tc>
          <w:tcPr>
            <w:tcW w:w="67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m³/100 只</w:t>
            </w:r>
          </w:p>
        </w:tc>
        <w:tc>
          <w:tcPr>
            <w:tcW w:w="66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w:t>
            </w:r>
          </w:p>
        </w:tc>
        <w:tc>
          <w:tcPr>
            <w:tcW w:w="1533"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heme="minorBidi"/>
                <w:kern w:val="0"/>
                <w:sz w:val="21"/>
                <w:szCs w:val="24"/>
                <w:lang w:val="en-US" w:eastAsia="zh-CN" w:bidi="ar-SA"/>
              </w:rPr>
            </w:pPr>
            <w:r>
              <w:rPr>
                <w:rFonts w:hint="eastAsia" w:eastAsia="宋体" w:cstheme="minorBidi"/>
                <w:kern w:val="0"/>
                <w:sz w:val="21"/>
                <w:szCs w:val="24"/>
                <w:lang w:val="en-US" w:eastAsia="zh-CN" w:bidi="ar-SA"/>
              </w:rPr>
              <w:t>80000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兔</w:t>
            </w:r>
          </w:p>
        </w:tc>
        <w:tc>
          <w:tcPr>
            <w:tcW w:w="92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300000</w:t>
            </w:r>
          </w:p>
        </w:tc>
        <w:tc>
          <w:tcPr>
            <w:tcW w:w="79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废水产生量</w:t>
            </w:r>
          </w:p>
        </w:tc>
        <w:tc>
          <w:tcPr>
            <w:tcW w:w="67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m³/100 只</w:t>
            </w:r>
          </w:p>
        </w:tc>
        <w:tc>
          <w:tcPr>
            <w:tcW w:w="66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2</w:t>
            </w:r>
          </w:p>
        </w:tc>
        <w:tc>
          <w:tcPr>
            <w:tcW w:w="1533"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heme="minorBidi"/>
                <w:kern w:val="0"/>
                <w:sz w:val="21"/>
                <w:szCs w:val="24"/>
                <w:lang w:val="en-US" w:eastAsia="zh-CN" w:bidi="ar-SA"/>
              </w:rPr>
            </w:pPr>
            <w:r>
              <w:rPr>
                <w:rFonts w:hint="eastAsia" w:eastAsia="宋体" w:cstheme="minorBidi"/>
                <w:kern w:val="0"/>
                <w:sz w:val="21"/>
                <w:szCs w:val="24"/>
                <w:lang w:val="en-US" w:eastAsia="zh-CN" w:bidi="ar-SA"/>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66" w:type="pct"/>
            <w:gridSpan w:val="5"/>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heme="minorBidi"/>
                <w:kern w:val="0"/>
                <w:sz w:val="21"/>
                <w:szCs w:val="24"/>
                <w:lang w:val="en-US" w:eastAsia="en-US" w:bidi="ar-SA"/>
              </w:rPr>
            </w:pPr>
            <w:r>
              <w:rPr>
                <w:rFonts w:hint="default" w:ascii="Times New Roman" w:hAnsi="Times New Roman" w:eastAsia="宋体" w:cstheme="minorBidi"/>
                <w:kern w:val="0"/>
                <w:sz w:val="21"/>
                <w:szCs w:val="24"/>
                <w:lang w:val="en-US" w:eastAsia="en-US" w:bidi="ar-SA"/>
              </w:rPr>
              <w:t>合计</w:t>
            </w:r>
          </w:p>
        </w:tc>
        <w:tc>
          <w:tcPr>
            <w:tcW w:w="1533"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eastAsia" w:ascii="Times New Roman" w:hAnsi="Times New Roman" w:eastAsia="宋体" w:cstheme="minorBidi"/>
                <w:kern w:val="0"/>
                <w:sz w:val="21"/>
                <w:szCs w:val="24"/>
                <w:lang w:val="en-US" w:eastAsia="en-US" w:bidi="ar-SA"/>
              </w:rPr>
            </w:pPr>
            <w:r>
              <w:rPr>
                <w:rFonts w:hint="eastAsia" w:ascii="Times New Roman" w:hAnsi="Times New Roman" w:eastAsia="宋体" w:cstheme="minorBidi"/>
                <w:kern w:val="0"/>
                <w:sz w:val="21"/>
                <w:szCs w:val="24"/>
                <w:lang w:val="en-US" w:eastAsia="zh-CN" w:bidi="ar-SA"/>
              </w:rPr>
              <w:t>376000</w:t>
            </w:r>
          </w:p>
        </w:tc>
      </w:tr>
    </w:tbl>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8</w:t>
      </w:r>
      <w:r>
        <w:rPr>
          <w:rFonts w:hint="eastAsia" w:ascii="Times New Roman" w:hAnsi="Times New Roman" w:eastAsia="黑体" w:cs="Times New Roman"/>
          <w:b/>
          <w:bCs/>
          <w:color w:val="auto"/>
          <w:lang w:val="en-US" w:eastAsia="zh-CN"/>
        </w:rPr>
        <w:t xml:space="preserve">  </w:t>
      </w:r>
      <w:r>
        <w:rPr>
          <w:rFonts w:hint="eastAsia" w:eastAsia="黑体" w:cs="Times New Roman"/>
          <w:b/>
          <w:bCs/>
          <w:color w:val="auto"/>
          <w:lang w:val="en-US" w:eastAsia="zh-CN"/>
        </w:rPr>
        <w:t xml:space="preserve"> </w:t>
      </w:r>
      <w:r>
        <w:rPr>
          <w:rFonts w:hint="eastAsia" w:ascii="Times New Roman" w:hAnsi="Times New Roman" w:eastAsia="黑体" w:cs="Times New Roman"/>
          <w:b/>
          <w:bCs/>
          <w:color w:val="auto"/>
          <w:lang w:val="en-US" w:eastAsia="zh-CN"/>
        </w:rPr>
        <w:t>屠宰废水污染物产生量</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51"/>
        <w:gridCol w:w="1093"/>
        <w:gridCol w:w="1131"/>
        <w:gridCol w:w="1131"/>
        <w:gridCol w:w="906"/>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3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项目</w:t>
            </w:r>
          </w:p>
        </w:tc>
        <w:tc>
          <w:tcPr>
            <w:tcW w:w="65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w w:val="95"/>
                <w:kern w:val="0"/>
                <w:sz w:val="21"/>
                <w:lang w:eastAsia="en-US"/>
              </w:rPr>
              <w:t>COD</w:t>
            </w:r>
          </w:p>
        </w:tc>
        <w:tc>
          <w:tcPr>
            <w:tcW w:w="68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BOD</w:t>
            </w:r>
            <w:r>
              <w:rPr>
                <w:rFonts w:ascii="Times New Roman" w:hAnsi="Times New Roman"/>
                <w:kern w:val="0"/>
                <w:sz w:val="21"/>
                <w:vertAlign w:val="subscript"/>
                <w:lang w:eastAsia="en-US"/>
              </w:rPr>
              <w:t>5</w:t>
            </w:r>
          </w:p>
        </w:tc>
        <w:tc>
          <w:tcPr>
            <w:tcW w:w="68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SS</w:t>
            </w:r>
          </w:p>
        </w:tc>
        <w:tc>
          <w:tcPr>
            <w:tcW w:w="54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氨氮</w:t>
            </w:r>
          </w:p>
        </w:tc>
        <w:tc>
          <w:tcPr>
            <w:tcW w:w="90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 w:hRule="atLeast"/>
          <w:jc w:val="center"/>
        </w:trPr>
        <w:tc>
          <w:tcPr>
            <w:tcW w:w="153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产污系数（mg/L)</w:t>
            </w:r>
          </w:p>
        </w:tc>
        <w:tc>
          <w:tcPr>
            <w:tcW w:w="65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1750</w:t>
            </w:r>
          </w:p>
        </w:tc>
        <w:tc>
          <w:tcPr>
            <w:tcW w:w="68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875</w:t>
            </w:r>
          </w:p>
        </w:tc>
        <w:tc>
          <w:tcPr>
            <w:tcW w:w="68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875</w:t>
            </w:r>
          </w:p>
        </w:tc>
        <w:tc>
          <w:tcPr>
            <w:tcW w:w="54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100</w:t>
            </w:r>
          </w:p>
        </w:tc>
        <w:tc>
          <w:tcPr>
            <w:tcW w:w="90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3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产生量（t/a）</w:t>
            </w:r>
          </w:p>
        </w:tc>
        <w:tc>
          <w:tcPr>
            <w:tcW w:w="65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658</w:t>
            </w:r>
          </w:p>
        </w:tc>
        <w:tc>
          <w:tcPr>
            <w:tcW w:w="68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329</w:t>
            </w:r>
          </w:p>
        </w:tc>
        <w:tc>
          <w:tcPr>
            <w:tcW w:w="68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329</w:t>
            </w:r>
          </w:p>
        </w:tc>
        <w:tc>
          <w:tcPr>
            <w:tcW w:w="54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37.6</w:t>
            </w:r>
          </w:p>
        </w:tc>
        <w:tc>
          <w:tcPr>
            <w:tcW w:w="904"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kern w:val="0"/>
                <w:sz w:val="21"/>
                <w:lang w:val="en-US" w:eastAsia="zh-CN"/>
              </w:rPr>
            </w:pPr>
            <w:r>
              <w:rPr>
                <w:rFonts w:hint="eastAsia" w:ascii="Times New Roman" w:hAnsi="Times New Roman"/>
                <w:kern w:val="0"/>
                <w:sz w:val="21"/>
                <w:lang w:val="en-US" w:eastAsia="zh-CN"/>
              </w:rPr>
              <w:t>47</w:t>
            </w:r>
          </w:p>
        </w:tc>
      </w:tr>
    </w:tbl>
    <w:p>
      <w:pPr>
        <w:bidi w:val="0"/>
        <w:rPr>
          <w:rFonts w:hint="eastAsia"/>
        </w:rPr>
      </w:pPr>
      <w:r>
        <w:rPr>
          <w:rFonts w:hint="eastAsia"/>
        </w:rPr>
        <w:t>根据核算结果，《</w:t>
      </w:r>
      <w:r>
        <w:rPr>
          <w:rFonts w:hint="eastAsia"/>
          <w:lang w:val="en-US" w:eastAsia="zh-CN"/>
        </w:rPr>
        <w:t>闽侯县</w:t>
      </w:r>
      <w:r>
        <w:rPr>
          <w:rFonts w:hint="eastAsia"/>
        </w:rPr>
        <w:t>畜牧业发展规划（20</w:t>
      </w:r>
      <w:r>
        <w:rPr>
          <w:rFonts w:hint="eastAsia"/>
          <w:lang w:val="en-US" w:eastAsia="zh-CN"/>
        </w:rPr>
        <w:t>19</w:t>
      </w:r>
      <w:r>
        <w:rPr>
          <w:rFonts w:hint="eastAsia"/>
        </w:rPr>
        <w:t>~2025年）》规划实施后，2025年屠宰废水产生量为</w:t>
      </w:r>
      <w:r>
        <w:rPr>
          <w:rFonts w:hint="eastAsia"/>
          <w:lang w:val="en-US" w:eastAsia="zh-CN"/>
        </w:rPr>
        <w:t>37.6</w:t>
      </w:r>
      <w:r>
        <w:rPr>
          <w:rFonts w:hint="eastAsia"/>
        </w:rPr>
        <w:t>万t/a，COD产生量为</w:t>
      </w:r>
      <w:r>
        <w:rPr>
          <w:rFonts w:hint="eastAsia"/>
          <w:lang w:val="en-US" w:eastAsia="zh-CN"/>
        </w:rPr>
        <w:t>658</w:t>
      </w:r>
      <w:r>
        <w:rPr>
          <w:rFonts w:hint="eastAsia"/>
        </w:rPr>
        <w:t>t/a，BOD</w:t>
      </w:r>
      <w:r>
        <w:rPr>
          <w:rFonts w:hint="eastAsia"/>
          <w:vertAlign w:val="subscript"/>
        </w:rPr>
        <w:t>5</w:t>
      </w:r>
      <w:r>
        <w:rPr>
          <w:rFonts w:hint="eastAsia"/>
        </w:rPr>
        <w:t>产生量为</w:t>
      </w:r>
      <w:r>
        <w:rPr>
          <w:rFonts w:hint="eastAsia"/>
          <w:lang w:val="en-US" w:eastAsia="zh-CN"/>
        </w:rPr>
        <w:t>329</w:t>
      </w:r>
      <w:r>
        <w:rPr>
          <w:rFonts w:hint="eastAsia"/>
        </w:rPr>
        <w:t>t/a，SS产生量为</w:t>
      </w:r>
      <w:r>
        <w:rPr>
          <w:rFonts w:hint="eastAsia"/>
          <w:lang w:val="en-US" w:eastAsia="zh-CN"/>
        </w:rPr>
        <w:t>329</w:t>
      </w:r>
      <w:r>
        <w:rPr>
          <w:rFonts w:hint="eastAsia"/>
        </w:rPr>
        <w:t>t/a，氨氮产生量</w:t>
      </w:r>
      <w:r>
        <w:rPr>
          <w:rFonts w:hint="eastAsia"/>
          <w:lang w:val="en-US" w:eastAsia="zh-CN"/>
        </w:rPr>
        <w:t>37.6</w:t>
      </w:r>
      <w:r>
        <w:rPr>
          <w:rFonts w:hint="eastAsia"/>
        </w:rPr>
        <w:t>t/a，动植物油产生量</w:t>
      </w:r>
      <w:r>
        <w:rPr>
          <w:rFonts w:hint="eastAsia"/>
          <w:lang w:eastAsia="zh-CN"/>
        </w:rPr>
        <w:t>为</w:t>
      </w:r>
      <w:r>
        <w:rPr>
          <w:rFonts w:hint="eastAsia"/>
          <w:lang w:val="en-US" w:eastAsia="zh-CN"/>
        </w:rPr>
        <w:t>47</w:t>
      </w:r>
      <w:r>
        <w:rPr>
          <w:rFonts w:hint="eastAsia"/>
        </w:rPr>
        <w:t>t/ a。</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32"/>
        </w:rPr>
      </w:pPr>
      <w:r>
        <w:rPr>
          <w:rFonts w:hint="eastAsia" w:ascii="Times New Roman" w:hAnsi="Times New Roman" w:eastAsia="宋体" w:cs="Times New Roman"/>
          <w:b/>
          <w:bCs/>
          <w:sz w:val="24"/>
          <w:szCs w:val="32"/>
        </w:rPr>
        <w:t>3.肉制品加工废水</w:t>
      </w:r>
    </w:p>
    <w:p>
      <w:pPr>
        <w:bidi w:val="0"/>
      </w:pPr>
      <w:r>
        <w:rPr>
          <w:rFonts w:hint="eastAsia"/>
          <w:lang w:val="en-US" w:eastAsia="zh-CN"/>
        </w:rPr>
        <w:t>闽侯县</w:t>
      </w:r>
      <w:r>
        <w:rPr>
          <w:rFonts w:hint="eastAsia"/>
        </w:rPr>
        <w:t>现状肉制品加工量较低，</w:t>
      </w:r>
      <w:r>
        <w:rPr>
          <w:rFonts w:hint="eastAsia"/>
          <w:lang w:val="en-US" w:eastAsia="zh-CN"/>
        </w:rPr>
        <w:t>若</w:t>
      </w:r>
      <w:r>
        <w:rPr>
          <w:rFonts w:hint="eastAsia"/>
        </w:rPr>
        <w:t>规划实施后的肉制品加工量按照屠宰量的5%计算，肉牛按500kg/头，生猪按100kg/头，肉兔按5kg/只，羊按50kg/只，鸡、鸭、鹅按3kg/只，则</w:t>
      </w:r>
      <w:r>
        <w:rPr>
          <w:rFonts w:hint="eastAsia"/>
          <w:lang w:val="en-US" w:eastAsia="zh-CN"/>
        </w:rPr>
        <w:t>闽侯县</w:t>
      </w:r>
      <w:r>
        <w:rPr>
          <w:rFonts w:hint="eastAsia"/>
        </w:rPr>
        <w:t>规划目标年肉制品加工量为</w:t>
      </w:r>
      <w:r>
        <w:rPr>
          <w:rFonts w:hint="eastAsia"/>
          <w:lang w:val="en-US" w:eastAsia="zh-CN"/>
        </w:rPr>
        <w:t>8665</w:t>
      </w:r>
      <w:r>
        <w:rPr>
          <w:rFonts w:hint="eastAsia"/>
        </w:rPr>
        <w:t>t。根据《</w:t>
      </w:r>
      <w:r>
        <w:rPr>
          <w:rFonts w:hint="eastAsia"/>
          <w:lang w:val="en-US" w:eastAsia="zh-CN"/>
        </w:rPr>
        <w:t>闽侯县</w:t>
      </w:r>
      <w:r>
        <w:rPr>
          <w:rFonts w:hint="eastAsia"/>
        </w:rPr>
        <w:t>畜牧业发展规划（20</w:t>
      </w:r>
      <w:r>
        <w:rPr>
          <w:rFonts w:hint="eastAsia"/>
          <w:lang w:val="en-US" w:eastAsia="zh-CN"/>
        </w:rPr>
        <w:t>19</w:t>
      </w:r>
      <w:r>
        <w:rPr>
          <w:rFonts w:hint="eastAsia"/>
        </w:rPr>
        <w:t>~2025年）》，规划目标到2025年年深加工肉制品、地方特色肉熟食制品等2万吨以上。保守角度考虑，按照《</w:t>
      </w:r>
      <w:r>
        <w:rPr>
          <w:rFonts w:hint="eastAsia"/>
          <w:lang w:val="en-US" w:eastAsia="zh-CN"/>
        </w:rPr>
        <w:t>闽侯县</w:t>
      </w:r>
      <w:r>
        <w:rPr>
          <w:rFonts w:hint="eastAsia"/>
        </w:rPr>
        <w:t>畜牧业发展规划（20</w:t>
      </w:r>
      <w:r>
        <w:rPr>
          <w:rFonts w:hint="eastAsia"/>
          <w:lang w:val="en-US" w:eastAsia="zh-CN"/>
        </w:rPr>
        <w:t>19</w:t>
      </w:r>
      <w:r>
        <w:rPr>
          <w:rFonts w:hint="eastAsia"/>
        </w:rPr>
        <w:t>~2025年）》规划目标年屠宰量以2万吨计。</w:t>
      </w:r>
    </w:p>
    <w:p>
      <w:pPr>
        <w:bidi w:val="0"/>
        <w:rPr>
          <w:rFonts w:ascii="Times New Roman" w:hAnsi="Times New Roman" w:eastAsia="宋体" w:cs="Times New Roman"/>
          <w:szCs w:val="32"/>
        </w:rPr>
      </w:pPr>
      <w:r>
        <w:rPr>
          <w:rFonts w:hint="eastAsia"/>
        </w:rPr>
        <w:t>肉制品废水是指肉类加工过程中产生的废水，主要含有碎肉、脂肪、血液、蛋白质、油脂等。肉制品废水量与加工规模、种类及工艺有关，一般不应超过5.8m</w:t>
      </w:r>
      <w:r>
        <w:rPr>
          <w:rFonts w:hint="eastAsia"/>
          <w:vertAlign w:val="superscript"/>
        </w:rPr>
        <w:t>3</w:t>
      </w:r>
      <w:r>
        <w:rPr>
          <w:rFonts w:hint="eastAsia"/>
        </w:rPr>
        <w:t>/t（原料肉），水质参数按照《屠宰与肉类加工废水治理工程技术规范》（HJ 2004-2010）表4</w:t>
      </w:r>
      <w:r>
        <w:rPr>
          <w:rFonts w:hint="eastAsia"/>
          <w:lang w:val="en-US" w:eastAsia="zh-CN"/>
        </w:rPr>
        <w:t>.9</w:t>
      </w:r>
      <w:r>
        <w:rPr>
          <w:rFonts w:hint="eastAsia"/>
        </w:rPr>
        <w:t>，废水中污染物浓度取中间值。</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9</w:t>
      </w:r>
      <w:r>
        <w:rPr>
          <w:rFonts w:hint="eastAsia" w:ascii="Times New Roman" w:hAnsi="Times New Roman" w:eastAsia="黑体" w:cs="Times New Roman"/>
          <w:b/>
          <w:bCs/>
          <w:color w:val="auto"/>
          <w:lang w:val="en-US" w:eastAsia="zh-CN"/>
        </w:rPr>
        <w:t xml:space="preserve">  肉制品加工废水污染物产生量一览表</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63"/>
        <w:gridCol w:w="1665"/>
        <w:gridCol w:w="1663"/>
        <w:gridCol w:w="1663"/>
        <w:gridCol w:w="1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加工量（t/a)</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污染物指标</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单位</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产污系数</w:t>
            </w:r>
          </w:p>
        </w:tc>
        <w:tc>
          <w:tcPr>
            <w:tcW w:w="99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产生量（t/a)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restar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hint="eastAsia" w:ascii="Times New Roman" w:hAnsi="Times New Roman"/>
                <w:kern w:val="0"/>
                <w:sz w:val="21"/>
                <w:lang w:eastAsia="en-US"/>
              </w:rPr>
              <w:t>20000</w:t>
            </w: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废水量</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m³/t</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 xml:space="preserve">5.8 </w:t>
            </w:r>
          </w:p>
        </w:tc>
        <w:tc>
          <w:tcPr>
            <w:tcW w:w="99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hint="eastAsia" w:ascii="Times New Roman" w:hAnsi="Times New Roman"/>
                <w:kern w:val="0"/>
                <w:sz w:val="21"/>
                <w:lang w:eastAsia="en-US"/>
              </w:rPr>
              <w:t>116000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COD</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mg/L</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1400</w:t>
            </w:r>
          </w:p>
        </w:tc>
        <w:tc>
          <w:tcPr>
            <w:tcW w:w="99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hint="eastAsia" w:ascii="Times New Roman" w:hAnsi="Times New Roman"/>
                <w:kern w:val="0"/>
                <w:sz w:val="21"/>
                <w:lang w:eastAsia="en-US"/>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BOD</w:t>
            </w:r>
            <w:r>
              <w:rPr>
                <w:rFonts w:ascii="Times New Roman" w:hAnsi="Times New Roman"/>
                <w:kern w:val="0"/>
                <w:sz w:val="21"/>
                <w:vertAlign w:val="subscript"/>
                <w:lang w:eastAsia="en-US"/>
              </w:rPr>
              <w:t>5</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mg/L</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750</w:t>
            </w:r>
          </w:p>
        </w:tc>
        <w:tc>
          <w:tcPr>
            <w:tcW w:w="99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hint="eastAsia" w:ascii="Times New Roman" w:hAnsi="Times New Roman"/>
                <w:kern w:val="0"/>
                <w:sz w:val="21"/>
                <w:lang w:eastAsia="en-US"/>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SS</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mg/L</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750</w:t>
            </w:r>
          </w:p>
        </w:tc>
        <w:tc>
          <w:tcPr>
            <w:tcW w:w="99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hint="eastAsia" w:ascii="Times New Roman" w:hAnsi="Times New Roman"/>
                <w:kern w:val="0"/>
                <w:sz w:val="21"/>
                <w:lang w:eastAsia="en-US"/>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氨氮</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mg/L</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50</w:t>
            </w:r>
          </w:p>
        </w:tc>
        <w:tc>
          <w:tcPr>
            <w:tcW w:w="99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hint="eastAsia" w:ascii="Times New Roman" w:hAnsi="Times New Roman"/>
                <w:kern w:val="0"/>
                <w:sz w:val="21"/>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1"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动植物油</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mg/L</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65</w:t>
            </w:r>
          </w:p>
        </w:tc>
        <w:tc>
          <w:tcPr>
            <w:tcW w:w="99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hint="eastAsia" w:ascii="Times New Roman" w:hAnsi="Times New Roman"/>
                <w:kern w:val="0"/>
                <w:sz w:val="21"/>
                <w:lang w:eastAsia="en-US"/>
              </w:rPr>
              <w:t>1.3</w:t>
            </w:r>
          </w:p>
        </w:tc>
      </w:tr>
    </w:tbl>
    <w:p>
      <w:pPr>
        <w:bidi w:val="0"/>
      </w:pPr>
      <w:r>
        <w:rPr>
          <w:rFonts w:hint="eastAsia"/>
        </w:rPr>
        <w:t>根据核算结果，肉制品加工废水产生量为116000t/a，COD产生量为28t/a，BOD</w:t>
      </w:r>
      <w:r>
        <w:rPr>
          <w:rFonts w:hint="eastAsia"/>
          <w:vertAlign w:val="subscript"/>
        </w:rPr>
        <w:t>5</w:t>
      </w:r>
      <w:r>
        <w:rPr>
          <w:rFonts w:hint="eastAsia"/>
        </w:rPr>
        <w:t>、SS产生量均为15t/a，氨氮产生量为 1t/a，动植物产生量为 1.3t/a。</w:t>
      </w:r>
    </w:p>
    <w:p>
      <w:pPr>
        <w:pStyle w:val="7"/>
        <w:bidi w:val="0"/>
      </w:pPr>
      <w:r>
        <w:rPr>
          <w:rFonts w:hint="eastAsia"/>
        </w:rPr>
        <w:t>4.2.3.</w:t>
      </w:r>
      <w:r>
        <w:rPr>
          <w:rFonts w:hint="eastAsia"/>
          <w:lang w:val="en-US" w:eastAsia="zh-CN"/>
        </w:rPr>
        <w:t>3闽侯县</w:t>
      </w:r>
      <w:r>
        <w:rPr>
          <w:rFonts w:hint="eastAsia"/>
        </w:rPr>
        <w:t>2025年畜禽养殖废水污染物排放量核算</w:t>
      </w:r>
    </w:p>
    <w:p>
      <w:pPr>
        <w:adjustRightInd w:val="0"/>
        <w:snapToGrid w:val="0"/>
        <w:spacing w:line="360" w:lineRule="auto"/>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1.畜禽养殖废水</w:t>
      </w:r>
    </w:p>
    <w:p>
      <w:pPr>
        <w:adjustRightInd w:val="0"/>
        <w:snapToGrid w:val="0"/>
        <w:spacing w:line="360" w:lineRule="auto"/>
        <w:ind w:firstLine="480"/>
        <w:rPr>
          <w:rFonts w:ascii="Times New Roman" w:hAnsi="Times New Roman" w:eastAsia="宋体" w:cs="Times New Roman"/>
          <w:sz w:val="24"/>
          <w:szCs w:val="32"/>
        </w:rPr>
      </w:pP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畜禽粪污资源化利用整县推进项目已顺利完成，全县大力推行资源化利用、推广“猪-沼-果”种养结合、生态循环饲养模式，力求实现粪污减量化、无害化处理和资源化利用。</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共有</w:t>
      </w:r>
      <w:r>
        <w:rPr>
          <w:rFonts w:hint="eastAsia" w:eastAsia="宋体" w:cs="Times New Roman"/>
          <w:sz w:val="24"/>
          <w:szCs w:val="32"/>
          <w:lang w:val="en-US" w:eastAsia="zh-CN"/>
        </w:rPr>
        <w:t>16</w:t>
      </w:r>
      <w:r>
        <w:rPr>
          <w:rFonts w:hint="eastAsia" w:ascii="Times New Roman" w:hAnsi="Times New Roman" w:eastAsia="宋体" w:cs="Times New Roman"/>
          <w:sz w:val="24"/>
          <w:szCs w:val="32"/>
        </w:rPr>
        <w:t>家规模养猪场，基本采用“干清粪+微生物异味发酵床”，截止2020年，全县粪污资源化利用率达95%以上，规模养殖场粪污处理设备配套率达100%。</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2020年，全县养殖出栏家禽统计量为</w:t>
      </w:r>
      <w:r>
        <w:rPr>
          <w:rFonts w:hint="eastAsia" w:eastAsia="宋体" w:cs="Times New Roman"/>
          <w:sz w:val="24"/>
          <w:szCs w:val="32"/>
          <w:lang w:val="en-US" w:eastAsia="zh-CN"/>
        </w:rPr>
        <w:t>328.61</w:t>
      </w:r>
      <w:r>
        <w:rPr>
          <w:rFonts w:hint="eastAsia" w:ascii="Times New Roman" w:hAnsi="Times New Roman" w:eastAsia="宋体" w:cs="Times New Roman"/>
          <w:sz w:val="24"/>
          <w:szCs w:val="32"/>
        </w:rPr>
        <w:t>万只，规模化养鸡生产模式一般为日散养、夜入舍或全舍养，舍内鸡粪全收集量约占总量的50%，全部用作有机肥厂（含售外）的生产原料。根据</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畜禽粪污资源化利用整县推进情况，</w:t>
      </w:r>
      <w:r>
        <w:rPr>
          <w:rFonts w:hint="eastAsia" w:cs="Times New Roman"/>
          <w:sz w:val="24"/>
          <w:szCs w:val="32"/>
          <w:lang w:val="en-US" w:eastAsia="zh-CN"/>
        </w:rPr>
        <w:t>在各个养猪场中新增有机肥发酵设施</w:t>
      </w:r>
      <w:r>
        <w:rPr>
          <w:rFonts w:hint="eastAsia" w:ascii="Times New Roman" w:hAnsi="Times New Roman" w:eastAsia="宋体" w:cs="Times New Roman"/>
          <w:sz w:val="24"/>
          <w:szCs w:val="32"/>
        </w:rPr>
        <w:t>，</w:t>
      </w:r>
      <w:r>
        <w:rPr>
          <w:rFonts w:hint="eastAsia" w:cs="Times New Roman"/>
          <w:sz w:val="24"/>
          <w:szCs w:val="32"/>
          <w:lang w:val="en-US" w:eastAsia="zh-CN"/>
        </w:rPr>
        <w:t>并完善污水消纳地配套，</w:t>
      </w:r>
      <w:r>
        <w:rPr>
          <w:rFonts w:hint="eastAsia" w:ascii="Times New Roman" w:hAnsi="Times New Roman" w:eastAsia="宋体" w:cs="Times New Roman"/>
          <w:sz w:val="24"/>
          <w:szCs w:val="32"/>
        </w:rPr>
        <w:t>资源化利用的种养结合面积</w:t>
      </w:r>
      <w:r>
        <w:rPr>
          <w:rFonts w:hint="eastAsia" w:eastAsia="宋体" w:cs="Times New Roman"/>
          <w:sz w:val="24"/>
          <w:szCs w:val="32"/>
          <w:lang w:val="en-US" w:eastAsia="zh-CN"/>
        </w:rPr>
        <w:t>4.33</w:t>
      </w:r>
      <w:r>
        <w:rPr>
          <w:rFonts w:hint="eastAsia" w:ascii="Times New Roman" w:hAnsi="Times New Roman" w:eastAsia="宋体" w:cs="Times New Roman"/>
          <w:sz w:val="24"/>
          <w:szCs w:val="32"/>
        </w:rPr>
        <w:t>万亩，基本上可实现畜禽养殖粪污资源化利用。</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福建省畜禽粪污资源利用推荐模式有9种，新增养殖企业可根据土地资源、纳污水体敏感性和环境容量、资金等因素综合考虑，采取不同的养殖模式，实现</w:t>
      </w:r>
      <w:r>
        <w:rPr>
          <w:rFonts w:hint="eastAsia" w:cs="Times New Roman"/>
          <w:sz w:val="24"/>
          <w:szCs w:val="32"/>
          <w:lang w:val="en-US" w:eastAsia="zh-CN"/>
        </w:rPr>
        <w:t>养殖废水</w:t>
      </w:r>
      <w:r>
        <w:rPr>
          <w:rFonts w:hint="eastAsia" w:ascii="Times New Roman" w:hAnsi="Times New Roman" w:eastAsia="宋体" w:cs="Times New Roman"/>
          <w:sz w:val="24"/>
          <w:szCs w:val="32"/>
        </w:rPr>
        <w:t>“零排放”。</w:t>
      </w:r>
    </w:p>
    <w:p>
      <w:pPr>
        <w:adjustRightInd w:val="0"/>
        <w:snapToGrid w:val="0"/>
        <w:spacing w:line="360" w:lineRule="auto"/>
        <w:ind w:firstLine="480"/>
        <w:rPr>
          <w:rFonts w:ascii="Times New Roman" w:hAnsi="Times New Roman" w:eastAsia="宋体" w:cs="Times New Roman"/>
          <w:sz w:val="24"/>
          <w:szCs w:val="32"/>
        </w:rPr>
      </w:pPr>
      <w:r>
        <w:rPr>
          <w:rFonts w:hint="eastAsia" w:ascii="Times New Roman" w:hAnsi="Times New Roman" w:eastAsia="宋体" w:cs="Times New Roman"/>
          <w:sz w:val="24"/>
          <w:szCs w:val="32"/>
        </w:rPr>
        <w:t>根据本文4.2.4章节分析，</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土地资源足够消纳畜禽养殖产生的粪污，特别是山区县市农用地资源较为丰富。对于山区养殖场，适合通过“干清粪+粪便制有机肥+有机肥农田利用+污水处理后农田利用”的方式来实现粪污完全被消纳。除土地资源条件外，畜禽养殖的规模化水平和环境管理水平也是影响畜禽粪污综合利用水平的重要因素。相对而言，规模化养殖场有相对足够的资金去配套完善的污染治理设施，清洁、生态养殖意识和环境管理水平也较高；在加强管理的前提下，可以实现粪污完全被土地消纳或大部分被消纳，基本实现畜禽养殖废水零排放。</w:t>
      </w:r>
    </w:p>
    <w:p>
      <w:pPr>
        <w:adjustRightInd w:val="0"/>
        <w:snapToGrid w:val="0"/>
        <w:spacing w:line="360" w:lineRule="auto"/>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2.屠宰废水</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畜牧业发展规划（20</w:t>
      </w:r>
      <w:r>
        <w:rPr>
          <w:rFonts w:hint="eastAsia" w:eastAsia="宋体" w:cs="Times New Roman"/>
          <w:sz w:val="24"/>
          <w:szCs w:val="32"/>
          <w:lang w:val="en-US" w:eastAsia="zh-CN"/>
        </w:rPr>
        <w:t>19</w:t>
      </w:r>
      <w:r>
        <w:rPr>
          <w:rFonts w:hint="eastAsia" w:ascii="Times New Roman" w:hAnsi="Times New Roman" w:eastAsia="宋体" w:cs="Times New Roman"/>
          <w:sz w:val="24"/>
          <w:szCs w:val="32"/>
        </w:rPr>
        <w:t>~2025年）》实施后企业屠宰废水主要经自建污水处理设施处理达到《肉类加工工业水污染物排放标准》（GB 13457-92）表 3 中畜类屠宰加工和禽类屠宰加工三级标准后排入城市污水处理厂，根据核算，规划目标年屠宰废水排放量为</w:t>
      </w:r>
      <w:r>
        <w:rPr>
          <w:rFonts w:hint="eastAsia" w:eastAsia="宋体" w:cs="Times New Roman"/>
          <w:sz w:val="24"/>
          <w:szCs w:val="32"/>
          <w:lang w:val="en-US" w:eastAsia="zh-CN"/>
        </w:rPr>
        <w:t>37.6</w:t>
      </w:r>
      <w:r>
        <w:rPr>
          <w:rFonts w:hint="eastAsia" w:ascii="Times New Roman" w:hAnsi="Times New Roman" w:eastAsia="宋体" w:cs="Times New Roman"/>
          <w:sz w:val="24"/>
          <w:szCs w:val="32"/>
        </w:rPr>
        <w:t>万t/a，则COD排放量为</w:t>
      </w:r>
      <w:r>
        <w:rPr>
          <w:rFonts w:hint="eastAsia" w:eastAsia="宋体" w:cs="Times New Roman"/>
          <w:sz w:val="24"/>
          <w:szCs w:val="32"/>
          <w:lang w:val="en-US" w:eastAsia="zh-CN"/>
        </w:rPr>
        <w:t>188</w:t>
      </w:r>
      <w:r>
        <w:rPr>
          <w:rFonts w:hint="eastAsia" w:ascii="Times New Roman" w:hAnsi="Times New Roman" w:eastAsia="宋体" w:cs="Times New Roman"/>
          <w:sz w:val="24"/>
          <w:szCs w:val="32"/>
        </w:rPr>
        <w:t>t/a，BOD</w:t>
      </w:r>
      <w:r>
        <w:rPr>
          <w:rFonts w:hint="eastAsia" w:ascii="Times New Roman" w:hAnsi="Times New Roman" w:eastAsia="宋体" w:cs="Times New Roman"/>
          <w:sz w:val="24"/>
          <w:szCs w:val="32"/>
          <w:vertAlign w:val="subscript"/>
        </w:rPr>
        <w:t>5</w:t>
      </w:r>
      <w:r>
        <w:rPr>
          <w:rFonts w:hint="eastAsia" w:ascii="Times New Roman" w:hAnsi="Times New Roman" w:eastAsia="宋体" w:cs="Times New Roman"/>
          <w:sz w:val="24"/>
          <w:szCs w:val="32"/>
        </w:rPr>
        <w:t>排放量为</w:t>
      </w:r>
      <w:r>
        <w:rPr>
          <w:rFonts w:hint="eastAsia" w:eastAsia="宋体" w:cs="Times New Roman"/>
          <w:sz w:val="24"/>
          <w:szCs w:val="32"/>
          <w:lang w:val="en-US" w:eastAsia="zh-CN"/>
        </w:rPr>
        <w:t>112.8</w:t>
      </w:r>
      <w:r>
        <w:rPr>
          <w:rFonts w:hint="eastAsia" w:ascii="Times New Roman" w:hAnsi="Times New Roman" w:eastAsia="宋体" w:cs="Times New Roman"/>
          <w:sz w:val="24"/>
          <w:szCs w:val="32"/>
        </w:rPr>
        <w:t>t/a，氨氮</w:t>
      </w:r>
      <w:r>
        <w:rPr>
          <w:rFonts w:hint="eastAsia" w:eastAsia="宋体" w:cs="Times New Roman"/>
          <w:sz w:val="24"/>
          <w:szCs w:val="32"/>
          <w:lang w:val="en-US" w:eastAsia="zh-CN"/>
        </w:rPr>
        <w:t>7.52</w:t>
      </w:r>
      <w:r>
        <w:rPr>
          <w:rFonts w:hint="eastAsia" w:ascii="Times New Roman" w:hAnsi="Times New Roman" w:eastAsia="宋体" w:cs="Times New Roman"/>
          <w:sz w:val="24"/>
          <w:szCs w:val="32"/>
        </w:rPr>
        <w:t>t/a，动植物油排放量为</w:t>
      </w:r>
      <w:r>
        <w:rPr>
          <w:rFonts w:hint="eastAsia" w:eastAsia="宋体" w:cs="Times New Roman"/>
          <w:sz w:val="24"/>
          <w:szCs w:val="32"/>
          <w:lang w:val="en-US" w:eastAsia="zh-CN"/>
        </w:rPr>
        <w:t>22.56</w:t>
      </w:r>
      <w:r>
        <w:rPr>
          <w:rFonts w:hint="eastAsia" w:ascii="Times New Roman" w:hAnsi="Times New Roman" w:eastAsia="宋体" w:cs="Times New Roman"/>
          <w:sz w:val="24"/>
          <w:szCs w:val="32"/>
        </w:rPr>
        <w:t>t/a</w:t>
      </w:r>
    </w:p>
    <w:p>
      <w:pPr>
        <w:adjustRightInd w:val="0"/>
        <w:snapToGrid w:val="0"/>
        <w:spacing w:line="360" w:lineRule="auto"/>
        <w:ind w:firstLine="482"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3.肉制品加工废水</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畜牧业发展规划（20</w:t>
      </w:r>
      <w:r>
        <w:rPr>
          <w:rFonts w:hint="eastAsia" w:eastAsia="宋体" w:cs="Times New Roman"/>
          <w:sz w:val="24"/>
          <w:szCs w:val="32"/>
          <w:lang w:val="en-US" w:eastAsia="zh-CN"/>
        </w:rPr>
        <w:t>19</w:t>
      </w:r>
      <w:r>
        <w:rPr>
          <w:rFonts w:hint="eastAsia" w:ascii="Times New Roman" w:hAnsi="Times New Roman" w:eastAsia="宋体" w:cs="Times New Roman"/>
          <w:sz w:val="24"/>
          <w:szCs w:val="32"/>
        </w:rPr>
        <w:t>~2025年）》实施后企业肉制品加工废水主要经自建污水处理设施处理达到《肉类加工工业水污染物排放标准》（GB 13457-92）表3中肉制品加工三级标准后排入城市污水处理厂，根据核算，规划目标年肉制品加工废水排放量为11.6万t/a，则COD排放量为58t/a，BOD</w:t>
      </w:r>
      <w:r>
        <w:rPr>
          <w:rFonts w:hint="eastAsia" w:ascii="Times New Roman" w:hAnsi="Times New Roman" w:eastAsia="宋体" w:cs="Times New Roman"/>
          <w:sz w:val="24"/>
          <w:szCs w:val="32"/>
          <w:vertAlign w:val="subscript"/>
        </w:rPr>
        <w:t>5</w:t>
      </w:r>
      <w:r>
        <w:rPr>
          <w:rFonts w:hint="eastAsia" w:ascii="Times New Roman" w:hAnsi="Times New Roman" w:eastAsia="宋体" w:cs="Times New Roman"/>
          <w:sz w:val="24"/>
          <w:szCs w:val="32"/>
        </w:rPr>
        <w:t>排放量为34.8t/a，氨氮2.9t/a，动植物油排放量为6.96t/a。</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10</w:t>
      </w:r>
      <w:r>
        <w:rPr>
          <w:rFonts w:hint="eastAsia" w:ascii="Times New Roman" w:hAnsi="Times New Roman" w:eastAsia="黑体" w:cs="Times New Roman"/>
          <w:b/>
          <w:bCs/>
          <w:color w:val="auto"/>
          <w:lang w:val="en-US" w:eastAsia="zh-CN"/>
        </w:rPr>
        <w:t xml:space="preserve">  </w:t>
      </w:r>
      <w:r>
        <w:rPr>
          <w:rFonts w:hint="eastAsia" w:eastAsia="黑体" w:cs="Times New Roman"/>
          <w:b/>
          <w:bCs/>
          <w:color w:val="auto"/>
          <w:lang w:val="en-US" w:eastAsia="zh-CN"/>
        </w:rPr>
        <w:t>闽侯县</w:t>
      </w:r>
      <w:r>
        <w:rPr>
          <w:rFonts w:hint="eastAsia" w:ascii="Times New Roman" w:hAnsi="Times New Roman" w:eastAsia="黑体" w:cs="Times New Roman"/>
          <w:b/>
          <w:bCs/>
          <w:color w:val="auto"/>
          <w:lang w:val="en-US" w:eastAsia="zh-CN"/>
        </w:rPr>
        <w:t>2025年畜禽养殖废水污染物排放量一览表  单位：t/a</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1668"/>
        <w:gridCol w:w="1667"/>
        <w:gridCol w:w="1660"/>
        <w:gridCol w:w="1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ascii="Times New Roman" w:hAnsi="Times New Roman" w:cs="Times New Roman"/>
                <w:kern w:val="0"/>
                <w:sz w:val="21"/>
                <w:szCs w:val="21"/>
                <w:lang w:eastAsia="en-US"/>
              </w:rPr>
              <w:t>废水来源</w:t>
            </w:r>
          </w:p>
        </w:tc>
        <w:tc>
          <w:tcPr>
            <w:tcW w:w="100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ascii="Times New Roman" w:hAnsi="Times New Roman" w:cs="Times New Roman"/>
                <w:kern w:val="0"/>
                <w:sz w:val="21"/>
                <w:szCs w:val="21"/>
                <w:lang w:eastAsia="en-US"/>
              </w:rPr>
              <w:t>COD</w:t>
            </w:r>
          </w:p>
        </w:tc>
        <w:tc>
          <w:tcPr>
            <w:tcW w:w="1002"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ascii="Times New Roman" w:hAnsi="Times New Roman" w:cs="Times New Roman"/>
                <w:kern w:val="0"/>
                <w:sz w:val="21"/>
                <w:szCs w:val="21"/>
                <w:lang w:eastAsia="en-US"/>
              </w:rPr>
              <w:t>BOD</w:t>
            </w:r>
            <w:r>
              <w:rPr>
                <w:rFonts w:ascii="Times New Roman" w:hAnsi="Times New Roman" w:cs="Times New Roman"/>
                <w:kern w:val="0"/>
                <w:sz w:val="21"/>
                <w:szCs w:val="21"/>
                <w:vertAlign w:val="subscript"/>
                <w:lang w:eastAsia="en-US"/>
              </w:rPr>
              <w:t>5</w:t>
            </w:r>
          </w:p>
        </w:tc>
        <w:tc>
          <w:tcPr>
            <w:tcW w:w="9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ascii="Times New Roman" w:hAnsi="Times New Roman" w:cs="Times New Roman"/>
                <w:kern w:val="0"/>
                <w:sz w:val="21"/>
                <w:szCs w:val="21"/>
                <w:lang w:eastAsia="en-US"/>
              </w:rPr>
              <w:t>氨氮</w:t>
            </w:r>
          </w:p>
        </w:tc>
        <w:tc>
          <w:tcPr>
            <w:tcW w:w="76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hint="eastAsia" w:ascii="Times New Roman" w:hAnsi="Times New Roman" w:cs="Times New Roman"/>
                <w:kern w:val="0"/>
                <w:sz w:val="21"/>
                <w:szCs w:val="21"/>
                <w:lang w:eastAsia="en-US"/>
              </w:rPr>
              <w:t>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ascii="Times New Roman" w:hAnsi="Times New Roman" w:cs="Times New Roman"/>
                <w:kern w:val="0"/>
                <w:sz w:val="21"/>
                <w:szCs w:val="21"/>
                <w:lang w:eastAsia="en-US"/>
              </w:rPr>
              <w:t>屠宰企业废水</w:t>
            </w:r>
          </w:p>
        </w:tc>
        <w:tc>
          <w:tcPr>
            <w:tcW w:w="100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188</w:t>
            </w:r>
          </w:p>
        </w:tc>
        <w:tc>
          <w:tcPr>
            <w:tcW w:w="1002"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112.8</w:t>
            </w:r>
          </w:p>
        </w:tc>
        <w:tc>
          <w:tcPr>
            <w:tcW w:w="9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7.52</w:t>
            </w:r>
          </w:p>
        </w:tc>
        <w:tc>
          <w:tcPr>
            <w:tcW w:w="76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ascii="Times New Roman" w:hAnsi="Times New Roman" w:cs="Times New Roman"/>
                <w:kern w:val="0"/>
                <w:sz w:val="21"/>
                <w:szCs w:val="21"/>
                <w:lang w:eastAsia="en-US"/>
              </w:rPr>
              <w:t>肉制品加工废水</w:t>
            </w:r>
          </w:p>
        </w:tc>
        <w:tc>
          <w:tcPr>
            <w:tcW w:w="1003"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hint="eastAsia" w:ascii="Times New Roman" w:hAnsi="Times New Roman" w:cs="Times New Roman"/>
                <w:kern w:val="0"/>
                <w:sz w:val="21"/>
                <w:szCs w:val="21"/>
                <w:lang w:eastAsia="en-US"/>
              </w:rPr>
              <w:t>58</w:t>
            </w:r>
          </w:p>
        </w:tc>
        <w:tc>
          <w:tcPr>
            <w:tcW w:w="1002"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hint="eastAsia" w:ascii="Times New Roman" w:hAnsi="Times New Roman" w:cs="Times New Roman"/>
                <w:kern w:val="0"/>
                <w:sz w:val="21"/>
                <w:szCs w:val="21"/>
                <w:lang w:eastAsia="en-US"/>
              </w:rPr>
              <w:t>34.8</w:t>
            </w:r>
          </w:p>
        </w:tc>
        <w:tc>
          <w:tcPr>
            <w:tcW w:w="99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hint="eastAsia" w:ascii="Times New Roman" w:hAnsi="Times New Roman" w:cs="Times New Roman"/>
                <w:kern w:val="0"/>
                <w:sz w:val="21"/>
                <w:szCs w:val="21"/>
                <w:lang w:eastAsia="en-US"/>
              </w:rPr>
              <w:t>2.9</w:t>
            </w:r>
          </w:p>
        </w:tc>
        <w:tc>
          <w:tcPr>
            <w:tcW w:w="76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hint="eastAsia" w:ascii="Times New Roman" w:hAnsi="Times New Roman" w:cs="Times New Roman"/>
                <w:kern w:val="0"/>
                <w:sz w:val="21"/>
                <w:szCs w:val="21"/>
                <w:lang w:eastAsia="en-US"/>
              </w:rPr>
              <w:t>6.96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cs="Times New Roman"/>
                <w:kern w:val="0"/>
                <w:sz w:val="21"/>
                <w:szCs w:val="21"/>
                <w:lang w:eastAsia="en-US"/>
              </w:rPr>
            </w:pPr>
            <w:r>
              <w:rPr>
                <w:rFonts w:ascii="Times New Roman" w:hAnsi="Times New Roman" w:cs="Times New Roman"/>
                <w:kern w:val="0"/>
                <w:sz w:val="21"/>
                <w:szCs w:val="21"/>
                <w:lang w:eastAsia="en-US"/>
              </w:rPr>
              <w:t>合计</w:t>
            </w:r>
          </w:p>
        </w:tc>
        <w:tc>
          <w:tcPr>
            <w:tcW w:w="1003" w:type="pct"/>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246</w:t>
            </w:r>
          </w:p>
        </w:tc>
        <w:tc>
          <w:tcPr>
            <w:tcW w:w="1002" w:type="pct"/>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147.6</w:t>
            </w:r>
          </w:p>
        </w:tc>
        <w:tc>
          <w:tcPr>
            <w:tcW w:w="998" w:type="pct"/>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10.42</w:t>
            </w:r>
          </w:p>
        </w:tc>
        <w:tc>
          <w:tcPr>
            <w:tcW w:w="768" w:type="pct"/>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29.52</w:t>
            </w:r>
          </w:p>
        </w:tc>
      </w:tr>
    </w:tbl>
    <w:p>
      <w:pPr>
        <w:adjustRightInd w:val="0"/>
        <w:snapToGrid w:val="0"/>
        <w:spacing w:line="360" w:lineRule="auto"/>
        <w:rPr>
          <w:rFonts w:hint="eastAsia"/>
        </w:rPr>
      </w:pPr>
      <w:r>
        <w:rPr>
          <w:rFonts w:hint="eastAsia"/>
        </w:rPr>
        <w:t>根据核算结果，《</w:t>
      </w:r>
      <w:r>
        <w:rPr>
          <w:rFonts w:hint="eastAsia"/>
          <w:lang w:val="en-US" w:eastAsia="zh-CN"/>
        </w:rPr>
        <w:t>闽侯县</w:t>
      </w:r>
      <w:r>
        <w:rPr>
          <w:rFonts w:hint="eastAsia"/>
        </w:rPr>
        <w:t>畜牧业发展规划（20</w:t>
      </w:r>
      <w:r>
        <w:rPr>
          <w:rFonts w:hint="eastAsia"/>
          <w:lang w:val="en-US" w:eastAsia="zh-CN"/>
        </w:rPr>
        <w:t>19</w:t>
      </w:r>
      <w:r>
        <w:rPr>
          <w:rFonts w:hint="eastAsia"/>
        </w:rPr>
        <w:t>~2025年）》实施后，规划目标年2025年畜禽养殖废水主要污染物COD排放量</w:t>
      </w:r>
      <w:r>
        <w:rPr>
          <w:rFonts w:hint="eastAsia"/>
          <w:lang w:val="en-US" w:eastAsia="zh-CN"/>
        </w:rPr>
        <w:t>246</w:t>
      </w:r>
      <w:r>
        <w:rPr>
          <w:rFonts w:hint="eastAsia"/>
        </w:rPr>
        <w:t>t/a，氨氮</w:t>
      </w:r>
      <w:r>
        <w:rPr>
          <w:rFonts w:hint="eastAsia"/>
          <w:lang w:val="en-US" w:eastAsia="zh-CN"/>
        </w:rPr>
        <w:t>10.42</w:t>
      </w:r>
      <w:r>
        <w:rPr>
          <w:rFonts w:hint="eastAsia"/>
        </w:rPr>
        <w:t>t/a，总磷排放量为0。</w:t>
      </w:r>
      <w:r>
        <w:rPr>
          <w:rFonts w:hint="eastAsia" w:ascii="Times New Roman" w:hAnsi="Times New Roman" w:eastAsia="宋体" w:cs="Times New Roman"/>
          <w:sz w:val="24"/>
          <w:szCs w:val="32"/>
        </w:rPr>
        <w:t>畜禽养殖需水量为4643128.5m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/a，其他相关行业的用水量为</w:t>
      </w:r>
      <w:r>
        <w:rPr>
          <w:rFonts w:hint="eastAsia" w:cs="Times New Roman"/>
          <w:sz w:val="24"/>
          <w:szCs w:val="32"/>
          <w:lang w:val="en-US" w:eastAsia="zh-CN"/>
        </w:rPr>
        <w:t>492000</w:t>
      </w:r>
      <w:r>
        <w:rPr>
          <w:rFonts w:hint="eastAsia" w:ascii="Times New Roman" w:hAnsi="Times New Roman" w:eastAsia="宋体" w:cs="Times New Roman"/>
          <w:sz w:val="24"/>
          <w:szCs w:val="32"/>
        </w:rPr>
        <w:t>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/a，合计</w:t>
      </w:r>
      <w:r>
        <w:rPr>
          <w:rFonts w:hint="eastAsia" w:cs="Times New Roman"/>
          <w:sz w:val="24"/>
          <w:szCs w:val="32"/>
          <w:lang w:val="en-US" w:eastAsia="zh-CN"/>
        </w:rPr>
        <w:t>5135128.5</w:t>
      </w:r>
      <w:r>
        <w:rPr>
          <w:rFonts w:hint="eastAsia" w:ascii="Times New Roman" w:hAnsi="Times New Roman" w:eastAsia="宋体" w:cs="Times New Roman"/>
          <w:sz w:val="24"/>
          <w:szCs w:val="32"/>
        </w:rPr>
        <w:t>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/a，与</w:t>
      </w:r>
      <w:r>
        <w:rPr>
          <w:rFonts w:hint="eastAsia" w:cs="Times New Roman"/>
          <w:sz w:val="24"/>
          <w:szCs w:val="32"/>
          <w:lang w:val="en-US" w:eastAsia="zh-CN"/>
        </w:rPr>
        <w:t>闽侯县</w:t>
      </w:r>
      <w:r>
        <w:rPr>
          <w:rFonts w:hint="eastAsia" w:ascii="Times New Roman" w:hAnsi="Times New Roman" w:eastAsia="宋体" w:cs="Times New Roman"/>
          <w:sz w:val="24"/>
          <w:szCs w:val="32"/>
        </w:rPr>
        <w:t>多年平均水资源量</w:t>
      </w:r>
      <w:r>
        <w:rPr>
          <w:rFonts w:hint="eastAsia" w:cs="Times New Roman"/>
          <w:sz w:val="24"/>
          <w:szCs w:val="32"/>
          <w:lang w:val="en-US" w:eastAsia="zh-CN"/>
        </w:rPr>
        <w:t>19.62</w:t>
      </w:r>
      <w:r>
        <w:rPr>
          <w:rFonts w:hint="eastAsia" w:ascii="Times New Roman" w:hAnsi="Times New Roman" w:eastAsia="宋体" w:cs="Times New Roman"/>
          <w:sz w:val="24"/>
          <w:szCs w:val="32"/>
        </w:rPr>
        <w:t>亿m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相比，占比仅</w:t>
      </w:r>
      <w:r>
        <w:rPr>
          <w:rFonts w:hint="eastAsia" w:cs="Times New Roman"/>
          <w:sz w:val="24"/>
          <w:szCs w:val="32"/>
          <w:lang w:val="en-US" w:eastAsia="zh-CN"/>
        </w:rPr>
        <w:t>0.26</w:t>
      </w:r>
      <w:r>
        <w:rPr>
          <w:rFonts w:hint="eastAsia" w:ascii="Times New Roman" w:hAnsi="Times New Roman" w:eastAsia="宋体" w:cs="Times New Roman"/>
          <w:sz w:val="24"/>
          <w:szCs w:val="32"/>
        </w:rPr>
        <w:t>%。</w:t>
      </w:r>
      <w:r>
        <w:rPr>
          <w:rFonts w:hint="eastAsia"/>
        </w:rPr>
        <w:t>因此，《</w:t>
      </w:r>
      <w:r>
        <w:rPr>
          <w:rFonts w:hint="eastAsia"/>
          <w:lang w:val="en-US" w:eastAsia="zh-CN"/>
        </w:rPr>
        <w:t>闽侯县</w:t>
      </w:r>
      <w:r>
        <w:rPr>
          <w:rFonts w:hint="eastAsia"/>
        </w:rPr>
        <w:t>畜牧业发展规划（20</w:t>
      </w:r>
      <w:r>
        <w:rPr>
          <w:rFonts w:hint="eastAsia"/>
          <w:lang w:val="en-US" w:eastAsia="zh-CN"/>
        </w:rPr>
        <w:t>19</w:t>
      </w:r>
      <w:r>
        <w:rPr>
          <w:rFonts w:hint="eastAsia"/>
        </w:rPr>
        <w:t>~2025年）》实施后，规划目标年2025年畜禽养殖废水污染物排放量不会超过</w:t>
      </w:r>
      <w:r>
        <w:rPr>
          <w:rFonts w:hint="eastAsia"/>
          <w:lang w:val="en-US" w:eastAsia="zh-CN"/>
        </w:rPr>
        <w:t>闽侯县</w:t>
      </w:r>
      <w:r>
        <w:rPr>
          <w:rFonts w:hint="eastAsia"/>
        </w:rPr>
        <w:t>环境容量的要求。</w:t>
      </w:r>
    </w:p>
    <w:p>
      <w:pPr>
        <w:numPr>
          <w:ilvl w:val="0"/>
          <w:numId w:val="3"/>
        </w:numPr>
        <w:adjustRightInd w:val="0"/>
        <w:snapToGrid w:val="0"/>
        <w:spacing w:line="360" w:lineRule="auto"/>
        <w:ind w:firstLine="482" w:firstLineChars="200"/>
        <w:rPr>
          <w:rFonts w:hint="eastAsia" w:cs="Times New Roman"/>
          <w:b/>
          <w:bCs/>
          <w:color w:val="auto"/>
          <w:sz w:val="24"/>
          <w:szCs w:val="32"/>
          <w:lang w:val="en-US" w:eastAsia="zh-CN"/>
        </w:rPr>
      </w:pPr>
      <w:r>
        <w:rPr>
          <w:rFonts w:hint="eastAsia" w:cs="Times New Roman"/>
          <w:b/>
          <w:bCs/>
          <w:color w:val="auto"/>
          <w:sz w:val="24"/>
          <w:szCs w:val="32"/>
          <w:lang w:val="en-US" w:eastAsia="zh-CN"/>
        </w:rPr>
        <w:t>部分小流域承载能力分析</w:t>
      </w:r>
    </w:p>
    <w:p>
      <w:pPr>
        <w:bidi w:val="0"/>
        <w:rPr>
          <w:rFonts w:hint="eastAsia"/>
          <w:color w:val="auto"/>
          <w:lang w:val="en-US" w:eastAsia="zh-CN"/>
        </w:rPr>
      </w:pPr>
      <w:r>
        <w:rPr>
          <w:rFonts w:hint="eastAsia"/>
          <w:color w:val="auto"/>
          <w:lang w:val="en-US" w:eastAsia="zh-CN"/>
        </w:rPr>
        <w:t>结合福州市规划布局和现状产业分布，闽侯洋里、大湖是养殖的重点乡镇，对应的小流域是大目溪，根据生态环境部环境规划院牵头编制的《福州市环境总体规划（2020-2035年）》（上报稿，2022年12月）的相关研究成果该流域水环境承载测算能力分析如下。</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 4</w:t>
      </w:r>
      <w:r>
        <w:rPr>
          <w:rFonts w:hint="eastAsia" w:eastAsia="黑体" w:cs="Times New Roman"/>
          <w:b/>
          <w:bCs/>
          <w:color w:val="auto"/>
          <w:lang w:val="en-US" w:eastAsia="zh-CN"/>
        </w:rPr>
        <w:t>.11</w:t>
      </w:r>
      <w:r>
        <w:rPr>
          <w:rFonts w:hint="eastAsia" w:ascii="Times New Roman" w:hAnsi="Times New Roman" w:eastAsia="黑体" w:cs="Times New Roman"/>
          <w:b/>
          <w:bCs/>
          <w:color w:val="auto"/>
          <w:lang w:val="en-US" w:eastAsia="zh-CN"/>
        </w:rPr>
        <w:t xml:space="preserve"> </w:t>
      </w:r>
      <w:r>
        <w:rPr>
          <w:rFonts w:hint="eastAsia" w:eastAsia="黑体" w:cs="Times New Roman"/>
          <w:b/>
          <w:bCs/>
          <w:color w:val="auto"/>
          <w:lang w:val="en-US" w:eastAsia="zh-CN"/>
        </w:rPr>
        <w:t>大目溪</w:t>
      </w:r>
      <w:r>
        <w:rPr>
          <w:rFonts w:hint="eastAsia" w:ascii="Times New Roman" w:hAnsi="Times New Roman" w:eastAsia="黑体" w:cs="Times New Roman"/>
          <w:b/>
          <w:bCs/>
          <w:color w:val="auto"/>
          <w:lang w:val="en-US" w:eastAsia="zh-CN"/>
        </w:rPr>
        <w:t>水环境承载力分析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单元编码</w:t>
            </w:r>
          </w:p>
        </w:tc>
        <w:tc>
          <w:tcPr>
            <w:tcW w:w="1217"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控制断面</w:t>
            </w:r>
          </w:p>
        </w:tc>
        <w:tc>
          <w:tcPr>
            <w:tcW w:w="1217"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流域</w:t>
            </w:r>
          </w:p>
        </w:tc>
        <w:tc>
          <w:tcPr>
            <w:tcW w:w="4871" w:type="dxa"/>
            <w:gridSpan w:val="4"/>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水环境承载率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p>
        </w:tc>
        <w:tc>
          <w:tcPr>
            <w:tcW w:w="1217"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p>
        </w:tc>
        <w:tc>
          <w:tcPr>
            <w:tcW w:w="1217"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p>
        </w:tc>
        <w:tc>
          <w:tcPr>
            <w:tcW w:w="121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COD</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总氮</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氨氮</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FZ0008</w:t>
            </w:r>
          </w:p>
        </w:tc>
        <w:tc>
          <w:tcPr>
            <w:tcW w:w="1217"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竹岐</w:t>
            </w:r>
          </w:p>
        </w:tc>
        <w:tc>
          <w:tcPr>
            <w:tcW w:w="1217"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大目溪</w:t>
            </w:r>
          </w:p>
        </w:tc>
        <w:tc>
          <w:tcPr>
            <w:tcW w:w="121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41.40%</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73.89%</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16.98%</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FZ0017</w:t>
            </w:r>
          </w:p>
        </w:tc>
        <w:tc>
          <w:tcPr>
            <w:tcW w:w="1217"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p>
        </w:tc>
        <w:tc>
          <w:tcPr>
            <w:tcW w:w="1217"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p>
        </w:tc>
        <w:tc>
          <w:tcPr>
            <w:tcW w:w="121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43.05%</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168.18%</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27.21%</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45.50%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FZ0153</w:t>
            </w:r>
          </w:p>
        </w:tc>
        <w:tc>
          <w:tcPr>
            <w:tcW w:w="1217"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p>
        </w:tc>
        <w:tc>
          <w:tcPr>
            <w:tcW w:w="1217"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p>
        </w:tc>
        <w:tc>
          <w:tcPr>
            <w:tcW w:w="121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107.56%</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192.08%</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54.36%</w:t>
            </w:r>
          </w:p>
        </w:tc>
        <w:tc>
          <w:tcPr>
            <w:tcW w:w="121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56.78%</w:t>
            </w:r>
          </w:p>
        </w:tc>
      </w:tr>
    </w:tbl>
    <w:p>
      <w:pPr>
        <w:bidi w:val="0"/>
        <w:rPr>
          <w:rFonts w:hint="default"/>
          <w:color w:val="auto"/>
          <w:lang w:val="en-US" w:eastAsia="zh-CN"/>
        </w:rPr>
      </w:pPr>
      <w:r>
        <w:rPr>
          <w:rFonts w:hint="default"/>
          <w:color w:val="auto"/>
          <w:lang w:val="en-US" w:eastAsia="zh-CN"/>
        </w:rPr>
        <w:t>竹岐控制断面的白沙镇 F0017单元总氮和洋里乡FZ0153单元COD、总氮，</w:t>
      </w:r>
      <w:r>
        <w:rPr>
          <w:rFonts w:hint="eastAsia"/>
          <w:color w:val="auto"/>
          <w:lang w:val="en-US" w:eastAsia="zh-CN"/>
        </w:rPr>
        <w:t>有不同程度的超载，这些区域超载受城镇生活污染和工业源污染、农业源污染多重影响，这些区域内的所涵盖的规模化养猪场有福建光华农牧科技开发有限公司、闽侯县盛源农牧发展有限公司、福建福丰生态农业股份有限公司和闽侯县宏兴农业专业合作社，以上养殖企业应严格控制生猪存栏量，不再扩容，确保养殖废水排放消纳地，在下一步畜禽养殖污染防治措施实施过程中，应避免将排放水污染物的项目落到上述超载单元或临近超载单元。</w:t>
      </w:r>
    </w:p>
    <w:p>
      <w:pPr>
        <w:pStyle w:val="6"/>
        <w:bidi w:val="0"/>
        <w:rPr>
          <w:color w:val="auto"/>
        </w:rPr>
      </w:pPr>
      <w:bookmarkStart w:id="90" w:name="_Toc28255"/>
      <w:bookmarkStart w:id="91" w:name="_Toc9138"/>
      <w:r>
        <w:rPr>
          <w:rFonts w:hint="eastAsia"/>
          <w:color w:val="auto"/>
        </w:rPr>
        <w:t>4.2.4基于土地承载力的畜禽养殖规模控制</w:t>
      </w:r>
      <w:bookmarkEnd w:id="90"/>
      <w:bookmarkEnd w:id="91"/>
    </w:p>
    <w:p>
      <w:pPr>
        <w:keepNext w:val="0"/>
        <w:keepLines w:val="0"/>
        <w:pageBreakBefore w:val="0"/>
        <w:widowControl w:val="0"/>
        <w:kinsoku/>
        <w:wordWrap/>
        <w:overflowPunct/>
        <w:topLinePunct w:val="0"/>
        <w:autoSpaceDE/>
        <w:autoSpaceDN/>
        <w:bidi w:val="0"/>
        <w:adjustRightInd/>
        <w:snapToGrid/>
        <w:textAlignment w:val="auto"/>
      </w:pPr>
      <w:r>
        <w:rPr>
          <w:rFonts w:hint="eastAsia"/>
        </w:rPr>
        <w:t>依据《畜禽粪污土地承载力测算技术指南》（农办牧[2018]1号）计算</w:t>
      </w:r>
      <w:r>
        <w:rPr>
          <w:rFonts w:hint="eastAsia"/>
          <w:lang w:val="en-US" w:eastAsia="zh-CN"/>
        </w:rPr>
        <w:t>闽侯县</w:t>
      </w:r>
      <w:r>
        <w:rPr>
          <w:rFonts w:hint="eastAsia"/>
        </w:rPr>
        <w:t>畜禽粪污土地承载力情况。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32"/>
        </w:rPr>
      </w:pPr>
      <w:r>
        <w:rPr>
          <w:rFonts w:hint="eastAsia" w:ascii="Times New Roman" w:hAnsi="Times New Roman" w:eastAsia="宋体" w:cs="Times New Roman"/>
          <w:sz w:val="24"/>
          <w:szCs w:val="32"/>
        </w:rPr>
        <w:t>根据《</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畜牧业发展规划（20</w:t>
      </w:r>
      <w:r>
        <w:rPr>
          <w:rFonts w:hint="eastAsia" w:eastAsia="宋体" w:cs="Times New Roman"/>
          <w:sz w:val="24"/>
          <w:szCs w:val="32"/>
          <w:lang w:val="en-US" w:eastAsia="zh-CN"/>
        </w:rPr>
        <w:t>19</w:t>
      </w:r>
      <w:r>
        <w:rPr>
          <w:rFonts w:hint="eastAsia" w:ascii="Times New Roman" w:hAnsi="Times New Roman" w:eastAsia="宋体" w:cs="Times New Roman"/>
          <w:sz w:val="24"/>
          <w:szCs w:val="32"/>
        </w:rPr>
        <w:t>~2025年）》规划的规模，按照《畜禽粪污土地承载力测算技术指南》（农办牧[2018]1号）的要求，分析测算</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畜禽粪污排泄量及养分供给量和农作物粪肥养分需求量，根据测算结果分析</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畜禽粪污的土地承载力匹配情况，确定</w:t>
      </w:r>
      <w:r>
        <w:rPr>
          <w:rFonts w:hint="eastAsia" w:cs="Times New Roman"/>
          <w:sz w:val="24"/>
          <w:szCs w:val="32"/>
          <w:lang w:eastAsia="zh-CN"/>
        </w:rPr>
        <w:t>闽侯</w:t>
      </w:r>
      <w:r>
        <w:rPr>
          <w:rFonts w:hint="eastAsia" w:ascii="Times New Roman" w:hAnsi="Times New Roman" w:eastAsia="宋体" w:cs="Times New Roman"/>
          <w:sz w:val="24"/>
          <w:szCs w:val="32"/>
        </w:rPr>
        <w:t>县畜牧业发展及控制目标。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32"/>
        </w:rPr>
      </w:pPr>
      <w:r>
        <w:rPr>
          <w:rFonts w:hint="eastAsia" w:ascii="Times New Roman" w:hAnsi="Times New Roman" w:eastAsia="宋体" w:cs="Times New Roman"/>
          <w:sz w:val="24"/>
          <w:szCs w:val="32"/>
        </w:rPr>
        <w:t>根据《</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畜牧业发展规划（20</w:t>
      </w:r>
      <w:r>
        <w:rPr>
          <w:rFonts w:hint="eastAsia" w:eastAsia="宋体" w:cs="Times New Roman"/>
          <w:sz w:val="24"/>
          <w:szCs w:val="32"/>
          <w:lang w:val="en-US" w:eastAsia="zh-CN"/>
        </w:rPr>
        <w:t>19</w:t>
      </w:r>
      <w:r>
        <w:rPr>
          <w:rFonts w:hint="eastAsia" w:ascii="Times New Roman" w:hAnsi="Times New Roman" w:eastAsia="宋体" w:cs="Times New Roman"/>
          <w:sz w:val="24"/>
          <w:szCs w:val="32"/>
        </w:rPr>
        <w:t>~2025年）》规划目标年2025年的规划规模，测算2025年畜禽粪污氮、磷的排泄量和供给量。</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11</w:t>
      </w:r>
      <w:r>
        <w:rPr>
          <w:rFonts w:hint="eastAsia" w:ascii="Times New Roman" w:hAnsi="Times New Roman" w:eastAsia="黑体" w:cs="Times New Roman"/>
          <w:b/>
          <w:bCs/>
          <w:color w:val="auto"/>
          <w:lang w:val="en-US" w:eastAsia="zh-CN"/>
        </w:rPr>
        <w:t xml:space="preserve">  闽侯县2025年畜牧业发展规模一览表  </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98"/>
        <w:gridCol w:w="951"/>
        <w:gridCol w:w="1106"/>
        <w:gridCol w:w="951"/>
        <w:gridCol w:w="1048"/>
        <w:gridCol w:w="1044"/>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项目</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猪</w:t>
            </w:r>
          </w:p>
        </w:tc>
        <w:tc>
          <w:tcPr>
            <w:tcW w:w="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牛</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羊</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家禽</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兔</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存栏量/</w:t>
            </w:r>
            <w:r>
              <w:rPr>
                <w:rFonts w:hint="eastAsia"/>
                <w:lang w:eastAsia="en-US"/>
              </w:rPr>
              <w:t>（</w:t>
            </w:r>
            <w:r>
              <w:rPr>
                <w:lang w:eastAsia="en-US"/>
              </w:rPr>
              <w:t>头、只</w:t>
            </w:r>
            <w:r>
              <w:rPr>
                <w:rFonts w:hint="eastAsia"/>
                <w:lang w:eastAsia="en-US"/>
              </w:rPr>
              <w:t>）</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21</w:t>
            </w:r>
            <w:r>
              <w:rPr>
                <w:rFonts w:hint="eastAsia"/>
                <w:lang w:eastAsia="en-US"/>
              </w:rPr>
              <w:t>0000</w:t>
            </w:r>
          </w:p>
        </w:tc>
        <w:tc>
          <w:tcPr>
            <w:tcW w:w="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10555</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68500</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3149700</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160000</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出栏量/</w:t>
            </w:r>
            <w:r>
              <w:rPr>
                <w:rFonts w:hint="eastAsia"/>
                <w:lang w:eastAsia="en-US"/>
              </w:rPr>
              <w:t>（</w:t>
            </w:r>
            <w:r>
              <w:rPr>
                <w:lang w:eastAsia="en-US"/>
              </w:rPr>
              <w:t>头、只</w:t>
            </w:r>
            <w:r>
              <w:rPr>
                <w:rFonts w:hint="eastAsia"/>
                <w:lang w:eastAsia="en-US"/>
              </w:rPr>
              <w:t>）</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39</w:t>
            </w:r>
            <w:r>
              <w:rPr>
                <w:rFonts w:hint="eastAsia"/>
                <w:lang w:eastAsia="en-US"/>
              </w:rPr>
              <w:t>0000</w:t>
            </w:r>
          </w:p>
        </w:tc>
        <w:tc>
          <w:tcPr>
            <w:tcW w:w="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4618</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130000</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6061500</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39</w:t>
            </w:r>
            <w:r>
              <w:rPr>
                <w:rFonts w:hint="eastAsia"/>
                <w:lang w:eastAsia="en-US"/>
              </w:rPr>
              <w:t>0000</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出栏率</w:t>
            </w:r>
            <w:r>
              <w:rPr>
                <w:rFonts w:hint="eastAsia"/>
                <w:lang w:eastAsia="en-US"/>
              </w:rPr>
              <w:t>（%）</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eastAsia="en-US"/>
              </w:rPr>
              <w:t>1</w:t>
            </w:r>
            <w:r>
              <w:rPr>
                <w:rFonts w:hint="eastAsia"/>
                <w:lang w:val="en-US" w:eastAsia="zh-CN"/>
              </w:rPr>
              <w:t>86</w:t>
            </w:r>
            <w:r>
              <w:rPr>
                <w:rFonts w:hint="eastAsia"/>
                <w:lang w:eastAsia="en-US"/>
              </w:rPr>
              <w:t>%</w:t>
            </w:r>
          </w:p>
        </w:tc>
        <w:tc>
          <w:tcPr>
            <w:tcW w:w="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43.75</w:t>
            </w:r>
            <w:r>
              <w:rPr>
                <w:rFonts w:hint="eastAsia"/>
                <w:lang w:eastAsia="en-US"/>
              </w:rPr>
              <w:t>%</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190</w:t>
            </w:r>
            <w:r>
              <w:rPr>
                <w:rFonts w:hint="eastAsia"/>
                <w:lang w:eastAsia="en-US"/>
              </w:rPr>
              <w:t>%</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192</w:t>
            </w:r>
            <w:r>
              <w:rPr>
                <w:rFonts w:hint="eastAsia"/>
                <w:lang w:eastAsia="en-US"/>
              </w:rPr>
              <w:t>%</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243</w:t>
            </w:r>
            <w:r>
              <w:rPr>
                <w:rFonts w:hint="eastAsia"/>
                <w:lang w:eastAsia="en-US"/>
              </w:rPr>
              <w:t>%</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猪当量</w:t>
            </w:r>
            <w:r>
              <w:rPr>
                <w:rFonts w:hint="eastAsia"/>
                <w:lang w:eastAsia="en-US"/>
              </w:rPr>
              <w:t>（个）</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val="en-US" w:eastAsia="zh-CN"/>
              </w:rPr>
              <w:t>21</w:t>
            </w:r>
            <w:r>
              <w:rPr>
                <w:rFonts w:hint="eastAsia"/>
                <w:lang w:eastAsia="en-US"/>
              </w:rPr>
              <w:t>0000</w:t>
            </w:r>
          </w:p>
        </w:tc>
        <w:tc>
          <w:tcPr>
            <w:tcW w:w="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35183</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27400</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125988</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5333.3</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403904.3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lang w:eastAsia="en-US"/>
              </w:rPr>
              <w:t>养殖比重</w:t>
            </w:r>
            <w:r>
              <w:rPr>
                <w:rFonts w:hint="eastAsia"/>
                <w:lang w:eastAsia="en-US"/>
              </w:rPr>
              <w:t>（%）</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52%</w:t>
            </w:r>
          </w:p>
        </w:tc>
        <w:tc>
          <w:tcPr>
            <w:tcW w:w="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8.7%</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6.8%</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31.2%</w:t>
            </w:r>
          </w:p>
        </w:tc>
        <w:tc>
          <w:tcPr>
            <w:tcW w:w="6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1.3%</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lang w:eastAsia="en-US"/>
              </w:rPr>
            </w:pPr>
            <w:r>
              <w:rPr>
                <w:rFonts w:hint="eastAsia"/>
                <w:lang w:eastAsia="en-US"/>
              </w:rPr>
              <w:t>1</w:t>
            </w:r>
            <w:r>
              <w:rPr>
                <w:lang w:eastAsia="en-US"/>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lang w:eastAsia="en-US"/>
              </w:rPr>
            </w:pPr>
            <w:r>
              <w:rPr>
                <w:lang w:eastAsia="en-US"/>
              </w:rPr>
              <w:t>备注：100头猪=30头牛=250只羊=2500只家禽（农办牧﹝2018﹞1号</w:t>
            </w:r>
            <w:r>
              <w:rPr>
                <w:rFonts w:hint="eastAsia"/>
                <w:lang w:eastAsia="en-US"/>
              </w:rPr>
              <w:t>）</w:t>
            </w:r>
            <w:r>
              <w:rPr>
                <w:lang w:eastAsia="en-US"/>
              </w:rPr>
              <w:t>；1头猪=30只兔</w:t>
            </w:r>
          </w:p>
        </w:tc>
      </w:tr>
    </w:tbl>
    <w:p>
      <w:pPr>
        <w:bidi w:val="0"/>
        <w:rPr>
          <w:rFonts w:ascii="Times New Roman" w:hAnsi="Times New Roman" w:eastAsia="宋体" w:cs="Times New Roman"/>
          <w:szCs w:val="32"/>
        </w:rPr>
      </w:pPr>
      <w:r>
        <w:rPr>
          <w:rFonts w:hint="eastAsia"/>
        </w:rPr>
        <w:t>根据《畜禽粪污土地承载力测算技术指南》，1个猪当量的氮排泄量11kg，磷排泄量 1.65kg；综合考虑畜禽粪污养分在收集、处理和贮存过程中的损失，单位猪当量氮养分供给量7.0kg，磷养分供给量1.2kg，固体粪便堆肥、污水氧化塘贮存或厌氧发酵后农田利用为主的，粪污收集处理过程中氮留存率推荐值为62%（磷留存率为72%），故</w:t>
      </w:r>
      <w:r>
        <w:rPr>
          <w:rFonts w:hint="eastAsia"/>
          <w:lang w:val="en-US" w:eastAsia="zh-CN"/>
        </w:rPr>
        <w:t>闽侯县</w:t>
      </w:r>
      <w:r>
        <w:rPr>
          <w:rFonts w:hint="eastAsia"/>
        </w:rPr>
        <w:t>2025年畜禽粪污氮磷排泄量及养分供给量见表</w:t>
      </w:r>
      <w:r>
        <w:rPr>
          <w:rFonts w:hint="eastAsia"/>
          <w:lang w:val="en-US" w:eastAsia="zh-CN"/>
        </w:rPr>
        <w:t>4.12</w:t>
      </w:r>
      <w:r>
        <w:rPr>
          <w:rFonts w:hint="eastAsia"/>
        </w:rPr>
        <w:t>，</w:t>
      </w:r>
      <w:r>
        <w:rPr>
          <w:rFonts w:hint="eastAsia"/>
          <w:lang w:eastAsia="zh-CN"/>
        </w:rPr>
        <w:t>闽侯县</w:t>
      </w:r>
      <w:r>
        <w:rPr>
          <w:rFonts w:hint="eastAsia"/>
        </w:rPr>
        <w:t>2025年预计畜禽粪肥氮、磷养分供给量分别为3738.18t、744.19t。</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12</w:t>
      </w:r>
      <w:r>
        <w:rPr>
          <w:rFonts w:hint="eastAsia" w:ascii="Times New Roman" w:hAnsi="Times New Roman" w:eastAsia="黑体" w:cs="Times New Roman"/>
          <w:b/>
          <w:bCs/>
          <w:color w:val="auto"/>
          <w:lang w:val="en-US" w:eastAsia="zh-CN"/>
        </w:rPr>
        <w:t xml:space="preserve">  闽侯县2025年畜禽粪污氮磷排泄量及养分供给量  </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54"/>
        <w:gridCol w:w="2942"/>
        <w:gridCol w:w="2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7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p>
        </w:tc>
        <w:tc>
          <w:tcPr>
            <w:tcW w:w="1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ascii="Times New Roman" w:hAnsi="Times New Roman"/>
                <w:kern w:val="0"/>
                <w:sz w:val="24"/>
                <w:szCs w:val="24"/>
                <w:lang w:eastAsia="en-US"/>
              </w:rPr>
              <w:t>以氮计算</w:t>
            </w:r>
          </w:p>
        </w:tc>
        <w:tc>
          <w:tcPr>
            <w:tcW w:w="145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ascii="Times New Roman" w:hAnsi="Times New Roman"/>
                <w:kern w:val="0"/>
                <w:sz w:val="24"/>
                <w:szCs w:val="24"/>
                <w:lang w:eastAsia="en-US"/>
              </w:rPr>
              <w:t>以磷计算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7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ascii="Times New Roman" w:hAnsi="Times New Roman"/>
                <w:kern w:val="0"/>
                <w:sz w:val="24"/>
                <w:szCs w:val="24"/>
                <w:lang w:eastAsia="en-US"/>
              </w:rPr>
              <w:t>规划猪当量</w:t>
            </w:r>
          </w:p>
        </w:tc>
        <w:tc>
          <w:tcPr>
            <w:tcW w:w="1769" w:type="pct"/>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hint="eastAsia"/>
                <w:sz w:val="24"/>
                <w:szCs w:val="24"/>
                <w:lang w:val="en-US" w:eastAsia="zh-CN"/>
              </w:rPr>
              <w:t>403904.3</w:t>
            </w:r>
          </w:p>
        </w:tc>
        <w:tc>
          <w:tcPr>
            <w:tcW w:w="1455" w:type="pct"/>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hint="eastAsia"/>
                <w:sz w:val="24"/>
                <w:szCs w:val="24"/>
                <w:lang w:val="en-US" w:eastAsia="zh-CN"/>
              </w:rPr>
              <w:t>403904.3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7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ascii="Times New Roman" w:hAnsi="Times New Roman"/>
                <w:kern w:val="0"/>
                <w:sz w:val="24"/>
                <w:szCs w:val="24"/>
                <w:lang w:eastAsia="en-US"/>
              </w:rPr>
              <w:t>排泄量</w:t>
            </w:r>
            <w:r>
              <w:rPr>
                <w:rFonts w:hint="eastAsia" w:ascii="Times New Roman" w:hAnsi="Times New Roman"/>
                <w:kern w:val="0"/>
                <w:sz w:val="24"/>
                <w:szCs w:val="24"/>
                <w:lang w:eastAsia="en-US"/>
              </w:rPr>
              <w:t>（</w:t>
            </w:r>
            <w:r>
              <w:rPr>
                <w:rFonts w:ascii="Times New Roman" w:hAnsi="Times New Roman"/>
                <w:kern w:val="0"/>
                <w:sz w:val="24"/>
                <w:szCs w:val="24"/>
                <w:lang w:eastAsia="en-US"/>
              </w:rPr>
              <w:t>kg/</w:t>
            </w:r>
            <w:r>
              <w:rPr>
                <w:rFonts w:hint="eastAsia" w:ascii="Times New Roman" w:hAnsi="Times New Roman"/>
                <w:kern w:val="0"/>
                <w:sz w:val="24"/>
                <w:szCs w:val="24"/>
                <w:lang w:eastAsia="en-US"/>
              </w:rPr>
              <w:t>个猪当量）</w:t>
            </w:r>
          </w:p>
        </w:tc>
        <w:tc>
          <w:tcPr>
            <w:tcW w:w="1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heme="minorBidi"/>
                <w:kern w:val="2"/>
                <w:sz w:val="24"/>
                <w:szCs w:val="24"/>
                <w:lang w:val="en-US" w:eastAsia="en-US" w:bidi="ar-SA"/>
              </w:rPr>
            </w:pPr>
            <w:r>
              <w:rPr>
                <w:rFonts w:hint="eastAsia" w:ascii="Times New Roman" w:hAnsi="Times New Roman" w:eastAsia="宋体" w:cstheme="minorBidi"/>
                <w:kern w:val="2"/>
                <w:sz w:val="24"/>
                <w:szCs w:val="24"/>
                <w:lang w:val="en-US" w:eastAsia="en-US" w:bidi="ar-SA"/>
              </w:rPr>
              <w:t>11</w:t>
            </w:r>
          </w:p>
        </w:tc>
        <w:tc>
          <w:tcPr>
            <w:tcW w:w="145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heme="minorBidi"/>
                <w:kern w:val="2"/>
                <w:sz w:val="24"/>
                <w:szCs w:val="24"/>
                <w:lang w:val="en-US" w:eastAsia="en-US" w:bidi="ar-SA"/>
              </w:rPr>
            </w:pPr>
            <w:r>
              <w:rPr>
                <w:rFonts w:hint="eastAsia" w:ascii="Times New Roman" w:hAnsi="Times New Roman" w:eastAsia="宋体" w:cstheme="minorBidi"/>
                <w:kern w:val="2"/>
                <w:sz w:val="24"/>
                <w:szCs w:val="24"/>
                <w:lang w:val="en-US" w:eastAsia="en-US" w:bidi="ar-SA"/>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7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ascii="Times New Roman" w:hAnsi="Times New Roman"/>
                <w:kern w:val="0"/>
                <w:sz w:val="24"/>
                <w:szCs w:val="24"/>
                <w:lang w:eastAsia="en-US"/>
              </w:rPr>
              <w:t>畜禽粪肥排泄量（t</w:t>
            </w:r>
            <w:r>
              <w:rPr>
                <w:rFonts w:hint="eastAsia" w:ascii="Times New Roman" w:hAnsi="Times New Roman"/>
                <w:kern w:val="0"/>
                <w:sz w:val="24"/>
                <w:szCs w:val="24"/>
                <w:lang w:eastAsia="en-US"/>
              </w:rPr>
              <w:t>）</w:t>
            </w:r>
          </w:p>
        </w:tc>
        <w:tc>
          <w:tcPr>
            <w:tcW w:w="1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4442.95</w:t>
            </w:r>
          </w:p>
        </w:tc>
        <w:tc>
          <w:tcPr>
            <w:tcW w:w="145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666.44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76"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ascii="Times New Roman" w:hAnsi="Times New Roman"/>
                <w:kern w:val="0"/>
                <w:sz w:val="24"/>
                <w:szCs w:val="24"/>
                <w:lang w:eastAsia="en-US"/>
              </w:rPr>
              <w:t>养分供给量（kg/</w:t>
            </w:r>
            <w:r>
              <w:rPr>
                <w:rFonts w:hint="eastAsia" w:ascii="Times New Roman" w:hAnsi="Times New Roman"/>
                <w:kern w:val="0"/>
                <w:sz w:val="24"/>
                <w:szCs w:val="24"/>
                <w:lang w:eastAsia="en-US"/>
              </w:rPr>
              <w:t>个猪当量</w:t>
            </w:r>
            <w:r>
              <w:rPr>
                <w:rFonts w:ascii="Times New Roman" w:hAnsi="Times New Roman"/>
                <w:kern w:val="0"/>
                <w:sz w:val="24"/>
                <w:szCs w:val="24"/>
                <w:lang w:eastAsia="en-US"/>
              </w:rPr>
              <w:t>）</w:t>
            </w:r>
          </w:p>
        </w:tc>
        <w:tc>
          <w:tcPr>
            <w:tcW w:w="1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heme="minorBidi"/>
                <w:kern w:val="2"/>
                <w:sz w:val="24"/>
                <w:szCs w:val="24"/>
                <w:lang w:val="en-US" w:eastAsia="en-US" w:bidi="ar-SA"/>
              </w:rPr>
            </w:pPr>
            <w:r>
              <w:rPr>
                <w:rFonts w:hint="eastAsia" w:ascii="Times New Roman" w:hAnsi="Times New Roman" w:eastAsia="宋体" w:cstheme="minorBidi"/>
                <w:kern w:val="2"/>
                <w:sz w:val="24"/>
                <w:szCs w:val="24"/>
                <w:lang w:val="en-US" w:eastAsia="en-US" w:bidi="ar-SA"/>
              </w:rPr>
              <w:t>7</w:t>
            </w:r>
          </w:p>
        </w:tc>
        <w:tc>
          <w:tcPr>
            <w:tcW w:w="145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heme="minorBidi"/>
                <w:kern w:val="2"/>
                <w:sz w:val="24"/>
                <w:szCs w:val="24"/>
                <w:lang w:val="en-US" w:eastAsia="en-US" w:bidi="ar-SA"/>
              </w:rPr>
            </w:pPr>
            <w:r>
              <w:rPr>
                <w:rFonts w:hint="eastAsia" w:ascii="Times New Roman" w:hAnsi="Times New Roman" w:eastAsia="宋体" w:cstheme="minorBidi"/>
                <w:kern w:val="2"/>
                <w:sz w:val="24"/>
                <w:szCs w:val="24"/>
                <w:lang w:val="en-US" w:eastAsia="en-US" w:bidi="ar-SA"/>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76" w:type="pct"/>
            <w:vAlign w:val="center"/>
          </w:tcPr>
          <w:p>
            <w:pPr>
              <w:pStyle w:val="22"/>
              <w:keepNext w:val="0"/>
              <w:keepLines w:val="0"/>
              <w:pageBreakBefore w:val="0"/>
              <w:widowControl w:val="0"/>
              <w:tabs>
                <w:tab w:val="left" w:pos="665"/>
                <w:tab w:val="center" w:pos="1623"/>
              </w:tabs>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hint="eastAsia" w:ascii="Times New Roman" w:hAnsi="Times New Roman"/>
                <w:kern w:val="0"/>
                <w:sz w:val="24"/>
                <w:szCs w:val="24"/>
                <w:lang w:eastAsia="en-US"/>
              </w:rPr>
              <w:t>养分留存率（%）</w:t>
            </w:r>
          </w:p>
        </w:tc>
        <w:tc>
          <w:tcPr>
            <w:tcW w:w="1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heme="minorBidi"/>
                <w:kern w:val="2"/>
                <w:sz w:val="24"/>
                <w:szCs w:val="24"/>
                <w:lang w:val="en-US" w:eastAsia="en-US" w:bidi="ar-SA"/>
              </w:rPr>
            </w:pPr>
            <w:r>
              <w:rPr>
                <w:rFonts w:hint="eastAsia" w:ascii="Times New Roman" w:hAnsi="Times New Roman" w:eastAsia="宋体" w:cstheme="minorBidi"/>
                <w:kern w:val="2"/>
                <w:sz w:val="24"/>
                <w:szCs w:val="24"/>
                <w:lang w:val="en-US" w:eastAsia="en-US" w:bidi="ar-SA"/>
              </w:rPr>
              <w:t>62%</w:t>
            </w:r>
          </w:p>
        </w:tc>
        <w:tc>
          <w:tcPr>
            <w:tcW w:w="145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heme="minorBidi"/>
                <w:kern w:val="2"/>
                <w:sz w:val="24"/>
                <w:szCs w:val="24"/>
                <w:lang w:val="en-US" w:eastAsia="en-US" w:bidi="ar-SA"/>
              </w:rPr>
            </w:pPr>
            <w:r>
              <w:rPr>
                <w:rFonts w:hint="eastAsia" w:ascii="Times New Roman" w:hAnsi="Times New Roman" w:eastAsia="宋体" w:cstheme="minorBidi"/>
                <w:kern w:val="2"/>
                <w:sz w:val="24"/>
                <w:szCs w:val="24"/>
                <w:lang w:val="en-US" w:eastAsia="en-US" w:bidi="ar-SA"/>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76" w:type="pct"/>
            <w:vAlign w:val="center"/>
          </w:tcPr>
          <w:p>
            <w:pPr>
              <w:pStyle w:val="22"/>
              <w:keepNext w:val="0"/>
              <w:keepLines w:val="0"/>
              <w:pageBreakBefore w:val="0"/>
              <w:widowControl w:val="0"/>
              <w:tabs>
                <w:tab w:val="left" w:pos="665"/>
                <w:tab w:val="center" w:pos="1623"/>
              </w:tabs>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4"/>
                <w:szCs w:val="24"/>
                <w:lang w:eastAsia="en-US"/>
              </w:rPr>
            </w:pPr>
            <w:r>
              <w:rPr>
                <w:rFonts w:ascii="Times New Roman" w:hAnsi="Times New Roman"/>
                <w:kern w:val="0"/>
                <w:sz w:val="24"/>
                <w:szCs w:val="24"/>
                <w:lang w:eastAsia="en-US"/>
              </w:rPr>
              <w:t>畜禽粪肥</w:t>
            </w:r>
            <w:r>
              <w:rPr>
                <w:rFonts w:hint="eastAsia" w:ascii="Times New Roman" w:hAnsi="Times New Roman"/>
                <w:kern w:val="0"/>
                <w:sz w:val="24"/>
                <w:szCs w:val="24"/>
                <w:lang w:eastAsia="en-US"/>
              </w:rPr>
              <w:t>养分</w:t>
            </w:r>
            <w:r>
              <w:rPr>
                <w:rFonts w:ascii="Times New Roman" w:hAnsi="Times New Roman"/>
                <w:kern w:val="0"/>
                <w:sz w:val="24"/>
                <w:szCs w:val="24"/>
                <w:lang w:eastAsia="en-US"/>
              </w:rPr>
              <w:t>供给量（t</w:t>
            </w:r>
            <w:r>
              <w:rPr>
                <w:rFonts w:hint="eastAsia" w:ascii="Times New Roman" w:hAnsi="Times New Roman"/>
                <w:kern w:val="0"/>
                <w:sz w:val="24"/>
                <w:szCs w:val="24"/>
                <w:lang w:eastAsia="en-US"/>
              </w:rPr>
              <w:t>）</w:t>
            </w:r>
          </w:p>
        </w:tc>
        <w:tc>
          <w:tcPr>
            <w:tcW w:w="1769"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1752.94</w:t>
            </w:r>
          </w:p>
        </w:tc>
        <w:tc>
          <w:tcPr>
            <w:tcW w:w="1455"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default"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348.97</w:t>
            </w:r>
          </w:p>
        </w:tc>
      </w:tr>
    </w:tbl>
    <w:p>
      <w:pPr>
        <w:pStyle w:val="7"/>
        <w:bidi w:val="0"/>
      </w:pPr>
      <w:r>
        <w:rPr>
          <w:rFonts w:hint="eastAsia"/>
        </w:rPr>
        <w:t>4.2.4.2</w:t>
      </w:r>
      <w:r>
        <w:rPr>
          <w:rFonts w:hint="eastAsia"/>
          <w:lang w:val="en-US" w:eastAsia="zh-CN"/>
        </w:rPr>
        <w:t>闽侯县</w:t>
      </w:r>
      <w:r>
        <w:rPr>
          <w:rFonts w:hint="eastAsia"/>
        </w:rPr>
        <w:t>畜禽粪污土地承载力</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根据</w:t>
      </w:r>
      <w:r>
        <w:rPr>
          <w:rFonts w:hint="eastAsia" w:eastAsia="宋体" w:cs="Times New Roman"/>
          <w:sz w:val="24"/>
          <w:szCs w:val="32"/>
          <w:lang w:val="en-US" w:eastAsia="zh-CN"/>
        </w:rPr>
        <w:t>闽侯年鉴2021</w:t>
      </w:r>
      <w:r>
        <w:rPr>
          <w:rFonts w:hint="eastAsia" w:ascii="Times New Roman" w:hAnsi="Times New Roman" w:eastAsia="宋体" w:cs="Times New Roman"/>
          <w:sz w:val="24"/>
          <w:szCs w:val="32"/>
        </w:rPr>
        <w:t>，采用</w:t>
      </w:r>
      <w:r>
        <w:rPr>
          <w:rFonts w:hint="eastAsia" w:eastAsia="宋体" w:cs="Times New Roman"/>
          <w:sz w:val="24"/>
          <w:szCs w:val="32"/>
          <w:lang w:val="en-US" w:eastAsia="zh-CN"/>
        </w:rPr>
        <w:t>全县</w:t>
      </w:r>
      <w:r>
        <w:rPr>
          <w:rFonts w:hint="eastAsia" w:ascii="Times New Roman" w:hAnsi="Times New Roman" w:eastAsia="宋体" w:cs="Times New Roman"/>
          <w:sz w:val="24"/>
          <w:szCs w:val="32"/>
        </w:rPr>
        <w:t>各种农作物播种面积、产量，核算</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各种农作物的氮磷养分需求量。</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各种农作物每形成100kg产量需要吸收氮磷量推荐值参考《畜禽粪污土地承载力测算技术指南》附表1，按照下述公式：</w:t>
      </w:r>
    </w:p>
    <w:p>
      <w:pPr>
        <w:adjustRightInd w:val="0"/>
        <w:snapToGrid w:val="0"/>
        <w:spacing w:line="360" w:lineRule="auto"/>
        <w:ind w:firstLine="480" w:firstLineChars="200"/>
        <w:rPr>
          <w:rFonts w:ascii="Times New Roman" w:hAnsi="Times New Roman" w:eastAsia="宋体" w:cs="Times New Roman"/>
          <w:sz w:val="24"/>
        </w:rPr>
      </w:pPr>
      <w:r>
        <w:rPr>
          <w:sz w:val="24"/>
        </w:rPr>
        <w:t>区域植物养分需求量=∑</w:t>
      </w:r>
      <w:r>
        <w:rPr>
          <w:rFonts w:hint="eastAsia"/>
          <w:sz w:val="24"/>
        </w:rPr>
        <w:t>（</w:t>
      </w:r>
      <w:r>
        <w:rPr>
          <w:sz w:val="24"/>
        </w:rPr>
        <w:t>每种植物总产量</w:t>
      </w:r>
      <w:r>
        <w:rPr>
          <w:rFonts w:hint="eastAsia"/>
          <w:sz w:val="24"/>
        </w:rPr>
        <w:t>（</w:t>
      </w:r>
      <w:r>
        <w:rPr>
          <w:sz w:val="24"/>
        </w:rPr>
        <w:t>总面积</w:t>
      </w:r>
      <w:r>
        <w:rPr>
          <w:rFonts w:hint="eastAsia"/>
          <w:sz w:val="24"/>
        </w:rPr>
        <w:t>）</w:t>
      </w:r>
      <w:r>
        <w:rPr>
          <w:sz w:val="24"/>
        </w:rPr>
        <w:t>×单位产量</w:t>
      </w:r>
      <w:r>
        <w:rPr>
          <w:rFonts w:hint="eastAsia"/>
          <w:sz w:val="24"/>
        </w:rPr>
        <w:t>（</w:t>
      </w:r>
      <w:r>
        <w:rPr>
          <w:sz w:val="24"/>
        </w:rPr>
        <w:t>单位面积</w:t>
      </w:r>
      <w:r>
        <w:rPr>
          <w:rFonts w:hint="eastAsia"/>
          <w:sz w:val="24"/>
        </w:rPr>
        <w:t>）</w:t>
      </w:r>
      <w:r>
        <w:rPr>
          <w:sz w:val="24"/>
        </w:rPr>
        <w:t>养分需求量</w:t>
      </w:r>
      <w:r>
        <w:rPr>
          <w:rFonts w:hint="eastAsia"/>
          <w:sz w:val="24"/>
        </w:rPr>
        <w:t>）</w:t>
      </w:r>
    </w:p>
    <w:p>
      <w:pPr>
        <w:pStyle w:val="11"/>
        <w:adjustRightInd w:val="0"/>
        <w:snapToGrid w:val="0"/>
        <w:spacing w:line="240" w:lineRule="auto"/>
        <w:ind w:left="0" w:firstLine="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表4.</w:t>
      </w:r>
      <w:r>
        <w:rPr>
          <w:rFonts w:hint="eastAsia" w:eastAsia="黑体" w:cs="Times New Roman"/>
          <w:b/>
          <w:bCs/>
          <w:color w:val="auto"/>
          <w:lang w:val="en-US" w:eastAsia="zh-CN"/>
        </w:rPr>
        <w:t>13</w:t>
      </w:r>
      <w:r>
        <w:rPr>
          <w:rFonts w:hint="eastAsia" w:ascii="Times New Roman" w:hAnsi="Times New Roman" w:eastAsia="黑体" w:cs="Times New Roman"/>
          <w:b/>
          <w:bCs/>
          <w:color w:val="auto"/>
          <w:lang w:val="en-US" w:eastAsia="zh-CN"/>
        </w:rPr>
        <w:t xml:space="preserve">  土壤不同氮磷养分水平下施肥供给养分占比推荐值  </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63"/>
        <w:gridCol w:w="1663"/>
        <w:gridCol w:w="1663"/>
        <w:gridCol w:w="1663"/>
        <w:gridCol w:w="1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99" w:type="pct"/>
            <w:gridSpan w:val="2"/>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土壤氮磷养分分级</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Ⅰ</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Ⅱ</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99" w:type="pct"/>
            <w:gridSpan w:val="2"/>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施肥供给占比</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35%</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45%</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restar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土壤全氮含量</w:t>
            </w:r>
          </w:p>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（g/kg）</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spacing w:val="-45"/>
                <w:kern w:val="0"/>
                <w:sz w:val="21"/>
                <w:lang w:eastAsia="en-US"/>
              </w:rPr>
              <w:t>旱</w:t>
            </w:r>
            <w:r>
              <w:rPr>
                <w:rFonts w:hint="eastAsia" w:ascii="Times New Roman" w:hAnsi="Times New Roman"/>
                <w:spacing w:val="-45"/>
                <w:kern w:val="0"/>
                <w:sz w:val="21"/>
                <w:lang w:eastAsia="en-US"/>
              </w:rPr>
              <w:t xml:space="preserve"> </w:t>
            </w:r>
            <w:r>
              <w:rPr>
                <w:rFonts w:ascii="Times New Roman" w:hAnsi="Times New Roman"/>
                <w:spacing w:val="-45"/>
                <w:kern w:val="0"/>
                <w:sz w:val="21"/>
                <w:lang w:eastAsia="en-US"/>
              </w:rPr>
              <w:t xml:space="preserve"> 地</w:t>
            </w:r>
            <w:r>
              <w:rPr>
                <w:rFonts w:ascii="Times New Roman" w:hAnsi="Times New Roman"/>
                <w:kern w:val="0"/>
                <w:sz w:val="21"/>
                <w:lang w:eastAsia="en-US"/>
              </w:rPr>
              <w:t>（</w:t>
            </w:r>
            <w:r>
              <w:rPr>
                <w:rFonts w:ascii="Times New Roman" w:hAnsi="Times New Roman"/>
                <w:spacing w:val="-3"/>
                <w:kern w:val="0"/>
                <w:sz w:val="21"/>
                <w:lang w:eastAsia="en-US"/>
              </w:rPr>
              <w:t>大田作物</w:t>
            </w:r>
            <w:r>
              <w:rPr>
                <w:rFonts w:ascii="Times New Roman" w:hAnsi="Times New Roman"/>
                <w:spacing w:val="-13"/>
                <w:kern w:val="0"/>
                <w:sz w:val="21"/>
                <w:lang w:eastAsia="en-US"/>
              </w:rPr>
              <w:t>）</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w w:val="201"/>
                <w:kern w:val="0"/>
                <w:sz w:val="21"/>
                <w:lang w:eastAsia="en-US"/>
              </w:rPr>
              <w:t>＞</w:t>
            </w:r>
            <w:r>
              <w:rPr>
                <w:rFonts w:ascii="Times New Roman" w:hAnsi="Times New Roman"/>
                <w:kern w:val="0"/>
                <w:sz w:val="21"/>
                <w:lang w:eastAsia="en-US"/>
              </w:rPr>
              <w:t>1.0</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0.8~1.0</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水田</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w w:val="201"/>
                <w:kern w:val="0"/>
                <w:sz w:val="21"/>
                <w:lang w:eastAsia="en-US"/>
              </w:rPr>
              <w:t>＞</w:t>
            </w:r>
            <w:r>
              <w:rPr>
                <w:rFonts w:ascii="Times New Roman" w:hAnsi="Times New Roman"/>
                <w:kern w:val="0"/>
                <w:sz w:val="21"/>
                <w:lang w:eastAsia="en-US"/>
              </w:rPr>
              <w:t>1.2</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1.0~1.2</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菜地</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w w:val="201"/>
                <w:kern w:val="0"/>
                <w:sz w:val="21"/>
                <w:lang w:eastAsia="en-US"/>
              </w:rPr>
              <w:t>＞</w:t>
            </w:r>
            <w:r>
              <w:rPr>
                <w:rFonts w:ascii="Times New Roman" w:hAnsi="Times New Roman"/>
                <w:kern w:val="0"/>
                <w:sz w:val="21"/>
                <w:lang w:eastAsia="en-US"/>
              </w:rPr>
              <w:t>1.2</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1.0~1.2</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0"/>
                <w:sz w:val="2"/>
                <w:szCs w:val="2"/>
                <w:lang w:eastAsia="en-US"/>
              </w:rPr>
            </w:pP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园地</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w w:val="201"/>
                <w:kern w:val="0"/>
                <w:sz w:val="21"/>
                <w:lang w:eastAsia="en-US"/>
              </w:rPr>
              <w:t>＞</w:t>
            </w:r>
            <w:r>
              <w:rPr>
                <w:rFonts w:ascii="Times New Roman" w:hAnsi="Times New Roman"/>
                <w:kern w:val="0"/>
                <w:sz w:val="21"/>
                <w:lang w:eastAsia="en-US"/>
              </w:rPr>
              <w:t>1.0</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0.8~1.0</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99" w:type="pct"/>
            <w:gridSpan w:val="2"/>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土壤有效磷含量（mg/kg）</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w w:val="201"/>
                <w:kern w:val="0"/>
                <w:sz w:val="21"/>
                <w:lang w:eastAsia="en-US"/>
              </w:rPr>
              <w:t>＞</w:t>
            </w:r>
            <w:r>
              <w:rPr>
                <w:rFonts w:ascii="Times New Roman" w:hAnsi="Times New Roman"/>
                <w:kern w:val="0"/>
                <w:sz w:val="21"/>
                <w:lang w:eastAsia="en-US"/>
              </w:rPr>
              <w:t>40</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kern w:val="0"/>
                <w:sz w:val="21"/>
                <w:lang w:eastAsia="en-US"/>
              </w:rPr>
            </w:pPr>
            <w:r>
              <w:rPr>
                <w:rFonts w:ascii="Times New Roman" w:hAnsi="Times New Roman"/>
                <w:kern w:val="0"/>
                <w:sz w:val="21"/>
                <w:lang w:eastAsia="en-US"/>
              </w:rPr>
              <w:t>20~40</w:t>
            </w:r>
          </w:p>
        </w:tc>
        <w:tc>
          <w:tcPr>
            <w:tcW w:w="1000"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ascii="Times New Roman" w:hAnsi="Times New Roman"/>
                <w:b/>
                <w:kern w:val="0"/>
                <w:sz w:val="21"/>
                <w:lang w:eastAsia="en-US"/>
              </w:rPr>
            </w:pPr>
            <w:r>
              <w:rPr>
                <w:rFonts w:ascii="Times New Roman" w:hAnsi="Times New Roman"/>
                <w:b/>
                <w:kern w:val="0"/>
                <w:sz w:val="21"/>
                <w:lang w:eastAsia="en-US"/>
              </w:rPr>
              <w:t>＜20</w:t>
            </w:r>
          </w:p>
        </w:tc>
      </w:tr>
    </w:tbl>
    <w:p>
      <w:pPr>
        <w:adjustRightInd w:val="0"/>
        <w:snapToGrid w:val="0"/>
        <w:spacing w:before="156" w:beforeLines="50"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根据有机肥与无机肥合理配施，对提高土地生产力和改善形状起到明显的作用，有机肥氮与化肥氮比例为40~60%时，可实现作物最高产量且不造成额外的环境问题，本规划研究取值50%，结合</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实际情况，粪肥当季利用率为45%。</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单位土地养分需求量为规模养殖场单位面积配套土地种植的各类植物在目标产量下的氮（磷）养分需求量之和，各类作物的目标产品可以根据当地平均产量确定，具体参照区域植物养分需求量计算。粪肥占施肥比例根据当地实际情况确定。粪肥中氮素当季利用率推荐值为25%~30%，磷素当季利用率推荐值为30%~35%。</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根据不同土壤肥力下，区域内植物氮（磷）总养分需求量中需要施肥的比例、粪肥占施肥比例和粪肥当季利用效率测算，计算方法如下：</w:t>
      </w:r>
    </w:p>
    <w:p>
      <w:pPr>
        <w:adjustRightInd w:val="0"/>
        <w:snapToGrid w:val="0"/>
        <w:spacing w:line="360" w:lineRule="auto"/>
        <w:ind w:firstLine="480" w:firstLineChars="200"/>
        <w:rPr>
          <w:rFonts w:ascii="Times New Roman" w:hAnsi="Times New Roman" w:eastAsia="宋体" w:cs="Times New Roman"/>
          <w:sz w:val="24"/>
          <w:szCs w:val="32"/>
        </w:rPr>
      </w:pPr>
      <m:oMathPara>
        <m:oMath>
          <m:r>
            <m:rPr>
              <m:nor/>
              <m:sty m:val="p"/>
            </m:rPr>
            <w:rPr>
              <w:rFonts w:ascii="Cambria Math" w:hAnsi="Cambria Math" w:eastAsia="宋体" w:cs="Times New Roman"/>
              <w:b w:val="0"/>
              <w:i w:val="0"/>
              <w:sz w:val="24"/>
              <w:szCs w:val="32"/>
            </w:rPr>
            <m:t>区域植物粪肥养分需求量=</m:t>
          </m:r>
          <m:f>
            <m:fPr>
              <m:ctrlPr>
                <w:rPr>
                  <w:rFonts w:ascii="Cambria Math" w:hAnsi="Cambria Math" w:eastAsia="宋体" w:cs="Times New Roman"/>
                  <w:i/>
                  <w:sz w:val="24"/>
                  <w:szCs w:val="32"/>
                </w:rPr>
              </m:ctrlPr>
            </m:fPr>
            <m:num>
              <m:r>
                <m:rPr>
                  <m:nor/>
                  <m:sty m:val="p"/>
                </m:rPr>
                <w:rPr>
                  <w:rFonts w:ascii="Cambria Math" w:hAnsi="Cambria Math" w:eastAsia="宋体" w:cs="Times New Roman"/>
                  <w:b w:val="0"/>
                  <w:i w:val="0"/>
                  <w:sz w:val="24"/>
                  <w:szCs w:val="32"/>
                </w:rPr>
                <m:t>区域植物养分需求量×施肥供给养分占比×粪肥占施肥比例</m:t>
              </m:r>
              <m:ctrlPr>
                <w:rPr>
                  <w:rFonts w:ascii="Cambria Math" w:hAnsi="Cambria Math" w:eastAsia="宋体" w:cs="Times New Roman"/>
                  <w:i/>
                  <w:sz w:val="24"/>
                  <w:szCs w:val="32"/>
                </w:rPr>
              </m:ctrlPr>
            </m:num>
            <m:den>
              <m:r>
                <m:rPr>
                  <m:nor/>
                  <m:sty m:val="p"/>
                </m:rPr>
                <w:rPr>
                  <w:rFonts w:ascii="Cambria Math" w:hAnsi="Cambria Math" w:eastAsia="宋体" w:cs="Times New Roman"/>
                  <w:b w:val="0"/>
                  <w:i w:val="0"/>
                  <w:sz w:val="24"/>
                  <w:szCs w:val="32"/>
                </w:rPr>
                <m:t>粪肥当季利用率</m:t>
              </m:r>
              <m:ctrlPr>
                <w:rPr>
                  <w:rFonts w:ascii="Cambria Math" w:hAnsi="Cambria Math" w:eastAsia="宋体" w:cs="Times New Roman"/>
                  <w:i/>
                  <w:sz w:val="24"/>
                  <w:szCs w:val="32"/>
                </w:rPr>
              </m:ctrlPr>
            </m:den>
          </m:f>
        </m:oMath>
      </m:oMathPara>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结合</w:t>
      </w:r>
      <w:r>
        <w:rPr>
          <w:rFonts w:hint="eastAsia" w:eastAsia="宋体" w:cs="Times New Roman"/>
          <w:sz w:val="24"/>
          <w:szCs w:val="32"/>
          <w:lang w:val="en-US" w:eastAsia="zh-CN"/>
        </w:rPr>
        <w:t>闽侯县</w:t>
      </w:r>
      <w:r>
        <w:rPr>
          <w:rFonts w:hint="eastAsia" w:ascii="Times New Roman" w:hAnsi="Times New Roman" w:eastAsia="宋体" w:cs="Times New Roman"/>
          <w:sz w:val="24"/>
          <w:szCs w:val="32"/>
        </w:rPr>
        <w:t>实际情况，施肥供给养分占比取55%，粪肥占施肥比例取35%，粪肥中氮肥当季利用率取25%，磷肥当季利用率取30%。</w:t>
      </w:r>
    </w:p>
    <w:p>
      <w:pPr>
        <w:adjustRightInd w:val="0"/>
        <w:snapToGrid w:val="0"/>
        <w:spacing w:line="360" w:lineRule="auto"/>
        <w:ind w:firstLine="480" w:firstLineChars="200"/>
        <w:rPr>
          <w:rFonts w:ascii="Times New Roman" w:hAnsi="Times New Roman" w:eastAsia="宋体" w:cs="Times New Roman"/>
          <w:color w:val="auto"/>
          <w:sz w:val="24"/>
          <w:szCs w:val="32"/>
        </w:rPr>
      </w:pPr>
      <w:r>
        <w:rPr>
          <w:rFonts w:hint="eastAsia" w:eastAsia="宋体" w:cs="Times New Roman"/>
          <w:color w:val="auto"/>
          <w:sz w:val="24"/>
          <w:szCs w:val="32"/>
          <w:lang w:val="en-US" w:eastAsia="zh-CN"/>
        </w:rPr>
        <w:t>闽侯县</w:t>
      </w:r>
      <w:r>
        <w:rPr>
          <w:rFonts w:hint="eastAsia" w:ascii="Times New Roman" w:hAnsi="Times New Roman" w:eastAsia="宋体" w:cs="Times New Roman"/>
          <w:color w:val="auto"/>
          <w:sz w:val="24"/>
          <w:szCs w:val="32"/>
        </w:rPr>
        <w:t>畜禽粪污土地承载力计算结果见下表</w:t>
      </w:r>
      <w:r>
        <w:rPr>
          <w:rFonts w:hint="eastAsia" w:cs="Times New Roman"/>
          <w:color w:val="auto"/>
          <w:sz w:val="24"/>
          <w:szCs w:val="32"/>
          <w:lang w:val="en-US" w:eastAsia="zh-CN"/>
        </w:rPr>
        <w:t>4.14</w:t>
      </w:r>
      <w:r>
        <w:rPr>
          <w:rFonts w:hint="eastAsia" w:ascii="Times New Roman" w:hAnsi="Times New Roman" w:eastAsia="宋体" w:cs="Times New Roman"/>
          <w:color w:val="auto"/>
          <w:sz w:val="24"/>
          <w:szCs w:val="32"/>
        </w:rPr>
        <w:t>，养殖场产生的粪肥全部就地还田利用，</w:t>
      </w:r>
      <w:r>
        <w:rPr>
          <w:rFonts w:hint="eastAsia" w:eastAsia="宋体" w:cs="Times New Roman"/>
          <w:color w:val="auto"/>
          <w:sz w:val="24"/>
          <w:szCs w:val="32"/>
          <w:lang w:val="en-US" w:eastAsia="zh-CN"/>
        </w:rPr>
        <w:t>闽侯县</w:t>
      </w:r>
      <w:r>
        <w:rPr>
          <w:rFonts w:hint="eastAsia" w:ascii="Times New Roman" w:hAnsi="Times New Roman" w:eastAsia="宋体" w:cs="Times New Roman"/>
          <w:color w:val="auto"/>
          <w:sz w:val="24"/>
          <w:szCs w:val="32"/>
        </w:rPr>
        <w:t>区域畜禽粪污土地承载力（以猪当量计）以氮为基础计算为1034270.98 个猪当量，以磷为基础计算为1304143.86个猪当量。2020 年</w:t>
      </w:r>
      <w:r>
        <w:rPr>
          <w:rFonts w:hint="eastAsia" w:cs="Times New Roman"/>
          <w:color w:val="auto"/>
          <w:sz w:val="24"/>
          <w:szCs w:val="32"/>
          <w:lang w:val="en-US" w:eastAsia="zh-CN"/>
        </w:rPr>
        <w:t>闽侯县</w:t>
      </w:r>
      <w:r>
        <w:rPr>
          <w:rFonts w:hint="eastAsia" w:ascii="Times New Roman" w:hAnsi="Times New Roman" w:eastAsia="宋体" w:cs="Times New Roman"/>
          <w:color w:val="auto"/>
          <w:sz w:val="24"/>
          <w:szCs w:val="32"/>
        </w:rPr>
        <w:t>人工林地一般灌木林地中的商品林面积</w:t>
      </w:r>
      <w:r>
        <w:rPr>
          <w:rFonts w:hint="eastAsia" w:cs="Times New Roman"/>
          <w:color w:val="auto"/>
          <w:sz w:val="24"/>
          <w:szCs w:val="32"/>
          <w:lang w:val="en-US" w:eastAsia="zh-CN"/>
        </w:rPr>
        <w:t>1495.28</w:t>
      </w:r>
      <w:r>
        <w:rPr>
          <w:rFonts w:hint="eastAsia" w:ascii="Times New Roman" w:hAnsi="Times New Roman" w:eastAsia="宋体" w:cs="Times New Roman"/>
          <w:color w:val="auto"/>
          <w:sz w:val="24"/>
          <w:szCs w:val="32"/>
        </w:rPr>
        <w:t>公顷，理论可以承载</w:t>
      </w:r>
      <w:r>
        <w:rPr>
          <w:rFonts w:hint="eastAsia" w:cs="Times New Roman"/>
          <w:color w:val="auto"/>
          <w:sz w:val="24"/>
          <w:szCs w:val="32"/>
          <w:lang w:val="en-US" w:eastAsia="zh-CN"/>
        </w:rPr>
        <w:t>438</w:t>
      </w:r>
      <w:r>
        <w:rPr>
          <w:rFonts w:hint="eastAsia" w:ascii="Times New Roman" w:hAnsi="Times New Roman" w:eastAsia="宋体" w:cs="Times New Roman"/>
          <w:color w:val="auto"/>
          <w:sz w:val="24"/>
          <w:szCs w:val="32"/>
        </w:rPr>
        <w:t>万只猪当量。考虑到林地实际消纳情况，假设5%的人工灌木林地中的商品林作为畜禽养殖粪肥消纳地，则可承载</w:t>
      </w:r>
      <w:r>
        <w:rPr>
          <w:rFonts w:hint="eastAsia" w:cs="Times New Roman"/>
          <w:color w:val="auto"/>
          <w:sz w:val="24"/>
          <w:szCs w:val="32"/>
          <w:lang w:val="en-US" w:eastAsia="zh-CN"/>
        </w:rPr>
        <w:t>21.9</w:t>
      </w:r>
      <w:r>
        <w:rPr>
          <w:rFonts w:hint="eastAsia" w:ascii="Times New Roman" w:hAnsi="Times New Roman" w:eastAsia="宋体" w:cs="Times New Roman"/>
          <w:color w:val="auto"/>
          <w:sz w:val="24"/>
          <w:szCs w:val="32"/>
        </w:rPr>
        <w:t>万只猪当量的畜禽养殖规模。</w:t>
      </w:r>
      <w:r>
        <w:rPr>
          <w:rFonts w:hint="eastAsia" w:cs="Times New Roman"/>
          <w:color w:val="auto"/>
          <w:sz w:val="24"/>
          <w:szCs w:val="32"/>
          <w:lang w:eastAsia="zh-CN"/>
        </w:rPr>
        <w:t>闽侯县</w:t>
      </w:r>
      <w:r>
        <w:rPr>
          <w:rFonts w:hint="eastAsia" w:ascii="Times New Roman" w:hAnsi="Times New Roman" w:eastAsia="宋体" w:cs="Times New Roman"/>
          <w:color w:val="auto"/>
          <w:sz w:val="24"/>
          <w:szCs w:val="32"/>
        </w:rPr>
        <w:t>现有畜禽折算成猪当量合计381178个，根据核算结果，</w:t>
      </w:r>
      <w:r>
        <w:rPr>
          <w:rFonts w:hint="eastAsia" w:cs="Times New Roman"/>
          <w:color w:val="auto"/>
          <w:sz w:val="24"/>
          <w:szCs w:val="32"/>
          <w:lang w:eastAsia="zh-CN"/>
        </w:rPr>
        <w:t>闽侯县</w:t>
      </w:r>
      <w:r>
        <w:rPr>
          <w:rFonts w:hint="eastAsia" w:ascii="Times New Roman" w:hAnsi="Times New Roman" w:eastAsia="宋体" w:cs="Times New Roman"/>
          <w:color w:val="auto"/>
          <w:sz w:val="24"/>
          <w:szCs w:val="32"/>
        </w:rPr>
        <w:t>2020年末畜禽养殖场粪污供应肥力</w:t>
      </w:r>
      <w:r>
        <w:rPr>
          <w:rFonts w:hint="eastAsia" w:cs="Times New Roman"/>
          <w:color w:val="auto"/>
          <w:sz w:val="24"/>
          <w:szCs w:val="32"/>
          <w:lang w:eastAsia="zh-CN"/>
        </w:rPr>
        <w:t>远小于</w:t>
      </w:r>
      <w:r>
        <w:rPr>
          <w:rFonts w:hint="eastAsia" w:ascii="Times New Roman" w:hAnsi="Times New Roman" w:eastAsia="宋体" w:cs="Times New Roman"/>
          <w:color w:val="auto"/>
          <w:sz w:val="24"/>
          <w:szCs w:val="32"/>
        </w:rPr>
        <w:t>土地资源所能承载的最大畜禽存栏量，土地资源承载力能满足畜禽养殖规模要求。其中，以氮为基数计算土地承载力可发展猪当量653092.98个，以磷为基础计算土地承载力可发展猪当量922965.86个。本次核算不包括</w:t>
      </w:r>
      <w:r>
        <w:rPr>
          <w:rFonts w:hint="eastAsia" w:cs="Times New Roman"/>
          <w:color w:val="auto"/>
          <w:sz w:val="24"/>
          <w:szCs w:val="32"/>
          <w:lang w:eastAsia="zh-CN"/>
        </w:rPr>
        <w:t>闽侯县</w:t>
      </w:r>
      <w:r>
        <w:rPr>
          <w:rFonts w:hint="eastAsia" w:ascii="Times New Roman" w:hAnsi="Times New Roman" w:eastAsia="宋体" w:cs="Times New Roman"/>
          <w:color w:val="auto"/>
          <w:sz w:val="24"/>
          <w:szCs w:val="32"/>
        </w:rPr>
        <w:t>甘薯、杂粮、杂豆、中草药材、花卉和其他可种植的土地，以保守角度考虑，</w:t>
      </w:r>
      <w:r>
        <w:rPr>
          <w:rFonts w:hint="eastAsia" w:cs="Times New Roman"/>
          <w:color w:val="auto"/>
          <w:sz w:val="24"/>
          <w:szCs w:val="32"/>
          <w:lang w:eastAsia="zh-CN"/>
        </w:rPr>
        <w:t>闽侯县</w:t>
      </w:r>
      <w:r>
        <w:rPr>
          <w:rFonts w:hint="eastAsia" w:ascii="Times New Roman" w:hAnsi="Times New Roman" w:eastAsia="宋体" w:cs="Times New Roman"/>
          <w:color w:val="auto"/>
          <w:sz w:val="24"/>
          <w:szCs w:val="32"/>
        </w:rPr>
        <w:t>尚有足够的土地畜禽粪污承载空间发展畜禽养殖业，但</w:t>
      </w:r>
      <w:r>
        <w:rPr>
          <w:rFonts w:hint="eastAsia" w:cs="Times New Roman"/>
          <w:color w:val="auto"/>
          <w:sz w:val="24"/>
          <w:szCs w:val="32"/>
          <w:lang w:eastAsia="zh-CN"/>
        </w:rPr>
        <w:t>各个养殖场周边</w:t>
      </w:r>
      <w:r>
        <w:rPr>
          <w:rFonts w:hint="eastAsia" w:ascii="Times New Roman" w:hAnsi="Times New Roman" w:eastAsia="宋体" w:cs="Times New Roman"/>
          <w:color w:val="auto"/>
          <w:sz w:val="24"/>
          <w:szCs w:val="32"/>
        </w:rPr>
        <w:t>需合理规划种养结构，确保足够的消纳土地。</w:t>
      </w:r>
    </w:p>
    <w:p>
      <w:pPr>
        <w:bidi w:val="0"/>
        <w:rPr>
          <w:rFonts w:hint="eastAsia"/>
          <w:color w:val="auto"/>
        </w:rPr>
      </w:pPr>
      <w:r>
        <w:rPr>
          <w:rFonts w:hint="eastAsia"/>
          <w:color w:val="auto"/>
        </w:rPr>
        <w:t>本次规划根据《</w:t>
      </w:r>
      <w:r>
        <w:rPr>
          <w:rFonts w:hint="eastAsia"/>
          <w:color w:val="auto"/>
          <w:lang w:val="en-US" w:eastAsia="zh-CN"/>
        </w:rPr>
        <w:t>闽侯县</w:t>
      </w:r>
      <w:r>
        <w:rPr>
          <w:rFonts w:hint="eastAsia"/>
          <w:color w:val="auto"/>
        </w:rPr>
        <w:t>畜牧业发展规划（20</w:t>
      </w:r>
      <w:r>
        <w:rPr>
          <w:rFonts w:hint="eastAsia"/>
          <w:color w:val="auto"/>
          <w:lang w:val="en-US" w:eastAsia="zh-CN"/>
        </w:rPr>
        <w:t>19</w:t>
      </w:r>
      <w:r>
        <w:rPr>
          <w:rFonts w:hint="eastAsia"/>
          <w:color w:val="auto"/>
        </w:rPr>
        <w:t>~2025年）》规划目标年2025年的规划规模，核算2025年的畜禽粪肥氮、磷养分供给量。到2025年畜禽粪肥氮、磷养分供给量为1752.94t、348.97t，需求量为</w:t>
      </w:r>
      <w:r>
        <w:rPr>
          <w:rFonts w:hint="eastAsia"/>
          <w:color w:val="auto"/>
          <w:lang w:val="en-US" w:eastAsia="zh-CN"/>
        </w:rPr>
        <w:t>7239.9</w:t>
      </w:r>
      <w:r>
        <w:rPr>
          <w:rFonts w:hint="eastAsia"/>
          <w:color w:val="auto"/>
        </w:rPr>
        <w:t>t、1752.5t，畜禽粪肥氮、磷养分供需比分别为61.9%、49.6%。按照有机肥和化肥施用比50%测算，从氮养分供需分析，至2025年</w:t>
      </w:r>
      <w:r>
        <w:rPr>
          <w:rFonts w:hint="eastAsia"/>
          <w:color w:val="auto"/>
          <w:lang w:eastAsia="zh-CN"/>
        </w:rPr>
        <w:t>闽侯县</w:t>
      </w:r>
      <w:r>
        <w:rPr>
          <w:rFonts w:hint="eastAsia"/>
          <w:color w:val="auto"/>
        </w:rPr>
        <w:t>作物粪肥养分需求量</w:t>
      </w:r>
      <w:r>
        <w:rPr>
          <w:rFonts w:hint="eastAsia"/>
          <w:color w:val="auto"/>
          <w:lang w:eastAsia="zh-CN"/>
        </w:rPr>
        <w:t>远</w:t>
      </w:r>
      <w:r>
        <w:rPr>
          <w:rFonts w:hint="eastAsia"/>
          <w:color w:val="auto"/>
        </w:rPr>
        <w:t>小于畜禽粪肥的养分供给量；从磷养分供需分析，至2025年</w:t>
      </w:r>
      <w:r>
        <w:rPr>
          <w:rFonts w:hint="eastAsia"/>
          <w:color w:val="auto"/>
          <w:lang w:eastAsia="zh-CN"/>
        </w:rPr>
        <w:t>闽侯县</w:t>
      </w:r>
      <w:r>
        <w:rPr>
          <w:rFonts w:hint="eastAsia"/>
          <w:color w:val="auto"/>
        </w:rPr>
        <w:t>作物粪肥养分需求量</w:t>
      </w:r>
      <w:r>
        <w:rPr>
          <w:rFonts w:hint="eastAsia"/>
          <w:color w:val="auto"/>
          <w:lang w:eastAsia="zh-CN"/>
        </w:rPr>
        <w:t>也远</w:t>
      </w:r>
      <w:r>
        <w:rPr>
          <w:rFonts w:hint="eastAsia"/>
          <w:color w:val="auto"/>
        </w:rPr>
        <w:t>畜禽粪肥的养分供给量。</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5B9BD5" w:themeColor="accent1"/>
          <w:lang w:val="en-US"/>
          <w14:textFill>
            <w14:solidFill>
              <w14:schemeClr w14:val="accent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val="en-US" w:eastAsia="zh-CN"/>
        </w:rPr>
        <w:t>根据表4.15统计结果显示，洋里乡和大湖乡的可消纳土地已接近当地可承载猪当量，因此所在乡镇的畜禽养殖企业可与其他地方的种植产业签署异地消纳协议，减轻当地耕地林地园地的土地消纳压力。</w:t>
      </w:r>
    </w:p>
    <w:p>
      <w:pPr>
        <w:adjustRightInd w:val="0"/>
        <w:snapToGrid w:val="0"/>
        <w:jc w:val="center"/>
        <w:rPr>
          <w:rFonts w:hint="eastAsia" w:ascii="Times New Roman" w:hAnsi="Times New Roman" w:eastAsia="黑体" w:cs="Times New Roman"/>
          <w:b/>
          <w:bCs/>
          <w:color w:val="auto"/>
          <w:kern w:val="2"/>
          <w:sz w:val="22"/>
          <w:szCs w:val="24"/>
          <w:lang w:val="en-US" w:eastAsia="zh-CN" w:bidi="ar-SA"/>
        </w:rPr>
      </w:pPr>
      <w:r>
        <w:rPr>
          <w:rFonts w:hint="eastAsia" w:ascii="Times New Roman" w:hAnsi="Times New Roman" w:eastAsia="黑体" w:cs="Times New Roman"/>
          <w:b/>
          <w:bCs/>
          <w:color w:val="auto"/>
          <w:kern w:val="2"/>
          <w:sz w:val="22"/>
          <w:szCs w:val="24"/>
          <w:lang w:val="en-US" w:eastAsia="zh-CN" w:bidi="ar-SA"/>
        </w:rPr>
        <w:t>表4.</w:t>
      </w:r>
      <w:r>
        <w:rPr>
          <w:rFonts w:hint="eastAsia" w:eastAsia="黑体" w:cs="Times New Roman"/>
          <w:b/>
          <w:bCs/>
          <w:color w:val="auto"/>
          <w:kern w:val="2"/>
          <w:sz w:val="22"/>
          <w:szCs w:val="24"/>
          <w:lang w:val="en-US" w:eastAsia="zh-CN" w:bidi="ar-SA"/>
        </w:rPr>
        <w:t>14</w:t>
      </w:r>
      <w:r>
        <w:rPr>
          <w:rFonts w:hint="eastAsia" w:ascii="Times New Roman" w:hAnsi="Times New Roman" w:eastAsia="黑体" w:cs="Times New Roman"/>
          <w:b/>
          <w:bCs/>
          <w:color w:val="auto"/>
          <w:kern w:val="2"/>
          <w:sz w:val="22"/>
          <w:szCs w:val="24"/>
          <w:lang w:val="en-US" w:eastAsia="zh-CN" w:bidi="ar-SA"/>
        </w:rPr>
        <w:t xml:space="preserve">  闽侯县畜禽粪污土地承载力计算表</w:t>
      </w:r>
    </w:p>
    <w:tbl>
      <w:tblPr>
        <w:tblStyle w:val="23"/>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0"/>
        <w:gridCol w:w="664"/>
        <w:gridCol w:w="955"/>
        <w:gridCol w:w="1008"/>
        <w:gridCol w:w="894"/>
        <w:gridCol w:w="1290"/>
        <w:gridCol w:w="1236"/>
        <w:gridCol w:w="1278"/>
        <w:gridCol w:w="1720"/>
        <w:gridCol w:w="1720"/>
        <w:gridCol w:w="1349"/>
        <w:gridCol w:w="1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0"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作物类别</w:t>
            </w:r>
          </w:p>
        </w:tc>
        <w:tc>
          <w:tcPr>
            <w:tcW w:w="235"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作物品种</w:t>
            </w:r>
          </w:p>
        </w:tc>
        <w:tc>
          <w:tcPr>
            <w:tcW w:w="338"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种植面积（亩）</w:t>
            </w:r>
          </w:p>
        </w:tc>
        <w:tc>
          <w:tcPr>
            <w:tcW w:w="356"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产量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（吨）</w:t>
            </w:r>
          </w:p>
        </w:tc>
        <w:tc>
          <w:tcPr>
            <w:tcW w:w="316"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不同植物形成100kg 产量所需氮</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（kg）</w:t>
            </w:r>
          </w:p>
        </w:tc>
        <w:tc>
          <w:tcPr>
            <w:tcW w:w="456"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spacing w:val="-1"/>
                <w:kern w:val="0"/>
                <w:sz w:val="21"/>
                <w:lang w:eastAsia="en-US"/>
                <w14:textFill>
                  <w14:solidFill>
                    <w14:schemeClr w14:val="tx1"/>
                  </w14:solidFill>
                </w14:textFill>
              </w:rPr>
              <w:t>不同植物</w:t>
            </w:r>
            <w:r>
              <w:rPr>
                <w:rFonts w:ascii="Times New Roman" w:hAnsi="Times New Roman"/>
                <w:color w:val="000000" w:themeColor="text1"/>
                <w:spacing w:val="-15"/>
                <w:kern w:val="0"/>
                <w:sz w:val="21"/>
                <w:lang w:eastAsia="en-US"/>
                <w14:textFill>
                  <w14:solidFill>
                    <w14:schemeClr w14:val="tx1"/>
                  </w14:solidFill>
                </w14:textFill>
              </w:rPr>
              <w:t xml:space="preserve">形成 </w:t>
            </w:r>
            <w:r>
              <w:rPr>
                <w:rFonts w:ascii="Times New Roman" w:hAnsi="Times New Roman"/>
                <w:color w:val="000000" w:themeColor="text1"/>
                <w:spacing w:val="-5"/>
                <w:kern w:val="0"/>
                <w:sz w:val="21"/>
                <w:lang w:eastAsia="en-US"/>
                <w14:textFill>
                  <w14:solidFill>
                    <w14:schemeClr w14:val="tx1"/>
                  </w14:solidFill>
                </w14:textFill>
              </w:rPr>
              <w:t xml:space="preserve">100kg </w:t>
            </w:r>
            <w:r>
              <w:rPr>
                <w:rFonts w:ascii="Times New Roman" w:hAnsi="Times New Roman"/>
                <w:color w:val="000000" w:themeColor="text1"/>
                <w:spacing w:val="-1"/>
                <w:kern w:val="0"/>
                <w:sz w:val="21"/>
                <w:lang w:eastAsia="en-US"/>
                <w14:textFill>
                  <w14:solidFill>
                    <w14:schemeClr w14:val="tx1"/>
                  </w14:solidFill>
                </w14:textFill>
              </w:rPr>
              <w:t>产量所需磷（kg）</w:t>
            </w:r>
          </w:p>
        </w:tc>
        <w:tc>
          <w:tcPr>
            <w:tcW w:w="886"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不同植物年氮/磷养分需</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求量（吨）</w:t>
            </w:r>
          </w:p>
        </w:tc>
        <w:tc>
          <w:tcPr>
            <w:tcW w:w="1216"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区域植物粪肥养分需求量（吨）</w:t>
            </w:r>
          </w:p>
        </w:tc>
        <w:tc>
          <w:tcPr>
            <w:tcW w:w="962"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不同土地承载力</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（猪当量）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235"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338"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356"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316"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456"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43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以氮为基础</w:t>
            </w:r>
          </w:p>
        </w:tc>
        <w:tc>
          <w:tcPr>
            <w:tcW w:w="449"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以磷为基础</w:t>
            </w:r>
          </w:p>
        </w:tc>
        <w:tc>
          <w:tcPr>
            <w:tcW w:w="6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以氮为基础</w:t>
            </w:r>
          </w:p>
        </w:tc>
        <w:tc>
          <w:tcPr>
            <w:tcW w:w="60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以磷为基础</w:t>
            </w:r>
          </w:p>
        </w:tc>
        <w:tc>
          <w:tcPr>
            <w:tcW w:w="47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以氮为基础</w:t>
            </w:r>
          </w:p>
        </w:tc>
        <w:tc>
          <w:tcPr>
            <w:tcW w:w="48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以磷为基础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235"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338"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356"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316"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456"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
                <w:szCs w:val="2"/>
                <w:lang w:eastAsia="en-US"/>
                <w14:textFill>
                  <w14:solidFill>
                    <w14:schemeClr w14:val="tx1"/>
                  </w14:solidFill>
                </w14:textFill>
              </w:rPr>
            </w:pPr>
          </w:p>
        </w:tc>
        <w:tc>
          <w:tcPr>
            <w:tcW w:w="43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粪肥全部就地还田利用</w:t>
            </w:r>
          </w:p>
        </w:tc>
        <w:tc>
          <w:tcPr>
            <w:tcW w:w="449"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粪肥全部就地还田利用</w:t>
            </w:r>
          </w:p>
        </w:tc>
        <w:tc>
          <w:tcPr>
            <w:tcW w:w="6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spacing w:val="-2"/>
                <w:kern w:val="0"/>
                <w:sz w:val="21"/>
                <w:lang w:eastAsia="en-US"/>
                <w14:textFill>
                  <w14:solidFill>
                    <w14:schemeClr w14:val="tx1"/>
                  </w14:solidFill>
                </w14:textFill>
              </w:rPr>
              <w:t>施肥供给养分占</w:t>
            </w:r>
            <w:r>
              <w:rPr>
                <w:rFonts w:ascii="Times New Roman" w:hAnsi="Times New Roman"/>
                <w:color w:val="000000" w:themeColor="text1"/>
                <w:spacing w:val="-26"/>
                <w:kern w:val="0"/>
                <w:sz w:val="21"/>
                <w:lang w:eastAsia="en-US"/>
                <w14:textFill>
                  <w14:solidFill>
                    <w14:schemeClr w14:val="tx1"/>
                  </w14:solidFill>
                </w14:textFill>
              </w:rPr>
              <w:t xml:space="preserve">比 </w:t>
            </w:r>
            <w:r>
              <w:rPr>
                <w:rFonts w:hint="eastAsia" w:ascii="Times New Roman" w:hAnsi="Times New Roman"/>
                <w:color w:val="000000" w:themeColor="text1"/>
                <w:kern w:val="0"/>
                <w:sz w:val="21"/>
                <w:lang w:eastAsia="en-US"/>
                <w14:textFill>
                  <w14:solidFill>
                    <w14:schemeClr w14:val="tx1"/>
                  </w14:solidFill>
                </w14:textFill>
              </w:rPr>
              <w:t>5</w:t>
            </w:r>
            <w:r>
              <w:rPr>
                <w:rFonts w:ascii="Times New Roman" w:hAnsi="Times New Roman"/>
                <w:color w:val="000000" w:themeColor="text1"/>
                <w:kern w:val="0"/>
                <w:sz w:val="21"/>
                <w:lang w:eastAsia="en-US"/>
                <w14:textFill>
                  <w14:solidFill>
                    <w14:schemeClr w14:val="tx1"/>
                  </w14:solidFill>
                </w14:textFill>
              </w:rPr>
              <w:t>5%</w:t>
            </w:r>
            <w:r>
              <w:rPr>
                <w:rFonts w:ascii="Times New Roman" w:hAnsi="Times New Roman"/>
                <w:color w:val="000000" w:themeColor="text1"/>
                <w:spacing w:val="-6"/>
                <w:kern w:val="0"/>
                <w:sz w:val="21"/>
                <w:lang w:eastAsia="en-US"/>
                <w14:textFill>
                  <w14:solidFill>
                    <w14:schemeClr w14:val="tx1"/>
                  </w14:solidFill>
                </w14:textFill>
              </w:rPr>
              <w:t>，粪肥占</w:t>
            </w:r>
            <w:r>
              <w:rPr>
                <w:rFonts w:ascii="Times New Roman" w:hAnsi="Times New Roman"/>
                <w:color w:val="000000" w:themeColor="text1"/>
                <w:spacing w:val="-11"/>
                <w:kern w:val="0"/>
                <w:sz w:val="21"/>
                <w:lang w:eastAsia="en-US"/>
                <w14:textFill>
                  <w14:solidFill>
                    <w14:schemeClr w14:val="tx1"/>
                  </w14:solidFill>
                </w14:textFill>
              </w:rPr>
              <w:t xml:space="preserve">施肥比例 </w:t>
            </w:r>
            <w:r>
              <w:rPr>
                <w:rFonts w:ascii="Times New Roman" w:hAnsi="Times New Roman"/>
                <w:color w:val="000000" w:themeColor="text1"/>
                <w:spacing w:val="-5"/>
                <w:kern w:val="0"/>
                <w:sz w:val="21"/>
                <w:lang w:eastAsia="en-US"/>
                <w14:textFill>
                  <w14:solidFill>
                    <w14:schemeClr w14:val="tx1"/>
                  </w14:solidFill>
                </w14:textFill>
              </w:rPr>
              <w:t>50%，</w:t>
            </w:r>
            <w:r>
              <w:rPr>
                <w:rFonts w:ascii="Times New Roman" w:hAnsi="Times New Roman"/>
                <w:color w:val="000000" w:themeColor="text1"/>
                <w:spacing w:val="-2"/>
                <w:kern w:val="0"/>
                <w:sz w:val="21"/>
                <w:lang w:eastAsia="en-US"/>
                <w14:textFill>
                  <w14:solidFill>
                    <w14:schemeClr w14:val="tx1"/>
                  </w14:solidFill>
                </w14:textFill>
              </w:rPr>
              <w:t>粪肥当季利用率</w:t>
            </w:r>
            <w:r>
              <w:rPr>
                <w:rFonts w:hint="eastAsia" w:ascii="Times New Roman" w:hAnsi="Times New Roman"/>
                <w:color w:val="000000" w:themeColor="text1"/>
                <w:kern w:val="0"/>
                <w:sz w:val="21"/>
                <w:lang w:eastAsia="en-US"/>
                <w14:textFill>
                  <w14:solidFill>
                    <w14:schemeClr w14:val="tx1"/>
                  </w14:solidFill>
                </w14:textFill>
              </w:rPr>
              <w:t>25</w:t>
            </w:r>
            <w:r>
              <w:rPr>
                <w:rFonts w:ascii="Times New Roman" w:hAnsi="Times New Roman"/>
                <w:color w:val="000000" w:themeColor="text1"/>
                <w:kern w:val="0"/>
                <w:sz w:val="21"/>
                <w:lang w:eastAsia="en-US"/>
                <w14:textFill>
                  <w14:solidFill>
                    <w14:schemeClr w14:val="tx1"/>
                  </w14:solidFill>
                </w14:textFill>
              </w:rPr>
              <w:t>%</w:t>
            </w:r>
          </w:p>
        </w:tc>
        <w:tc>
          <w:tcPr>
            <w:tcW w:w="60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spacing w:val="-2"/>
                <w:kern w:val="0"/>
                <w:sz w:val="21"/>
                <w:lang w:eastAsia="en-US"/>
                <w14:textFill>
                  <w14:solidFill>
                    <w14:schemeClr w14:val="tx1"/>
                  </w14:solidFill>
                </w14:textFill>
              </w:rPr>
              <w:t>施肥供给养分占</w:t>
            </w:r>
            <w:r>
              <w:rPr>
                <w:rFonts w:ascii="Times New Roman" w:hAnsi="Times New Roman"/>
                <w:color w:val="000000" w:themeColor="text1"/>
                <w:spacing w:val="-26"/>
                <w:kern w:val="0"/>
                <w:sz w:val="21"/>
                <w:lang w:eastAsia="en-US"/>
                <w14:textFill>
                  <w14:solidFill>
                    <w14:schemeClr w14:val="tx1"/>
                  </w14:solidFill>
                </w14:textFill>
              </w:rPr>
              <w:t xml:space="preserve">比 </w:t>
            </w:r>
            <w:r>
              <w:rPr>
                <w:rFonts w:hint="eastAsia" w:ascii="Times New Roman" w:hAnsi="Times New Roman"/>
                <w:color w:val="000000" w:themeColor="text1"/>
                <w:kern w:val="0"/>
                <w:sz w:val="21"/>
                <w:lang w:eastAsia="en-US"/>
                <w14:textFill>
                  <w14:solidFill>
                    <w14:schemeClr w14:val="tx1"/>
                  </w14:solidFill>
                </w14:textFill>
              </w:rPr>
              <w:t>5</w:t>
            </w:r>
            <w:r>
              <w:rPr>
                <w:rFonts w:ascii="Times New Roman" w:hAnsi="Times New Roman"/>
                <w:color w:val="000000" w:themeColor="text1"/>
                <w:kern w:val="0"/>
                <w:sz w:val="21"/>
                <w:lang w:eastAsia="en-US"/>
                <w14:textFill>
                  <w14:solidFill>
                    <w14:schemeClr w14:val="tx1"/>
                  </w14:solidFill>
                </w14:textFill>
              </w:rPr>
              <w:t>5%</w:t>
            </w:r>
            <w:r>
              <w:rPr>
                <w:rFonts w:ascii="Times New Roman" w:hAnsi="Times New Roman"/>
                <w:color w:val="000000" w:themeColor="text1"/>
                <w:spacing w:val="-6"/>
                <w:kern w:val="0"/>
                <w:sz w:val="21"/>
                <w:lang w:eastAsia="en-US"/>
                <w14:textFill>
                  <w14:solidFill>
                    <w14:schemeClr w14:val="tx1"/>
                  </w14:solidFill>
                </w14:textFill>
              </w:rPr>
              <w:t>，粪肥占</w:t>
            </w:r>
            <w:r>
              <w:rPr>
                <w:rFonts w:ascii="Times New Roman" w:hAnsi="Times New Roman"/>
                <w:color w:val="000000" w:themeColor="text1"/>
                <w:spacing w:val="-10"/>
                <w:kern w:val="0"/>
                <w:sz w:val="21"/>
                <w:lang w:eastAsia="en-US"/>
                <w14:textFill>
                  <w14:solidFill>
                    <w14:schemeClr w14:val="tx1"/>
                  </w14:solidFill>
                </w14:textFill>
              </w:rPr>
              <w:t xml:space="preserve">施肥比例 </w:t>
            </w:r>
            <w:r>
              <w:rPr>
                <w:rFonts w:ascii="Times New Roman" w:hAnsi="Times New Roman"/>
                <w:color w:val="000000" w:themeColor="text1"/>
                <w:spacing w:val="-6"/>
                <w:kern w:val="0"/>
                <w:sz w:val="21"/>
                <w:lang w:eastAsia="en-US"/>
                <w14:textFill>
                  <w14:solidFill>
                    <w14:schemeClr w14:val="tx1"/>
                  </w14:solidFill>
                </w14:textFill>
              </w:rPr>
              <w:t>50%，</w:t>
            </w:r>
            <w:r>
              <w:rPr>
                <w:rFonts w:ascii="Times New Roman" w:hAnsi="Times New Roman"/>
                <w:color w:val="000000" w:themeColor="text1"/>
                <w:spacing w:val="-2"/>
                <w:kern w:val="0"/>
                <w:sz w:val="21"/>
                <w:lang w:eastAsia="en-US"/>
                <w14:textFill>
                  <w14:solidFill>
                    <w14:schemeClr w14:val="tx1"/>
                  </w14:solidFill>
                </w14:textFill>
              </w:rPr>
              <w:t>粪肥当季利用率</w:t>
            </w:r>
            <w:r>
              <w:rPr>
                <w:rFonts w:hint="eastAsia" w:ascii="Times New Roman" w:hAnsi="Times New Roman"/>
                <w:color w:val="000000" w:themeColor="text1"/>
                <w:spacing w:val="-2"/>
                <w:kern w:val="0"/>
                <w:sz w:val="21"/>
                <w:lang w:eastAsia="en-US"/>
                <w14:textFill>
                  <w14:solidFill>
                    <w14:schemeClr w14:val="tx1"/>
                  </w14:solidFill>
                </w14:textFill>
              </w:rPr>
              <w:t>30</w:t>
            </w:r>
            <w:r>
              <w:rPr>
                <w:rFonts w:ascii="Times New Roman" w:hAnsi="Times New Roman"/>
                <w:color w:val="000000" w:themeColor="text1"/>
                <w:kern w:val="0"/>
                <w:sz w:val="21"/>
                <w:lang w:eastAsia="en-US"/>
                <w14:textFill>
                  <w14:solidFill>
                    <w14:schemeClr w14:val="tx1"/>
                  </w14:solidFill>
                </w14:textFill>
              </w:rPr>
              <w:t>%</w:t>
            </w:r>
          </w:p>
        </w:tc>
        <w:tc>
          <w:tcPr>
            <w:tcW w:w="47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养分供给量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7.0kg/猪当量</w:t>
            </w:r>
          </w:p>
        </w:tc>
        <w:tc>
          <w:tcPr>
            <w:tcW w:w="48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养分供给量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1.2kg/猪当量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230"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大田作物</w:t>
            </w: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水稻</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165066.00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57996.00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1275.91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463.97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1403.50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425.30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200500.00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354416.67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玉米</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6521.70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2080.00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2.30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0.30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47.84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6.24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52.62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5.72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7517.71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4766.67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大豆</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10923.00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1779.00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7.20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0.75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128.09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13.31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140.90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12.20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20128.11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10165.01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薯类</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12513.75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11800.00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0.50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59.00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10.38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64.90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9.52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9271.43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7932.22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0"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经济作物</w:t>
            </w: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油料</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14353.80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2377.00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7.19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0.89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170.91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21.08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188.00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19.33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26856.70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16105.83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甘蔗</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3786.90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16616.00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0.18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29.91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2.66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32.90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2.44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4699.95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2030.84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茶叶</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7229.10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1855.00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6.40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0.88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118.72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16.32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130.59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14.96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18656.00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12469.72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65"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蔬菜</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601747.95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1192183.00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4291.86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1072.96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4721.04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983.55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674434.95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819625.81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hint="eastAsia" w:ascii="Times New Roman" w:hAnsi="Times New Roman"/>
                <w:color w:val="000000" w:themeColor="text1"/>
                <w:kern w:val="0"/>
                <w:sz w:val="21"/>
                <w:lang w:eastAsia="en-US"/>
                <w14:textFill>
                  <w14:solidFill>
                    <w14:schemeClr w14:val="tx1"/>
                  </w14:solidFill>
                </w14:textFill>
              </w:rPr>
              <w:t>园林水果</w:t>
            </w: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桃</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9513.75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11152.00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0.21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23.42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3.68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25.76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3.37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3680.16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2811.23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葡萄</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758.25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1354.00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0.74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10.02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6.93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11.02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6.35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1574.51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5295.64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香蕉</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6507.00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9472.00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0.73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0.22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69.15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20.46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76.06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18.75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10865.74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15628.80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lang w:eastAsia="zh-CN"/>
                <w14:textFill>
                  <w14:solidFill>
                    <w14:schemeClr w14:val="tx1"/>
                  </w14:solidFill>
                </w14:textFill>
              </w:rPr>
            </w:pPr>
            <w:r>
              <w:rPr>
                <w:rFonts w:hint="eastAsia" w:ascii="Times New Roman" w:hAnsi="Times New Roman"/>
                <w:color w:val="000000" w:themeColor="text1"/>
                <w:kern w:val="0"/>
                <w:sz w:val="21"/>
                <w:lang w:eastAsia="zh-CN"/>
                <w14:textFill>
                  <w14:solidFill>
                    <w14:schemeClr w14:val="tx1"/>
                  </w14:solidFill>
                </w14:textFill>
              </w:rPr>
              <w:t>梨</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2032.35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2650.00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0.47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0.23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12.46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6.10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13.70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5.59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1957.21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4655.90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p>
        </w:tc>
        <w:tc>
          <w:tcPr>
            <w:tcW w:w="235"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eastAsia" w:ascii="Times New Roman" w:hAnsi="Times New Roman" w:cstheme="minorBidi"/>
                <w:color w:val="000000" w:themeColor="text1"/>
                <w:kern w:val="0"/>
                <w:sz w:val="21"/>
                <w:szCs w:val="24"/>
                <w:lang w:val="en-US" w:eastAsia="zh-CN" w:bidi="ar-SA"/>
                <w14:textFill>
                  <w14:solidFill>
                    <w14:schemeClr w14:val="tx1"/>
                  </w14:solidFill>
                </w14:textFill>
              </w:rPr>
              <w:t>柑橘</w:t>
            </w:r>
          </w:p>
        </w:tc>
        <w:tc>
          <w:tcPr>
            <w:tcW w:w="3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41012.25 </w:t>
            </w:r>
          </w:p>
        </w:tc>
        <w:tc>
          <w:tcPr>
            <w:tcW w:w="3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57409.00 </w:t>
            </w:r>
          </w:p>
        </w:tc>
        <w:tc>
          <w:tcPr>
            <w:tcW w:w="3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0.60 </w:t>
            </w:r>
          </w:p>
        </w:tc>
        <w:tc>
          <w:tcPr>
            <w:tcW w:w="45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0.11 </w:t>
            </w:r>
          </w:p>
        </w:tc>
        <w:tc>
          <w:tcPr>
            <w:tcW w:w="43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344.45 </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63.15 </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378.90 </w:t>
            </w:r>
          </w:p>
        </w:tc>
        <w:tc>
          <w:tcPr>
            <w:tcW w:w="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57.89 </w:t>
            </w:r>
          </w:p>
        </w:tc>
        <w:tc>
          <w:tcPr>
            <w:tcW w:w="47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54128.49 </w:t>
            </w:r>
          </w:p>
        </w:tc>
        <w:tc>
          <w:tcPr>
            <w:tcW w:w="4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en-US"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48239.51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20" w:type="pct"/>
            <w:gridSpan w:val="8"/>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heme="minorBidi"/>
                <w:color w:val="000000" w:themeColor="text1"/>
                <w:kern w:val="0"/>
                <w:sz w:val="21"/>
                <w:szCs w:val="24"/>
                <w:lang w:val="en-US" w:eastAsia="zh-CN" w:bidi="ar-SA"/>
                <w14:textFill>
                  <w14:solidFill>
                    <w14:schemeClr w14:val="tx1"/>
                  </w14:solidFill>
                </w14:textFill>
              </w:rPr>
            </w:pPr>
            <w:r>
              <w:rPr>
                <w:rFonts w:hint="eastAsia" w:ascii="Times New Roman" w:hAnsi="Times New Roman" w:cstheme="minorBidi"/>
                <w:color w:val="000000" w:themeColor="text1"/>
                <w:kern w:val="0"/>
                <w:sz w:val="21"/>
                <w:szCs w:val="24"/>
                <w:lang w:val="en-US" w:eastAsia="zh-CN" w:bidi="ar-SA"/>
                <w14:textFill>
                  <w14:solidFill>
                    <w14:schemeClr w14:val="tx1"/>
                  </w14:solidFill>
                </w14:textFill>
              </w:rPr>
              <w:t>合计</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7239.90 </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1564.97 </w:t>
            </w:r>
          </w:p>
        </w:tc>
        <w:tc>
          <w:tcPr>
            <w:tcW w:w="134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1034270.98 </w:t>
            </w:r>
          </w:p>
        </w:tc>
        <w:tc>
          <w:tcPr>
            <w:tcW w:w="137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1304143.86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20" w:type="pct"/>
            <w:gridSpan w:val="8"/>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现状猪当量</w:t>
            </w:r>
          </w:p>
        </w:tc>
        <w:tc>
          <w:tcPr>
            <w:tcW w:w="6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0"/>
                <w:lang w:eastAsia="en-US"/>
                <w14:textFill>
                  <w14:solidFill>
                    <w14:schemeClr w14:val="tx1"/>
                  </w14:solidFill>
                </w14:textFill>
              </w:rPr>
            </w:pPr>
            <w:r>
              <w:rPr>
                <w:rFonts w:hint="eastAsia" w:ascii="Times New Roman" w:hAnsi="Times New Roman"/>
                <w:color w:val="000000" w:themeColor="text1"/>
                <w:kern w:val="0"/>
                <w:sz w:val="20"/>
                <w:lang w:eastAsia="en-US"/>
                <w14:textFill>
                  <w14:solidFill>
                    <w14:schemeClr w14:val="tx1"/>
                  </w14:solidFill>
                </w14:textFill>
              </w:rPr>
              <w:t>/</w:t>
            </w:r>
          </w:p>
        </w:tc>
        <w:tc>
          <w:tcPr>
            <w:tcW w:w="60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0"/>
                <w:lang w:eastAsia="en-US"/>
                <w14:textFill>
                  <w14:solidFill>
                    <w14:schemeClr w14:val="tx1"/>
                  </w14:solidFill>
                </w14:textFill>
              </w:rPr>
            </w:pPr>
            <w:r>
              <w:rPr>
                <w:rFonts w:hint="eastAsia" w:ascii="Times New Roman" w:hAnsi="Times New Roman"/>
                <w:color w:val="000000" w:themeColor="text1"/>
                <w:kern w:val="0"/>
                <w:sz w:val="20"/>
                <w:lang w:eastAsia="en-US"/>
                <w14:textFill>
                  <w14:solidFill>
                    <w14:schemeClr w14:val="tx1"/>
                  </w14:solidFill>
                </w14:textFill>
              </w:rPr>
              <w:t>/</w:t>
            </w:r>
          </w:p>
        </w:tc>
        <w:tc>
          <w:tcPr>
            <w:tcW w:w="962"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hint="eastAsia" w:ascii="Times New Roman" w:hAnsi="Times New Roman"/>
                <w:color w:val="auto"/>
                <w:kern w:val="0"/>
                <w:sz w:val="21"/>
                <w:lang w:eastAsia="en-US"/>
              </w:rPr>
              <w:t>381178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20" w:type="pct"/>
            <w:gridSpan w:val="8"/>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可发展猪当量</w:t>
            </w:r>
          </w:p>
        </w:tc>
        <w:tc>
          <w:tcPr>
            <w:tcW w:w="6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0"/>
                <w:lang w:eastAsia="en-US"/>
                <w14:textFill>
                  <w14:solidFill>
                    <w14:schemeClr w14:val="tx1"/>
                  </w14:solidFill>
                </w14:textFill>
              </w:rPr>
            </w:pPr>
            <w:r>
              <w:rPr>
                <w:rFonts w:hint="eastAsia" w:ascii="Times New Roman" w:hAnsi="Times New Roman"/>
                <w:color w:val="000000" w:themeColor="text1"/>
                <w:kern w:val="0"/>
                <w:sz w:val="20"/>
                <w:lang w:eastAsia="en-US"/>
                <w14:textFill>
                  <w14:solidFill>
                    <w14:schemeClr w14:val="tx1"/>
                  </w14:solidFill>
                </w14:textFill>
              </w:rPr>
              <w:t>/</w:t>
            </w:r>
          </w:p>
        </w:tc>
        <w:tc>
          <w:tcPr>
            <w:tcW w:w="60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0"/>
                <w:lang w:eastAsia="en-US"/>
                <w14:textFill>
                  <w14:solidFill>
                    <w14:schemeClr w14:val="tx1"/>
                  </w14:solidFill>
                </w14:textFill>
              </w:rPr>
            </w:pPr>
            <w:r>
              <w:rPr>
                <w:rFonts w:hint="eastAsia" w:ascii="Times New Roman" w:hAnsi="Times New Roman"/>
                <w:color w:val="000000" w:themeColor="text1"/>
                <w:kern w:val="0"/>
                <w:sz w:val="20"/>
                <w:lang w:eastAsia="en-US"/>
                <w14:textFill>
                  <w14:solidFill>
                    <w14:schemeClr w14:val="tx1"/>
                  </w14:solidFill>
                </w14:textFill>
              </w:rPr>
              <w:t>/</w:t>
            </w:r>
          </w:p>
        </w:tc>
        <w:tc>
          <w:tcPr>
            <w:tcW w:w="47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olor w:val="000000" w:themeColor="text1"/>
                <w:kern w:val="0"/>
                <w:sz w:val="21"/>
                <w:lang w:val="en-US" w:eastAsia="zh-CN"/>
                <w14:textFill>
                  <w14:solidFill>
                    <w14:schemeClr w14:val="tx1"/>
                  </w14:solidFill>
                </w14:textFill>
              </w:rPr>
            </w:pPr>
            <w:r>
              <w:rPr>
                <w:rFonts w:hint="eastAsia" w:ascii="Times New Roman" w:hAnsi="Times New Roman"/>
                <w:color w:val="000000" w:themeColor="text1"/>
                <w:kern w:val="0"/>
                <w:sz w:val="21"/>
                <w:lang w:val="en-US" w:eastAsia="zh-CN"/>
                <w14:textFill>
                  <w14:solidFill>
                    <w14:schemeClr w14:val="tx1"/>
                  </w14:solidFill>
                </w14:textFill>
              </w:rPr>
              <w:t>653092.98</w:t>
            </w:r>
          </w:p>
        </w:tc>
        <w:tc>
          <w:tcPr>
            <w:tcW w:w="48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olor w:val="000000" w:themeColor="text1"/>
                <w:kern w:val="0"/>
                <w:sz w:val="21"/>
                <w:lang w:val="en-US" w:eastAsia="zh-CN"/>
                <w14:textFill>
                  <w14:solidFill>
                    <w14:schemeClr w14:val="tx1"/>
                  </w14:solidFill>
                </w14:textFill>
              </w:rPr>
            </w:pPr>
            <w:r>
              <w:rPr>
                <w:rFonts w:hint="eastAsia" w:ascii="Times New Roman" w:hAnsi="Times New Roman"/>
                <w:color w:val="000000" w:themeColor="text1"/>
                <w:kern w:val="0"/>
                <w:sz w:val="21"/>
                <w:lang w:val="en-US" w:eastAsia="zh-CN"/>
                <w14:textFill>
                  <w14:solidFill>
                    <w14:schemeClr w14:val="tx1"/>
                  </w14:solidFill>
                </w14:textFill>
              </w:rPr>
              <w:t>922965.86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20" w:type="pct"/>
            <w:gridSpan w:val="8"/>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规划 2025 年猪当量</w:t>
            </w:r>
          </w:p>
        </w:tc>
        <w:tc>
          <w:tcPr>
            <w:tcW w:w="6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en-US" w:bidi="ar"/>
              </w:rPr>
            </w:pPr>
            <w:r>
              <w:rPr>
                <w:rFonts w:hint="eastAsia" w:ascii="Times New Roman" w:hAnsi="Times New Roman" w:eastAsia="宋体" w:cs="Times New Roman"/>
                <w:i w:val="0"/>
                <w:iCs w:val="0"/>
                <w:color w:val="000000"/>
                <w:kern w:val="0"/>
                <w:sz w:val="21"/>
                <w:szCs w:val="21"/>
                <w:u w:val="none"/>
                <w:lang w:val="en-US" w:eastAsia="en-US" w:bidi="ar"/>
              </w:rPr>
              <w:t>/</w:t>
            </w:r>
          </w:p>
        </w:tc>
        <w:tc>
          <w:tcPr>
            <w:tcW w:w="60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en-US" w:bidi="ar"/>
              </w:rPr>
            </w:pPr>
            <w:r>
              <w:rPr>
                <w:rFonts w:hint="eastAsia" w:ascii="Times New Roman" w:hAnsi="Times New Roman" w:eastAsia="宋体" w:cs="Times New Roman"/>
                <w:i w:val="0"/>
                <w:iCs w:val="0"/>
                <w:color w:val="000000"/>
                <w:kern w:val="0"/>
                <w:sz w:val="21"/>
                <w:szCs w:val="21"/>
                <w:u w:val="none"/>
                <w:lang w:val="en-US" w:eastAsia="en-US" w:bidi="ar"/>
              </w:rPr>
              <w:t>/</w:t>
            </w:r>
          </w:p>
        </w:tc>
        <w:tc>
          <w:tcPr>
            <w:tcW w:w="962"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en-US" w:bidi="ar"/>
              </w:rPr>
            </w:pPr>
            <w:r>
              <w:rPr>
                <w:rFonts w:hint="eastAsia" w:ascii="Times New Roman" w:hAnsi="Times New Roman" w:eastAsia="宋体" w:cs="Times New Roman"/>
                <w:i w:val="0"/>
                <w:iCs w:val="0"/>
                <w:color w:val="000000"/>
                <w:kern w:val="0"/>
                <w:sz w:val="21"/>
                <w:szCs w:val="21"/>
                <w:u w:val="none"/>
                <w:lang w:val="en-US" w:eastAsia="en-US" w:bidi="ar"/>
              </w:rPr>
              <w:t>403904.3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20" w:type="pct"/>
            <w:gridSpan w:val="8"/>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lang w:eastAsia="en-US"/>
                <w14:textFill>
                  <w14:solidFill>
                    <w14:schemeClr w14:val="tx1"/>
                  </w14:solidFill>
                </w14:textFill>
              </w:rPr>
            </w:pPr>
            <w:r>
              <w:rPr>
                <w:rFonts w:ascii="Times New Roman" w:hAnsi="Times New Roman"/>
                <w:color w:val="000000" w:themeColor="text1"/>
                <w:kern w:val="0"/>
                <w:sz w:val="21"/>
                <w:lang w:eastAsia="en-US"/>
                <w14:textFill>
                  <w14:solidFill>
                    <w14:schemeClr w14:val="tx1"/>
                  </w14:solidFill>
                </w14:textFill>
              </w:rPr>
              <w:t>规划 2025 年</w:t>
            </w:r>
            <w:r>
              <w:rPr>
                <w:rFonts w:hint="eastAsia" w:ascii="Times New Roman" w:hAnsi="Times New Roman"/>
                <w:color w:val="000000" w:themeColor="text1"/>
                <w:kern w:val="0"/>
                <w:sz w:val="21"/>
                <w:lang w:eastAsia="en-US"/>
                <w14:textFill>
                  <w14:solidFill>
                    <w14:schemeClr w14:val="tx1"/>
                  </w14:solidFill>
                </w14:textFill>
              </w:rPr>
              <w:t>粪肥养分供给量</w:t>
            </w:r>
          </w:p>
        </w:tc>
        <w:tc>
          <w:tcPr>
            <w:tcW w:w="608"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i w:val="0"/>
                <w:iCs w:val="0"/>
                <w:color w:val="000000"/>
                <w:kern w:val="0"/>
                <w:sz w:val="21"/>
                <w:szCs w:val="21"/>
                <w:u w:val="none"/>
                <w:lang w:val="en-US" w:eastAsia="en-US" w:bidi="ar"/>
              </w:rPr>
            </w:pPr>
            <w:r>
              <w:rPr>
                <w:rFonts w:hint="eastAsia" w:ascii="Times New Roman" w:hAnsi="Times New Roman" w:eastAsia="宋体" w:cs="Times New Roman"/>
                <w:i w:val="0"/>
                <w:iCs w:val="0"/>
                <w:color w:val="000000"/>
                <w:kern w:val="0"/>
                <w:sz w:val="21"/>
                <w:szCs w:val="21"/>
                <w:u w:val="none"/>
                <w:lang w:val="en-US" w:eastAsia="zh-CN" w:bidi="ar"/>
              </w:rPr>
              <w:t>1752.94</w:t>
            </w:r>
          </w:p>
        </w:tc>
        <w:tc>
          <w:tcPr>
            <w:tcW w:w="607" w:type="pct"/>
            <w:vAlign w:val="center"/>
          </w:tcPr>
          <w:p>
            <w:pPr>
              <w:pStyle w:val="22"/>
              <w:keepNext w:val="0"/>
              <w:keepLines w:val="0"/>
              <w:pageBreakBefore w:val="0"/>
              <w:widowControl w:val="0"/>
              <w:kinsoku/>
              <w:wordWrap/>
              <w:overflowPunct/>
              <w:topLinePunct w:val="0"/>
              <w:autoSpaceDE w:val="0"/>
              <w:autoSpaceDN w:val="0"/>
              <w:bidi w:val="0"/>
              <w:adjustRightInd/>
              <w:snapToGrid/>
              <w:spacing w:before="0" w:beforeAutospacing="0" w:line="240" w:lineRule="auto"/>
              <w:ind w:firstLine="0" w:firstLineChars="0"/>
              <w:jc w:val="center"/>
              <w:textAlignment w:val="auto"/>
              <w:rPr>
                <w:rFonts w:hint="eastAsia" w:ascii="Times New Roman" w:hAnsi="Times New Roman" w:eastAsia="宋体" w:cs="Times New Roman"/>
                <w:i w:val="0"/>
                <w:iCs w:val="0"/>
                <w:color w:val="000000"/>
                <w:kern w:val="0"/>
                <w:sz w:val="21"/>
                <w:szCs w:val="21"/>
                <w:u w:val="none"/>
                <w:lang w:val="en-US" w:eastAsia="en-US" w:bidi="ar"/>
              </w:rPr>
            </w:pPr>
            <w:r>
              <w:rPr>
                <w:rFonts w:hint="eastAsia" w:ascii="Times New Roman" w:hAnsi="Times New Roman" w:eastAsia="宋体" w:cs="Times New Roman"/>
                <w:i w:val="0"/>
                <w:iCs w:val="0"/>
                <w:color w:val="000000"/>
                <w:kern w:val="0"/>
                <w:sz w:val="21"/>
                <w:szCs w:val="21"/>
                <w:u w:val="none"/>
                <w:lang w:val="en-US" w:eastAsia="zh-CN" w:bidi="ar"/>
              </w:rPr>
              <w:t>348.97</w:t>
            </w:r>
          </w:p>
        </w:tc>
        <w:tc>
          <w:tcPr>
            <w:tcW w:w="477"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en-US" w:bidi="ar"/>
              </w:rPr>
            </w:pPr>
            <w:r>
              <w:rPr>
                <w:rFonts w:hint="eastAsia" w:ascii="Times New Roman" w:hAnsi="Times New Roman" w:eastAsia="宋体" w:cs="Times New Roman"/>
                <w:i w:val="0"/>
                <w:iCs w:val="0"/>
                <w:color w:val="000000"/>
                <w:kern w:val="0"/>
                <w:sz w:val="21"/>
                <w:szCs w:val="21"/>
                <w:u w:val="none"/>
                <w:lang w:val="en-US" w:eastAsia="en-US" w:bidi="ar"/>
              </w:rPr>
              <w:t>/</w:t>
            </w:r>
          </w:p>
        </w:tc>
        <w:tc>
          <w:tcPr>
            <w:tcW w:w="48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en-US" w:bidi="ar"/>
              </w:rPr>
            </w:pPr>
            <w:r>
              <w:rPr>
                <w:rFonts w:hint="eastAsia" w:ascii="Times New Roman" w:hAnsi="Times New Roman" w:eastAsia="宋体" w:cs="Times New Roman"/>
                <w:i w:val="0"/>
                <w:iCs w:val="0"/>
                <w:color w:val="000000"/>
                <w:kern w:val="0"/>
                <w:sz w:val="21"/>
                <w:szCs w:val="21"/>
                <w:u w:val="none"/>
                <w:lang w:val="en-US" w:eastAsia="en-US" w:bidi="ar"/>
              </w:rPr>
              <w:t>/</w:t>
            </w:r>
          </w:p>
        </w:tc>
      </w:tr>
    </w:tbl>
    <w:p>
      <w:pPr>
        <w:adjustRightInd w:val="0"/>
        <w:snapToGrid w:val="0"/>
        <w:jc w:val="center"/>
        <w:rPr>
          <w:rFonts w:hint="eastAsia" w:ascii="Times New Roman" w:hAnsi="Times New Roman" w:eastAsia="黑体" w:cs="Times New Roman"/>
          <w:b/>
          <w:bCs/>
          <w:color w:val="auto"/>
          <w:kern w:val="2"/>
          <w:sz w:val="22"/>
          <w:szCs w:val="24"/>
          <w:lang w:val="en-US" w:eastAsia="zh-CN" w:bidi="ar-SA"/>
        </w:rPr>
      </w:pPr>
      <w:r>
        <w:rPr>
          <w:rFonts w:ascii="Times New Roman" w:hAnsi="Times New Roman" w:cs="Times New Roman"/>
        </w:rPr>
        <w:t>注：种植面积、单产等数据来源于</w:t>
      </w:r>
      <w:r>
        <w:rPr>
          <w:rFonts w:hint="eastAsia" w:cs="Times New Roman"/>
          <w:lang w:val="en-US" w:eastAsia="zh-CN"/>
        </w:rPr>
        <w:t>闽侯县</w:t>
      </w:r>
      <w:r>
        <w:rPr>
          <w:rFonts w:hint="eastAsia" w:ascii="Times New Roman" w:hAnsi="Times New Roman" w:cs="Times New Roman"/>
        </w:rPr>
        <w:t>202</w:t>
      </w:r>
      <w:r>
        <w:rPr>
          <w:rFonts w:hint="eastAsia" w:cs="Times New Roman"/>
          <w:lang w:val="en-US" w:eastAsia="zh-CN"/>
        </w:rPr>
        <w:t>0当</w:t>
      </w:r>
      <w:r>
        <w:rPr>
          <w:rFonts w:ascii="Times New Roman" w:hAnsi="Times New Roman" w:cs="Times New Roman"/>
        </w:rPr>
        <w:t>年统计数据。</w:t>
      </w:r>
      <w:r>
        <w:rPr>
          <w:rFonts w:hint="eastAsia" w:cs="Times New Roman"/>
          <w:lang w:eastAsia="zh-CN"/>
        </w:rPr>
        <w:t>各作物氮、磷养料参照《畜禽粪污土地承载力测算技术指南》中的</w:t>
      </w:r>
      <w:r>
        <w:rPr>
          <w:rFonts w:hint="eastAsia" w:cs="Times New Roman"/>
          <w:color w:val="auto"/>
          <w:lang w:eastAsia="zh-CN"/>
        </w:rPr>
        <w:t>推荐值，其中蔬菜需肥量取各蔬菜平均值。</w:t>
      </w:r>
    </w:p>
    <w:p>
      <w:pPr>
        <w:adjustRightInd w:val="0"/>
        <w:snapToGrid w:val="0"/>
        <w:jc w:val="center"/>
        <w:rPr>
          <w:rFonts w:hint="eastAsia" w:ascii="Times New Roman" w:hAnsi="Times New Roman" w:eastAsia="黑体" w:cs="Times New Roman"/>
          <w:b/>
          <w:bCs/>
          <w:color w:val="auto"/>
          <w:kern w:val="2"/>
          <w:sz w:val="22"/>
          <w:szCs w:val="24"/>
          <w:lang w:val="en-US" w:eastAsia="zh-CN" w:bidi="ar-SA"/>
        </w:rPr>
      </w:pPr>
      <w:r>
        <w:rPr>
          <w:rFonts w:hint="eastAsia" w:ascii="Times New Roman" w:hAnsi="Times New Roman" w:eastAsia="黑体" w:cs="Times New Roman"/>
          <w:b/>
          <w:bCs/>
          <w:color w:val="auto"/>
          <w:kern w:val="2"/>
          <w:sz w:val="22"/>
          <w:szCs w:val="24"/>
          <w:lang w:val="en-US" w:eastAsia="zh-CN" w:bidi="ar-SA"/>
        </w:rPr>
        <w:t>表4.</w:t>
      </w:r>
      <w:r>
        <w:rPr>
          <w:rFonts w:hint="eastAsia" w:eastAsia="黑体" w:cs="Times New Roman"/>
          <w:b/>
          <w:bCs/>
          <w:color w:val="auto"/>
          <w:kern w:val="2"/>
          <w:sz w:val="22"/>
          <w:szCs w:val="24"/>
          <w:lang w:val="en-US" w:eastAsia="zh-CN" w:bidi="ar-SA"/>
        </w:rPr>
        <w:t>15</w:t>
      </w:r>
      <w:r>
        <w:rPr>
          <w:rFonts w:hint="eastAsia" w:ascii="Times New Roman" w:hAnsi="Times New Roman" w:eastAsia="黑体" w:cs="Times New Roman"/>
          <w:b/>
          <w:bCs/>
          <w:color w:val="auto"/>
          <w:kern w:val="2"/>
          <w:sz w:val="22"/>
          <w:szCs w:val="24"/>
          <w:lang w:val="en-US" w:eastAsia="zh-CN" w:bidi="ar-SA"/>
        </w:rPr>
        <w:t xml:space="preserve">  闽侯县</w:t>
      </w:r>
      <w:r>
        <w:rPr>
          <w:rFonts w:hint="eastAsia" w:eastAsia="黑体" w:cs="Times New Roman"/>
          <w:b/>
          <w:bCs/>
          <w:color w:val="auto"/>
          <w:kern w:val="2"/>
          <w:sz w:val="22"/>
          <w:szCs w:val="24"/>
          <w:lang w:val="en-US" w:eastAsia="zh-CN" w:bidi="ar-SA"/>
        </w:rPr>
        <w:t>各个行政区</w:t>
      </w:r>
      <w:r>
        <w:rPr>
          <w:rFonts w:hint="eastAsia" w:ascii="Times New Roman" w:hAnsi="Times New Roman" w:eastAsia="黑体" w:cs="Times New Roman"/>
          <w:b/>
          <w:bCs/>
          <w:color w:val="auto"/>
          <w:kern w:val="2"/>
          <w:sz w:val="22"/>
          <w:szCs w:val="24"/>
          <w:lang w:val="en-US" w:eastAsia="zh-CN" w:bidi="ar-SA"/>
        </w:rPr>
        <w:t>畜禽粪污土地承载力计算表</w:t>
      </w:r>
    </w:p>
    <w:tbl>
      <w:tblPr>
        <w:tblStyle w:val="23"/>
        <w:tblW w:w="55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1"/>
        <w:gridCol w:w="977"/>
        <w:gridCol w:w="917"/>
        <w:gridCol w:w="908"/>
        <w:gridCol w:w="880"/>
        <w:gridCol w:w="867"/>
        <w:gridCol w:w="1168"/>
        <w:gridCol w:w="1302"/>
        <w:gridCol w:w="1659"/>
        <w:gridCol w:w="2032"/>
        <w:gridCol w:w="1609"/>
        <w:gridCol w:w="1591"/>
        <w:gridCol w:w="1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192"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行政区划</w:t>
            </w:r>
          </w:p>
        </w:tc>
        <w:tc>
          <w:tcPr>
            <w:tcW w:w="312"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作物品种</w:t>
            </w:r>
          </w:p>
        </w:tc>
        <w:tc>
          <w:tcPr>
            <w:tcW w:w="293"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种植面积（亩）</w:t>
            </w:r>
          </w:p>
        </w:tc>
        <w:tc>
          <w:tcPr>
            <w:tcW w:w="290"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产量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（吨）</w:t>
            </w:r>
          </w:p>
        </w:tc>
        <w:tc>
          <w:tcPr>
            <w:tcW w:w="281"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不同植物形成100kg 产量所需氮</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（kg）</w:t>
            </w:r>
          </w:p>
        </w:tc>
        <w:tc>
          <w:tcPr>
            <w:tcW w:w="277"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spacing w:val="-1"/>
                <w:kern w:val="0"/>
                <w:sz w:val="21"/>
                <w:szCs w:val="21"/>
                <w:lang w:eastAsia="en-US"/>
              </w:rPr>
              <w:t>不同植物</w:t>
            </w:r>
            <w:r>
              <w:rPr>
                <w:rFonts w:ascii="Times New Roman" w:hAnsi="Times New Roman"/>
                <w:color w:val="auto"/>
                <w:spacing w:val="-15"/>
                <w:kern w:val="0"/>
                <w:sz w:val="21"/>
                <w:szCs w:val="21"/>
                <w:lang w:eastAsia="en-US"/>
              </w:rPr>
              <w:t xml:space="preserve">形成 </w:t>
            </w:r>
            <w:r>
              <w:rPr>
                <w:rFonts w:ascii="Times New Roman" w:hAnsi="Times New Roman"/>
                <w:color w:val="auto"/>
                <w:spacing w:val="-5"/>
                <w:kern w:val="0"/>
                <w:sz w:val="21"/>
                <w:szCs w:val="21"/>
                <w:lang w:eastAsia="en-US"/>
              </w:rPr>
              <w:t xml:space="preserve">100kg </w:t>
            </w:r>
            <w:r>
              <w:rPr>
                <w:rFonts w:ascii="Times New Roman" w:hAnsi="Times New Roman"/>
                <w:color w:val="auto"/>
                <w:spacing w:val="-1"/>
                <w:kern w:val="0"/>
                <w:sz w:val="21"/>
                <w:szCs w:val="21"/>
                <w:lang w:eastAsia="en-US"/>
              </w:rPr>
              <w:t>产量所需磷（kg）</w:t>
            </w:r>
          </w:p>
        </w:tc>
        <w:tc>
          <w:tcPr>
            <w:tcW w:w="789"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不同植物年氮/磷养分需</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求量（吨）</w:t>
            </w:r>
          </w:p>
        </w:tc>
        <w:tc>
          <w:tcPr>
            <w:tcW w:w="1179"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区域植物粪肥养分需求量（吨）</w:t>
            </w:r>
          </w:p>
        </w:tc>
        <w:tc>
          <w:tcPr>
            <w:tcW w:w="1022"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不同土地承载力</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（猪当量）</w:t>
            </w:r>
          </w:p>
        </w:tc>
        <w:tc>
          <w:tcPr>
            <w:tcW w:w="358"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eastAsia="zh-CN"/>
              </w:rPr>
              <w:t>规模以上现状猪当量</w:t>
            </w:r>
            <w:r>
              <w:rPr>
                <w:rFonts w:hint="eastAsia" w:ascii="Times New Roman" w:hAnsi="Times New Roman"/>
                <w:color w:val="auto"/>
                <w:kern w:val="0"/>
                <w:sz w:val="21"/>
                <w:szCs w:val="21"/>
                <w:lang w:val="en-US" w:eastAsia="zh-CN"/>
              </w:rPr>
              <w:t>(头)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2"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312"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93"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90"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81"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77"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373"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以氮为基础</w:t>
            </w:r>
          </w:p>
        </w:tc>
        <w:tc>
          <w:tcPr>
            <w:tcW w:w="416"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以磷为基础</w:t>
            </w:r>
          </w:p>
        </w:tc>
        <w:tc>
          <w:tcPr>
            <w:tcW w:w="530"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以氮为基础</w:t>
            </w:r>
          </w:p>
        </w:tc>
        <w:tc>
          <w:tcPr>
            <w:tcW w:w="649"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以磷为基础</w:t>
            </w:r>
          </w:p>
        </w:tc>
        <w:tc>
          <w:tcPr>
            <w:tcW w:w="51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以氮为基础</w:t>
            </w:r>
          </w:p>
        </w:tc>
        <w:tc>
          <w:tcPr>
            <w:tcW w:w="5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以磷为基础</w:t>
            </w:r>
          </w:p>
        </w:tc>
        <w:tc>
          <w:tcPr>
            <w:tcW w:w="358"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2"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312"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93"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90"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81"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277"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auto"/>
                <w:kern w:val="0"/>
                <w:sz w:val="21"/>
                <w:szCs w:val="21"/>
                <w:lang w:eastAsia="en-US"/>
              </w:rPr>
            </w:pPr>
          </w:p>
        </w:tc>
        <w:tc>
          <w:tcPr>
            <w:tcW w:w="373"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粪肥全部就地还田利用</w:t>
            </w:r>
          </w:p>
        </w:tc>
        <w:tc>
          <w:tcPr>
            <w:tcW w:w="416"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粪肥全部就地还田利用</w:t>
            </w:r>
          </w:p>
        </w:tc>
        <w:tc>
          <w:tcPr>
            <w:tcW w:w="530"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spacing w:val="-2"/>
                <w:kern w:val="0"/>
                <w:sz w:val="21"/>
                <w:szCs w:val="21"/>
                <w:lang w:eastAsia="en-US"/>
              </w:rPr>
              <w:t>施肥供给养分占</w:t>
            </w:r>
            <w:r>
              <w:rPr>
                <w:rFonts w:ascii="Times New Roman" w:hAnsi="Times New Roman"/>
                <w:color w:val="auto"/>
                <w:spacing w:val="-26"/>
                <w:kern w:val="0"/>
                <w:sz w:val="21"/>
                <w:szCs w:val="21"/>
                <w:lang w:eastAsia="en-US"/>
              </w:rPr>
              <w:t xml:space="preserve">比 </w:t>
            </w:r>
            <w:r>
              <w:rPr>
                <w:rFonts w:hint="eastAsia" w:ascii="Times New Roman" w:hAnsi="Times New Roman"/>
                <w:color w:val="auto"/>
                <w:kern w:val="0"/>
                <w:sz w:val="21"/>
                <w:szCs w:val="21"/>
                <w:lang w:eastAsia="en-US"/>
              </w:rPr>
              <w:t>5</w:t>
            </w:r>
            <w:r>
              <w:rPr>
                <w:rFonts w:ascii="Times New Roman" w:hAnsi="Times New Roman"/>
                <w:color w:val="auto"/>
                <w:kern w:val="0"/>
                <w:sz w:val="21"/>
                <w:szCs w:val="21"/>
                <w:lang w:eastAsia="en-US"/>
              </w:rPr>
              <w:t>5%</w:t>
            </w:r>
            <w:r>
              <w:rPr>
                <w:rFonts w:ascii="Times New Roman" w:hAnsi="Times New Roman"/>
                <w:color w:val="auto"/>
                <w:spacing w:val="-6"/>
                <w:kern w:val="0"/>
                <w:sz w:val="21"/>
                <w:szCs w:val="21"/>
                <w:lang w:eastAsia="en-US"/>
              </w:rPr>
              <w:t>，粪肥占</w:t>
            </w:r>
            <w:r>
              <w:rPr>
                <w:rFonts w:ascii="Times New Roman" w:hAnsi="Times New Roman"/>
                <w:color w:val="auto"/>
                <w:spacing w:val="-11"/>
                <w:kern w:val="0"/>
                <w:sz w:val="21"/>
                <w:szCs w:val="21"/>
                <w:lang w:eastAsia="en-US"/>
              </w:rPr>
              <w:t xml:space="preserve">施肥比例 </w:t>
            </w:r>
            <w:r>
              <w:rPr>
                <w:rFonts w:ascii="Times New Roman" w:hAnsi="Times New Roman"/>
                <w:color w:val="auto"/>
                <w:spacing w:val="-5"/>
                <w:kern w:val="0"/>
                <w:sz w:val="21"/>
                <w:szCs w:val="21"/>
                <w:lang w:eastAsia="en-US"/>
              </w:rPr>
              <w:t>50%，</w:t>
            </w:r>
            <w:r>
              <w:rPr>
                <w:rFonts w:ascii="Times New Roman" w:hAnsi="Times New Roman"/>
                <w:color w:val="auto"/>
                <w:spacing w:val="-2"/>
                <w:kern w:val="0"/>
                <w:sz w:val="21"/>
                <w:szCs w:val="21"/>
                <w:lang w:eastAsia="en-US"/>
              </w:rPr>
              <w:t>粪肥当季利用率</w:t>
            </w:r>
            <w:r>
              <w:rPr>
                <w:rFonts w:hint="eastAsia" w:ascii="Times New Roman" w:hAnsi="Times New Roman"/>
                <w:color w:val="auto"/>
                <w:kern w:val="0"/>
                <w:sz w:val="21"/>
                <w:szCs w:val="21"/>
                <w:lang w:eastAsia="en-US"/>
              </w:rPr>
              <w:t>25</w:t>
            </w:r>
            <w:r>
              <w:rPr>
                <w:rFonts w:ascii="Times New Roman" w:hAnsi="Times New Roman"/>
                <w:color w:val="auto"/>
                <w:kern w:val="0"/>
                <w:sz w:val="21"/>
                <w:szCs w:val="21"/>
                <w:lang w:eastAsia="en-US"/>
              </w:rPr>
              <w:t>%</w:t>
            </w:r>
          </w:p>
        </w:tc>
        <w:tc>
          <w:tcPr>
            <w:tcW w:w="649"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spacing w:val="-2"/>
                <w:kern w:val="0"/>
                <w:sz w:val="21"/>
                <w:szCs w:val="21"/>
                <w:lang w:eastAsia="en-US"/>
              </w:rPr>
              <w:t>施肥供给养分占</w:t>
            </w:r>
            <w:r>
              <w:rPr>
                <w:rFonts w:ascii="Times New Roman" w:hAnsi="Times New Roman"/>
                <w:color w:val="auto"/>
                <w:spacing w:val="-26"/>
                <w:kern w:val="0"/>
                <w:sz w:val="21"/>
                <w:szCs w:val="21"/>
                <w:lang w:eastAsia="en-US"/>
              </w:rPr>
              <w:t xml:space="preserve">比 </w:t>
            </w:r>
            <w:r>
              <w:rPr>
                <w:rFonts w:hint="eastAsia" w:ascii="Times New Roman" w:hAnsi="Times New Roman"/>
                <w:color w:val="auto"/>
                <w:kern w:val="0"/>
                <w:sz w:val="21"/>
                <w:szCs w:val="21"/>
                <w:lang w:eastAsia="en-US"/>
              </w:rPr>
              <w:t>5</w:t>
            </w:r>
            <w:r>
              <w:rPr>
                <w:rFonts w:ascii="Times New Roman" w:hAnsi="Times New Roman"/>
                <w:color w:val="auto"/>
                <w:kern w:val="0"/>
                <w:sz w:val="21"/>
                <w:szCs w:val="21"/>
                <w:lang w:eastAsia="en-US"/>
              </w:rPr>
              <w:t>5%</w:t>
            </w:r>
            <w:r>
              <w:rPr>
                <w:rFonts w:ascii="Times New Roman" w:hAnsi="Times New Roman"/>
                <w:color w:val="auto"/>
                <w:spacing w:val="-6"/>
                <w:kern w:val="0"/>
                <w:sz w:val="21"/>
                <w:szCs w:val="21"/>
                <w:lang w:eastAsia="en-US"/>
              </w:rPr>
              <w:t>，粪肥占</w:t>
            </w:r>
            <w:r>
              <w:rPr>
                <w:rFonts w:ascii="Times New Roman" w:hAnsi="Times New Roman"/>
                <w:color w:val="auto"/>
                <w:spacing w:val="-10"/>
                <w:kern w:val="0"/>
                <w:sz w:val="21"/>
                <w:szCs w:val="21"/>
                <w:lang w:eastAsia="en-US"/>
              </w:rPr>
              <w:t xml:space="preserve">施肥比例 </w:t>
            </w:r>
            <w:r>
              <w:rPr>
                <w:rFonts w:ascii="Times New Roman" w:hAnsi="Times New Roman"/>
                <w:color w:val="auto"/>
                <w:spacing w:val="-6"/>
                <w:kern w:val="0"/>
                <w:sz w:val="21"/>
                <w:szCs w:val="21"/>
                <w:lang w:eastAsia="en-US"/>
              </w:rPr>
              <w:t>50%，</w:t>
            </w:r>
            <w:r>
              <w:rPr>
                <w:rFonts w:ascii="Times New Roman" w:hAnsi="Times New Roman"/>
                <w:color w:val="auto"/>
                <w:spacing w:val="-2"/>
                <w:kern w:val="0"/>
                <w:sz w:val="21"/>
                <w:szCs w:val="21"/>
                <w:lang w:eastAsia="en-US"/>
              </w:rPr>
              <w:t>粪肥当季利用率</w:t>
            </w:r>
            <w:r>
              <w:rPr>
                <w:rFonts w:hint="eastAsia" w:ascii="Times New Roman" w:hAnsi="Times New Roman"/>
                <w:color w:val="auto"/>
                <w:spacing w:val="-2"/>
                <w:kern w:val="0"/>
                <w:sz w:val="21"/>
                <w:szCs w:val="21"/>
                <w:lang w:eastAsia="en-US"/>
              </w:rPr>
              <w:t>30</w:t>
            </w:r>
            <w:r>
              <w:rPr>
                <w:rFonts w:ascii="Times New Roman" w:hAnsi="Times New Roman"/>
                <w:color w:val="auto"/>
                <w:kern w:val="0"/>
                <w:sz w:val="21"/>
                <w:szCs w:val="21"/>
                <w:lang w:eastAsia="en-US"/>
              </w:rPr>
              <w:t>%</w:t>
            </w:r>
          </w:p>
        </w:tc>
        <w:tc>
          <w:tcPr>
            <w:tcW w:w="51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养分供给量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7.0kg/猪当量</w:t>
            </w:r>
          </w:p>
        </w:tc>
        <w:tc>
          <w:tcPr>
            <w:tcW w:w="5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养分供给量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1.2kg/猪当量</w:t>
            </w:r>
          </w:p>
        </w:tc>
        <w:tc>
          <w:tcPr>
            <w:tcW w:w="358"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auto"/>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白沙镇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17567.24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6166.10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135.65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49.33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spacing w:val="-2"/>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149.22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spacing w:val="-2"/>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45.22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21317.09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37681.72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17000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4341.65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9169.55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33.01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8.25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spacing w:val="-2"/>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36.31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spacing w:val="-2"/>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7.56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5187.35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6304.07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471.66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6168.37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31.46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12.15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spacing w:val="-2"/>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34.60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spacing w:val="-2"/>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11.14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4943.51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auto"/>
                <w:kern w:val="0"/>
                <w:sz w:val="21"/>
                <w:szCs w:val="21"/>
                <w:lang w:eastAsia="en-US"/>
              </w:rPr>
            </w:pPr>
            <w:r>
              <w:rPr>
                <w:rFonts w:hint="default" w:ascii="Times New Roman" w:hAnsi="Times New Roman" w:eastAsia="宋体" w:cs="Times New Roman"/>
                <w:i w:val="0"/>
                <w:iCs w:val="0"/>
                <w:color w:val="auto"/>
                <w:kern w:val="0"/>
                <w:sz w:val="21"/>
                <w:szCs w:val="21"/>
                <w:u w:val="none"/>
                <w:lang w:val="en-US" w:eastAsia="zh-CN" w:bidi="ar"/>
              </w:rPr>
              <w:t xml:space="preserve">9282.54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大湖乡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43677.17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15330.68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337.28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122.65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371.00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112.43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53000.37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93687.52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139813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599.76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1266.69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4.56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716.59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870.85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1534.26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20065.05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102.33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112.56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36.23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16080.71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30195.12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甘蔗街道</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3072.72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1078.52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23.73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8.63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26.10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7.91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3728.61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6590.98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644.91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1362.05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770.53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936.41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382.94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5008.02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25.54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9.87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28.10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9.04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4013.57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7536.38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鸿尾乡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25640.27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8999.73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197.99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72.00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217.79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66.00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31113.36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54998.37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3101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2996.91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6329.47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22.79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5.70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25.06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3580.67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4351.51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661.40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8649.72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44.11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17.04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48.52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15.62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6932.14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13016.63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荆溪镇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14126.60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4958.43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109.09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39.67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119.99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36.36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17142.02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30301.55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仿宋"/>
                <w:b w:val="0"/>
                <w:bCs w:val="0"/>
                <w:color w:val="auto"/>
                <w:kern w:val="0"/>
                <w:sz w:val="21"/>
                <w:szCs w:val="21"/>
                <w:lang w:val="en-US" w:eastAsia="zh-CN" w:bidi="ar"/>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1289.40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2723.21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9.80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10.78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1540.56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1872.21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147.63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1930.71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9.85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3.80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10.83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3.49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1547.32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2905.44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南通镇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7455.53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2616.89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57.57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20.94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63.33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19.19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9046.96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15992.10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41.02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86.63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49.01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59.56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350.49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4583.71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9.03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25.71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8.28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3673.51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6897.84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青口镇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15700.34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5510.82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121.24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44.09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133.36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40.41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19051.68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33677.22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1105.34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2334.47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8.40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2.10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9.24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1320.64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1604.95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1485.12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19422.40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99.05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38.26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108.96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35.07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15565.67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29228.01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上街镇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233.56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81.98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283.41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500.98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136.61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288.51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1.04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163.21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198.35 </w:t>
            </w:r>
          </w:p>
        </w:tc>
        <w:tc>
          <w:tcPr>
            <w:tcW w:w="358" w:type="pct"/>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118.65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1551.70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7.91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8.71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1243.58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2335.10 </w:t>
            </w:r>
          </w:p>
        </w:tc>
        <w:tc>
          <w:tcPr>
            <w:tcW w:w="358" w:type="pct"/>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尚干镇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361.52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126.89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2.79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1.02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3.07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0.93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438.68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775.45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廷坪乡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30542.40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10720.38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235.85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85.76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259.43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78.62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37061.89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65513.45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1183.25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2499.01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9.00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9.90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1413.73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1718.07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879.69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11504.59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58.67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22.66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64.54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20.78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9220.10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17312.80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祥谦镇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7444.82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2613.13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57.49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20.91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63.24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19.16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9033.96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15969.13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791.60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1671.85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6.02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6.62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945.79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1149.40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595.98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7794.23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15.35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43.73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14.08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6246.52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11729.23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小箬乡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8656.73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3038.51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66.85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24.31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73.53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22.28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10504.56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18568.68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8640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332.85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702.98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2.53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2.78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397.69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483.30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32.66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427.06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2.18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342.26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642.67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洋里乡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26440.05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9280.46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204.17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74.24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224.59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68.06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32083.87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56713.91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44200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367.92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777.05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439.59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534.22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1353.77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17704.54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90.29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34.88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99.32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31.97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14188.92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26642.87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eastAsia="en-US"/>
              </w:rPr>
            </w:pPr>
            <w:r>
              <w:rPr>
                <w:rFonts w:hint="eastAsia" w:ascii="宋体" w:hAnsi="宋体" w:eastAsia="宋体" w:cs="宋体"/>
                <w:i w:val="0"/>
                <w:iCs w:val="0"/>
                <w:color w:val="auto"/>
                <w:kern w:val="0"/>
                <w:sz w:val="21"/>
                <w:szCs w:val="21"/>
                <w:u w:val="none"/>
                <w:lang w:val="en-US" w:eastAsia="zh-CN" w:bidi="ar"/>
              </w:rPr>
              <w:t>竹岐乡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23903.25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8390.04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184.58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67.12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203.04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61.53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29005.57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51272.47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仿宋"/>
                <w:b w:val="0"/>
                <w:bCs w:val="0"/>
                <w:color w:val="auto"/>
                <w:kern w:val="0"/>
                <w:sz w:val="21"/>
                <w:szCs w:val="21"/>
                <w:lang w:val="en-US" w:eastAsia="zh-CN" w:bidi="ar"/>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1805.06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3812.28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13.72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15.10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2156.66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2620.94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auto"/>
                <w:kern w:val="0"/>
                <w:sz w:val="21"/>
                <w:szCs w:val="21"/>
                <w:lang w:eastAsia="en-US"/>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476.28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6228.79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31.77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12.27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34.94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4991.93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9373.46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宋体" w:cs="Times New Roman"/>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cs="Times New Roman"/>
          <w:color w:val="auto"/>
        </w:rPr>
        <w:t>注：种植面积、单产等数据来源于</w:t>
      </w:r>
      <w:r>
        <w:rPr>
          <w:rFonts w:hint="eastAsia" w:cs="Times New Roman"/>
          <w:color w:val="auto"/>
          <w:lang w:val="en-US" w:eastAsia="zh-CN"/>
        </w:rPr>
        <w:t>闽侯县</w:t>
      </w:r>
      <w:r>
        <w:rPr>
          <w:rFonts w:hint="eastAsia" w:ascii="Times New Roman" w:hAnsi="Times New Roman" w:cs="Times New Roman"/>
          <w:color w:val="auto"/>
        </w:rPr>
        <w:t>202</w:t>
      </w:r>
      <w:r>
        <w:rPr>
          <w:rFonts w:hint="eastAsia" w:cs="Times New Roman"/>
          <w:color w:val="auto"/>
          <w:lang w:val="en-US" w:eastAsia="zh-CN"/>
        </w:rPr>
        <w:t>0当</w:t>
      </w:r>
      <w:r>
        <w:rPr>
          <w:rFonts w:ascii="Times New Roman" w:hAnsi="Times New Roman" w:cs="Times New Roman"/>
          <w:color w:val="auto"/>
        </w:rPr>
        <w:t>年统计数据。</w:t>
      </w:r>
      <w:r>
        <w:rPr>
          <w:rFonts w:hint="eastAsia" w:cs="Times New Roman"/>
          <w:color w:val="auto"/>
          <w:lang w:eastAsia="zh-CN"/>
        </w:rPr>
        <w:t>各作物氮、磷养料参照《畜禽粪污土地承载力测算技术指南》中的推荐值，其中蔬菜需肥量取各蔬菜平均值。种植面积为当地规定耕地林地园地面积的70%，作为可消纳地面积计算。</w:t>
      </w:r>
    </w:p>
    <w:p>
      <w:pPr>
        <w:pStyle w:val="5"/>
        <w:bidi w:val="0"/>
      </w:pPr>
      <w:bookmarkStart w:id="92" w:name="_Toc32711"/>
      <w:bookmarkStart w:id="93" w:name="_Toc16771"/>
      <w:r>
        <w:rPr>
          <w:rFonts w:hint="eastAsia"/>
        </w:rPr>
        <w:t>4.3目标可达性分析</w:t>
      </w:r>
      <w:bookmarkEnd w:id="92"/>
      <w:bookmarkEnd w:id="93"/>
    </w:p>
    <w:p>
      <w:pPr>
        <w:pStyle w:val="6"/>
        <w:bidi w:val="0"/>
      </w:pPr>
      <w:r>
        <w:rPr>
          <w:rFonts w:hint="eastAsia"/>
        </w:rPr>
        <w:t>4.3.1区域环境可接受养殖总量控制目标</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根据《</w:t>
      </w:r>
      <w:r>
        <w:rPr>
          <w:rFonts w:hint="eastAsia" w:cs="Times New Roman"/>
          <w:sz w:val="24"/>
          <w:szCs w:val="32"/>
          <w:lang w:eastAsia="zh-CN"/>
        </w:rPr>
        <w:t>闽侯县</w:t>
      </w:r>
      <w:r>
        <w:rPr>
          <w:rFonts w:hint="eastAsia" w:ascii="Times New Roman" w:hAnsi="Times New Roman" w:eastAsia="宋体" w:cs="Times New Roman"/>
          <w:sz w:val="24"/>
          <w:szCs w:val="32"/>
        </w:rPr>
        <w:t>畜牧业发展规划（20</w:t>
      </w:r>
      <w:r>
        <w:rPr>
          <w:rFonts w:hint="eastAsia" w:cs="Times New Roman"/>
          <w:sz w:val="24"/>
          <w:szCs w:val="32"/>
          <w:lang w:val="en-US" w:eastAsia="zh-CN"/>
        </w:rPr>
        <w:t>19</w:t>
      </w:r>
      <w:r>
        <w:rPr>
          <w:rFonts w:hint="eastAsia" w:ascii="Times New Roman" w:hAnsi="Times New Roman" w:eastAsia="宋体" w:cs="Times New Roman"/>
          <w:sz w:val="24"/>
          <w:szCs w:val="32"/>
        </w:rPr>
        <w:t>~2025年）》，2025年规模目标生猪存</w:t>
      </w:r>
      <w:r>
        <w:rPr>
          <w:rFonts w:hint="eastAsia" w:cs="Times New Roman"/>
          <w:sz w:val="24"/>
          <w:szCs w:val="32"/>
          <w:lang w:val="en-US" w:eastAsia="zh-CN"/>
        </w:rPr>
        <w:t>21</w:t>
      </w:r>
      <w:r>
        <w:rPr>
          <w:rFonts w:hint="eastAsia" w:ascii="Times New Roman" w:hAnsi="Times New Roman" w:eastAsia="宋体" w:cs="Times New Roman"/>
          <w:sz w:val="24"/>
          <w:szCs w:val="32"/>
        </w:rPr>
        <w:t>万头，牛存栏</w:t>
      </w:r>
      <w:r>
        <w:rPr>
          <w:rFonts w:hint="eastAsia" w:cs="Times New Roman"/>
          <w:sz w:val="24"/>
          <w:szCs w:val="32"/>
          <w:lang w:val="en-US" w:eastAsia="zh-CN"/>
        </w:rPr>
        <w:t>10555</w:t>
      </w:r>
      <w:r>
        <w:rPr>
          <w:rFonts w:hint="eastAsia" w:ascii="Times New Roman" w:hAnsi="Times New Roman" w:eastAsia="宋体" w:cs="Times New Roman"/>
          <w:sz w:val="24"/>
          <w:szCs w:val="32"/>
        </w:rPr>
        <w:t>头，羊存栏</w:t>
      </w:r>
      <w:r>
        <w:rPr>
          <w:rFonts w:hint="eastAsia" w:cs="Times New Roman"/>
          <w:sz w:val="24"/>
          <w:szCs w:val="32"/>
          <w:lang w:val="en-US" w:eastAsia="zh-CN"/>
        </w:rPr>
        <w:t>6.85</w:t>
      </w:r>
      <w:r>
        <w:rPr>
          <w:rFonts w:hint="eastAsia" w:ascii="Times New Roman" w:hAnsi="Times New Roman" w:eastAsia="宋体" w:cs="Times New Roman"/>
          <w:sz w:val="24"/>
          <w:szCs w:val="32"/>
        </w:rPr>
        <w:t>万头，家禽（含鸡、鸭、鹅、水禽）</w:t>
      </w:r>
      <w:r>
        <w:rPr>
          <w:rFonts w:hint="eastAsia" w:cs="Times New Roman"/>
          <w:sz w:val="24"/>
          <w:szCs w:val="32"/>
          <w:lang w:eastAsia="zh-CN"/>
        </w:rPr>
        <w:t>存栏</w:t>
      </w:r>
      <w:r>
        <w:rPr>
          <w:rFonts w:hint="eastAsia" w:ascii="Times New Roman" w:hAnsi="Times New Roman" w:eastAsia="宋体" w:cs="Times New Roman"/>
          <w:sz w:val="24"/>
          <w:szCs w:val="32"/>
        </w:rPr>
        <w:t>量达</w:t>
      </w:r>
      <w:r>
        <w:rPr>
          <w:rFonts w:hint="eastAsia" w:cs="Times New Roman"/>
          <w:sz w:val="24"/>
          <w:szCs w:val="32"/>
          <w:lang w:val="en-US" w:eastAsia="zh-CN"/>
        </w:rPr>
        <w:t>314.97</w:t>
      </w:r>
      <w:r>
        <w:rPr>
          <w:rFonts w:hint="eastAsia" w:ascii="Times New Roman" w:hAnsi="Times New Roman" w:eastAsia="宋体" w:cs="Times New Roman"/>
          <w:sz w:val="24"/>
          <w:szCs w:val="32"/>
        </w:rPr>
        <w:t>万只，肉兔</w:t>
      </w:r>
      <w:r>
        <w:rPr>
          <w:rFonts w:hint="eastAsia" w:cs="Times New Roman"/>
          <w:sz w:val="24"/>
          <w:szCs w:val="32"/>
          <w:lang w:eastAsia="zh-CN"/>
        </w:rPr>
        <w:t>存栏</w:t>
      </w:r>
      <w:r>
        <w:rPr>
          <w:rFonts w:hint="eastAsia" w:ascii="Times New Roman" w:hAnsi="Times New Roman" w:eastAsia="宋体" w:cs="Times New Roman"/>
          <w:sz w:val="24"/>
          <w:szCs w:val="32"/>
        </w:rPr>
        <w:t>量</w:t>
      </w:r>
      <w:r>
        <w:rPr>
          <w:rFonts w:hint="eastAsia" w:cs="Times New Roman"/>
          <w:sz w:val="24"/>
          <w:szCs w:val="32"/>
          <w:lang w:val="en-US" w:eastAsia="zh-CN"/>
        </w:rPr>
        <w:t>16</w:t>
      </w:r>
      <w:r>
        <w:rPr>
          <w:rFonts w:hint="eastAsia" w:ascii="Times New Roman" w:hAnsi="Times New Roman" w:eastAsia="宋体" w:cs="Times New Roman"/>
          <w:sz w:val="24"/>
          <w:szCs w:val="32"/>
        </w:rPr>
        <w:t>万只，</w:t>
      </w:r>
      <w:r>
        <w:rPr>
          <w:rFonts w:hint="eastAsia" w:cs="Times New Roman"/>
          <w:sz w:val="24"/>
          <w:szCs w:val="32"/>
          <w:lang w:eastAsia="zh-CN"/>
        </w:rPr>
        <w:t>折</w:t>
      </w:r>
      <w:r>
        <w:rPr>
          <w:rFonts w:hint="eastAsia" w:ascii="Times New Roman" w:hAnsi="Times New Roman" w:eastAsia="宋体" w:cs="Times New Roman"/>
          <w:sz w:val="24"/>
          <w:szCs w:val="32"/>
        </w:rPr>
        <w:t>算成存栏猪当量为40</w:t>
      </w:r>
      <w:r>
        <w:rPr>
          <w:rFonts w:hint="eastAsia" w:cs="Times New Roman"/>
          <w:sz w:val="24"/>
          <w:szCs w:val="32"/>
          <w:lang w:val="en-US" w:eastAsia="zh-CN"/>
        </w:rPr>
        <w:t>.39</w:t>
      </w:r>
      <w:r>
        <w:rPr>
          <w:rFonts w:hint="eastAsia" w:ascii="Times New Roman" w:hAnsi="Times New Roman" w:eastAsia="宋体" w:cs="Times New Roman"/>
          <w:sz w:val="24"/>
          <w:szCs w:val="32"/>
        </w:rPr>
        <w:t>万头，相较2020年现状猪当量</w:t>
      </w:r>
      <w:r>
        <w:rPr>
          <w:rFonts w:hint="eastAsia" w:cs="Times New Roman"/>
          <w:sz w:val="24"/>
          <w:szCs w:val="32"/>
          <w:lang w:val="en-US" w:eastAsia="zh-CN"/>
        </w:rPr>
        <w:t>38.12</w:t>
      </w:r>
      <w:r>
        <w:rPr>
          <w:rFonts w:hint="eastAsia" w:ascii="Times New Roman" w:hAnsi="Times New Roman" w:eastAsia="宋体" w:cs="Times New Roman"/>
          <w:sz w:val="24"/>
          <w:szCs w:val="32"/>
        </w:rPr>
        <w:t>万头，上升</w:t>
      </w:r>
      <w:r>
        <w:rPr>
          <w:rFonts w:hint="eastAsia" w:cs="Times New Roman"/>
          <w:sz w:val="24"/>
          <w:szCs w:val="32"/>
          <w:lang w:val="en-US" w:eastAsia="zh-CN"/>
        </w:rPr>
        <w:t>5.95</w:t>
      </w:r>
      <w:r>
        <w:rPr>
          <w:rFonts w:hint="eastAsia" w:ascii="Times New Roman" w:hAnsi="Times New Roman" w:eastAsia="宋体" w:cs="Times New Roman"/>
          <w:sz w:val="24"/>
          <w:szCs w:val="32"/>
        </w:rPr>
        <w:t>%，生猪养殖保持稳定增长，其余家禽、兔、羊、牛等均提高</w:t>
      </w:r>
      <w:r>
        <w:rPr>
          <w:rFonts w:hint="eastAsia" w:cs="Times New Roman"/>
          <w:sz w:val="24"/>
          <w:szCs w:val="32"/>
          <w:lang w:val="en-US" w:eastAsia="zh-CN"/>
        </w:rPr>
        <w:t>规模化养殖</w:t>
      </w:r>
      <w:r>
        <w:rPr>
          <w:rFonts w:hint="eastAsia" w:ascii="Times New Roman" w:hAnsi="Times New Roman" w:eastAsia="宋体" w:cs="Times New Roman"/>
          <w:sz w:val="24"/>
          <w:szCs w:val="32"/>
        </w:rPr>
        <w:t>发展指标，根据畜禽粪污环境承载力测算结果，</w:t>
      </w:r>
      <w:r>
        <w:rPr>
          <w:rFonts w:hint="eastAsia" w:cs="Times New Roman"/>
          <w:sz w:val="24"/>
          <w:szCs w:val="32"/>
          <w:lang w:eastAsia="zh-CN"/>
        </w:rPr>
        <w:t>闽侯县总体</w:t>
      </w:r>
      <w:r>
        <w:rPr>
          <w:rFonts w:hint="eastAsia" w:ascii="Times New Roman" w:hAnsi="Times New Roman" w:eastAsia="宋体" w:cs="Times New Roman"/>
          <w:sz w:val="24"/>
          <w:szCs w:val="32"/>
        </w:rPr>
        <w:t>环境承载力可接受。</w:t>
      </w:r>
    </w:p>
    <w:p>
      <w:pPr>
        <w:pStyle w:val="6"/>
        <w:bidi w:val="0"/>
        <w:rPr>
          <w:rFonts w:ascii="Times New Roman" w:hAnsi="Times New Roman" w:eastAsia="黑体" w:cs="Times New Roman"/>
          <w:b/>
          <w:bCs/>
          <w:szCs w:val="36"/>
        </w:rPr>
      </w:pPr>
      <w:bookmarkStart w:id="94" w:name="_Toc26408"/>
      <w:bookmarkStart w:id="95" w:name="_Toc26115"/>
      <w:r>
        <w:rPr>
          <w:rFonts w:hint="eastAsia"/>
        </w:rPr>
        <w:t>4.3.2</w:t>
      </w:r>
      <w:r>
        <w:rPr>
          <w:rFonts w:hint="eastAsia"/>
          <w:lang w:eastAsia="zh-CN"/>
        </w:rPr>
        <w:t>闽侯县</w:t>
      </w:r>
      <w:r>
        <w:rPr>
          <w:rFonts w:hint="eastAsia"/>
        </w:rPr>
        <w:t>畜禽养殖规模合理性分析（衔接</w:t>
      </w:r>
      <w:r>
        <w:rPr>
          <w:rFonts w:hint="eastAsia"/>
          <w:lang w:eastAsia="zh-CN"/>
        </w:rPr>
        <w:t>闽侯县</w:t>
      </w:r>
      <w:r>
        <w:rPr>
          <w:rFonts w:hint="eastAsia"/>
        </w:rPr>
        <w:t>畜牧业发展规划）</w:t>
      </w:r>
      <w:bookmarkEnd w:id="94"/>
      <w:bookmarkEnd w:id="95"/>
    </w:p>
    <w:p>
      <w:pPr>
        <w:adjustRightInd w:val="0"/>
        <w:snapToGrid w:val="0"/>
        <w:spacing w:line="360" w:lineRule="auto"/>
        <w:ind w:firstLine="480" w:firstLineChars="200"/>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rPr>
        <w:t>本次规划基于《</w:t>
      </w:r>
      <w:r>
        <w:rPr>
          <w:rFonts w:hint="eastAsia" w:cs="Times New Roman"/>
          <w:sz w:val="24"/>
          <w:szCs w:val="32"/>
          <w:lang w:eastAsia="zh-CN"/>
        </w:rPr>
        <w:t>闽侯县</w:t>
      </w:r>
      <w:r>
        <w:rPr>
          <w:rFonts w:hint="eastAsia" w:ascii="Times New Roman" w:hAnsi="Times New Roman" w:eastAsia="宋体" w:cs="Times New Roman"/>
          <w:sz w:val="24"/>
          <w:szCs w:val="32"/>
        </w:rPr>
        <w:t>畜牧业发展规划（20</w:t>
      </w:r>
      <w:r>
        <w:rPr>
          <w:rFonts w:hint="eastAsia" w:cs="Times New Roman"/>
          <w:sz w:val="24"/>
          <w:szCs w:val="32"/>
          <w:lang w:val="en-US" w:eastAsia="zh-CN"/>
        </w:rPr>
        <w:t>19</w:t>
      </w:r>
      <w:r>
        <w:rPr>
          <w:rFonts w:hint="eastAsia" w:ascii="Times New Roman" w:hAnsi="Times New Roman" w:eastAsia="宋体" w:cs="Times New Roman"/>
          <w:sz w:val="24"/>
          <w:szCs w:val="32"/>
        </w:rPr>
        <w:t>~2025年）》中所提出的2025年畜禽养殖规模目标，计算该发展规模下</w:t>
      </w:r>
      <w:r>
        <w:rPr>
          <w:rFonts w:hint="eastAsia" w:cs="Times New Roman"/>
          <w:sz w:val="24"/>
          <w:szCs w:val="32"/>
          <w:lang w:eastAsia="zh-CN"/>
        </w:rPr>
        <w:t>闽侯县</w:t>
      </w:r>
      <w:r>
        <w:rPr>
          <w:rFonts w:hint="eastAsia" w:ascii="Times New Roman" w:hAnsi="Times New Roman" w:eastAsia="宋体" w:cs="Times New Roman"/>
          <w:sz w:val="24"/>
          <w:szCs w:val="32"/>
        </w:rPr>
        <w:t>的水资源承载力、水环境承载力、畜禽粪污土地承载力。论证结果表明，</w:t>
      </w:r>
      <w:r>
        <w:rPr>
          <w:rFonts w:hint="eastAsia" w:cs="Times New Roman"/>
          <w:sz w:val="24"/>
          <w:szCs w:val="32"/>
          <w:lang w:eastAsia="zh-CN"/>
        </w:rPr>
        <w:t>闽侯县</w:t>
      </w:r>
      <w:r>
        <w:rPr>
          <w:rFonts w:hint="eastAsia" w:ascii="Times New Roman" w:hAnsi="Times New Roman" w:eastAsia="宋体" w:cs="Times New Roman"/>
          <w:sz w:val="24"/>
          <w:szCs w:val="32"/>
        </w:rPr>
        <w:t>的水资源承载力、水环境承载力和畜禽粪污土地承载力能满足《</w:t>
      </w:r>
      <w:r>
        <w:rPr>
          <w:rFonts w:hint="eastAsia" w:cs="Times New Roman"/>
          <w:sz w:val="24"/>
          <w:szCs w:val="32"/>
          <w:lang w:eastAsia="zh-CN"/>
        </w:rPr>
        <w:t>闽侯县</w:t>
      </w:r>
      <w:r>
        <w:rPr>
          <w:rFonts w:hint="eastAsia" w:ascii="Times New Roman" w:hAnsi="Times New Roman" w:eastAsia="宋体" w:cs="Times New Roman"/>
          <w:sz w:val="24"/>
          <w:szCs w:val="32"/>
        </w:rPr>
        <w:t>畜牧业发展规划（20</w:t>
      </w:r>
      <w:r>
        <w:rPr>
          <w:rFonts w:hint="eastAsia" w:cs="Times New Roman"/>
          <w:sz w:val="24"/>
          <w:szCs w:val="32"/>
          <w:lang w:val="en-US" w:eastAsia="zh-CN"/>
        </w:rPr>
        <w:t>19</w:t>
      </w:r>
      <w:r>
        <w:rPr>
          <w:rFonts w:hint="eastAsia" w:ascii="Times New Roman" w:hAnsi="Times New Roman" w:eastAsia="宋体" w:cs="Times New Roman"/>
          <w:sz w:val="24"/>
          <w:szCs w:val="32"/>
        </w:rPr>
        <w:t>~2025年）》中所提出的2025年的畜禽养</w:t>
      </w:r>
      <w:r>
        <w:rPr>
          <w:rFonts w:hint="eastAsia" w:ascii="Times New Roman" w:hAnsi="Times New Roman" w:eastAsia="宋体" w:cs="Times New Roman"/>
          <w:color w:val="auto"/>
          <w:sz w:val="24"/>
          <w:szCs w:val="32"/>
        </w:rPr>
        <w:t>殖规模目标，该发展规模目标合理可行。</w:t>
      </w:r>
      <w:r>
        <w:rPr>
          <w:rFonts w:hint="eastAsia"/>
          <w:color w:val="auto"/>
          <w:lang w:eastAsia="zh-CN"/>
        </w:rPr>
        <w:t>根据附表</w:t>
      </w:r>
      <w:r>
        <w:rPr>
          <w:rFonts w:hint="eastAsia"/>
          <w:color w:val="auto"/>
          <w:lang w:val="en-US" w:eastAsia="zh-CN"/>
        </w:rPr>
        <w:t>4各乡镇土地种植面积承载力计算结果显示，大湖乡和洋里乡两个乡镇目前规模以上畜禽养殖计算的猪当量已经接近当地耕地、林地、园地可承载能力，其余乡镇土地承载力均有较大畜禽养殖的发展空间。</w:t>
      </w:r>
    </w:p>
    <w:p>
      <w:pPr>
        <w:pStyle w:val="6"/>
        <w:bidi w:val="0"/>
      </w:pPr>
      <w:bookmarkStart w:id="96" w:name="_Toc25495"/>
      <w:bookmarkStart w:id="97" w:name="_Toc3663"/>
      <w:r>
        <w:rPr>
          <w:rFonts w:hint="eastAsia"/>
        </w:rPr>
        <w:t>4.3.3粪污资源化利用潜力</w:t>
      </w:r>
      <w:bookmarkEnd w:id="96"/>
      <w:bookmarkEnd w:id="97"/>
    </w:p>
    <w:p>
      <w:pPr>
        <w:adjustRightInd w:val="0"/>
        <w:snapToGrid w:val="0"/>
        <w:spacing w:line="360" w:lineRule="auto"/>
        <w:ind w:firstLine="480"/>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rPr>
        <w:t>根据《</w:t>
      </w:r>
      <w:r>
        <w:rPr>
          <w:rFonts w:hint="eastAsia" w:cs="Times New Roman"/>
          <w:sz w:val="24"/>
          <w:szCs w:val="32"/>
          <w:lang w:eastAsia="zh-CN"/>
        </w:rPr>
        <w:t>福州市</w:t>
      </w:r>
      <w:r>
        <w:rPr>
          <w:rFonts w:hint="eastAsia" w:ascii="Times New Roman" w:hAnsi="Times New Roman" w:eastAsia="宋体" w:cs="Times New Roman"/>
          <w:sz w:val="24"/>
          <w:szCs w:val="32"/>
        </w:rPr>
        <w:t>“十四五”特色现代农业发展专项规划》，规划全面实现畜禽养殖场的生态养殖模式</w:t>
      </w:r>
      <w:r>
        <w:rPr>
          <w:rFonts w:hint="eastAsia" w:ascii="Times New Roman" w:hAnsi="Times New Roman" w:eastAsia="宋体" w:cs="Times New Roman"/>
          <w:color w:val="auto"/>
          <w:sz w:val="24"/>
          <w:szCs w:val="32"/>
        </w:rPr>
        <w:t>，开展化肥零增长行动，引导农民减少化肥使用量，增施有机肥，推行测土配方施肥，提高新肥料推广应用率。且</w:t>
      </w:r>
      <w:r>
        <w:rPr>
          <w:rFonts w:hint="eastAsia" w:cs="Times New Roman"/>
          <w:color w:val="auto"/>
          <w:sz w:val="24"/>
          <w:szCs w:val="32"/>
          <w:lang w:eastAsia="zh-CN"/>
        </w:rPr>
        <w:t>闽侯县</w:t>
      </w:r>
      <w:r>
        <w:rPr>
          <w:rFonts w:hint="eastAsia" w:ascii="Times New Roman" w:hAnsi="Times New Roman" w:eastAsia="宋体" w:cs="Times New Roman"/>
          <w:color w:val="auto"/>
          <w:sz w:val="24"/>
          <w:szCs w:val="32"/>
        </w:rPr>
        <w:t>为</w:t>
      </w:r>
      <w:r>
        <w:rPr>
          <w:rFonts w:hint="eastAsia" w:cs="Times New Roman"/>
          <w:color w:val="auto"/>
          <w:sz w:val="24"/>
          <w:szCs w:val="32"/>
          <w:lang w:eastAsia="zh-CN"/>
        </w:rPr>
        <w:t>福州市畜牧业养殖大县</w:t>
      </w:r>
      <w:r>
        <w:rPr>
          <w:rFonts w:hint="eastAsia" w:ascii="Times New Roman" w:hAnsi="Times New Roman" w:eastAsia="宋体" w:cs="Times New Roman"/>
          <w:color w:val="auto"/>
          <w:sz w:val="24"/>
          <w:szCs w:val="32"/>
        </w:rPr>
        <w:t>，实施了</w:t>
      </w:r>
      <w:r>
        <w:rPr>
          <w:rFonts w:hint="eastAsia" w:cs="Times New Roman"/>
          <w:color w:val="auto"/>
          <w:sz w:val="24"/>
          <w:szCs w:val="32"/>
          <w:lang w:eastAsia="zh-CN"/>
        </w:rPr>
        <w:t>闽侯县</w:t>
      </w:r>
      <w:r>
        <w:rPr>
          <w:rFonts w:hint="eastAsia" w:ascii="Times New Roman" w:hAnsi="Times New Roman" w:eastAsia="宋体" w:cs="Times New Roman"/>
          <w:color w:val="auto"/>
          <w:sz w:val="24"/>
          <w:szCs w:val="32"/>
        </w:rPr>
        <w:t>畜禽粪污资源化利用整县推进项目建设，实现了资源化利用全过程标准化建设。</w:t>
      </w:r>
      <w:r>
        <w:rPr>
          <w:rFonts w:hint="eastAsia" w:cs="Times New Roman"/>
          <w:color w:val="auto"/>
          <w:sz w:val="24"/>
          <w:szCs w:val="32"/>
          <w:lang w:eastAsia="zh-CN"/>
        </w:rPr>
        <w:t>目前情况来看，规模化养猪场中福丰场</w:t>
      </w:r>
      <w:r>
        <w:rPr>
          <w:rFonts w:hint="eastAsia" w:cs="Times New Roman"/>
          <w:color w:val="auto"/>
          <w:sz w:val="24"/>
          <w:szCs w:val="32"/>
          <w:lang w:val="en-US" w:eastAsia="zh-CN"/>
        </w:rPr>
        <w:t>80%、光华场75%、邑丰场60%、长基场35%、兴盛30%的污水回用于猪舍冲洗，该部分养殖废水可作为沼液施用于周边土地，仍有进一步完善资源化利用潜力。</w:t>
      </w:r>
    </w:p>
    <w:p>
      <w:pPr>
        <w:pStyle w:val="6"/>
        <w:bidi w:val="0"/>
      </w:pPr>
      <w:bookmarkStart w:id="98" w:name="_Toc12488"/>
      <w:bookmarkStart w:id="99" w:name="_Toc15060"/>
      <w:r>
        <w:rPr>
          <w:rFonts w:hint="eastAsia"/>
        </w:rPr>
        <w:t>4.3.4拟采取的畜禽养殖污染进一步治理措施</w:t>
      </w:r>
      <w:bookmarkEnd w:id="98"/>
      <w:bookmarkEnd w:id="99"/>
    </w:p>
    <w:p>
      <w:pPr>
        <w:bidi w:val="0"/>
      </w:pPr>
      <w:r>
        <w:rPr>
          <w:rFonts w:hint="eastAsia"/>
        </w:rPr>
        <w:t>（1）清理整治违规养殖</w:t>
      </w:r>
      <w:r>
        <w:rPr>
          <w:rFonts w:hint="eastAsia"/>
          <w:lang w:eastAsia="zh-CN"/>
        </w:rPr>
        <w:t>户</w:t>
      </w:r>
      <w:r>
        <w:rPr>
          <w:rFonts w:hint="eastAsia"/>
        </w:rPr>
        <w:t>。</w:t>
      </w:r>
      <w:r>
        <w:rPr>
          <w:rFonts w:hint="eastAsia"/>
          <w:lang w:eastAsia="zh-CN"/>
        </w:rPr>
        <w:t>下一步将</w:t>
      </w:r>
      <w:r>
        <w:rPr>
          <w:rFonts w:hint="eastAsia"/>
        </w:rPr>
        <w:t>重点</w:t>
      </w:r>
      <w:r>
        <w:rPr>
          <w:rFonts w:hint="eastAsia"/>
          <w:lang w:eastAsia="zh-CN"/>
        </w:rPr>
        <w:t>排查</w:t>
      </w:r>
      <w:r>
        <w:rPr>
          <w:rFonts w:hint="eastAsia"/>
        </w:rPr>
        <w:t>整治禁养区养殖</w:t>
      </w:r>
      <w:r>
        <w:rPr>
          <w:rFonts w:hint="eastAsia"/>
          <w:lang w:eastAsia="zh-CN"/>
        </w:rPr>
        <w:t>户</w:t>
      </w:r>
      <w:r>
        <w:rPr>
          <w:rFonts w:hint="eastAsia"/>
        </w:rPr>
        <w:t>；村庄内房前屋后生猪养殖场；涉及土地卫片违法图斑生猪养殖场；新建、抢建、扩建、复建生猪养殖</w:t>
      </w:r>
      <w:r>
        <w:rPr>
          <w:rFonts w:hint="eastAsia"/>
          <w:lang w:eastAsia="zh-CN"/>
        </w:rPr>
        <w:t>户</w:t>
      </w:r>
      <w:r>
        <w:rPr>
          <w:rFonts w:hint="eastAsia"/>
        </w:rPr>
        <w:t>；复养、散养生猪养殖</w:t>
      </w:r>
      <w:r>
        <w:rPr>
          <w:rFonts w:hint="eastAsia"/>
          <w:lang w:eastAsia="zh-CN"/>
        </w:rPr>
        <w:t>户</w:t>
      </w:r>
      <w:r>
        <w:rPr>
          <w:rFonts w:hint="eastAsia"/>
        </w:rPr>
        <w:t>；污染治理不达标的养殖场等8个类型养猪场，确保违规生猪养殖</w:t>
      </w:r>
      <w:r>
        <w:rPr>
          <w:rFonts w:hint="eastAsia"/>
          <w:lang w:eastAsia="zh-CN"/>
        </w:rPr>
        <w:t>户</w:t>
      </w:r>
      <w:r>
        <w:rPr>
          <w:rFonts w:hint="eastAsia"/>
        </w:rPr>
        <w:t>清零。</w:t>
      </w:r>
    </w:p>
    <w:p>
      <w:pPr>
        <w:bidi w:val="0"/>
        <w:rPr>
          <w:rFonts w:hint="eastAsia" w:eastAsia="宋体"/>
          <w:lang w:eastAsia="zh-CN"/>
        </w:rPr>
      </w:pPr>
      <w:r>
        <w:rPr>
          <w:rFonts w:hint="eastAsia"/>
        </w:rPr>
        <w:t>（2）开展备案养殖项目清理。根据《福建省生态环境厅关于开展生猪养殖项目环境影响登记表备案整治工作的通知》（闽环保评[2021]9号）工作要求，对</w:t>
      </w:r>
      <w:r>
        <w:rPr>
          <w:rFonts w:hint="eastAsia"/>
          <w:lang w:eastAsia="zh-CN"/>
        </w:rPr>
        <w:t>闽侯</w:t>
      </w:r>
      <w:r>
        <w:rPr>
          <w:rFonts w:hint="eastAsia"/>
        </w:rPr>
        <w:t>县范围内养殖登记备案项目进行清理，确保登记备案项目与畜牧业发展规划相符。同时进行长效管理，要求各养殖场落实环境影响制度及污染防治设施运行。</w:t>
      </w:r>
      <w:r>
        <w:rPr>
          <w:rFonts w:hint="eastAsia"/>
          <w:lang w:eastAsia="zh-CN"/>
        </w:rPr>
        <w:t>对未进行备案的养殖场完善备案流程，逐步完善其粪污资源化利用措施。</w:t>
      </w:r>
    </w:p>
    <w:p>
      <w:pPr>
        <w:bidi w:val="0"/>
        <w:rPr>
          <w:rFonts w:ascii="Times New Roman" w:hAnsi="Times New Roman" w:eastAsia="宋体" w:cs="Times New Roman"/>
          <w:szCs w:val="32"/>
        </w:rPr>
      </w:pPr>
      <w:r>
        <w:rPr>
          <w:rFonts w:hint="eastAsia"/>
        </w:rPr>
        <w:t>（3）加强畜禽粪污资源利用管理。根据《农业农村部办公厅 生态环境部办公厅关于加强畜禽粪污资源化利用计划和台账管理的通知》（农办牧[2021]46号）要求，规范落实全区畜禽粪污资源化利用台账建设及长效规范化管理工作。同时继续加强畜禽粪污资源化利用整县推进项目运行，</w:t>
      </w:r>
      <w:r>
        <w:rPr>
          <w:rFonts w:hint="eastAsia"/>
          <w:lang w:eastAsia="zh-CN"/>
        </w:rPr>
        <w:t>进一步提升闽侯县</w:t>
      </w:r>
      <w:r>
        <w:rPr>
          <w:rFonts w:hint="eastAsia"/>
        </w:rPr>
        <w:t>粪污</w:t>
      </w:r>
      <w:r>
        <w:rPr>
          <w:rFonts w:hint="eastAsia"/>
          <w:lang w:eastAsia="zh-CN"/>
        </w:rPr>
        <w:t>资源化</w:t>
      </w:r>
      <w:r>
        <w:rPr>
          <w:rFonts w:hint="eastAsia"/>
        </w:rPr>
        <w:t>利用</w:t>
      </w:r>
      <w:r>
        <w:rPr>
          <w:rFonts w:hint="eastAsia"/>
          <w:lang w:eastAsia="zh-CN"/>
        </w:rPr>
        <w:t>率</w:t>
      </w:r>
      <w:r>
        <w:rPr>
          <w:rFonts w:hint="eastAsia"/>
        </w:rPr>
        <w:t>。</w:t>
      </w:r>
    </w:p>
    <w:p>
      <w:pPr>
        <w:pStyle w:val="6"/>
        <w:bidi w:val="0"/>
      </w:pPr>
      <w:bookmarkStart w:id="100" w:name="_Toc19398"/>
      <w:bookmarkStart w:id="101" w:name="_Toc20898"/>
      <w:r>
        <w:rPr>
          <w:rFonts w:hint="eastAsia"/>
        </w:rPr>
        <w:t>4.3.5目标可达性</w:t>
      </w:r>
      <w:bookmarkEnd w:id="100"/>
      <w:bookmarkEnd w:id="101"/>
    </w:p>
    <w:p>
      <w:pPr>
        <w:pStyle w:val="2"/>
        <w:adjustRightInd w:val="0"/>
        <w:snapToGrid w:val="0"/>
        <w:spacing w:after="0" w:line="360" w:lineRule="auto"/>
        <w:ind w:firstLine="480" w:firstLineChars="200"/>
      </w:pPr>
      <w:r>
        <w:rPr>
          <w:rFonts w:hint="eastAsia" w:ascii="Times New Roman" w:hAnsi="Times New Roman" w:eastAsia="宋体" w:cs="Times New Roman"/>
          <w:sz w:val="24"/>
          <w:szCs w:val="32"/>
        </w:rPr>
        <w:t>综合上述分析及措施，</w:t>
      </w:r>
      <w:r>
        <w:rPr>
          <w:rFonts w:hint="eastAsia" w:cs="Times New Roman"/>
          <w:sz w:val="24"/>
          <w:szCs w:val="32"/>
          <w:lang w:eastAsia="zh-CN"/>
        </w:rPr>
        <w:t>闽侯县</w:t>
      </w:r>
      <w:r>
        <w:rPr>
          <w:rFonts w:hint="eastAsia" w:ascii="Times New Roman" w:hAnsi="Times New Roman" w:eastAsia="宋体" w:cs="Times New Roman"/>
          <w:sz w:val="24"/>
          <w:szCs w:val="32"/>
        </w:rPr>
        <w:t>畜禽养殖污染防治规模目标基本可实现，可实现良好的发展环境。农业种植条件提升，化肥“零增长”措施的落实，可提高区域内有机肥的使用，进而缓解</w:t>
      </w:r>
      <w:r>
        <w:rPr>
          <w:rFonts w:hint="eastAsia" w:cs="Times New Roman"/>
          <w:sz w:val="24"/>
          <w:szCs w:val="32"/>
          <w:lang w:eastAsia="zh-CN"/>
        </w:rPr>
        <w:t>全县水环境</w:t>
      </w:r>
      <w:r>
        <w:rPr>
          <w:rFonts w:hint="eastAsia" w:ascii="Times New Roman" w:hAnsi="Times New Roman" w:eastAsia="宋体" w:cs="Times New Roman"/>
          <w:sz w:val="24"/>
          <w:szCs w:val="32"/>
        </w:rPr>
        <w:t>承载力超载情况。</w:t>
      </w:r>
    </w:p>
    <w:p>
      <w:bookmarkStart w:id="102" w:name="_Toc21076"/>
      <w:r>
        <w:br w:type="page"/>
      </w:r>
    </w:p>
    <w:p>
      <w:pPr>
        <w:pStyle w:val="4"/>
        <w:bidi w:val="0"/>
      </w:pPr>
      <w:bookmarkStart w:id="103" w:name="_Toc19695"/>
      <w:r>
        <w:t xml:space="preserve">第 </w:t>
      </w:r>
      <w:r>
        <w:rPr>
          <w:rFonts w:hint="eastAsia"/>
        </w:rPr>
        <w:t>5</w:t>
      </w:r>
      <w:r>
        <w:t xml:space="preserve"> 章  </w:t>
      </w:r>
      <w:r>
        <w:rPr>
          <w:rFonts w:hint="eastAsia"/>
        </w:rPr>
        <w:t>畜禽污染防治主要任务</w:t>
      </w:r>
      <w:bookmarkEnd w:id="102"/>
      <w:bookmarkEnd w:id="103"/>
    </w:p>
    <w:p>
      <w:pPr>
        <w:pStyle w:val="5"/>
        <w:bidi w:val="0"/>
        <w:rPr>
          <w:rFonts w:hint="eastAsia"/>
          <w:lang w:val="en-US" w:eastAsia="zh-CN"/>
        </w:rPr>
      </w:pPr>
      <w:bookmarkStart w:id="104" w:name="_Toc25358"/>
      <w:r>
        <w:rPr>
          <w:rFonts w:hint="eastAsia"/>
          <w:lang w:val="en-US" w:eastAsia="zh-CN"/>
        </w:rPr>
        <w:t>5.1 优化种养布局</w:t>
      </w:r>
      <w:bookmarkEnd w:id="104"/>
      <w:r>
        <w:rPr>
          <w:rFonts w:hint="eastAsia"/>
          <w:lang w:val="en-US" w:eastAsia="zh-CN"/>
        </w:rPr>
        <w:t xml:space="preserve"> </w:t>
      </w:r>
    </w:p>
    <w:p>
      <w:pPr>
        <w:pStyle w:val="6"/>
        <w:bidi w:val="0"/>
        <w:rPr>
          <w:rFonts w:hint="eastAsia"/>
          <w:lang w:val="en-US" w:eastAsia="zh-CN"/>
        </w:rPr>
      </w:pPr>
      <w:r>
        <w:rPr>
          <w:rFonts w:hint="eastAsia"/>
          <w:lang w:val="en-US" w:eastAsia="zh-CN"/>
        </w:rPr>
        <w:t xml:space="preserve">5.1.1 优化区域空间布局，严格环境空间准入 </w:t>
      </w:r>
    </w:p>
    <w:p>
      <w:pPr>
        <w:bidi w:val="0"/>
        <w:rPr>
          <w:rFonts w:hint="eastAsia"/>
          <w:highlight w:val="green"/>
          <w:lang w:val="en-US" w:eastAsia="zh-CN"/>
        </w:rPr>
      </w:pPr>
      <w:r>
        <w:rPr>
          <w:rFonts w:hint="eastAsia"/>
          <w:b/>
          <w:bCs/>
          <w:lang w:val="en-US" w:eastAsia="zh-CN"/>
        </w:rPr>
        <w:t>一、合理利用空间，优化畜禽养殖发展空间。</w:t>
      </w:r>
      <w:r>
        <w:rPr>
          <w:rFonts w:hint="eastAsia"/>
          <w:lang w:val="en-US" w:eastAsia="zh-CN"/>
        </w:rPr>
        <w:t>调整区域布局，推动养殖产能向粮食主产区等粪肥消纳量大的区域调整转移。引导畜禽养殖业粪污利用向资源、环境和土地承载力较强地区发展。从调查结果来看，大湖乡、洋里乡和白沙镇应为闽侯县畜禽养殖污染治理重点区域，分乡镇进一步确定禁养区与可养区，</w:t>
      </w:r>
      <w:r>
        <w:rPr>
          <w:rFonts w:hint="eastAsia"/>
          <w:color w:val="auto"/>
          <w:lang w:val="en-US" w:eastAsia="zh-CN"/>
        </w:rPr>
        <w:t>从目前情况来看，闽侯县16家生猪养殖场已配套相应规模的消纳地，但兴盛天兆、扬帆、金源达、光华已签订协议的消纳地中有种植松树、杉树的土地，此类树种吸收肥水养分不高，长此以往将对消纳土地造成负担，应在十四五期间对其消纳地进行调整。其他畜种类型养殖场污染防治配套设施较为简陋，十四五期间应做好除生猪之外的其他畜种规模化养殖场应养殖废料处理的配套措施，明确所有规模以上养殖场固液粪污去向，控制源头以降低农业面源污染，针对尚未建立备案的规模化家禽养殖场例如闽侯县大湖严圣鹰家庭农场、闽侯县廷坪乡五七前峰家庭农场等养鸭场应完善备案流程，安装监控设施监管其养殖过程，控制饲养规模，做好固体废弃物收集工作降低对周边水体大目溪支流和塘里溪的影响。</w:t>
      </w:r>
      <w:r>
        <w:rPr>
          <w:rFonts w:hint="eastAsia"/>
          <w:color w:val="auto"/>
          <w:highlight w:val="none"/>
          <w:lang w:val="en-US" w:eastAsia="zh-CN"/>
        </w:rPr>
        <w:t>迁建的闽侯县长盛农业发展有限公司搬迁扩建项目养殖场应按照规模化、标准化</w:t>
      </w:r>
      <w:r>
        <w:rPr>
          <w:rFonts w:hint="eastAsia"/>
          <w:highlight w:val="none"/>
          <w:lang w:val="en-US" w:eastAsia="zh-CN"/>
        </w:rPr>
        <w:t>、生态化、信息化、现代化的要求进行建设，能够充分、合理利用资源，大幅提高生产效率和畜产品产出率。</w:t>
      </w:r>
    </w:p>
    <w:p>
      <w:pPr>
        <w:bidi w:val="0"/>
        <w:rPr>
          <w:rFonts w:hint="eastAsia"/>
          <w:lang w:val="en-US" w:eastAsia="zh-CN"/>
        </w:rPr>
      </w:pPr>
      <w:r>
        <w:rPr>
          <w:rFonts w:hint="eastAsia"/>
          <w:b/>
          <w:bCs/>
          <w:lang w:val="en-US" w:eastAsia="zh-CN"/>
        </w:rPr>
        <w:t>二、控制养殖规模，推进集约化控制管控。</w:t>
      </w:r>
      <w:r>
        <w:rPr>
          <w:lang w:val="en-US" w:eastAsia="zh-CN"/>
        </w:rPr>
        <w:t>根据 “三线一单”划定成果、禁养区划定成果，结合区域自</w:t>
      </w:r>
      <w:r>
        <w:rPr>
          <w:rFonts w:hint="eastAsia"/>
          <w:lang w:val="en-US" w:eastAsia="zh-CN"/>
        </w:rPr>
        <w:t>然条件、人居环境、农业生产现状及土地利用现状，编制《闽侯县养殖业发展空间控制规划》，实现分区管控，拆劣建优。为产业链条发展提供空间支撑。针对规模以下养殖户应制定散养户集中化养殖及污染治理政策，推进养殖产业增长和污染防治。</w:t>
      </w:r>
    </w:p>
    <w:p>
      <w:pPr>
        <w:bidi w:val="0"/>
        <w:rPr>
          <w:rFonts w:hint="default"/>
          <w:color w:val="auto"/>
          <w:lang w:val="en-US" w:eastAsia="zh-CN"/>
        </w:rPr>
      </w:pPr>
      <w:r>
        <w:rPr>
          <w:rFonts w:hint="eastAsia"/>
          <w:lang w:val="en-US" w:eastAsia="zh-CN"/>
        </w:rPr>
        <w:t>根据《闽侯县农业农村局  福州市闽侯生态环境局关于转发《福建省农业农村厅 福建省生态环境厅关于印发全省生猪等畜禽养殖污染防治情况调查方案的通知》的通知》（侯农函</w:t>
      </w:r>
      <w:r>
        <w:rPr>
          <w:rFonts w:hint="eastAsia" w:ascii="宋体" w:hAnsi="宋体" w:eastAsia="宋体" w:cs="宋体"/>
          <w:lang w:val="en-US" w:eastAsia="zh-CN"/>
        </w:rPr>
        <w:t>〔2022〕172号</w:t>
      </w:r>
      <w:r>
        <w:rPr>
          <w:rFonts w:hint="eastAsia"/>
          <w:lang w:val="en-US" w:eastAsia="zh-CN"/>
        </w:rPr>
        <w:t>）摸排结果显示，闽侯县除上街镇和竹岐乡两个人口居住聚集区外，其余乡镇均有少量规模以下养殖户。各地乡镇政府应</w:t>
      </w:r>
      <w:r>
        <w:rPr>
          <w:lang w:val="en-US" w:eastAsia="zh-CN"/>
        </w:rPr>
        <w:t>严</w:t>
      </w:r>
      <w:r>
        <w:rPr>
          <w:rFonts w:hint="eastAsia"/>
          <w:lang w:val="en-US" w:eastAsia="zh-CN"/>
        </w:rPr>
        <w:t>格控制传统的中小规模畜禽养殖，重点发展高端畜禽种业、现代化养殖场和畜牧二、</w:t>
      </w:r>
      <w:r>
        <w:rPr>
          <w:rFonts w:hint="eastAsia"/>
          <w:color w:val="auto"/>
          <w:lang w:val="en-US" w:eastAsia="zh-CN"/>
        </w:rPr>
        <w:t>三产业、现代化粪污综合利用产业发展。针对闽侯县大樟溪口汇水范围所在的南通镇应排查规模以下养殖户养殖情况，劝导当地养殖户退养以尽可能减少养殖污染对当地水体带来的影响。针对大目溪周边的养殖场：连富农牧、盛源农牧、宏兴农业、恒顺生态农业、湖鑫农业、邑丰农业应严格控制饲养量不得超过审批规模，有条件的养殖场可进一步提升畜禽养殖污染治理设施，消纳地配套机械化浇灌设施，保障充足的消纳地，降低对大目溪的农业面源影响。</w:t>
      </w:r>
    </w:p>
    <w:p>
      <w:pPr>
        <w:bidi w:val="0"/>
        <w:rPr>
          <w:rFonts w:hint="eastAsia"/>
          <w:lang w:val="en-US" w:eastAsia="zh-CN"/>
        </w:rPr>
      </w:pPr>
      <w:r>
        <w:rPr>
          <w:rFonts w:hint="eastAsia"/>
          <w:color w:val="auto"/>
          <w:lang w:val="en-US" w:eastAsia="zh-CN"/>
        </w:rPr>
        <w:t>依据区域生态环境功能定位、环境承载能力、禁养区划定情况、“三线一单”管控要求等实际情况，合理确定养殖总量、品种和规模化水平、养殖选址等，规划建设沼气发电、有机肥生产的粪污消纳企业</w:t>
      </w:r>
      <w:r>
        <w:rPr>
          <w:rFonts w:hint="eastAsia"/>
          <w:lang w:val="en-US" w:eastAsia="zh-CN"/>
        </w:rPr>
        <w:t>，延长产业发展链条，确保完成污染物总量控制和排放标准要求。</w:t>
      </w:r>
    </w:p>
    <w:p>
      <w:pPr>
        <w:bidi w:val="0"/>
        <w:rPr>
          <w:rFonts w:hint="eastAsia"/>
          <w:lang w:val="en-US" w:eastAsia="zh-CN"/>
        </w:rPr>
      </w:pPr>
      <w:r>
        <w:rPr>
          <w:rFonts w:hint="eastAsia"/>
          <w:lang w:val="en-US" w:eastAsia="zh-CN"/>
        </w:rPr>
        <w:t>加强畜禽养殖业抗菌药全链条监督管理，在兽用抗生素经营、使用环节严格落实兽用处方药管理制度、兽药休药期制度和“兽药规范使用”承诺制度，实施兽用抗菌药减量化行动，严肃查处畜禽养殖生产过程中抗菌药物使用违法违规行为。</w:t>
      </w:r>
    </w:p>
    <w:p>
      <w:pPr>
        <w:bidi w:val="0"/>
        <w:rPr>
          <w:rFonts w:hint="eastAsia"/>
          <w:lang w:val="en-US" w:eastAsia="zh-CN"/>
        </w:rPr>
      </w:pPr>
      <w:r>
        <w:rPr>
          <w:rFonts w:hint="eastAsia"/>
          <w:b/>
          <w:bCs/>
          <w:lang w:val="en-US" w:eastAsia="zh-CN"/>
        </w:rPr>
        <w:t>三、实施严格环境空间准入管理。</w:t>
      </w:r>
      <w:r>
        <w:rPr>
          <w:lang w:val="en-US" w:eastAsia="zh-CN"/>
        </w:rPr>
        <w:t>严格环境准入，依据《</w:t>
      </w:r>
      <w:r>
        <w:rPr>
          <w:rFonts w:hint="eastAsia"/>
          <w:lang w:val="en-US" w:eastAsia="zh-CN"/>
        </w:rPr>
        <w:t>闽侯县</w:t>
      </w:r>
      <w:r>
        <w:rPr>
          <w:lang w:val="en-US" w:eastAsia="zh-CN"/>
        </w:rPr>
        <w:t>畜禽禁养区划定方案》、《</w:t>
      </w:r>
      <w:r>
        <w:rPr>
          <w:rFonts w:hint="eastAsia"/>
          <w:lang w:val="en-US" w:eastAsia="zh-CN"/>
        </w:rPr>
        <w:t>福州市</w:t>
      </w:r>
      <w:r>
        <w:rPr>
          <w:lang w:val="en-US" w:eastAsia="zh-CN"/>
        </w:rPr>
        <w:t>畜</w:t>
      </w:r>
      <w:r>
        <w:rPr>
          <w:rFonts w:hint="eastAsia"/>
          <w:lang w:val="en-US" w:eastAsia="zh-CN"/>
        </w:rPr>
        <w:t>禽养殖禁（限）养区划定方案》、《福州市人民政府关于实施“三线一单”生态环境分区管控的意见》等相关文件要求，落实禁养区各项管理规定，生态环境保护主管部门要会同有关部门加强禁养区的环境监督执法工作，实施常态化监管防止禁养区内养殖场（小区）反弹。</w:t>
      </w:r>
    </w:p>
    <w:p>
      <w:pPr>
        <w:bidi w:val="0"/>
        <w:rPr>
          <w:rFonts w:hint="eastAsia" w:ascii="仿宋" w:hAnsi="仿宋" w:eastAsia="仿宋" w:cs="仿宋"/>
          <w:color w:val="000000"/>
          <w:kern w:val="0"/>
          <w:szCs w:val="28"/>
          <w:lang w:val="en-US" w:eastAsia="zh-CN" w:bidi="ar"/>
        </w:rPr>
      </w:pPr>
      <w:r>
        <w:rPr>
          <w:rFonts w:hint="eastAsia"/>
          <w:lang w:val="en-US" w:eastAsia="zh-CN"/>
        </w:rPr>
        <w:t>可养区新建、改建、扩建畜禽养殖场（小区），应当符合畜牧业发展规划、畜禽养殖污染防治规划，满足动物防疫条件，并进行环境影响评价。对环境可能造成重大影响的大型畜禽养殖场（小区），应当编制环境影响报告书；其他畜禽养殖场、养殖小区应当填报环境影响登记表，并办理排污许可证。按相关规定办理用地、环保等审批手续，未经批准擅自建设的，按违法建筑处理。其污染防治及畜禽排泄物综合利用措施必须与主体工程同时设计、同时施工、同时投产使用，其污染物排放不得超过国家和地方规定的排放标准。可养区现有和新建的规模化畜禽养殖场，</w:t>
      </w:r>
      <w:r>
        <w:rPr>
          <w:rFonts w:hint="eastAsia"/>
          <w:color w:val="auto"/>
          <w:lang w:val="en-US" w:eastAsia="zh-CN"/>
        </w:rPr>
        <w:t>到2025年底，所有规模以上养殖场养殖规模预期占闽侯县养殖量的90%，且必须配套建设达标粪污处理设施，严禁粪污直排，并定期监测。</w:t>
      </w:r>
    </w:p>
    <w:p>
      <w:pPr>
        <w:pStyle w:val="6"/>
        <w:bidi w:val="0"/>
        <w:rPr>
          <w:rFonts w:hint="eastAsia"/>
          <w:lang w:val="en-US" w:eastAsia="zh-CN"/>
        </w:rPr>
      </w:pPr>
      <w:r>
        <w:rPr>
          <w:rFonts w:hint="eastAsia"/>
          <w:lang w:val="en-US" w:eastAsia="zh-CN"/>
        </w:rPr>
        <w:t>5.1.2 发展多畜种规模养殖，拓展节粮型草食动物产业</w:t>
      </w:r>
    </w:p>
    <w:p>
      <w:pPr>
        <w:bidi w:val="0"/>
        <w:rPr>
          <w:rFonts w:hint="eastAsia"/>
          <w:lang w:val="zh-CN"/>
        </w:rPr>
      </w:pPr>
      <w:r>
        <w:rPr>
          <w:rFonts w:hint="eastAsia"/>
          <w:lang w:val="zh-CN"/>
        </w:rPr>
        <w:t>根据当前闽侯县畜牧业生产现状和现代化畜牧业生产的内在要求，积极发展以草食牲畜为中心的畜牧业，优化畜牧业内部结构。在草食动物生产方面，要加快养兔、养羊产业化，标准化项目扶持向兔、羊、牛倾斜。因地制宜发展肉牛和奶牛生产，积极引导农民向专业化，适度规模方向发展，促进规模效益。</w:t>
      </w:r>
    </w:p>
    <w:p>
      <w:pPr>
        <w:bidi w:val="0"/>
        <w:rPr>
          <w:rFonts w:hint="eastAsia"/>
          <w:lang w:val="zh-CN"/>
        </w:rPr>
      </w:pPr>
      <w:r>
        <w:rPr>
          <w:rFonts w:hint="eastAsia"/>
          <w:lang w:val="zh-CN"/>
        </w:rPr>
        <w:t>根据闽侯县自然地理特征，发展草食动物产业要因地制宜，积极发展养兔业。兔肉含高蛋白、营养丰富、肉质细嫩、易于消化，是新兴的上等肉食品，具有“保健肉”和“美容肉”之称，发展肉兔前景广阔。闽侯县草地多呈零星分布，农产品副料也多，很适合肉兔生产。兔子繁殖快，年产仔5－6胎，30多只，属于“短、平、快”项目，应引导农民大力发展规模饲养，引进良种公兔。以成功的肉兔繁殖基地为示范作用，带动当地农民发展草食动物，推动农村经济发展。</w:t>
      </w:r>
    </w:p>
    <w:p>
      <w:pPr>
        <w:bidi w:val="0"/>
        <w:rPr>
          <w:rFonts w:hint="eastAsia" w:ascii="仿宋" w:hAnsi="仿宋" w:eastAsia="仿宋"/>
          <w:szCs w:val="28"/>
          <w:lang w:val="zh-CN"/>
        </w:rPr>
      </w:pPr>
      <w:r>
        <w:rPr>
          <w:rFonts w:hint="eastAsia"/>
          <w:lang w:val="zh-CN"/>
        </w:rPr>
        <w:t>大力推广秸杆氨化、青贮技术，发展肉牛养殖业。由于大多数饲养户文化素质不高，还没有认识到秸杆氨化处理的意义，这就应当改善技术服务手段，有步骤、多渠道地开展技术培训工作，以提高广大饲养户的科学意识。</w:t>
      </w:r>
    </w:p>
    <w:p>
      <w:pPr>
        <w:pStyle w:val="5"/>
        <w:bidi w:val="0"/>
        <w:rPr>
          <w:rFonts w:hint="eastAsia"/>
          <w:lang w:val="en-US" w:eastAsia="zh-CN"/>
        </w:rPr>
      </w:pPr>
      <w:bookmarkStart w:id="105" w:name="_Toc21405"/>
      <w:r>
        <w:rPr>
          <w:rFonts w:hint="eastAsia"/>
          <w:lang w:val="en-US" w:eastAsia="zh-CN"/>
        </w:rPr>
        <w:t>5.2 优化粪污处理和利用模式</w:t>
      </w:r>
      <w:bookmarkEnd w:id="105"/>
      <w:r>
        <w:rPr>
          <w:rFonts w:hint="eastAsia"/>
          <w:lang w:val="en-US" w:eastAsia="zh-CN"/>
        </w:rPr>
        <w:t xml:space="preserve"> </w:t>
      </w:r>
    </w:p>
    <w:p>
      <w:pPr>
        <w:bidi w:val="0"/>
        <w:rPr>
          <w:rFonts w:hint="eastAsia"/>
          <w:lang w:val="zh-CN" w:eastAsia="zh-CN"/>
        </w:rPr>
      </w:pPr>
      <w:r>
        <w:rPr>
          <w:rFonts w:hint="eastAsia"/>
          <w:lang w:val="zh-CN" w:eastAsia="zh-CN"/>
        </w:rPr>
        <w:t>畜禽养殖废弃物资源化利用，是事关畜禽产品有效供给和农村居民生产生活环境改善的重大民生工程；是认真贯彻落实绿色发展理念，是推进农业供给侧结构性改革、提高农业供给质量的需要；是解决环境约束的必由之路，是加快产业提质增效的必然选择。</w:t>
      </w:r>
    </w:p>
    <w:p>
      <w:pPr>
        <w:bidi w:val="0"/>
        <w:rPr>
          <w:rFonts w:hint="eastAsia"/>
          <w:lang w:val="zh-CN" w:eastAsia="zh-CN"/>
        </w:rPr>
      </w:pPr>
      <w:r>
        <w:rPr>
          <w:rFonts w:hint="eastAsia"/>
          <w:lang w:val="zh-CN" w:eastAsia="zh-CN"/>
        </w:rPr>
        <w:t>根据《闽侯县加快推进畜禽养殖废弃物资源化利用工作方案》（侯政办</w:t>
      </w:r>
      <w:r>
        <w:rPr>
          <w:rFonts w:hint="eastAsia" w:ascii="宋体" w:hAnsi="宋体" w:eastAsia="宋体" w:cs="宋体"/>
          <w:lang w:val="zh-CN" w:eastAsia="zh-CN"/>
        </w:rPr>
        <w:t>〔</w:t>
      </w:r>
      <w:r>
        <w:rPr>
          <w:rFonts w:hint="eastAsia" w:ascii="宋体" w:hAnsi="宋体" w:eastAsia="宋体" w:cs="宋体"/>
          <w:lang w:val="en-US" w:eastAsia="zh-CN"/>
        </w:rPr>
        <w:t>2017</w:t>
      </w:r>
      <w:r>
        <w:rPr>
          <w:rFonts w:hint="eastAsia" w:ascii="宋体" w:hAnsi="宋体" w:eastAsia="宋体" w:cs="宋体"/>
          <w:lang w:val="zh-CN" w:eastAsia="zh-CN"/>
        </w:rPr>
        <w:t>〕</w:t>
      </w:r>
      <w:r>
        <w:rPr>
          <w:rFonts w:hint="eastAsia" w:ascii="宋体" w:hAnsi="宋体" w:eastAsia="宋体" w:cs="宋体"/>
          <w:lang w:val="en-US" w:eastAsia="zh-CN"/>
        </w:rPr>
        <w:t>359号</w:t>
      </w:r>
      <w:r>
        <w:rPr>
          <w:rFonts w:hint="eastAsia"/>
          <w:lang w:val="zh-CN" w:eastAsia="zh-CN"/>
        </w:rPr>
        <w:t>）文件中指出坚持保供给与保环境并重，坚持政府支持、企业主体、市场化运作，全面推进畜禽养殖废弃物资源化利用，改善农业生态环境，构建种养结合、种养平衡的可持续发展新格局。</w:t>
      </w:r>
    </w:p>
    <w:p>
      <w:pPr>
        <w:bidi w:val="0"/>
        <w:rPr>
          <w:rFonts w:hint="default" w:ascii="仿宋" w:hAnsi="仿宋" w:eastAsia="仿宋" w:cs="仿宋"/>
          <w:color w:val="000000"/>
          <w:kern w:val="0"/>
          <w:szCs w:val="28"/>
          <w:lang w:val="en-US" w:eastAsia="zh-CN" w:bidi="ar"/>
        </w:rPr>
      </w:pPr>
      <w:r>
        <w:rPr>
          <w:rFonts w:hint="eastAsia"/>
          <w:lang w:val="zh-CN" w:eastAsia="zh-CN"/>
        </w:rPr>
        <w:t>必须加强源头减量、过程控制、末端利用，推进“一场一策”，加快全面治理。要根据资源环境承载能力和废弃物处理能力，科学确定养殖品种和规模，优化畜牧业区域布局。积极推广清洁养殖工艺和技术，大力发展标准化、规范化规模养殖。围绕就地就近用于农村能源和农用有机肥，加快发展农村沼气和生物天然气，畅通还田渠道，促进种养结合、农牧循环的绿色发展，多形式推进养殖废弃物资源化利用。</w:t>
      </w:r>
    </w:p>
    <w:p>
      <w:pPr>
        <w:pStyle w:val="6"/>
        <w:bidi w:val="0"/>
        <w:rPr>
          <w:rFonts w:hint="eastAsia"/>
          <w:lang w:val="zh-CN" w:eastAsia="zh-CN"/>
        </w:rPr>
      </w:pPr>
      <w:bookmarkStart w:id="106" w:name="_Toc529723185"/>
      <w:r>
        <w:rPr>
          <w:rFonts w:hint="eastAsia"/>
          <w:lang w:val="en-US" w:eastAsia="zh-CN"/>
        </w:rPr>
        <w:t>5.2.1</w:t>
      </w:r>
      <w:r>
        <w:rPr>
          <w:rFonts w:hint="eastAsia"/>
          <w:lang w:val="zh-CN" w:eastAsia="zh-CN"/>
        </w:rPr>
        <w:t>严格规范畜禽养殖投入品使用，实施畜禽粪污源头减量化</w:t>
      </w:r>
      <w:bookmarkEnd w:id="106"/>
    </w:p>
    <w:p>
      <w:pPr>
        <w:bidi w:val="0"/>
        <w:rPr>
          <w:rFonts w:hint="eastAsia"/>
          <w:lang w:val="zh-CN" w:eastAsia="zh-CN"/>
        </w:rPr>
      </w:pPr>
      <w:r>
        <w:rPr>
          <w:rFonts w:hint="eastAsia"/>
          <w:lang w:val="zh-CN" w:eastAsia="zh-CN"/>
        </w:rPr>
        <w:t>加强规模养殖场精细化管理，推行标准化、规范化饲养，推广散装饲料和精准配方，提高饲料转化效率。鼓励养殖场、饲料加工企业采用现代配合饲料新技术，精准饲养、添加氨基酸、微量元素有机螯合物、植酸酶、益生菌等功能性添加剂，生产低蛋白、低磷、低铜、低锌配合饲料，有效提高饲料利用率，减少粪污中氮、磷、铜、锌排放。</w:t>
      </w:r>
    </w:p>
    <w:p>
      <w:pPr>
        <w:bidi w:val="0"/>
        <w:rPr>
          <w:rFonts w:hint="eastAsia"/>
          <w:lang w:val="zh-CN" w:eastAsia="zh-CN"/>
        </w:rPr>
      </w:pPr>
      <w:r>
        <w:rPr>
          <w:rFonts w:hint="eastAsia"/>
          <w:lang w:val="zh-CN" w:eastAsia="zh-CN"/>
        </w:rPr>
        <w:t>积极推广“一禁、二表、三分离”，“一禁”严禁水冲清粪，猪舍应铺设半漏缝或全漏缝地板，实行干清粪，猪栏免冲洗；“二表”即安装畜禽饮用水的水表和清洗栏舍的水表，安装节水式饮水器；“三分离”即实行生活用水与生产用水分离、雨水与污水、饮水与污水分离，到</w:t>
      </w:r>
      <w:r>
        <w:rPr>
          <w:rFonts w:hint="eastAsia"/>
          <w:lang w:val="en-US" w:eastAsia="zh-CN"/>
        </w:rPr>
        <w:t>2023年，闽侯县规模以上畜禽养猪场应全部配套前端减量化设备和相关监控措施，其他类型规模以上养殖场应完善排污许可证手续，做好自行监测的监督工作，保障规模以上养殖场</w:t>
      </w:r>
      <w:r>
        <w:rPr>
          <w:rFonts w:hint="eastAsia"/>
          <w:lang w:val="zh-CN" w:eastAsia="zh-CN"/>
        </w:rPr>
        <w:t>从源头减少畜禽养殖污染物产生量。</w:t>
      </w:r>
    </w:p>
    <w:p>
      <w:pPr>
        <w:pStyle w:val="6"/>
        <w:bidi w:val="0"/>
        <w:rPr>
          <w:rFonts w:hint="eastAsia"/>
          <w:lang w:val="zh-CN" w:eastAsia="zh-CN"/>
        </w:rPr>
      </w:pPr>
      <w:r>
        <w:rPr>
          <w:rFonts w:hint="eastAsia"/>
          <w:lang w:val="en-US" w:eastAsia="zh-CN"/>
        </w:rPr>
        <w:t>5.2.2</w:t>
      </w:r>
      <w:r>
        <w:rPr>
          <w:rFonts w:hint="eastAsia"/>
          <w:lang w:val="zh-CN" w:eastAsia="zh-CN"/>
        </w:rPr>
        <w:t>全面推行粪污处理基础设施标准化改造，健全种养循环发展机制</w:t>
      </w:r>
    </w:p>
    <w:p>
      <w:pPr>
        <w:bidi w:val="0"/>
        <w:rPr>
          <w:rFonts w:hint="eastAsia"/>
          <w:lang w:val="zh-CN" w:eastAsia="zh-CN"/>
        </w:rPr>
      </w:pPr>
      <w:r>
        <w:rPr>
          <w:rFonts w:hint="eastAsia"/>
          <w:lang w:val="zh-CN" w:eastAsia="zh-CN"/>
        </w:rPr>
        <w:t>以县内15家养猪企业为重点，支持规模养殖场圈舍标准化改造和设备更新，即“一控两分三防两配套一基本”建设。“一控”，即改进节水设备，控制用水量，压减污水产生量。“两分”，即改造建设雨污分流、暗沟布设的污水收集输送系统，实现雨污分离；改变水冲粪、水泡粪等湿法清粪工艺，推行干法清粪工艺，实现干湿分离；“三防”，即配套设施符合防渗、防雨、防溢流要求；“两配套”，即养殖场配套建设储粪场和污水储存池，“一基本”，即粪污基本实现无害化处理、资源化利用。</w:t>
      </w:r>
    </w:p>
    <w:p>
      <w:pPr>
        <w:bidi w:val="0"/>
        <w:rPr>
          <w:rFonts w:hint="default"/>
          <w:lang w:val="zh-CN" w:eastAsia="zh-CN"/>
        </w:rPr>
      </w:pPr>
      <w:bookmarkStart w:id="107" w:name="_Toc529723187"/>
      <w:r>
        <w:rPr>
          <w:rFonts w:hint="eastAsia"/>
          <w:lang w:val="zh-CN" w:eastAsia="zh-CN"/>
        </w:rPr>
        <w:t>逐步建立养殖与种植紧密对接机制，对周边无足够消纳场地的畜禽养殖场可完善自身粪污储存和转运设施或者委托第三方服务机构实行异地消纳。逐步培养粪污处理和资源化利用市场主体，规范执法和社会资本合作（PPP），采用受益者付费、专业化处理、市场化运作的第三方治理模式，建立健全规模化、专业化、社会化运用机制，推动形成畜禽粪污收集、存储、运输、处理和综合利用全产业链，促进粪污转化增值。</w:t>
      </w:r>
    </w:p>
    <w:bookmarkEnd w:id="107"/>
    <w:p>
      <w:pPr>
        <w:pStyle w:val="6"/>
        <w:bidi w:val="0"/>
        <w:rPr>
          <w:rFonts w:hint="default"/>
          <w:lang w:val="en-US" w:eastAsia="zh-CN"/>
        </w:rPr>
      </w:pPr>
      <w:r>
        <w:rPr>
          <w:rFonts w:hint="eastAsia"/>
          <w:lang w:val="en-US" w:eastAsia="zh-CN"/>
        </w:rPr>
        <w:t>5.2.3提升粪污处理效率，加强畜禽养殖废物集约化处理再利用</w:t>
      </w:r>
    </w:p>
    <w:p>
      <w:pPr>
        <w:bidi w:val="0"/>
        <w:rPr>
          <w:rFonts w:hint="eastAsia"/>
          <w:lang w:val="zh-CN" w:eastAsia="zh-CN"/>
        </w:rPr>
      </w:pPr>
      <w:r>
        <w:rPr>
          <w:rFonts w:hint="eastAsia"/>
          <w:lang w:val="zh-CN" w:eastAsia="zh-CN"/>
        </w:rPr>
        <w:t>支持畜禽规模养殖场或第三方服务机构统一收购养殖场经发酵的粪便或腐殖质等有机肥加工原料，加工成为有机肥。鼓励支持有需要的养猪场采取异位发酵床技术模式处理粪污，并配套源头减量化设施设备；养猪场粪污经发酵降解后的腐殖质不得随意堆放和丢弃，应销售给有机肥加工企业作为有机肥加工原料，实现肥料化利用。</w:t>
      </w:r>
    </w:p>
    <w:p>
      <w:pPr>
        <w:bidi w:val="0"/>
        <w:rPr>
          <w:rFonts w:hint="eastAsia"/>
          <w:lang w:val="zh-CN" w:eastAsia="zh-CN"/>
        </w:rPr>
      </w:pPr>
      <w:r>
        <w:rPr>
          <w:rFonts w:hint="eastAsia"/>
          <w:color w:val="auto"/>
          <w:lang w:val="zh-CN" w:eastAsia="zh-CN"/>
        </w:rPr>
        <w:t>推进沼气工程的建设，自行处理粪污的养猪场，厌氧池容量应与养殖规模相匹配；沼液后处理设施设备及其工艺能满足深度处理工艺要求；经深度处理的废水回用冲洗猪栏前须经消毒工艺处理并达到兽医卫生标准，确保病原体失活，严防二次污染和扩散，采取农罐的养殖废水应经深度处理后达到农灌标准回灌周边果园林地。建立养猪废水在场内闭合循环回用模式，严禁废水外排。收集的猪粪进行合理利用，可作为食用菌栽培基质或转化为动物蛋白（饲喂蚯蚓、黑水虻和蝇蛆等）或在场内发酵设施处理后加工成有机肥，或发酵熟化后提供种植使用。鼓励支持第三方服务机构收购猪场全量粪污进行集中处理。沼液须经物理、化学、微生物等方法严格深度处理后</w:t>
      </w:r>
      <w:r>
        <w:rPr>
          <w:rFonts w:hint="eastAsia"/>
          <w:color w:val="auto"/>
          <w:lang w:val="en-US" w:eastAsia="zh-CN"/>
        </w:rPr>
        <w:t>排放至消纳地</w:t>
      </w:r>
      <w:r>
        <w:rPr>
          <w:rFonts w:hint="eastAsia"/>
          <w:color w:val="auto"/>
          <w:lang w:val="zh-CN" w:eastAsia="zh-CN"/>
        </w:rPr>
        <w:t>，或加工生产液态有机肥。</w:t>
      </w:r>
    </w:p>
    <w:p>
      <w:pPr>
        <w:bidi w:val="0"/>
        <w:rPr>
          <w:rFonts w:hint="eastAsia"/>
          <w:color w:val="auto"/>
          <w:lang w:val="zh-CN" w:eastAsia="zh-CN"/>
        </w:rPr>
      </w:pPr>
      <w:r>
        <w:rPr>
          <w:rFonts w:hint="eastAsia"/>
          <w:lang w:val="zh-CN" w:eastAsia="zh-CN"/>
        </w:rPr>
        <w:t>推进牛粪发酵后垫料利用。支持肉牛场建立粪便、沼液两同步循环利用生态养殖模式。肉牛场应配套源头减量化设施设备，牛粪收集后集中进行有氧发酵，发酵</w:t>
      </w:r>
      <w:r>
        <w:rPr>
          <w:rFonts w:hint="eastAsia"/>
          <w:color w:val="auto"/>
          <w:lang w:val="zh-CN" w:eastAsia="zh-CN"/>
        </w:rPr>
        <w:t>后的腐熟牛粪回用作为牛床垫料，最后再将牛床垫料作为有机肥加工的辅料，实现肥料化利用。支持肉牛场在田间地头兴建贮液池、铺设灌溉管网等设施设备，以及沼液运输车辆等。</w:t>
      </w:r>
    </w:p>
    <w:p>
      <w:pPr>
        <w:bidi w:val="0"/>
        <w:rPr>
          <w:rFonts w:hint="eastAsia"/>
          <w:color w:val="auto"/>
          <w:lang w:val="zh-CN" w:eastAsia="zh-CN"/>
        </w:rPr>
      </w:pPr>
      <w:r>
        <w:rPr>
          <w:rFonts w:hint="eastAsia"/>
          <w:color w:val="auto"/>
          <w:lang w:val="zh-CN" w:eastAsia="zh-CN"/>
        </w:rPr>
        <w:t>推进家禽粪便资源化综合利用。支持大型家禽养殖场配套建设鸡粪有机肥加工厂。家禽场应配套粪污收储、运输，有机肥加工等设施设备，实现家禽粪资源化综合利用。鼓励支持第三方服务机构收集家禽养殖场户的粪便，开展有机肥加工，第三方服务机构应配备密闭式粪污收集运输车辆，确保运输过程中粪污沿途不掉落和臭气不散发。</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heme="minorBidi"/>
          <w:kern w:val="2"/>
          <w:sz w:val="24"/>
          <w:szCs w:val="24"/>
          <w:lang w:val="zh-CN" w:eastAsia="zh-CN" w:bidi="ar-SA"/>
        </w:rPr>
      </w:pPr>
      <w:r>
        <w:rPr>
          <w:rFonts w:hint="eastAsia" w:cstheme="minorBidi"/>
          <w:color w:val="auto"/>
          <w:kern w:val="2"/>
          <w:sz w:val="24"/>
          <w:szCs w:val="24"/>
          <w:lang w:val="zh-CN" w:eastAsia="zh-CN" w:bidi="ar-SA"/>
        </w:rPr>
        <w:t>完善养殖药品闭环</w:t>
      </w:r>
      <w:r>
        <w:rPr>
          <w:rFonts w:hint="eastAsia" w:cstheme="minorBidi"/>
          <w:kern w:val="2"/>
          <w:sz w:val="24"/>
          <w:szCs w:val="24"/>
          <w:lang w:val="zh-CN" w:eastAsia="zh-CN" w:bidi="ar-SA"/>
        </w:rPr>
        <w:t>回收工作。</w:t>
      </w:r>
      <w:r>
        <w:rPr>
          <w:rFonts w:hint="eastAsia" w:ascii="Times New Roman" w:hAnsi="Times New Roman" w:eastAsia="宋体" w:cstheme="minorBidi"/>
          <w:kern w:val="2"/>
          <w:sz w:val="24"/>
          <w:szCs w:val="24"/>
          <w:lang w:val="zh-CN" w:eastAsia="zh-CN" w:bidi="ar-SA"/>
        </w:rPr>
        <w:t>针对养殖过程中使用的</w:t>
      </w:r>
      <w:r>
        <w:rPr>
          <w:rFonts w:hint="eastAsia" w:cstheme="minorBidi"/>
          <w:kern w:val="2"/>
          <w:sz w:val="24"/>
          <w:szCs w:val="24"/>
          <w:lang w:val="zh-CN" w:eastAsia="zh-CN" w:bidi="ar-SA"/>
        </w:rPr>
        <w:t>抗生素等</w:t>
      </w:r>
      <w:r>
        <w:rPr>
          <w:rFonts w:hint="eastAsia" w:ascii="Times New Roman" w:hAnsi="Times New Roman" w:eastAsia="宋体" w:cstheme="minorBidi"/>
          <w:kern w:val="2"/>
          <w:sz w:val="24"/>
          <w:szCs w:val="24"/>
          <w:lang w:val="zh-CN" w:eastAsia="zh-CN" w:bidi="ar-SA"/>
        </w:rPr>
        <w:t>药品</w:t>
      </w:r>
      <w:r>
        <w:rPr>
          <w:rFonts w:hint="eastAsia" w:cstheme="minorBidi"/>
          <w:kern w:val="2"/>
          <w:sz w:val="24"/>
          <w:szCs w:val="24"/>
          <w:lang w:val="zh-CN" w:eastAsia="zh-CN" w:bidi="ar-SA"/>
        </w:rPr>
        <w:t>废弃物和包装物等养殖户应做到定点收集，不随意处置，兽药经销商应做好药品定期回收处置工作，避免药物因处置不当造成泄漏等不良后果。</w:t>
      </w:r>
    </w:p>
    <w:p>
      <w:pPr>
        <w:pStyle w:val="5"/>
        <w:bidi w:val="0"/>
        <w:rPr>
          <w:rFonts w:hint="eastAsia"/>
          <w:lang w:val="en-US" w:eastAsia="zh-CN"/>
        </w:rPr>
      </w:pPr>
      <w:bookmarkStart w:id="108" w:name="_Toc9759"/>
      <w:r>
        <w:rPr>
          <w:rFonts w:hint="eastAsia"/>
          <w:lang w:val="en-US" w:eastAsia="zh-CN"/>
        </w:rPr>
        <w:t>5.3 加强畜禽规模养殖场管控</w:t>
      </w:r>
      <w:bookmarkEnd w:id="108"/>
      <w:r>
        <w:rPr>
          <w:rFonts w:hint="eastAsia"/>
          <w:lang w:val="en-US" w:eastAsia="zh-CN"/>
        </w:rPr>
        <w:t xml:space="preserve"> </w:t>
      </w:r>
    </w:p>
    <w:p>
      <w:pPr>
        <w:pStyle w:val="6"/>
        <w:bidi w:val="0"/>
        <w:rPr>
          <w:rFonts w:hint="eastAsia"/>
          <w:lang w:val="en-US" w:eastAsia="zh-CN"/>
        </w:rPr>
      </w:pPr>
      <w:r>
        <w:rPr>
          <w:rFonts w:hint="eastAsia"/>
          <w:lang w:val="en-US" w:eastAsia="zh-CN"/>
        </w:rPr>
        <w:t xml:space="preserve">5.3.1 加强宣传服务，逐步推进粪肥利用台账制度实施 </w:t>
      </w:r>
    </w:p>
    <w:p>
      <w:pPr>
        <w:bidi w:val="0"/>
        <w:rPr>
          <w:rFonts w:hint="eastAsia"/>
          <w:lang w:val="zh-CN" w:eastAsia="zh-CN"/>
        </w:rPr>
      </w:pPr>
      <w:r>
        <w:rPr>
          <w:rFonts w:hint="eastAsia"/>
          <w:lang w:val="en-US" w:eastAsia="zh-CN"/>
        </w:rPr>
        <w:t xml:space="preserve">农业农村部办公厅、生态环境部办公厅联合印发《关于进一步明确畜禽粪污还田利用要求强化养殖污染监管的通知》，要求应提前确定粪肥还田利用计划，同时需建立粪污处理和粪肥利用台账，及时记录粪污日处理量和粪肥施用时间、施用量与施肥方式等，确保台账数据真实准确。 </w:t>
      </w:r>
    </w:p>
    <w:p>
      <w:pPr>
        <w:bidi w:val="0"/>
        <w:rPr>
          <w:rFonts w:hint="eastAsia"/>
          <w:lang w:val="en-US" w:eastAsia="zh-CN"/>
        </w:rPr>
      </w:pPr>
      <w:r>
        <w:rPr>
          <w:rFonts w:hint="eastAsia"/>
          <w:lang w:val="en-US" w:eastAsia="zh-CN"/>
        </w:rPr>
        <w:t>加强相关法律法规以及粪污资源化利用有关政策要求的宣传，要让养殖场户知悉粪污治理的主体责任，树立粪肥台账记录的自觉性，确保填报信息的准确性、及时性。农业农村部门制定推进计划，以大型规模养殖场、规模养殖场为重点，大力推进粪肥利用台账制度，鼓励有条件的规模以下畜禽养殖场户填报，逐步完善粪肥利用台帐。组织精干力量采取多种方式加强对台账填报的培训，要让养殖场熟悉填报的具体项目内容、如何填写等。</w:t>
      </w:r>
    </w:p>
    <w:p>
      <w:pPr>
        <w:bidi w:val="0"/>
      </w:pPr>
      <w:r>
        <w:rPr>
          <w:rFonts w:hint="eastAsia"/>
          <w:lang w:val="en-US" w:eastAsia="zh-CN"/>
        </w:rPr>
        <w:t>可参照省下发的台帐格式，按照适用、方便的原则，探索建立符合养殖场养殖畜禽种类实际以及粪污处理利用现状的台账格式。养殖场是台帐填报主体，需按照要求记录粪污资源化利用的管理台账，并分配专人进行记录和管理，明确“直联直报”系统信息员，做到责任</w:t>
      </w:r>
      <w:r>
        <w:rPr>
          <w:lang w:val="en-US" w:eastAsia="zh-CN"/>
        </w:rPr>
        <w:t xml:space="preserve">到单位、到部门、到岗位、到人头，台账应至少保留 </w:t>
      </w:r>
      <w:r>
        <w:rPr>
          <w:rFonts w:hint="default"/>
          <w:lang w:val="en-US" w:eastAsia="zh-CN"/>
        </w:rPr>
        <w:t xml:space="preserve">2 </w:t>
      </w:r>
      <w:r>
        <w:rPr>
          <w:rFonts w:hint="eastAsia"/>
          <w:lang w:val="en-US" w:eastAsia="zh-CN"/>
        </w:rPr>
        <w:t>年以上。各乡镇定期聘请专家对各个养殖单元进行现场指导粪污资源化利用化管理台账的记录和管理要点，各乡镇以及相关的管理部门加强对管理台账的监督检查工作，至少每年对每个养殖单元进行一次全方面的粪污资源化利用管理台账检查工作，对于未记录粪污资源化利用管理台账的养殖单元根据情况给予责令整改、警告、处罚等必要的处理措施。</w:t>
      </w:r>
    </w:p>
    <w:p>
      <w:pPr>
        <w:pStyle w:val="6"/>
        <w:bidi w:val="0"/>
        <w:rPr>
          <w:rFonts w:hint="eastAsia"/>
          <w:lang w:val="en-US" w:eastAsia="zh-CN"/>
        </w:rPr>
      </w:pPr>
      <w:r>
        <w:rPr>
          <w:rFonts w:hint="eastAsia"/>
          <w:lang w:val="en-US" w:eastAsia="zh-CN"/>
        </w:rPr>
        <w:t xml:space="preserve">5.3.2 加强畜禽养殖业环境监督执法，提升畜禽养殖环境管理智慧水平 </w:t>
      </w:r>
    </w:p>
    <w:p>
      <w:pPr>
        <w:bidi w:val="0"/>
      </w:pPr>
      <w:r>
        <w:rPr>
          <w:rFonts w:hint="eastAsia"/>
        </w:rPr>
        <w:t>规范规模养殖项目审批程序和排污许可管理要求，各规模养殖场应按照《中华人民共和国环境影响评价法》《建设项目环境影响评价分类管理名录》做好环境影响评价工作，对备案生猪养殖项目，要求养殖户在备案7个工作日内提交所在</w:t>
      </w:r>
      <w:r>
        <w:rPr>
          <w:rFonts w:hint="eastAsia"/>
          <w:lang w:val="en-US" w:eastAsia="zh-CN"/>
        </w:rPr>
        <w:t>乡</w:t>
      </w:r>
      <w:r>
        <w:rPr>
          <w:rFonts w:hint="eastAsia"/>
        </w:rPr>
        <w:t>镇</w:t>
      </w:r>
      <w:r>
        <w:rPr>
          <w:rFonts w:hint="eastAsia"/>
          <w:lang w:val="en-US" w:eastAsia="zh-CN"/>
        </w:rPr>
        <w:t>提供</w:t>
      </w:r>
      <w:r>
        <w:rPr>
          <w:rFonts w:hint="eastAsia"/>
        </w:rPr>
        <w:t>养殖场选址符合</w:t>
      </w:r>
      <w:r>
        <w:rPr>
          <w:rFonts w:hint="eastAsia"/>
          <w:lang w:val="en-US" w:eastAsia="zh-CN"/>
        </w:rPr>
        <w:t>可养区</w:t>
      </w:r>
      <w:r>
        <w:rPr>
          <w:rFonts w:hint="eastAsia"/>
        </w:rPr>
        <w:t>证明、农业农村部门出具生猪养殖指标证明，加强规模化畜禽养殖场</w:t>
      </w:r>
      <w:r>
        <w:rPr>
          <w:rFonts w:hint="eastAsia"/>
          <w:lang w:val="en-US" w:eastAsia="zh-CN"/>
        </w:rPr>
        <w:t>排污许可证申报</w:t>
      </w:r>
      <w:r>
        <w:rPr>
          <w:rFonts w:hint="eastAsia"/>
        </w:rPr>
        <w:t>。</w:t>
      </w:r>
    </w:p>
    <w:p>
      <w:pPr>
        <w:bidi w:val="0"/>
        <w:rPr>
          <w:rFonts w:hint="eastAsia"/>
          <w:lang w:val="zh-CN" w:eastAsia="zh-CN"/>
        </w:rPr>
      </w:pPr>
      <w:r>
        <w:rPr>
          <w:rFonts w:hint="eastAsia"/>
          <w:lang w:val="zh-CN" w:eastAsia="zh-CN"/>
        </w:rPr>
        <w:t>结合本规划，细化任务分工，提出绩效考核措施要求，统筹区域畜禽养殖污染防治工作。生态环境部门要督促对规模养殖场</w:t>
      </w:r>
      <w:r>
        <w:rPr>
          <w:rFonts w:hint="eastAsia"/>
          <w:lang w:val="en-US" w:eastAsia="zh-CN"/>
        </w:rPr>
        <w:t>未</w:t>
      </w:r>
      <w:r>
        <w:rPr>
          <w:rFonts w:hint="eastAsia"/>
          <w:lang w:val="zh-CN" w:eastAsia="zh-CN"/>
        </w:rPr>
        <w:t>开展环境评价、不执行“三同时”制度、无证排污、不按证排污、污染防治</w:t>
      </w:r>
      <w:r>
        <w:rPr>
          <w:rFonts w:hint="eastAsia"/>
          <w:lang w:val="en-US" w:eastAsia="zh-CN"/>
        </w:rPr>
        <w:t>设施</w:t>
      </w:r>
      <w:r>
        <w:rPr>
          <w:rFonts w:hint="eastAsia"/>
          <w:lang w:val="zh-CN" w:eastAsia="zh-CN"/>
        </w:rPr>
        <w:t>配套不到位、粪污未经无害化处理直排外环境等违法行为，建立问题清单和责任清单，明确整改目标和整改时限，不搞简单的关停拆除“一刀切”。畅通环境信访举报途径，及时查处环境违法行为。</w:t>
      </w:r>
    </w:p>
    <w:p>
      <w:pPr>
        <w:bidi w:val="0"/>
        <w:rPr>
          <w:rFonts w:hint="eastAsia"/>
          <w:lang w:val="zh-CN" w:eastAsia="zh-CN"/>
        </w:rPr>
      </w:pPr>
      <w:r>
        <w:rPr>
          <w:rFonts w:hint="eastAsia"/>
          <w:lang w:val="zh-CN" w:eastAsia="zh-CN"/>
        </w:rPr>
        <w:t>依靠畜禽养殖环境信息统计系统，借用互联网、物联网、大数据技术，探索养殖企业管理数据与行政管理平台的数字化对接，动态掌握辖区养殖场、养殖规模、废弃物综合利用、污染防治设施建设</w:t>
      </w:r>
      <w:r>
        <w:rPr>
          <w:rFonts w:hint="eastAsia"/>
          <w:lang w:val="en-US" w:eastAsia="zh-CN"/>
        </w:rPr>
        <w:t>运行</w:t>
      </w:r>
      <w:r>
        <w:rPr>
          <w:rFonts w:hint="eastAsia"/>
          <w:lang w:val="zh-CN" w:eastAsia="zh-CN"/>
        </w:rPr>
        <w:t>等情况，实现畜禽养殖业数字化和智能化。加强粪污处理监管，推进</w:t>
      </w:r>
      <w:r>
        <w:rPr>
          <w:rFonts w:hint="eastAsia"/>
          <w:lang w:val="en-US" w:eastAsia="zh-CN"/>
        </w:rPr>
        <w:t>闽侯县</w:t>
      </w:r>
      <w:r>
        <w:rPr>
          <w:rFonts w:hint="eastAsia"/>
          <w:lang w:val="zh-CN" w:eastAsia="zh-CN"/>
        </w:rPr>
        <w:t>规模养殖场智慧管控。</w:t>
      </w:r>
    </w:p>
    <w:p>
      <w:pPr>
        <w:pStyle w:val="6"/>
        <w:bidi w:val="0"/>
        <w:rPr>
          <w:rFonts w:hint="eastAsia" w:ascii="Times New Roman" w:hAnsi="Times New Roman" w:eastAsia="宋体" w:cstheme="minorBidi"/>
          <w:b w:val="0"/>
          <w:kern w:val="2"/>
          <w:sz w:val="24"/>
          <w:szCs w:val="24"/>
          <w:lang w:val="en-US" w:eastAsia="zh-CN" w:bidi="ar-SA"/>
        </w:rPr>
      </w:pPr>
      <w:r>
        <w:rPr>
          <w:rFonts w:hint="eastAsia"/>
          <w:lang w:val="en-US" w:eastAsia="zh-CN"/>
        </w:rPr>
        <w:t>5.3.3 提升畜禽养殖业运行管理，源头降低污染</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目前闽侯县生猪养殖场16家生猪规模养殖场均已通过标准化改造项目验收，家禽规模养殖场固体粪污基本为就地消纳生产农家肥使用，牛、羊、兔规模养殖场为半开放养殖，粪污经收集后使用配套的堆肥场经发酵后制作农家肥。规模以下养殖户养殖粪污废弃物采用就地堆肥发酵后供周边农田、林地、鱼塘等方式进行消纳。</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针对规模化养殖场企业农业农村部门部门</w:t>
      </w:r>
      <w:r>
        <w:rPr>
          <w:rFonts w:hint="eastAsia" w:cstheme="minorBidi"/>
          <w:kern w:val="2"/>
          <w:sz w:val="24"/>
          <w:szCs w:val="24"/>
          <w:lang w:val="en-US" w:eastAsia="zh-CN" w:bidi="ar-SA"/>
        </w:rPr>
        <w:t>应</w:t>
      </w:r>
      <w:r>
        <w:rPr>
          <w:rFonts w:hint="eastAsia" w:ascii="Times New Roman" w:hAnsi="Times New Roman" w:eastAsia="宋体" w:cstheme="minorBidi"/>
          <w:kern w:val="2"/>
          <w:sz w:val="24"/>
          <w:szCs w:val="24"/>
          <w:lang w:val="en-US" w:eastAsia="zh-CN" w:bidi="ar-SA"/>
        </w:rPr>
        <w:t>进一步指导和宣传，加强优化灌溉管道，合理安排灌溉时间，实行分区域轮换灌溉充分发挥消纳地功能，避免消纳地内的尾水随着雨水外流至外环境对自然水体造成影响。生态环境部门应加强对农灌尾水的监督检测，保障经处理后的浇灌尾水达到农灌标准。各乡镇（街道）按照属地管理原则，要进一步发挥河道专管员、护林员作用，加强辖区内的巡查工作，防止养殖场偷排漏排及发生违法养殖“回潮”现象。属地乡镇落实主体责任对发现新建、违建和禁养内畜禽养殖场予以制止拆除，</w:t>
      </w:r>
      <w:r>
        <w:rPr>
          <w:rFonts w:hint="eastAsia" w:cstheme="minorBidi"/>
          <w:kern w:val="2"/>
          <w:sz w:val="24"/>
          <w:szCs w:val="24"/>
          <w:lang w:val="en-US" w:eastAsia="zh-CN" w:bidi="ar-SA"/>
        </w:rPr>
        <w:t>各个</w:t>
      </w:r>
      <w:r>
        <w:rPr>
          <w:rFonts w:hint="eastAsia" w:ascii="Times New Roman" w:hAnsi="Times New Roman" w:eastAsia="宋体" w:cstheme="minorBidi"/>
          <w:kern w:val="2"/>
          <w:sz w:val="24"/>
          <w:szCs w:val="24"/>
          <w:lang w:val="en-US" w:eastAsia="zh-CN" w:bidi="ar-SA"/>
        </w:rPr>
        <w:t>职能部门将在职责范围内，积极配合县畜整办和乡镇开展畜禽养殖污染整治工作。</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default" w:ascii="Times New Roman" w:hAnsi="Times New Roman" w:eastAsia="宋体" w:cstheme="minorBidi"/>
          <w:kern w:val="2"/>
          <w:sz w:val="24"/>
          <w:szCs w:val="24"/>
          <w:lang w:val="en-US" w:eastAsia="zh-CN" w:bidi="ar-SA"/>
        </w:rPr>
      </w:pPr>
      <w:r>
        <w:rPr>
          <w:rFonts w:hint="eastAsia" w:cstheme="minorBidi"/>
          <w:kern w:val="2"/>
          <w:sz w:val="24"/>
          <w:szCs w:val="24"/>
          <w:lang w:val="en-US" w:eastAsia="zh-CN" w:bidi="ar-SA"/>
        </w:rPr>
        <w:t>除自身消纳地外，养殖场还可以就近对接种植为主的乡镇出售农家肥，土肥、植保、作物等部门应开展有机肥推广工作，协调种植大户加大有机肥使用量，减少化肥使用量，使养殖场经资源化利用后产生的有机肥或沼液明确使用去向。减少化肥对土地的污染。</w:t>
      </w:r>
    </w:p>
    <w:p>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heme="minorBidi"/>
          <w:kern w:val="2"/>
          <w:sz w:val="24"/>
          <w:szCs w:val="24"/>
          <w:lang w:val="en-US" w:eastAsia="zh-CN" w:bidi="ar-SA"/>
        </w:rPr>
      </w:pPr>
    </w:p>
    <w:p>
      <w:pPr>
        <w:pStyle w:val="4"/>
        <w:bidi w:val="0"/>
      </w:pPr>
      <w:bookmarkStart w:id="109" w:name="_Toc2143"/>
      <w:bookmarkStart w:id="110" w:name="_Toc19254"/>
      <w:r>
        <w:t xml:space="preserve">第 </w:t>
      </w:r>
      <w:r>
        <w:rPr>
          <w:rFonts w:hint="eastAsia"/>
        </w:rPr>
        <w:t>6</w:t>
      </w:r>
      <w:r>
        <w:t xml:space="preserve"> 章  </w:t>
      </w:r>
      <w:r>
        <w:rPr>
          <w:rFonts w:hint="eastAsia"/>
        </w:rPr>
        <w:t>重点规划项目与投资计划</w:t>
      </w:r>
      <w:bookmarkEnd w:id="109"/>
      <w:bookmarkEnd w:id="110"/>
    </w:p>
    <w:p>
      <w:pPr>
        <w:pStyle w:val="11"/>
        <w:ind w:left="0" w:leftChars="0" w:firstLine="0" w:firstLineChars="0"/>
        <w:rPr>
          <w:rFonts w:hint="default"/>
          <w:lang w:val="en-US" w:eastAsia="zh-CN"/>
        </w:rPr>
      </w:pPr>
    </w:p>
    <w:p>
      <w:pPr>
        <w:pStyle w:val="5"/>
        <w:bidi w:val="0"/>
        <w:rPr>
          <w:rFonts w:hint="eastAsia"/>
          <w:lang w:val="en-US" w:eastAsia="zh-CN"/>
        </w:rPr>
      </w:pPr>
      <w:bookmarkStart w:id="111" w:name="_Toc10887"/>
      <w:r>
        <w:rPr>
          <w:rFonts w:hint="eastAsia"/>
          <w:lang w:val="en-US" w:eastAsia="zh-CN"/>
        </w:rPr>
        <w:t>6.1 投资估算</w:t>
      </w:r>
      <w:bookmarkEnd w:id="111"/>
      <w:r>
        <w:rPr>
          <w:rFonts w:hint="eastAsia"/>
          <w:lang w:val="en-US" w:eastAsia="zh-CN"/>
        </w:rPr>
        <w:t xml:space="preserve"> </w:t>
      </w:r>
    </w:p>
    <w:p>
      <w:pPr>
        <w:bidi w:val="0"/>
        <w:rPr>
          <w:lang w:val="en-US" w:eastAsia="zh-CN"/>
        </w:rPr>
      </w:pPr>
      <w:r>
        <w:rPr>
          <w:rFonts w:hint="eastAsia"/>
          <w:lang w:val="en-US" w:eastAsia="zh-CN"/>
        </w:rPr>
        <w:t>闽侯县畜禽养殖污染防治建设工程包括</w:t>
      </w:r>
      <w:r>
        <w:rPr>
          <w:lang w:val="en-US" w:eastAsia="zh-CN"/>
        </w:rPr>
        <w:t>、</w:t>
      </w:r>
      <w:r>
        <w:rPr>
          <w:rFonts w:hint="eastAsia" w:ascii="Times New Roman" w:hAnsi="Times New Roman" w:eastAsiaTheme="minorEastAsia"/>
          <w:lang w:val="en-US" w:eastAsia="zh-CN"/>
        </w:rPr>
        <w:t>生猪产业</w:t>
      </w:r>
      <w:r>
        <w:rPr>
          <w:rFonts w:hint="eastAsia"/>
          <w:lang w:val="en-US" w:eastAsia="zh-CN"/>
        </w:rPr>
        <w:t>监管体系建设工程、田间配套设施建设工程、迁建、扩建提升规模化养殖厂工程，三大类工程五年投资合计60152.244元。</w:t>
      </w:r>
    </w:p>
    <w:p>
      <w:pPr>
        <w:adjustRightInd w:val="0"/>
        <w:snapToGrid w:val="0"/>
        <w:jc w:val="center"/>
        <w:rPr>
          <w:rFonts w:hint="eastAsia" w:ascii="Times New Roman" w:hAnsi="Times New Roman" w:eastAsia="黑体" w:cs="Times New Roman"/>
          <w:b/>
          <w:bCs/>
          <w:color w:val="auto"/>
          <w:kern w:val="2"/>
          <w:sz w:val="22"/>
          <w:szCs w:val="24"/>
          <w:lang w:val="en-US" w:eastAsia="zh-CN" w:bidi="ar-SA"/>
        </w:rPr>
      </w:pPr>
      <w:r>
        <w:rPr>
          <w:rFonts w:hint="eastAsia" w:ascii="Times New Roman" w:hAnsi="Times New Roman" w:eastAsia="黑体" w:cs="Times New Roman"/>
          <w:b/>
          <w:bCs/>
          <w:color w:val="auto"/>
          <w:kern w:val="2"/>
          <w:sz w:val="22"/>
          <w:szCs w:val="24"/>
          <w:lang w:val="en-US" w:eastAsia="zh-CN" w:bidi="ar-SA"/>
        </w:rPr>
        <w:t xml:space="preserve">表 </w:t>
      </w:r>
      <w:r>
        <w:rPr>
          <w:rFonts w:hint="default" w:ascii="Times New Roman" w:hAnsi="Times New Roman" w:eastAsia="黑体" w:cs="Times New Roman"/>
          <w:b/>
          <w:bCs/>
          <w:color w:val="auto"/>
          <w:kern w:val="2"/>
          <w:sz w:val="22"/>
          <w:szCs w:val="24"/>
          <w:lang w:val="en-US" w:eastAsia="zh-CN" w:bidi="ar-SA"/>
        </w:rPr>
        <w:t xml:space="preserve">6.1 </w:t>
      </w:r>
      <w:r>
        <w:rPr>
          <w:rFonts w:hint="eastAsia" w:ascii="Times New Roman" w:hAnsi="Times New Roman" w:eastAsia="黑体" w:cs="Times New Roman"/>
          <w:b/>
          <w:bCs/>
          <w:color w:val="auto"/>
          <w:kern w:val="2"/>
          <w:sz w:val="22"/>
          <w:szCs w:val="24"/>
          <w:lang w:val="en-US" w:eastAsia="zh-CN" w:bidi="ar-SA"/>
        </w:rPr>
        <w:t>重点工程投资估算表</w:t>
      </w:r>
    </w:p>
    <w:tbl>
      <w:tblPr>
        <w:tblStyle w:val="16"/>
        <w:tblW w:w="10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84"/>
        <w:gridCol w:w="4580"/>
        <w:gridCol w:w="1275"/>
        <w:gridCol w:w="132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序号</w:t>
            </w:r>
          </w:p>
        </w:tc>
        <w:tc>
          <w:tcPr>
            <w:tcW w:w="158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项目名称</w:t>
            </w: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内容</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建设期限</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投资额（万元）</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推进部门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w:t>
            </w:r>
          </w:p>
        </w:tc>
        <w:tc>
          <w:tcPr>
            <w:tcW w:w="1584"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监管体系建设工程</w:t>
            </w: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1、生猪养殖场新增前端减量化设备：流量计、冲栏用水表、饮用水表、智能远程电表</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2021-202</w:t>
            </w:r>
            <w:r>
              <w:rPr>
                <w:rFonts w:hint="eastAsia" w:eastAsiaTheme="minorEastAsia" w:cstheme="minorBidi"/>
                <w:color w:val="auto"/>
                <w:kern w:val="2"/>
                <w:sz w:val="22"/>
                <w:szCs w:val="24"/>
                <w:lang w:val="en-US" w:eastAsia="zh-CN" w:bidi="ar-SA"/>
              </w:rPr>
              <w:t>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41.6</w:t>
            </w:r>
          </w:p>
        </w:tc>
        <w:tc>
          <w:tcPr>
            <w:tcW w:w="1320"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各个规模化生猪养殖场；闽侯县农业农村局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2、安装畜禽粪污处理可视化监控重点位置4个/生猪养殖场</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2021-202</w:t>
            </w:r>
            <w:r>
              <w:rPr>
                <w:rFonts w:hint="eastAsia" w:eastAsiaTheme="minorEastAsia" w:cstheme="minorBidi"/>
                <w:color w:val="auto"/>
                <w:kern w:val="2"/>
                <w:sz w:val="22"/>
                <w:szCs w:val="24"/>
                <w:lang w:val="en-US" w:eastAsia="zh-CN" w:bidi="ar-SA"/>
              </w:rPr>
              <w:t>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16</w:t>
            </w:r>
          </w:p>
        </w:tc>
        <w:tc>
          <w:tcPr>
            <w:tcW w:w="132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3、生猪养殖场新增环境监控设备：包括温湿度传感器和氨气传感器</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2021-202</w:t>
            </w:r>
            <w:r>
              <w:rPr>
                <w:rFonts w:hint="eastAsia" w:eastAsiaTheme="minorEastAsia" w:cstheme="minorBidi"/>
                <w:color w:val="auto"/>
                <w:kern w:val="2"/>
                <w:sz w:val="22"/>
                <w:szCs w:val="24"/>
                <w:lang w:val="en-US" w:eastAsia="zh-CN" w:bidi="ar-SA"/>
              </w:rPr>
              <w:t>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4.8</w:t>
            </w:r>
          </w:p>
        </w:tc>
        <w:tc>
          <w:tcPr>
            <w:tcW w:w="132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4、建设畜禽粪污资源化利用管理系统</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2021-202</w:t>
            </w:r>
            <w:r>
              <w:rPr>
                <w:rFonts w:hint="eastAsia" w:eastAsiaTheme="minorEastAsia" w:cstheme="minorBidi"/>
                <w:color w:val="auto"/>
                <w:kern w:val="2"/>
                <w:sz w:val="22"/>
                <w:szCs w:val="24"/>
                <w:lang w:val="en-US" w:eastAsia="zh-CN" w:bidi="ar-SA"/>
              </w:rPr>
              <w:t>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28.8</w:t>
            </w:r>
          </w:p>
        </w:tc>
        <w:tc>
          <w:tcPr>
            <w:tcW w:w="132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5、智能无害化管理成套设备</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2021-202</w:t>
            </w:r>
            <w:r>
              <w:rPr>
                <w:rFonts w:hint="eastAsia" w:eastAsiaTheme="minorEastAsia" w:cstheme="minorBidi"/>
                <w:color w:val="auto"/>
                <w:kern w:val="2"/>
                <w:sz w:val="22"/>
                <w:szCs w:val="24"/>
                <w:lang w:val="en-US" w:eastAsia="zh-CN" w:bidi="ar-SA"/>
              </w:rPr>
              <w:t>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73.364</w:t>
            </w:r>
          </w:p>
        </w:tc>
        <w:tc>
          <w:tcPr>
            <w:tcW w:w="132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6、数字化精准环境监测系统</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2021-202</w:t>
            </w:r>
            <w:r>
              <w:rPr>
                <w:rFonts w:hint="eastAsia" w:eastAsiaTheme="minorEastAsia" w:cstheme="minorBidi"/>
                <w:color w:val="auto"/>
                <w:kern w:val="2"/>
                <w:sz w:val="22"/>
                <w:szCs w:val="24"/>
                <w:lang w:val="en-US" w:eastAsia="zh-CN" w:bidi="ar-SA"/>
              </w:rPr>
              <w:t>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27.68</w:t>
            </w:r>
          </w:p>
        </w:tc>
        <w:tc>
          <w:tcPr>
            <w:tcW w:w="132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w:t>
            </w: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结合养殖场直联直报信息系统和全国排污许可证管理  信息平台，对畜禽粪污资源化利用计划、台账和排污许 可证执行报告进行抽查。</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2021-2025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福州市闽侯生态环境局、县农业农村局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w:t>
            </w:r>
          </w:p>
        </w:tc>
        <w:tc>
          <w:tcPr>
            <w:tcW w:w="158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田间配套设施建设工程</w:t>
            </w: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高标准农田建设项目：修建农渠、排灌渠、田间道、标志牌等农业基础设施。</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2021-2025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8960</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w:t>
            </w:r>
          </w:p>
        </w:tc>
        <w:tc>
          <w:tcPr>
            <w:tcW w:w="158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“美丽牧场”创建 工程</w:t>
            </w: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到2025年，力争在创建2家以上环境友好型“美丽牧场”，开发牧旅结合线路和产品，提高“美丽牧场” 的经济效益和生态环境社会效益，充分发挥示范典型引领作用。</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2021-2025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w:t>
            </w:r>
          </w:p>
        </w:tc>
        <w:tc>
          <w:tcPr>
            <w:tcW w:w="158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迁建、扩建提升规模化养殖厂工程</w:t>
            </w: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闽侯县长盛农业发展有限公司搬迁扩建项目：规划用地1800亩，猪舍总建设面积8万平方米,配套建设沼气池和储液池后处理后沼液消纳地。</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2021-2023</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50000</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闽侯县长盛农业发展有限公司、闽侯县农业农村局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w:t>
            </w:r>
          </w:p>
        </w:tc>
        <w:tc>
          <w:tcPr>
            <w:tcW w:w="1584"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加强畜禽污染防治</w:t>
            </w: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畜禽粪污资源化利用可减少污染物的排放量，但若粪污还田方式不合理，如雨天还田，可能对消纳地周边或下游流域水质造成面源污染的风险。对流域断面水质不达标且周边存在养殖场的流域断面应加强水质监测，对其周边养殖场应加强环保监管和标准化升级。</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2021-2025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福州市闽侯生态环境局、县农业农村局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w:t>
            </w:r>
            <w:r>
              <w:rPr>
                <w:rFonts w:hint="eastAsia"/>
                <w:color w:val="auto"/>
                <w:lang w:val="en-US" w:eastAsia="zh-CN"/>
              </w:rPr>
              <w:t>兴盛天兆、扬帆、金源达、光华消纳地调整为非种植松树、杉树等对肥料吸收不力的土地类型</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2023-2025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各生猪养殖场、县农业农村局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p>
        </w:tc>
        <w:tc>
          <w:tcPr>
            <w:tcW w:w="158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p>
        </w:tc>
        <w:tc>
          <w:tcPr>
            <w:tcW w:w="45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3、福丰、光华、邑丰、长基、兴盛五家养猪场调整原先将部分废水回用于猪舍冲洗的模式，改为配套沼液池和储液池发酵，并配套充足的建设自动浇灌的消纳地进行消纳</w:t>
            </w:r>
          </w:p>
        </w:tc>
        <w:tc>
          <w:tcPr>
            <w:tcW w:w="12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2023-2025</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1000</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各生猪养殖场、县农业农村局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9" w:type="dxa"/>
            <w:gridSpan w:val="4"/>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合计</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60152.244</w:t>
            </w:r>
          </w:p>
        </w:tc>
        <w:tc>
          <w:tcPr>
            <w:tcW w:w="132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bl>
    <w:p>
      <w:pPr>
        <w:pStyle w:val="5"/>
        <w:bidi w:val="0"/>
        <w:rPr>
          <w:rFonts w:hint="eastAsia"/>
          <w:lang w:val="en-US" w:eastAsia="zh-CN"/>
        </w:rPr>
      </w:pPr>
      <w:bookmarkStart w:id="112" w:name="_Toc29575"/>
      <w:r>
        <w:rPr>
          <w:rFonts w:hint="eastAsia"/>
          <w:lang w:val="en-US" w:eastAsia="zh-CN"/>
        </w:rPr>
        <w:t>6.2 资金筹措</w:t>
      </w:r>
      <w:bookmarkEnd w:id="112"/>
      <w:r>
        <w:rPr>
          <w:rFonts w:hint="eastAsia"/>
          <w:lang w:val="en-US" w:eastAsia="zh-CN"/>
        </w:rPr>
        <w:t xml:space="preserve"> </w:t>
      </w:r>
    </w:p>
    <w:p>
      <w:pPr>
        <w:bidi w:val="0"/>
      </w:pPr>
      <w:r>
        <w:rPr>
          <w:lang w:val="en-US" w:eastAsia="zh-CN"/>
        </w:rPr>
        <w:t>资金投入的基本原则是通过产业政策引导、环境政策引导两个</w:t>
      </w:r>
      <w:r>
        <w:rPr>
          <w:rFonts w:hint="eastAsia"/>
          <w:lang w:val="en-US" w:eastAsia="zh-CN"/>
        </w:rPr>
        <w:t>方向，引导企业和社会资本投入为主，强化引导、约束、扶持，依靠企业自身和社会资本解决发展和环境的问题，政府资金投入主要针对公益性设施和奖励扶持两个方向，强化系统性政策约束，以机制体制保障规划的有效实施。</w:t>
      </w:r>
    </w:p>
    <w:p>
      <w:pPr>
        <w:bidi w:val="0"/>
        <w:rPr>
          <w:rFonts w:hint="eastAsia"/>
          <w:lang w:val="en-US" w:eastAsia="zh-CN"/>
        </w:rPr>
      </w:pPr>
      <w:r>
        <w:rPr>
          <w:rFonts w:hint="eastAsia"/>
          <w:lang w:val="en-US" w:eastAsia="zh-CN"/>
        </w:rPr>
        <w:t>养殖单位改造投资估算根据其性质不同，分别依据国家有关部委对建设项目投资估算规定，并参照市场价格和项目实际情况确定估算指标。为保证项目建设的顺利实施，优化各种资金的利用，根据主管部门对项目要求的开发顺序和时序要求，和项目自身的实际情况安排项目建设进度计划。</w:t>
      </w:r>
    </w:p>
    <w:p>
      <w:pPr>
        <w:bidi w:val="0"/>
        <w:rPr>
          <w:rFonts w:hint="eastAsia"/>
          <w:lang w:val="en-US" w:eastAsia="zh-CN"/>
        </w:rPr>
      </w:pPr>
      <w:r>
        <w:rPr>
          <w:rFonts w:hint="eastAsia"/>
          <w:lang w:val="en-US" w:eastAsia="zh-CN"/>
        </w:rPr>
        <w:t>中央及地方环保和涉农专项资金。结合国家及地方专项资金的申请方向，做好前期工作，包装整合污染治理项目，特别是大型养殖场污染治理和综合利用项目，依托企业的资源优势，努力争取专项资金支持。</w:t>
      </w:r>
    </w:p>
    <w:p>
      <w:pPr>
        <w:bidi w:val="0"/>
        <w:rPr>
          <w:rFonts w:hint="eastAsia"/>
          <w:lang w:val="en-US" w:eastAsia="zh-CN"/>
        </w:rPr>
      </w:pPr>
      <w:r>
        <w:rPr>
          <w:rFonts w:hint="eastAsia"/>
          <w:lang w:val="en-US" w:eastAsia="zh-CN"/>
        </w:rPr>
        <w:t>各级财政资金投入。福州市及闽侯县地方财政资金投入，重点瞄准公益性环境改善项目，以减少区域养殖污染排放、改善区域环境为核心。同时强化财政资金对市场的引导作用，引导市场向畜禽养殖废弃物资源化利用方向发展。</w:t>
      </w:r>
    </w:p>
    <w:p>
      <w:pPr>
        <w:bidi w:val="0"/>
        <w:rPr>
          <w:rFonts w:hint="eastAsia"/>
          <w:lang w:val="en-US" w:eastAsia="zh-CN"/>
        </w:rPr>
      </w:pPr>
      <w:r>
        <w:rPr>
          <w:rFonts w:hint="eastAsia"/>
          <w:lang w:val="en-US" w:eastAsia="zh-CN"/>
        </w:rPr>
        <w:t>社会资本投入。创新畜禽养殖污染防治领域的运营模式，通过PPP、EOD 等方式降低运营成本和市场风险，畅通社会资本进入的渠道。政府围绕标准化规模养殖、沼气资源化利用、有机肥推广等关键环节出台扶持政策，有效引导社会资本向养殖污染防治和资源化方向投入。</w:t>
      </w:r>
    </w:p>
    <w:p>
      <w:pPr>
        <w:bidi w:val="0"/>
        <w:rPr>
          <w:rFonts w:hint="eastAsia" w:ascii="仿宋" w:hAnsi="仿宋" w:eastAsia="仿宋" w:cs="仿宋"/>
          <w:color w:val="000000"/>
          <w:kern w:val="0"/>
          <w:szCs w:val="28"/>
          <w:lang w:val="en-US" w:eastAsia="zh-CN" w:bidi="ar"/>
        </w:rPr>
      </w:pPr>
      <w:r>
        <w:rPr>
          <w:rFonts w:hint="eastAsia"/>
          <w:lang w:val="en-US" w:eastAsia="zh-CN"/>
        </w:rPr>
        <w:t>企业自行投入。出台畜禽养殖产业优化发展相关扶持、鼓励政策调动企业污染治理和资源化利用的积极性，鼓励企业在完善污染治理的同时，通过延长产业链，实现养殖、治理、利用的循环链条。从而实现环境治理和企业发展双赢。</w:t>
      </w:r>
    </w:p>
    <w:p>
      <w:pPr>
        <w:rPr>
          <w:rFonts w:hint="eastAsia"/>
          <w:lang w:val="en-US" w:eastAsia="zh-CN"/>
        </w:rPr>
      </w:pPr>
      <w:r>
        <w:rPr>
          <w:rFonts w:hint="eastAsia"/>
          <w:lang w:val="en-US" w:eastAsia="zh-CN"/>
        </w:rPr>
        <w:br w:type="page"/>
      </w:r>
    </w:p>
    <w:p>
      <w:pPr>
        <w:pStyle w:val="4"/>
        <w:bidi w:val="0"/>
        <w:rPr>
          <w:rFonts w:hint="eastAsia"/>
          <w:lang w:val="en-US" w:eastAsia="zh-CN"/>
        </w:rPr>
      </w:pPr>
      <w:bookmarkStart w:id="113" w:name="_Toc11170"/>
      <w:r>
        <w:rPr>
          <w:rFonts w:hint="eastAsia"/>
          <w:lang w:val="en-US" w:eastAsia="zh-CN"/>
        </w:rPr>
        <w:t>第七章  效益分析</w:t>
      </w:r>
      <w:bookmarkEnd w:id="113"/>
      <w:r>
        <w:rPr>
          <w:rFonts w:hint="eastAsia"/>
          <w:lang w:val="en-US" w:eastAsia="zh-CN"/>
        </w:rPr>
        <w:t xml:space="preserve"> </w:t>
      </w:r>
    </w:p>
    <w:p>
      <w:pPr>
        <w:pStyle w:val="5"/>
        <w:bidi w:val="0"/>
        <w:rPr>
          <w:rFonts w:hint="eastAsia"/>
          <w:lang w:val="en-US" w:eastAsia="zh-CN"/>
        </w:rPr>
      </w:pPr>
      <w:bookmarkStart w:id="114" w:name="_Toc12845"/>
      <w:r>
        <w:rPr>
          <w:rFonts w:hint="eastAsia"/>
          <w:lang w:val="en-US" w:eastAsia="zh-CN"/>
        </w:rPr>
        <w:t>7.1 经济效益</w:t>
      </w:r>
      <w:bookmarkEnd w:id="114"/>
    </w:p>
    <w:p>
      <w:pPr>
        <w:bidi w:val="0"/>
      </w:pPr>
      <w:r>
        <w:rPr>
          <w:lang w:val="en-US" w:eastAsia="zh-CN"/>
        </w:rPr>
        <w:t>养殖业是</w:t>
      </w:r>
      <w:r>
        <w:rPr>
          <w:rFonts w:hint="eastAsia"/>
          <w:lang w:val="en-US" w:eastAsia="zh-CN"/>
        </w:rPr>
        <w:t>闽侯县</w:t>
      </w:r>
      <w:r>
        <w:rPr>
          <w:lang w:val="en-US" w:eastAsia="zh-CN"/>
        </w:rPr>
        <w:t>重点发展的优势产业之一，在</w:t>
      </w:r>
      <w:r>
        <w:rPr>
          <w:rFonts w:hint="eastAsia"/>
          <w:lang w:val="en-US" w:eastAsia="zh-CN"/>
        </w:rPr>
        <w:t>福州市</w:t>
      </w:r>
      <w:r>
        <w:rPr>
          <w:lang w:val="en-US" w:eastAsia="zh-CN"/>
        </w:rPr>
        <w:t>乃至全省</w:t>
      </w:r>
      <w:r>
        <w:rPr>
          <w:rFonts w:hint="eastAsia"/>
          <w:lang w:val="en-US" w:eastAsia="zh-CN"/>
        </w:rPr>
        <w:t>具有一定的优势，规划实施后，能够有效推进闽侯县畜禽养殖行业规范化、精细化发展，带动企业引进先进技术，舍弃落后养殖方式，能够有效促进闽侯县畜禽养殖产业优质发展、企业增收和农民富裕。同时，在落实严格环境准入、强化污染源头管控、加强技术引导示范、推行清洁养殖方式等措施的同时，也将促进畜禽养殖业的结构调整和布局优化，引导产业生态化、规模化、集约化转型，增强可持续发展能力。有机肥生产、沼气能源工程建设，将促进养殖废弃物综合利用和产业链有效延伸，提高农产品品质和价值，提升产业综合效益，拓宽创收渠道，增加地方财政收入，带动农民致富。</w:t>
      </w:r>
    </w:p>
    <w:p>
      <w:pPr>
        <w:pStyle w:val="5"/>
        <w:bidi w:val="0"/>
        <w:rPr>
          <w:rFonts w:hint="eastAsia"/>
          <w:lang w:val="en-US" w:eastAsia="zh-CN"/>
        </w:rPr>
      </w:pPr>
      <w:bookmarkStart w:id="115" w:name="_Toc6504"/>
      <w:r>
        <w:rPr>
          <w:rFonts w:hint="eastAsia"/>
          <w:lang w:val="en-US" w:eastAsia="zh-CN"/>
        </w:rPr>
        <w:t>7.2 社会效益</w:t>
      </w:r>
      <w:bookmarkEnd w:id="115"/>
      <w:r>
        <w:rPr>
          <w:rFonts w:hint="eastAsia"/>
          <w:lang w:val="en-US" w:eastAsia="zh-CN"/>
        </w:rPr>
        <w:t xml:space="preserve"> </w:t>
      </w:r>
    </w:p>
    <w:p>
      <w:pPr>
        <w:bidi w:val="0"/>
        <w:rPr>
          <w:rFonts w:hint="eastAsia"/>
          <w:lang w:val="en-US" w:eastAsia="zh-CN"/>
        </w:rPr>
      </w:pPr>
      <w:r>
        <w:rPr>
          <w:lang w:val="en-US" w:eastAsia="zh-CN"/>
        </w:rPr>
        <w:t>规划实施推动养殖粪污进一步收集和有效的处理处置，提升了</w:t>
      </w:r>
      <w:r>
        <w:rPr>
          <w:rFonts w:hint="eastAsia"/>
          <w:lang w:val="en-US" w:eastAsia="zh-CN"/>
        </w:rPr>
        <w:t>地区生态环境污染协调控制能力，减少了各养殖场对周边农户生产、生活的影响，将百姓传统印象中养殖场</w:t>
      </w:r>
      <w:r>
        <w:rPr>
          <w:rFonts w:hint="default"/>
          <w:lang w:val="en-US" w:eastAsia="zh-CN"/>
        </w:rPr>
        <w:t>“</w:t>
      </w:r>
      <w:r>
        <w:rPr>
          <w:rFonts w:hint="eastAsia"/>
          <w:lang w:val="en-US" w:eastAsia="zh-CN"/>
        </w:rPr>
        <w:t>脏、臭、差、污染大户</w:t>
      </w:r>
      <w:r>
        <w:rPr>
          <w:rFonts w:hint="default"/>
          <w:lang w:val="en-US" w:eastAsia="zh-CN"/>
        </w:rPr>
        <w:t>”</w:t>
      </w:r>
      <w:r>
        <w:rPr>
          <w:rFonts w:hint="eastAsia"/>
          <w:lang w:val="en-US" w:eastAsia="zh-CN"/>
        </w:rPr>
        <w:t>的形象改变成</w:t>
      </w:r>
      <w:r>
        <w:rPr>
          <w:rFonts w:hint="default"/>
          <w:lang w:val="en-US" w:eastAsia="zh-CN"/>
        </w:rPr>
        <w:t>“</w:t>
      </w:r>
      <w:r>
        <w:rPr>
          <w:rFonts w:hint="eastAsia"/>
          <w:lang w:val="en-US" w:eastAsia="zh-CN"/>
        </w:rPr>
        <w:t>整洁、有序、卫生、环保、生态</w:t>
      </w:r>
      <w:r>
        <w:rPr>
          <w:rFonts w:hint="default"/>
          <w:lang w:val="en-US" w:eastAsia="zh-CN"/>
        </w:rPr>
        <w:t>”</w:t>
      </w:r>
      <w:r>
        <w:rPr>
          <w:rFonts w:hint="eastAsia"/>
          <w:lang w:val="en-US" w:eastAsia="zh-CN"/>
        </w:rPr>
        <w:t>新印象，极大改善各养殖场与周边群众的关系，促进了社会和谐。</w:t>
      </w:r>
    </w:p>
    <w:p>
      <w:pPr>
        <w:bidi w:val="0"/>
        <w:rPr>
          <w:rFonts w:hint="eastAsia"/>
          <w:lang w:val="en-US" w:eastAsia="zh-CN"/>
        </w:rPr>
      </w:pPr>
      <w:r>
        <w:rPr>
          <w:rFonts w:hint="eastAsia"/>
          <w:lang w:val="en-US" w:eastAsia="zh-CN"/>
        </w:rPr>
        <w:t>通过依法划定禁养区、限养区并强化污染防治，对饮用水水源地、重要河流水系等环境敏感区域进行重点整治和保护，将有效提升农村饮用水安全保障水平，农村居民健康得到保障。</w:t>
      </w:r>
    </w:p>
    <w:p>
      <w:pPr>
        <w:bidi w:val="0"/>
        <w:rPr>
          <w:rFonts w:hint="eastAsia"/>
          <w:lang w:val="en-US" w:eastAsia="zh-CN"/>
        </w:rPr>
      </w:pPr>
      <w:r>
        <w:rPr>
          <w:rFonts w:hint="eastAsia"/>
          <w:lang w:val="en-US" w:eastAsia="zh-CN"/>
        </w:rPr>
        <w:t>通过推进养殖密集区的养殖户入区入园经营或污染物（沼液）第三方运输，发挥废弃物统一收集、集中处理，农村地区粪便乱堆、污水乱排的现象有所改观，村容村貌得到改善，人畜混居状况有所缓解，农村人居环境质量得到提高。各养殖场区环境的改善，进一步铲除了细菌、病原菌、蚊蝇等的生存场所，进而减少了消毒杀菌及抗生素等药物的投入，提升畜禽产品品质，为社会公众提供健康保障。</w:t>
      </w:r>
    </w:p>
    <w:p>
      <w:pPr>
        <w:bidi w:val="0"/>
        <w:rPr>
          <w:rFonts w:hint="eastAsia" w:ascii="仿宋" w:hAnsi="仿宋" w:eastAsia="仿宋" w:cs="仿宋"/>
          <w:color w:val="000000"/>
          <w:kern w:val="0"/>
          <w:szCs w:val="28"/>
          <w:lang w:val="en-US" w:eastAsia="zh-CN" w:bidi="ar"/>
        </w:rPr>
      </w:pPr>
      <w:r>
        <w:rPr>
          <w:rFonts w:hint="eastAsia"/>
          <w:lang w:val="en-US" w:eastAsia="zh-CN"/>
        </w:rPr>
        <w:t>养殖-沼液沼渣-有机肥-农田-秸秆-养殖等循环利用各领域，可为周边养殖业、种植业等提供种养结合循环农业相关的示范和推动，从而带动周边产业的高质量发展，改善农村产业发展质量。</w:t>
      </w:r>
    </w:p>
    <w:p>
      <w:pPr>
        <w:pStyle w:val="5"/>
        <w:bidi w:val="0"/>
        <w:rPr>
          <w:rFonts w:hint="eastAsia"/>
          <w:lang w:val="en-US" w:eastAsia="zh-CN"/>
        </w:rPr>
      </w:pPr>
      <w:bookmarkStart w:id="116" w:name="_Toc7372"/>
      <w:r>
        <w:rPr>
          <w:rFonts w:hint="eastAsia"/>
          <w:lang w:val="en-US" w:eastAsia="zh-CN"/>
        </w:rPr>
        <w:t>7.3 环境效益</w:t>
      </w:r>
      <w:bookmarkEnd w:id="116"/>
      <w:r>
        <w:rPr>
          <w:rFonts w:hint="eastAsia"/>
          <w:lang w:val="en-US" w:eastAsia="zh-CN"/>
        </w:rPr>
        <w:t xml:space="preserve"> </w:t>
      </w:r>
    </w:p>
    <w:p>
      <w:pPr>
        <w:bidi w:val="0"/>
      </w:pPr>
      <w:r>
        <w:rPr>
          <w:lang w:val="en-US" w:eastAsia="zh-CN"/>
        </w:rPr>
        <w:t>养殖污染物通过治理和综合利用，实现污染物总量减排，推进</w:t>
      </w:r>
      <w:r>
        <w:rPr>
          <w:rFonts w:hint="eastAsia"/>
          <w:lang w:val="en-US" w:eastAsia="zh-CN"/>
        </w:rPr>
        <w:t>环境质量改善。通过实施规模化养殖场（户）养殖废弃物综合利用和污染治理设施建设进程，减少污染物排放，通过环境准入和倒逼作用，消灭粪污直排和场外丢弃，能够有效改善区域水体环境、空气环境。各类政策补贴和技术示范工程将继续发挥积极的引导、带动和辐射作用，提高养殖企业和养殖户自发治污减排的积极性，促进畜禽养殖业污染减排工作持续深入开展，巩固减排工作成效。通过统筹安排、合理布局畜禽养殖废弃物综合利用和污染治理项目，能够在全县水污染防治重点流域和区域有效缓解农业面源污染、改善区域环境质量。</w:t>
      </w:r>
    </w:p>
    <w:p>
      <w:pPr>
        <w:rPr>
          <w:rFonts w:hint="eastAsia"/>
          <w:lang w:val="en-US" w:eastAsia="zh-CN"/>
        </w:rPr>
      </w:pPr>
      <w:r>
        <w:rPr>
          <w:rFonts w:hint="eastAsia"/>
          <w:lang w:val="en-US" w:eastAsia="zh-CN"/>
        </w:rPr>
        <w:br w:type="page"/>
      </w:r>
    </w:p>
    <w:p>
      <w:pPr>
        <w:pStyle w:val="4"/>
        <w:bidi w:val="0"/>
        <w:rPr>
          <w:rFonts w:hint="eastAsia"/>
          <w:lang w:val="en-US" w:eastAsia="zh-CN"/>
        </w:rPr>
      </w:pPr>
      <w:bookmarkStart w:id="117" w:name="_Toc12748"/>
      <w:r>
        <w:rPr>
          <w:rFonts w:hint="eastAsia"/>
          <w:lang w:val="en-US" w:eastAsia="zh-CN"/>
        </w:rPr>
        <w:t>第八章  保障措施</w:t>
      </w:r>
      <w:bookmarkEnd w:id="117"/>
      <w:r>
        <w:rPr>
          <w:rFonts w:hint="eastAsia"/>
          <w:lang w:val="en-US" w:eastAsia="zh-CN"/>
        </w:rPr>
        <w:t xml:space="preserve"> </w:t>
      </w:r>
    </w:p>
    <w:p>
      <w:pPr>
        <w:pStyle w:val="5"/>
        <w:bidi w:val="0"/>
        <w:rPr>
          <w:rFonts w:hint="eastAsia"/>
          <w:lang w:val="en-US" w:eastAsia="zh-CN"/>
        </w:rPr>
      </w:pPr>
      <w:bookmarkStart w:id="118" w:name="_Toc26013"/>
      <w:r>
        <w:rPr>
          <w:rFonts w:hint="eastAsia"/>
          <w:lang w:val="en-US" w:eastAsia="zh-CN"/>
        </w:rPr>
        <w:t>8.1 加强领导，严格目标考核</w:t>
      </w:r>
      <w:bookmarkEnd w:id="118"/>
      <w:r>
        <w:rPr>
          <w:rFonts w:hint="eastAsia"/>
          <w:lang w:val="en-US" w:eastAsia="zh-CN"/>
        </w:rPr>
        <w:t xml:space="preserve"> </w:t>
      </w:r>
    </w:p>
    <w:p>
      <w:pPr>
        <w:bidi w:val="0"/>
      </w:pPr>
      <w:r>
        <w:rPr>
          <w:rFonts w:hint="eastAsia"/>
          <w:lang w:val="en-US" w:eastAsia="zh-CN"/>
        </w:rPr>
        <w:t xml:space="preserve">闽侯县政府加强对畜禽养殖污染防治工作的组织领导，加强污染防治工作协调，建立有效的部门沟通协作机制，按照部门职责分工，分解落实畜禽养殖污染防治任务，实现资源和信息共享，形成部门合力。将畜禽养殖污染防治任务完成情况作为政府年度目标责任考核的重要内容，层层明确目标任务，落实防治工作责任，并根据目标任务完成情况采取相应的奖惩措施。 </w:t>
      </w:r>
    </w:p>
    <w:p>
      <w:pPr>
        <w:bidi w:val="0"/>
        <w:rPr>
          <w:rFonts w:hint="eastAsia" w:ascii="仿宋" w:hAnsi="仿宋" w:eastAsia="仿宋" w:cs="仿宋"/>
          <w:color w:val="000000"/>
          <w:kern w:val="0"/>
          <w:szCs w:val="28"/>
          <w:lang w:val="en-US" w:eastAsia="zh-CN" w:bidi="ar"/>
        </w:rPr>
      </w:pPr>
      <w:r>
        <w:rPr>
          <w:rFonts w:hint="eastAsia"/>
          <w:lang w:val="en-US" w:eastAsia="zh-CN"/>
        </w:rPr>
        <w:t>生态环境部门要切实履行生态环境监管职能，建立完善长效监管机制，坚决防止退养反弹；农业农村局要切实做好技术指导与服务，鼓励有条件的退养企业异地搬迁养殖；自然资源和规划部门要配合制定扶持政策，优先保障异地搬迁的养殖企业用地，切实为退养搬迁企业排忧解难；确保畜禽养殖污染企业退得出、安得住，畜禽产品保供给，畜牧事业有新发展。</w:t>
      </w:r>
      <w:r>
        <w:rPr>
          <w:rFonts w:hint="eastAsia" w:ascii="仿宋" w:hAnsi="仿宋" w:eastAsia="仿宋" w:cs="仿宋"/>
          <w:color w:val="000000"/>
          <w:kern w:val="0"/>
          <w:szCs w:val="28"/>
          <w:lang w:val="en-US" w:eastAsia="zh-CN" w:bidi="ar"/>
        </w:rPr>
        <w:t xml:space="preserve"> </w:t>
      </w:r>
    </w:p>
    <w:p>
      <w:pPr>
        <w:pStyle w:val="6"/>
        <w:bidi w:val="0"/>
        <w:rPr>
          <w:rFonts w:hint="eastAsia"/>
          <w:lang w:val="en-US" w:eastAsia="zh-CN"/>
        </w:rPr>
      </w:pPr>
      <w:r>
        <w:rPr>
          <w:rFonts w:hint="eastAsia"/>
          <w:lang w:val="en-US" w:eastAsia="zh-CN"/>
        </w:rPr>
        <w:t>8.1.1各级政府监管责任落实</w:t>
      </w:r>
    </w:p>
    <w:p>
      <w:pPr>
        <w:bidi w:val="0"/>
        <w:rPr>
          <w:rFonts w:hint="eastAsia"/>
        </w:rPr>
      </w:pPr>
      <w:r>
        <w:rPr>
          <w:rFonts w:hint="eastAsia"/>
        </w:rPr>
        <w:t>按照属地管理原则，各乡（镇）长，街道主任是本辖区畜禽养殖污染整治第一责任人，对本辖区生猪养殖污染整治工作负总责。各乡（镇）、街道要成立相应领导小组，加强组织领导，健全工作机制，层层落实责任；要统筹考虑市场需求、环境承载能力和污染治理能力，实行辖区内生猪养殖场（户）摸底调查工作，与生猪养殖场（户）签订生猪存栏确认表；切实加大辖区内生猪养殖场（户）的监督巡查力度，坚决杜绝违法新、改、扩建生猪养殖场（户）行为，落实无法达标排放生猪养殖场（户）的关闭、拆除工作；配合</w:t>
      </w:r>
      <w:r>
        <w:rPr>
          <w:rFonts w:hint="eastAsia"/>
          <w:lang w:val="en-US" w:eastAsia="zh-CN"/>
        </w:rPr>
        <w:t>县</w:t>
      </w:r>
      <w:r>
        <w:rPr>
          <w:rFonts w:hint="eastAsia"/>
        </w:rPr>
        <w:t>农业、生态环境、林业、住建、国土、供电等部门做好执法法律文书送达等工作。</w:t>
      </w:r>
    </w:p>
    <w:p>
      <w:pPr>
        <w:pStyle w:val="6"/>
        <w:bidi w:val="0"/>
        <w:rPr>
          <w:rFonts w:hint="eastAsia"/>
          <w:lang w:val="en-US" w:eastAsia="zh-CN"/>
        </w:rPr>
      </w:pPr>
      <w:r>
        <w:rPr>
          <w:rFonts w:hint="eastAsia"/>
          <w:lang w:val="en-US" w:eastAsia="zh-CN"/>
        </w:rPr>
        <w:t>8.1.2县直部门监管责任落实</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cs="Times New Roman"/>
          <w:sz w:val="24"/>
          <w:szCs w:val="32"/>
          <w:lang w:val="en-US" w:eastAsia="zh-CN"/>
        </w:rPr>
        <w:t>县</w:t>
      </w:r>
      <w:r>
        <w:rPr>
          <w:rFonts w:hint="eastAsia" w:ascii="Times New Roman" w:hAnsi="Times New Roman" w:eastAsia="宋体" w:cs="Times New Roman"/>
          <w:sz w:val="24"/>
          <w:szCs w:val="32"/>
        </w:rPr>
        <w:t>直各有关部门要加强沟通、密切配合，齐抓共管，形成合力，细化畜禽养殖污染整治的具体措施。</w:t>
      </w:r>
    </w:p>
    <w:p>
      <w:pPr>
        <w:adjustRightInd w:val="0"/>
        <w:snapToGrid w:val="0"/>
        <w:spacing w:line="360" w:lineRule="auto"/>
        <w:ind w:firstLine="482"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（1）</w:t>
      </w:r>
      <w:r>
        <w:rPr>
          <w:rFonts w:hint="eastAsia" w:cs="Times New Roman"/>
          <w:b/>
          <w:bCs/>
          <w:sz w:val="24"/>
          <w:szCs w:val="32"/>
          <w:lang w:val="en-US" w:eastAsia="zh-CN"/>
        </w:rPr>
        <w:t>福州市闽侯</w:t>
      </w:r>
      <w:r>
        <w:rPr>
          <w:rFonts w:hint="eastAsia" w:ascii="Times New Roman" w:hAnsi="Times New Roman" w:eastAsia="宋体" w:cs="Times New Roman"/>
          <w:b/>
          <w:bCs/>
          <w:sz w:val="24"/>
          <w:szCs w:val="32"/>
        </w:rPr>
        <w:t>生态环境局</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①负责把养殖污染治理工作纳入全</w:t>
      </w:r>
      <w:r>
        <w:rPr>
          <w:rFonts w:hint="eastAsia" w:cs="Times New Roman"/>
          <w:sz w:val="24"/>
          <w:szCs w:val="32"/>
          <w:lang w:val="en-US" w:eastAsia="zh-CN"/>
        </w:rPr>
        <w:t>县生态环境保护</w:t>
      </w:r>
      <w:r>
        <w:rPr>
          <w:rFonts w:hint="eastAsia" w:ascii="Times New Roman" w:hAnsi="Times New Roman" w:eastAsia="宋体" w:cs="Times New Roman"/>
          <w:sz w:val="24"/>
          <w:szCs w:val="32"/>
        </w:rPr>
        <w:t>统一监管职责，列入年度环境保护目标责任制，会同有关部门组织实施。</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②负责对生猪养殖场（户）污染治理工作的巡查监管，对直排、偷排、漏排等违法行为予以依法处罚。</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③对乡镇（街道）生猪养殖污染整治工作进行督促、指导。</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cs="Times New Roman"/>
          <w:sz w:val="24"/>
          <w:szCs w:val="32"/>
          <w:lang w:eastAsia="zh-CN"/>
        </w:rPr>
        <w:t>④</w:t>
      </w:r>
      <w:r>
        <w:rPr>
          <w:rFonts w:hint="eastAsia" w:ascii="Times New Roman" w:hAnsi="Times New Roman" w:eastAsia="宋体" w:cs="Times New Roman"/>
          <w:sz w:val="24"/>
          <w:szCs w:val="32"/>
        </w:rPr>
        <w:t>严格环境监管，对环境违法行为严查严管。科学确定环境准入门槛，落实规模养殖环评制度，把好新建关，提升现有规模养殖场环保水平，建立污染排放监测体系，完善污染监管制度，加强执法检查，切实管住违法排污。</w:t>
      </w:r>
    </w:p>
    <w:p>
      <w:pPr>
        <w:adjustRightInd w:val="0"/>
        <w:snapToGrid w:val="0"/>
        <w:spacing w:line="360" w:lineRule="auto"/>
        <w:ind w:firstLine="482"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（2）县农业农村局</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①</w:t>
      </w:r>
      <w:r>
        <w:rPr>
          <w:rFonts w:hint="eastAsia" w:cs="Times New Roman"/>
          <w:sz w:val="24"/>
          <w:szCs w:val="32"/>
          <w:lang w:val="en-US" w:eastAsia="zh-CN"/>
        </w:rPr>
        <w:t>承担生猪规模养殖场服务和指导职能，督促和指导生猪规模养殖场的标准化改造，严格按照环评批复数量控制养殖规模</w:t>
      </w:r>
      <w:r>
        <w:rPr>
          <w:rFonts w:hint="eastAsia" w:ascii="Times New Roman" w:hAnsi="Times New Roman" w:eastAsia="宋体" w:cs="Times New Roman"/>
          <w:sz w:val="24"/>
          <w:szCs w:val="32"/>
        </w:rPr>
        <w:t>，做好养殖业数据统计工作</w:t>
      </w:r>
      <w:r>
        <w:rPr>
          <w:rFonts w:hint="eastAsia" w:cs="Times New Roman"/>
          <w:sz w:val="24"/>
          <w:szCs w:val="32"/>
          <w:lang w:eastAsia="zh-CN"/>
        </w:rPr>
        <w:t>，</w:t>
      </w:r>
      <w:r>
        <w:rPr>
          <w:rFonts w:hint="eastAsia" w:ascii="Times New Roman" w:hAnsi="Times New Roman" w:eastAsia="宋体" w:cs="Times New Roman"/>
          <w:sz w:val="24"/>
          <w:szCs w:val="32"/>
        </w:rPr>
        <w:t>编制畜牧业发展规划。</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②负责督促指导可养区生猪养殖场（户）的改造升级，推广生猪生态养殖模式及养殖废弃物的综合利用。</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③加强办证管理，没有通过环评的养殖场，不予办理《动物防疫合格证》及种畜禽经营许可证》。对</w:t>
      </w:r>
      <w:r>
        <w:rPr>
          <w:rFonts w:hint="eastAsia" w:cs="Times New Roman"/>
          <w:sz w:val="24"/>
          <w:szCs w:val="32"/>
          <w:lang w:val="en-US" w:eastAsia="zh-CN"/>
        </w:rPr>
        <w:t>县</w:t>
      </w:r>
      <w:r>
        <w:rPr>
          <w:rFonts w:hint="eastAsia" w:ascii="Times New Roman" w:hAnsi="Times New Roman" w:eastAsia="宋体" w:cs="Times New Roman"/>
          <w:sz w:val="24"/>
          <w:szCs w:val="32"/>
        </w:rPr>
        <w:t>政府已下达关停通知超过最后期限的养殖场（户）不得提供《动物防疫合格证》。</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④负责督促指导乡（镇、街道）做好病死猪无害化处理工作。</w:t>
      </w:r>
    </w:p>
    <w:p>
      <w:pPr>
        <w:adjustRightInd w:val="0"/>
        <w:snapToGrid w:val="0"/>
        <w:spacing w:line="360" w:lineRule="auto"/>
        <w:ind w:firstLine="482"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（3）县林业局</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依法对征占林业用地生猪养殖场（户）办理审批手续；对未经审核同意，擅自改变林地用途建</w:t>
      </w:r>
      <w:r>
        <w:rPr>
          <w:rFonts w:hint="eastAsia" w:cs="Times New Roman"/>
          <w:sz w:val="24"/>
          <w:szCs w:val="32"/>
          <w:lang w:val="en-US" w:eastAsia="zh-CN"/>
        </w:rPr>
        <w:t>大规模畜禽</w:t>
      </w:r>
      <w:r>
        <w:rPr>
          <w:rFonts w:hint="eastAsia" w:ascii="Times New Roman" w:hAnsi="Times New Roman" w:eastAsia="宋体" w:cs="Times New Roman"/>
          <w:sz w:val="24"/>
          <w:szCs w:val="32"/>
        </w:rPr>
        <w:t>养殖场的，责令限期恢复原状，并处罚款。</w:t>
      </w:r>
    </w:p>
    <w:p>
      <w:pPr>
        <w:adjustRightInd w:val="0"/>
        <w:snapToGrid w:val="0"/>
        <w:spacing w:line="360" w:lineRule="auto"/>
        <w:ind w:firstLine="482"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（4）县自然资源</w:t>
      </w:r>
      <w:r>
        <w:rPr>
          <w:rFonts w:hint="eastAsia" w:cs="Times New Roman"/>
          <w:b/>
          <w:bCs/>
          <w:sz w:val="24"/>
          <w:szCs w:val="32"/>
          <w:lang w:val="en-US" w:eastAsia="zh-CN"/>
        </w:rPr>
        <w:t>和规划</w:t>
      </w:r>
      <w:r>
        <w:rPr>
          <w:rFonts w:hint="eastAsia" w:ascii="Times New Roman" w:hAnsi="Times New Roman" w:eastAsia="宋体" w:cs="Times New Roman"/>
          <w:b/>
          <w:bCs/>
          <w:sz w:val="24"/>
          <w:szCs w:val="32"/>
        </w:rPr>
        <w:t>局</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依法查处生猪养殖场（户）非法用地的违法行为，责令限期拆除，恢复原状，对情节严重触犯刑法的应移交司法机关追究其法律责任。协助配合各乡（镇、街道）做好“两违”建筑拆除工作。</w:t>
      </w:r>
    </w:p>
    <w:p>
      <w:pPr>
        <w:adjustRightInd w:val="0"/>
        <w:snapToGrid w:val="0"/>
        <w:spacing w:line="360" w:lineRule="auto"/>
        <w:ind w:firstLine="482"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（5）县住建局</w:t>
      </w:r>
    </w:p>
    <w:p>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加强巡查执法力度，及时发现并制止违规新（扩）建养殖场（户）行为，做好城市规划区范围“两违”建房执法工作，特别是对</w:t>
      </w:r>
      <w:r>
        <w:rPr>
          <w:rFonts w:hint="eastAsia" w:cs="Times New Roman"/>
          <w:sz w:val="24"/>
          <w:szCs w:val="32"/>
          <w:lang w:val="en-US" w:eastAsia="zh-CN"/>
        </w:rPr>
        <w:t>城郊的</w:t>
      </w:r>
      <w:r>
        <w:rPr>
          <w:rFonts w:hint="eastAsia" w:ascii="Times New Roman" w:hAnsi="Times New Roman" w:eastAsia="宋体" w:cs="Times New Roman"/>
          <w:sz w:val="24"/>
          <w:szCs w:val="32"/>
        </w:rPr>
        <w:t>违规养殖场（户）进行查处和拆除，坚决打击违规（扩）建养殖场（户）行为。</w:t>
      </w:r>
    </w:p>
    <w:p>
      <w:pPr>
        <w:adjustRightInd w:val="0"/>
        <w:snapToGrid w:val="0"/>
        <w:spacing w:line="360" w:lineRule="auto"/>
        <w:ind w:firstLine="482"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（6）县水利局</w:t>
      </w:r>
    </w:p>
    <w:p>
      <w:pPr>
        <w:adjustRightInd w:val="0"/>
        <w:snapToGrid w:val="0"/>
        <w:spacing w:line="360" w:lineRule="auto"/>
        <w:ind w:firstLine="480" w:firstLineChars="200"/>
        <w:rPr>
          <w:rFonts w:hint="eastAsia" w:ascii="Times New Roman" w:hAnsi="Times New Roman" w:eastAsia="宋体" w:cs="Times New Roman"/>
          <w:color w:val="auto"/>
          <w:sz w:val="24"/>
          <w:szCs w:val="32"/>
          <w:lang w:eastAsia="zh-CN"/>
        </w:rPr>
      </w:pPr>
      <w:r>
        <w:rPr>
          <w:rFonts w:hint="eastAsia" w:cs="Times New Roman"/>
          <w:color w:val="auto"/>
          <w:sz w:val="24"/>
          <w:szCs w:val="32"/>
          <w:lang w:val="en-US" w:eastAsia="zh-CN"/>
        </w:rPr>
        <w:t>配合做好畜禽养殖污染防治工作，加强饮用水源保护工作。</w:t>
      </w:r>
    </w:p>
    <w:p>
      <w:pPr>
        <w:adjustRightInd w:val="0"/>
        <w:snapToGrid w:val="0"/>
        <w:spacing w:line="360" w:lineRule="auto"/>
        <w:ind w:firstLine="482" w:firstLineChars="200"/>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w:t>
      </w:r>
      <w:r>
        <w:rPr>
          <w:rFonts w:hint="eastAsia" w:cs="Times New Roman"/>
          <w:b/>
          <w:bCs/>
          <w:color w:val="auto"/>
          <w:sz w:val="24"/>
          <w:szCs w:val="32"/>
          <w:lang w:val="en-US" w:eastAsia="zh-CN"/>
        </w:rPr>
        <w:t>7</w:t>
      </w:r>
      <w:r>
        <w:rPr>
          <w:rFonts w:hint="eastAsia" w:ascii="Times New Roman" w:hAnsi="Times New Roman" w:eastAsia="宋体" w:cs="Times New Roman"/>
          <w:b/>
          <w:bCs/>
          <w:color w:val="auto"/>
          <w:sz w:val="24"/>
          <w:szCs w:val="32"/>
        </w:rPr>
        <w:t>）县市场监督管理局</w:t>
      </w:r>
    </w:p>
    <w:p>
      <w:pPr>
        <w:adjustRightInd w:val="0"/>
        <w:snapToGrid w:val="0"/>
        <w:spacing w:line="360" w:lineRule="auto"/>
        <w:ind w:firstLine="480" w:firstLineChars="200"/>
        <w:rPr>
          <w:rFonts w:ascii="Times New Roman" w:hAnsi="Times New Roman" w:eastAsia="宋体" w:cs="Times New Roman"/>
          <w:color w:val="auto"/>
          <w:sz w:val="24"/>
          <w:szCs w:val="32"/>
        </w:rPr>
      </w:pPr>
      <w:r>
        <w:rPr>
          <w:rFonts w:hint="eastAsia" w:ascii="Times New Roman" w:hAnsi="Times New Roman" w:eastAsia="宋体" w:cs="Times New Roman"/>
          <w:color w:val="auto"/>
          <w:sz w:val="24"/>
          <w:szCs w:val="32"/>
        </w:rPr>
        <w:t>负责组织调查处理</w:t>
      </w:r>
      <w:r>
        <w:rPr>
          <w:rFonts w:hint="eastAsia" w:cs="Times New Roman"/>
          <w:color w:val="auto"/>
          <w:sz w:val="24"/>
          <w:szCs w:val="32"/>
          <w:lang w:val="en-US" w:eastAsia="zh-CN"/>
        </w:rPr>
        <w:t>由检疫部门认定的</w:t>
      </w:r>
      <w:r>
        <w:rPr>
          <w:rFonts w:hint="eastAsia" w:ascii="Times New Roman" w:hAnsi="Times New Roman" w:eastAsia="宋体" w:cs="Times New Roman"/>
          <w:color w:val="auto"/>
          <w:sz w:val="24"/>
          <w:szCs w:val="32"/>
        </w:rPr>
        <w:t>食用病死猪造成的食品安全事故，对违反环保法律法规，污染环境或存在污染隐患，破坏环境资源的养殖企业</w:t>
      </w:r>
      <w:r>
        <w:rPr>
          <w:rFonts w:hint="eastAsia" w:cs="Times New Roman"/>
          <w:color w:val="auto"/>
          <w:sz w:val="24"/>
          <w:szCs w:val="32"/>
          <w:lang w:eastAsia="zh-CN"/>
        </w:rPr>
        <w:t>，</w:t>
      </w:r>
      <w:r>
        <w:rPr>
          <w:rFonts w:hint="eastAsia" w:cs="Times New Roman"/>
          <w:color w:val="auto"/>
          <w:sz w:val="24"/>
          <w:szCs w:val="32"/>
          <w:lang w:val="en-US" w:eastAsia="zh-CN"/>
        </w:rPr>
        <w:t>依照生态环境部门的认定处理文件</w:t>
      </w:r>
      <w:r>
        <w:rPr>
          <w:rFonts w:hint="eastAsia" w:ascii="Times New Roman" w:hAnsi="Times New Roman" w:eastAsia="宋体" w:cs="Times New Roman"/>
          <w:color w:val="auto"/>
          <w:sz w:val="24"/>
          <w:szCs w:val="32"/>
        </w:rPr>
        <w:t>责令办理变更登记或依法吊销其营业执照。</w:t>
      </w:r>
    </w:p>
    <w:p>
      <w:pPr>
        <w:pStyle w:val="5"/>
        <w:bidi w:val="0"/>
        <w:rPr>
          <w:rFonts w:hint="eastAsia"/>
          <w:lang w:val="en-US" w:eastAsia="zh-CN"/>
        </w:rPr>
      </w:pPr>
      <w:bookmarkStart w:id="119" w:name="_Toc7228"/>
      <w:r>
        <w:rPr>
          <w:rFonts w:hint="eastAsia"/>
          <w:lang w:val="en-US" w:eastAsia="zh-CN"/>
        </w:rPr>
        <w:t>8.2 明确重点，细化措施落实</w:t>
      </w:r>
      <w:bookmarkEnd w:id="119"/>
      <w:r>
        <w:rPr>
          <w:rFonts w:hint="eastAsia"/>
          <w:lang w:val="en-US" w:eastAsia="zh-CN"/>
        </w:rPr>
        <w:t xml:space="preserve"> </w:t>
      </w:r>
    </w:p>
    <w:p>
      <w:pPr>
        <w:bidi w:val="0"/>
        <w:rPr>
          <w:rFonts w:hint="eastAsia"/>
          <w:lang w:val="en-US" w:eastAsia="zh-CN"/>
        </w:rPr>
      </w:pPr>
      <w:r>
        <w:rPr>
          <w:lang w:val="en-US" w:eastAsia="zh-CN"/>
        </w:rPr>
        <w:t>突出重点，明确治理任务及进度，加强对重点地区的监督指导</w:t>
      </w:r>
      <w:r>
        <w:rPr>
          <w:rFonts w:hint="eastAsia"/>
          <w:lang w:val="en-US" w:eastAsia="zh-CN"/>
        </w:rPr>
        <w:t>和政策扶持。通过多部门联合监督、专项监督和日常性监督等多种监管方式加大畜禽养殖污染日常监督和执法管理。加快各乡镇畜禽养殖污染治理设施建设。加强对畜禽养殖业污染减排项目的督查和调度，确保完成减排目标任务。采取多种检查方式，重点加强对已完成治理的规模畜禽养殖场以及畜禽粪便收集处理设施的现场监督，对偷排、漏排、直排等违法行为依法严厉查处。</w:t>
      </w:r>
    </w:p>
    <w:p>
      <w:pPr>
        <w:bidi w:val="0"/>
      </w:pPr>
      <w:r>
        <w:rPr>
          <w:rFonts w:hint="eastAsia"/>
        </w:rPr>
        <w:t>全力保障生猪增产保供稳价，保障畜牧业高质量绿色发展。依法切实履行病死动物无害化处理工作属地管理职责，强化监管，落实责任。推动建立畜禽粪污处理和粪肥利用台账。将畜禽养殖污染治理与生态创建、各类农业财政扶持资格、各类生态环保评优等挂钩，不断加大综合整治力度。对行政区域内主要污染物排放总量核算时，将畜禽养殖废弃物资源化利用量纳入总量减排核算。</w:t>
      </w:r>
    </w:p>
    <w:p>
      <w:pPr>
        <w:pStyle w:val="5"/>
        <w:bidi w:val="0"/>
        <w:rPr>
          <w:rFonts w:hint="eastAsia"/>
          <w:lang w:val="en-US" w:eastAsia="zh-CN"/>
        </w:rPr>
      </w:pPr>
      <w:bookmarkStart w:id="120" w:name="_Toc12313"/>
      <w:r>
        <w:rPr>
          <w:rFonts w:hint="eastAsia"/>
          <w:lang w:val="en-US" w:eastAsia="zh-CN"/>
        </w:rPr>
        <w:t>8.3 增加投入，保障技术扶持</w:t>
      </w:r>
      <w:bookmarkEnd w:id="120"/>
      <w:r>
        <w:rPr>
          <w:rFonts w:hint="eastAsia"/>
          <w:lang w:val="en-US" w:eastAsia="zh-CN"/>
        </w:rPr>
        <w:t xml:space="preserve"> </w:t>
      </w:r>
    </w:p>
    <w:p>
      <w:pPr>
        <w:bidi w:val="0"/>
        <w:rPr>
          <w:rFonts w:hint="eastAsia"/>
          <w:lang w:val="en-US" w:eastAsia="zh-CN"/>
        </w:rPr>
      </w:pPr>
      <w:r>
        <w:rPr>
          <w:rFonts w:hint="eastAsia"/>
          <w:b/>
          <w:bCs/>
          <w:lang w:val="en-US" w:eastAsia="zh-CN"/>
        </w:rPr>
        <w:t>一是逐步加大对畜禽养殖污染防治工作的资金投入。</w:t>
      </w:r>
      <w:r>
        <w:rPr>
          <w:rFonts w:hint="eastAsia"/>
          <w:lang w:val="en-US" w:eastAsia="zh-CN"/>
        </w:rPr>
        <w:t xml:space="preserve">加大对生态畜牧业建设的政策扶持，研究畜禽污染治理贷补贴政策，对有机肥产品生产、经营、沼液收集处理等畜禽养殖废弃物综合利用及无害化处置等活动享受税收优惠政策。优先制定和实施针对畜禽养殖废弃物减量化、沼气发电和有机肥生产使用等废弃物资源化利用、污染治理设施建设和运营等优惠和扶持措施。鼓励养殖企业与高校、科研院所合作，通过技术研发和生产实践，创新畜禽养殖污染防治的新方法、新途径。 </w:t>
      </w:r>
    </w:p>
    <w:p>
      <w:pPr>
        <w:bidi w:val="0"/>
        <w:rPr>
          <w:rFonts w:hint="eastAsia"/>
        </w:rPr>
      </w:pPr>
      <w:r>
        <w:rPr>
          <w:rFonts w:hint="eastAsia"/>
          <w:b/>
          <w:bCs/>
          <w:lang w:val="en-US" w:eastAsia="zh-CN"/>
        </w:rPr>
        <w:t>二是探索符合区域实际的畜禽养殖污染防治措施。</w:t>
      </w:r>
      <w:r>
        <w:rPr>
          <w:rFonts w:hint="eastAsia"/>
        </w:rPr>
        <w:t>按照“综合利用优先，资源化、无害化和减量化”原则，根据《畜禽规模养殖污染防治条例》等相关法律法规、政策的要求，结合</w:t>
      </w:r>
      <w:r>
        <w:rPr>
          <w:rFonts w:hint="eastAsia"/>
          <w:lang w:val="en-US" w:eastAsia="zh-CN"/>
        </w:rPr>
        <w:t>当地</w:t>
      </w:r>
      <w:r>
        <w:rPr>
          <w:rFonts w:hint="eastAsia"/>
        </w:rPr>
        <w:t>实际，各乡（镇）鼓励种养结合和生态养殖，积极探索畜禽养殖污染综合防治措施。对于有相应消纳土地的养殖场，应坚持种养结合的原则，畜禽废渣和污水经无害化处理达到回用标准后，尽量充分还田，实现资源化利用；对于无相应消纳土地的养殖场，应建立集中处理畜禽粪便的有机肥厂或处理（处置）机制，可综合利用污水生产沼气，制造有机肥料，再生饲料或其它类型资源回收等，但要避免二次污染，并应符合《畜禽养殖业污染物排放标准》（GB 18596-2001）的规定；同时，结合</w:t>
      </w:r>
      <w:r>
        <w:rPr>
          <w:rFonts w:hint="eastAsia"/>
          <w:lang w:eastAsia="zh-CN"/>
        </w:rPr>
        <w:t>闽侯</w:t>
      </w:r>
      <w:r>
        <w:rPr>
          <w:rFonts w:hint="eastAsia"/>
        </w:rPr>
        <w:t>县生态</w:t>
      </w:r>
      <w:r>
        <w:rPr>
          <w:rFonts w:hint="eastAsia"/>
          <w:lang w:eastAsia="zh-CN"/>
        </w:rPr>
        <w:t>文明建设</w:t>
      </w:r>
      <w:r>
        <w:rPr>
          <w:rFonts w:hint="eastAsia"/>
        </w:rPr>
        <w:t>示范</w:t>
      </w:r>
      <w:r>
        <w:rPr>
          <w:rFonts w:hint="eastAsia"/>
          <w:lang w:val="en-US" w:eastAsia="zh-CN"/>
        </w:rPr>
        <w:t>区</w:t>
      </w:r>
      <w:r>
        <w:rPr>
          <w:rFonts w:hint="eastAsia"/>
        </w:rPr>
        <w:t>建设及无公害农产品、绿色食品和有机食品的发展，积极促进畜禽废渣及污水的综合利用，不断提高科技水平。对于未达到规模化的畜禽养殖（散养、放养和小规模养殖）户，提倡农牧结合、种养平衡一体化，鼓励农村沼气池建设，做到沼气回收能源、沼渣和沼液还田利用，尽量消除畜禽养殖废弃物产生的环境污染。</w:t>
      </w:r>
    </w:p>
    <w:p>
      <w:pPr>
        <w:bidi w:val="0"/>
        <w:rPr>
          <w:rFonts w:ascii="Times New Roman" w:hAnsi="Times New Roman" w:eastAsia="宋体" w:cs="Times New Roman"/>
          <w:szCs w:val="32"/>
        </w:rPr>
      </w:pPr>
      <w:r>
        <w:rPr>
          <w:rFonts w:hint="eastAsia"/>
          <w:b/>
          <w:bCs/>
          <w:lang w:val="en-US" w:eastAsia="zh-CN"/>
        </w:rPr>
        <w:t>三是从实际出发保障</w:t>
      </w:r>
      <w:r>
        <w:rPr>
          <w:rFonts w:hint="eastAsia"/>
          <w:b/>
          <w:bCs/>
        </w:rPr>
        <w:t>畜禽养殖业污染防治</w:t>
      </w:r>
      <w:r>
        <w:rPr>
          <w:rFonts w:hint="eastAsia"/>
          <w:b/>
          <w:bCs/>
          <w:lang w:val="en-US" w:eastAsia="zh-CN"/>
        </w:rPr>
        <w:t>工程的持续推进。</w:t>
      </w:r>
      <w:r>
        <w:rPr>
          <w:rFonts w:hint="eastAsia"/>
          <w:lang w:val="en-US" w:eastAsia="zh-CN"/>
        </w:rPr>
        <w:t>该工作</w:t>
      </w:r>
      <w:r>
        <w:rPr>
          <w:rFonts w:hint="eastAsia"/>
        </w:rPr>
        <w:t>是一项系统工程，既要考虑畜禽养殖业的经济承受能力，又要考虑到污染防治工作的实际需要。对此要做好全</w:t>
      </w:r>
      <w:r>
        <w:rPr>
          <w:rFonts w:hint="eastAsia"/>
          <w:lang w:val="en-US" w:eastAsia="zh-CN"/>
        </w:rPr>
        <w:t>县</w:t>
      </w:r>
      <w:r>
        <w:rPr>
          <w:rFonts w:hint="eastAsia"/>
        </w:rPr>
        <w:t>畜禽养殖业污染综合防治工作，就需要不断总结和推广符合本地实际的畜禽养殖污染综合防治措施。全</w:t>
      </w:r>
      <w:r>
        <w:rPr>
          <w:rFonts w:hint="eastAsia"/>
          <w:lang w:val="en-US" w:eastAsia="zh-CN"/>
        </w:rPr>
        <w:t>县</w:t>
      </w:r>
      <w:r>
        <w:rPr>
          <w:rFonts w:hint="eastAsia"/>
        </w:rPr>
        <w:t>畜禽养殖场污染防治水平不一，因而有必要实施培训计划，为畜禽养殖</w:t>
      </w:r>
      <w:r>
        <w:rPr>
          <w:rFonts w:hint="eastAsia"/>
          <w:lang w:val="en-US" w:eastAsia="zh-CN"/>
        </w:rPr>
        <w:t>从业者</w:t>
      </w:r>
      <w:r>
        <w:rPr>
          <w:rFonts w:hint="eastAsia"/>
        </w:rPr>
        <w:t>提供污染治理的技术支持；积极引导符合条件的企业申报有关环境保护专项资金项目，加强污染治理工作；选择具有一定经济实力的集约化畜禽养殖场开展示范工程建设，选择污染物达标排放、综合利用好且又有推广价值的畜禽养殖场树立样板。通过示范工程或样板，加强技术交流，总结经验，稳步推广，不断提高</w:t>
      </w:r>
      <w:r>
        <w:rPr>
          <w:rFonts w:hint="eastAsia"/>
          <w:lang w:val="en-US" w:eastAsia="zh-CN"/>
        </w:rPr>
        <w:t>全县</w:t>
      </w:r>
      <w:r>
        <w:rPr>
          <w:rFonts w:hint="eastAsia"/>
        </w:rPr>
        <w:t>畜禽养殖业污染综合防治水平。</w:t>
      </w:r>
    </w:p>
    <w:p>
      <w:pPr>
        <w:pStyle w:val="5"/>
        <w:bidi w:val="0"/>
        <w:rPr>
          <w:rFonts w:hint="eastAsia"/>
          <w:lang w:val="en-US" w:eastAsia="zh-CN"/>
        </w:rPr>
      </w:pPr>
      <w:bookmarkStart w:id="121" w:name="_Toc905"/>
      <w:r>
        <w:rPr>
          <w:rFonts w:hint="default"/>
          <w:lang w:val="en-US" w:eastAsia="zh-CN"/>
        </w:rPr>
        <w:t xml:space="preserve">8.4 </w:t>
      </w:r>
      <w:r>
        <w:rPr>
          <w:rFonts w:hint="eastAsia"/>
          <w:lang w:val="en-US" w:eastAsia="zh-CN"/>
        </w:rPr>
        <w:t>加大宣传，营造治理气氛</w:t>
      </w:r>
      <w:bookmarkEnd w:id="121"/>
      <w:r>
        <w:rPr>
          <w:rFonts w:hint="eastAsia"/>
          <w:lang w:val="en-US" w:eastAsia="zh-CN"/>
        </w:rPr>
        <w:t xml:space="preserve"> </w:t>
      </w:r>
    </w:p>
    <w:p>
      <w:pPr>
        <w:bidi w:val="0"/>
      </w:pPr>
      <w:r>
        <w:rPr>
          <w:rFonts w:hint="eastAsia"/>
          <w:lang w:val="en-US" w:eastAsia="zh-CN"/>
        </w:rPr>
        <w:t>积极开展畜禽养殖污染防治工作的宣传教育，营造良好的舆论氛围。通过广播、电视、报刊、网络、微博、微信等不同媒介，开展畜禽养殖污染防治的舆论宣传，切实提高养殖场（户）和广大群众的环保意识。农业部门或受委托的第三方培训机构应定期组织开展技术流与人员培训，把畜禽排泄物治理和资源化利用技术作为新型农民科技培训、农村劳动力转移培训和农民素质教育工程的重要内容，纳入相关农业技术或养殖技能培训当中，逐步提高从业人员的污染治理技术水平。充分发挥行业协会、社会舆论的监督作用，及时通报各地禽养殖污染治理工作进展、亮点与问题，对治理不力、严重污染水环境的生产主体进行曝光，赢得舆论宣传工作的主动权。积极鼓励村民自治组织和畜禽养殖协会制定相关规程，规范畜禽养殖行为，进一步提高广大养殖户和人民群众的责任意识和主人翁意识，形成群防群治畜禽养殖污染的良好氛围。</w:t>
      </w:r>
    </w:p>
    <w:p>
      <w:pPr>
        <w:ind w:left="0" w:leftChars="0" w:firstLine="0" w:firstLineChars="0"/>
        <w:rPr>
          <w:rFonts w:hint="eastAsia"/>
          <w:lang w:val="en-US" w:eastAsia="zh-CN"/>
        </w:rPr>
      </w:pPr>
    </w:p>
    <w:p>
      <w:pPr>
        <w:ind w:left="0" w:leftChars="0" w:firstLine="0" w:firstLineChars="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b/>
          <w:bCs/>
          <w:color w:val="auto"/>
          <w:sz w:val="28"/>
          <w:szCs w:val="28"/>
          <w:u w:val="single"/>
          <w:lang w:val="en-US" w:eastAsia="zh-CN"/>
        </w:rPr>
      </w:pPr>
      <w:bookmarkStart w:id="122" w:name="_Toc31119"/>
      <w:r>
        <w:rPr>
          <w:rFonts w:hint="eastAsia"/>
          <w:b/>
          <w:bCs/>
          <w:color w:val="auto"/>
          <w:sz w:val="28"/>
          <w:szCs w:val="28"/>
          <w:u w:val="single"/>
          <w:lang w:val="en-US" w:eastAsia="zh-CN"/>
        </w:rPr>
        <w:t>附表1：闽侯县畜禽规模养殖场基本信息清单</w:t>
      </w:r>
      <w:bookmarkEnd w:id="122"/>
    </w:p>
    <w:tbl>
      <w:tblPr>
        <w:tblStyle w:val="15"/>
        <w:tblW w:w="483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1294"/>
        <w:gridCol w:w="765"/>
        <w:gridCol w:w="1035"/>
        <w:gridCol w:w="825"/>
        <w:gridCol w:w="1450"/>
        <w:gridCol w:w="1445"/>
        <w:gridCol w:w="3724"/>
        <w:gridCol w:w="1175"/>
        <w:gridCol w:w="1200"/>
        <w:gridCol w:w="1863"/>
        <w:gridCol w:w="1567"/>
        <w:gridCol w:w="1335"/>
        <w:gridCol w:w="1076"/>
        <w:gridCol w:w="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序号</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养殖场户名称</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设计存栏规模（只/羽）</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养殖场地址</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养殖畜种</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联系人</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统一社会信用代码</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粪污资源化利用措施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异位发酵床配备数量（m</w:t>
            </w:r>
            <w:r>
              <w:rPr>
                <w:rFonts w:hint="eastAsia" w:ascii="Times New Roman" w:hAnsi="Times New Roman" w:eastAsiaTheme="minorEastAsia"/>
                <w:color w:val="auto"/>
                <w:vertAlign w:val="superscript"/>
                <w:lang w:val="en-US" w:eastAsia="zh-CN"/>
              </w:rPr>
              <w:t>3</w:t>
            </w: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配备异位发酵床可处理猪全量粪污头数（头）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有机发酵罐容积（m</w:t>
            </w:r>
            <w:r>
              <w:rPr>
                <w:rFonts w:hint="eastAsia" w:ascii="Times New Roman" w:hAnsi="Times New Roman" w:eastAsiaTheme="minorEastAsia"/>
                <w:color w:val="auto"/>
                <w:vertAlign w:val="superscript"/>
                <w:lang w:val="en-US" w:eastAsia="zh-CN"/>
              </w:rPr>
              <w:t>3</w:t>
            </w:r>
            <w:r>
              <w:rPr>
                <w:rFonts w:hint="eastAsia" w:ascii="Times New Roman" w:hAnsi="Times New Roman" w:eastAsiaTheme="minorEastAsia"/>
                <w:color w:val="auto"/>
                <w:lang w:val="en-US" w:eastAsia="zh-CN"/>
              </w:rPr>
              <w:t>）（按照产能要求发酵周期停留足额天数需配套容积（m</w:t>
            </w:r>
            <w:r>
              <w:rPr>
                <w:rFonts w:hint="eastAsia" w:ascii="Times New Roman" w:hAnsi="Times New Roman" w:eastAsiaTheme="minorEastAsia"/>
                <w:color w:val="auto"/>
                <w:vertAlign w:val="superscript"/>
                <w:lang w:val="en-US" w:eastAsia="zh-CN"/>
              </w:rPr>
              <w:t>3</w:t>
            </w: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沼气池配套容积（m</w:t>
            </w:r>
            <w:r>
              <w:rPr>
                <w:rFonts w:hint="eastAsia" w:ascii="Times New Roman" w:hAnsi="Times New Roman" w:eastAsiaTheme="minorEastAsia"/>
                <w:color w:val="auto"/>
                <w:vertAlign w:val="superscript"/>
                <w:lang w:val="en-US" w:eastAsia="zh-CN"/>
              </w:rPr>
              <w:t>3</w:t>
            </w:r>
            <w:r>
              <w:rPr>
                <w:rFonts w:hint="eastAsia" w:ascii="Times New Roman" w:hAnsi="Times New Roman" w:eastAsiaTheme="minorEastAsia"/>
                <w:color w:val="auto"/>
                <w:lang w:val="en-US" w:eastAsia="zh-CN"/>
              </w:rPr>
              <w:t>）（按照产能要求沼液停留30天需配套容积（m</w:t>
            </w:r>
            <w:r>
              <w:rPr>
                <w:rFonts w:hint="eastAsia" w:ascii="Times New Roman" w:hAnsi="Times New Roman" w:eastAsiaTheme="minorEastAsia"/>
                <w:color w:val="auto"/>
                <w:vertAlign w:val="superscript"/>
                <w:lang w:val="en-US" w:eastAsia="zh-CN"/>
              </w:rPr>
              <w:t>3</w:t>
            </w: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储液池配套容积（m</w:t>
            </w:r>
            <w:r>
              <w:rPr>
                <w:rFonts w:hint="eastAsia" w:ascii="Times New Roman" w:hAnsi="Times New Roman" w:eastAsiaTheme="minorEastAsia"/>
                <w:color w:val="auto"/>
                <w:vertAlign w:val="superscript"/>
                <w:lang w:val="en-US" w:eastAsia="zh-CN"/>
              </w:rPr>
              <w:t>3</w:t>
            </w:r>
            <w:r>
              <w:rPr>
                <w:rFonts w:hint="eastAsia" w:ascii="Times New Roman" w:hAnsi="Times New Roman" w:eastAsiaTheme="minorEastAsia"/>
                <w:color w:val="auto"/>
                <w:lang w:val="en-US" w:eastAsia="zh-CN"/>
              </w:rPr>
              <w:t>）（按照产能要求沼液停留90天需配套容积（m</w:t>
            </w:r>
            <w:r>
              <w:rPr>
                <w:rFonts w:hint="eastAsia" w:ascii="Times New Roman" w:hAnsi="Times New Roman" w:eastAsiaTheme="minorEastAsia"/>
                <w:color w:val="auto"/>
                <w:vertAlign w:val="superscript"/>
                <w:lang w:val="en-US" w:eastAsia="zh-CN"/>
              </w:rPr>
              <w:t>3</w:t>
            </w: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消纳地面积(亩)（作物种类）</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消纳地可承载猪当量（头）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闽侯宏盛农牧发展有限公司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竹岐乡里洋村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张仁贵</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13960960377</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91350121MA345600XT</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71（70）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2000（1200）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3600（3600）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1000（林地；278（毛竹）</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闽侯县扬帆农业发展有限公司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洋里乡林杨村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陈朝光</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15960000926</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91350121MA344BFL5N</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71（70）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1200（1200）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4500（3600）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630（杉树、草地）；33（柚子）；35（皇竹草）</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福建长基畜牧有限公司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洋里乡长基村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林武</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13705956667</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91350121MA344R4662</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65%液体粪污通过沼气池厌氧发酵，经储液池处理后将肥水送往消纳地，35%液体粪污通过场内污水处理系统回用于猪舍清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71（70）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回田沼液：900（780）</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中水回用：300（140）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4500（2160）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550（杂木）；100（蔬菜轮作）</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闽侯金源达副食品开发有限公司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6500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洋里乡长基村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严举东</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13788885188</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91350121315509418G</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100（91）</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4200（1560）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5800（4680）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2170（杉树、松树）</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闽侯县宏兴农业专业合作社</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洋里乡廷洋村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李阿锋</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15860807880</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93350121587519273Y</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71（70）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1250（1200）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3644（3600）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850（杂木）；350（毛竹）</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福建福丰生态农业股份有限公司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20520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洋里乡际兜村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江福丰</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13305991111</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91350121671931893D</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20%液体粪污通过沼气池厌氧发酵，经储液池处理后将肥水送往消纳地，80%液体粪污通过场内污水处理系统回用于猪舍清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300（278.28）</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6400（984.96）</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6230（2954.88）</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912.5（油茶）；380（柚子）</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4481.1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闽侯县长盛农业发展有限公司（搬迁后）</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洋里乡长基村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赵秀琴</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13805025535</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91350121MA345JT69D</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300（700）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（12000）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（36000）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2000（毛竹、杂木）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闽侯县恒顺生态农业综合开发有限公司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2400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大湖乡马墘村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陈惠芳</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15880011793</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9135012155322774XH</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71（34.08）</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760（576）</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1967（1728）</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60（板栗）；100（桃子）；170（油茶）；10（橙子）；50（皇竹草）</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2665.5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闽侯县连富农牧发展有限公司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大湖乡箬洋村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林玉付</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13950220923</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91350121050313910J</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200（140）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2409（2400）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7599（7200）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230（黑麦草）</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18919.8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闽侯县盛源农牧发展有限公司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大湖乡后洋村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林善和</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13960887387</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91350121678495342J</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200（210）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7500（3600）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11000（10800）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500（蓝莓）；50（李树）；1117（松树、杉树）；1300（毛竹）；600（林地）</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16111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福州市邑丰农业发展有限公司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大湖乡新塘村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林秋龙</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18960566616</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91350121569252931F</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40%液体粪污通过沼气池厌氧发酵，经储液池处理后将肥水送往消纳地，60%液体粪污通过场内污水处理系统回用于猪舍清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300（280）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14000（4800）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6000（5760）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1600（林地）；45（牧草）；50（葡萄）</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8044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闽侯县湖鑫农业综合开发有限公司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大湖乡上苑村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羊</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严为心</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13799422699</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91350121097164844Q</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为半放牧养殖，羊粪等就在山林就地消纳</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闽侯县为民生态养殖场</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大湖乡东乾村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蛋鸡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刘用伟</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13763879699 15396032878</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配套阳光堆粪棚，收集后的鸡粪经堆肥发酵后做农家肥使用。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闽侯县创联农业发展有限公司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大湖乡岭头村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梁齐实</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13950291868</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91350121MA31FWHC9E</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采用垫料生产模式，养殖废弃物均可作为肥料使用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闽侯县创联农业发展有限公司兰田分公司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大湖乡兰田村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梁齐实</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13950291868</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91350121MA31MWT057</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采用垫料生产模式，养殖废弃物均可作为肥料使用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福建光华农牧科技开发有限公司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大湖乡后洋村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林加水</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13950411983</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91350121705133241F</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60%固体粪污配套有机发酵罐和陈化车间制成有机肥外售，40%固体粪污委托第三方代为综合利用和无害化处理，25%液体粪污通过沼气池厌氧发酵，经储液池处理后将肥水送往消纳地，75%液体粪污通过场内污水处理系统回用于猪舍清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220（210）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3046（1500）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4547（4500）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1300（杉树）；6.93（茶树）；50（狼尾草）</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闽侯县舞林农业专业合作社</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荆溪镇埔前村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徐美武</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15659021137</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93350121091392483M</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配套堆粪场，收集后的鸡粪经堆肥发酵后做农家肥使用。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福州金宏源农业发展有限公司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荆溪镇荷洋村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陈伟国</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15705951195</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91350121MA31DDD457</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采用垫料生产模式，养殖废弃物均可作为肥料使用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福州绿苑农业发展有限公司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荆溪镇关东村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蛋鸡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刘景春</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13625089580</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91350121MA34FFQ47H</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配备有机肥发酵罐和陈化车间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100（84）</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闽侯县白沙上风山肉羊养殖场（原永鑫顺）</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白沙镇大目埕村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羊</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陈学锋</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13609575552</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91350121M00002NL4U</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为半放牧养殖，羊粪等就在山林就地消纳</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福建珍珠岭生态农业开发有限公司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白沙镇汶溪村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羊</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林碧瑜</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15005099939</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91350121060390389X</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采用半放牧生产模式，配套堆粪场，收集后的牛、羊粪经堆肥发酵后可作农家肥使用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闽侯县白沙和盛畜牧养殖有限公司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2400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白沙镇大濑村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林绍杰</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13338270181</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913501216919109503</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50（33.6）</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2520（576）</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3000（1728）</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1320（橄榄）</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福建珍珠岭生态农业开发有限公司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白沙镇汶溪村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牛</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林碧瑜</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15005099938</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91350121060390389X</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采用半放牧生产模式，配套堆粪场，收集后的牛、羊粪经堆肥发酵后可作农家肥使用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福州泉头畜牧综合养殖有限公司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白沙镇林柄村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赵秀琴</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13805025535</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91350121772945274J</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该项目已并入闽侯县长盛农业发展有限公司</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闽侯县森旺养殖场</w:t>
            </w:r>
          </w:p>
        </w:tc>
        <w:tc>
          <w:tcPr>
            <w:tcW w:w="187" w:type="pct"/>
            <w:tcBorders>
              <w:top w:val="single" w:color="000000" w:sz="4" w:space="0"/>
              <w:left w:val="nil"/>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105000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小箬乡尚格村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蛋鸡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张家标</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13860650968</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913501216850538098</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配备有机肥发酵罐</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闽侯县小箬鑫兴养殖场</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51000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小箬乡尚格村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蛋鸡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王良键</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15959178083</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923501210MA2MR614B</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配备有机肥发酵罐</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福州中牧绿丰生态农业发展有限公司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2400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小箬乡福田村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张传平</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13609549352</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9135012131574387X7</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已配套前端减量化措施，采用“沼液（肥水）+固体有机肥外供”技术处理养殖粪污，固体粪污配套有机发酵罐和陈化车间，液体粪污通过沼气池厌氧发酵，经储液池处理后将肥水送往消纳地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50（33.6）</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650（576）</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1850（1728）</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400（林橄榄）；300（油茶）；599（杂木）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福建省春龙农牧科技有限公司闽侯鸿尾养殖场</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28000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鸿尾乡南园村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兔</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肖春龙</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18059035764</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91350121MA349KFG66</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配备堆粪场，收集后的兔粪经堆肥发酵后做农家肥使用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闽侯县养心生态农业园家庭农场</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鸿尾乡溪元村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黄新荣</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13559467736</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913501210622692339</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林下养殖，鸡粪在山林就地消纳。</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福建美洋洋畜牧养殖有限公司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420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鸿尾乡超乾村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羊</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郑贤林</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18060866351</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91350121337653437X</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为半放牧养殖，羊粪等就在山林就地消纳</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福建贵山生态农业发展有限公司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江洋农场澎湖村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牛</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汪清俤</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13960850333</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91350121MA344Q7A5W</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为半放牧养殖，牛粪等就在山林就地消纳</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福建兴盛天兆猪业有限公司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江洋农场</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生猪</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赵永东</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13805025535</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91350121MA33PYUQ82</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已配套前端减量化措施，采用“沼液（肥水）+固体有机肥外供+异位发酵床+纳米膜发酵”技术处理养殖粪污，15.5%固体粪污通过异位发酵床处理；57%固体粪污配套有机发酵罐和陈化车间制成有机肥外售；28.9%固体粪污通过纳米膜发酵处理为有机肥。15.5%液体粪污通过异位发酵床处理，55.5%通过沼气池厌氧发酵，经储液池处理后将肥水送往消纳地，30%液体粪污通过场内污水处理系统回用于猪舍清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2400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7272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400（388.5）</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7900（6660）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22615（19980）</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200（甜柿、甜梨和油茶）；265（甜柿）；350（毛竹）；550（马尾松、杉树、杂木）；90（桉树）；345（牧草）</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29127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福州市农垦种禽有限责任公司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江洋农场江洋村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种鸡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何永雄</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13400533946</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913501001543821600</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配备有机肥发酵罐和陈化车间</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200（21）</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闽侯县廷坪乡五七前峰家庭农场</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廷坪乡广坪村</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番鸭</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曾子鑫</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18950286594</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无备案养殖场</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闽侯塘里创联农业开发有限公司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廷坪乡塘里村</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肉鸡</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梁齐实</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13950291868</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采用垫料生产模式，养殖废弃物均可作为肥料使用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闽侯流源创联农业开发有限公司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45000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廷坪乡流源村</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肉鸡</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梁齐实</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13950291868</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采用垫料生产模式，养殖废弃物均可作为肥料使用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闽侯县湖山鑫欣生态农业发展有限公司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20000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大湖乡大湖村</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家禽</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刘必春</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13645089500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无备案养殖场</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福州箬洋生态农业开发有限公司</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大湖乡箬洋村</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牛</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陈观何</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13599965807</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无备案养殖场</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闽侯县大湖严圣鹰家庭农场</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6000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大湖乡雪峰村</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肉鸭</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严圣鹰</w:t>
            </w:r>
          </w:p>
          <w:p>
            <w:pPr>
              <w:pStyle w:val="22"/>
              <w:keepNext w:val="0"/>
              <w:keepLines w:val="0"/>
              <w:pageBreakBefore w:val="0"/>
              <w:widowControl w:val="0"/>
              <w:kinsoku/>
              <w:wordWrap/>
              <w:overflowPunct/>
              <w:topLinePunct w:val="0"/>
              <w:autoSpaceDE/>
              <w:autoSpaceDN/>
              <w:bidi w:val="0"/>
              <w:adjustRightInd/>
              <w:snapToGrid/>
              <w:spacing w:before="0" w:beforeAutospacing="0"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13675093190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无备案养殖场</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bl>
    <w:p>
      <w:pPr>
        <w:pStyle w:val="11"/>
        <w:numPr>
          <w:ilvl w:val="0"/>
          <w:numId w:val="0"/>
        </w:numPr>
        <w:ind w:leftChars="200"/>
        <w:jc w:val="left"/>
        <w:rPr>
          <w:rFonts w:hint="default"/>
          <w:color w:val="auto"/>
          <w:lang w:val="en-US" w:eastAsia="zh-CN"/>
        </w:rPr>
        <w:sectPr>
          <w:pgSz w:w="23811" w:h="16838"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Theme="minorEastAsia"/>
          <w:color w:val="auto"/>
          <w:lang w:val="en-US" w:eastAsia="zh-CN"/>
        </w:rPr>
        <w:t>备注：前端减量化措施</w:t>
      </w:r>
      <w:r>
        <w:rPr>
          <w:rFonts w:hint="eastAsia" w:eastAsiaTheme="minorEastAsia"/>
          <w:color w:val="auto"/>
          <w:lang w:val="en-US" w:eastAsia="zh-CN"/>
        </w:rPr>
        <w:t>为生活用水与生产用水分开、清栏用水与饮用水分开、饮污分离、安装清栏用水水表、安装饮用水水表</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b/>
          <w:bCs/>
          <w:color w:val="auto"/>
          <w:sz w:val="28"/>
          <w:szCs w:val="28"/>
          <w:u w:val="single"/>
          <w:lang w:val="en-US" w:eastAsia="zh-CN"/>
        </w:rPr>
      </w:pPr>
      <w:bookmarkStart w:id="123" w:name="_Toc15958"/>
      <w:bookmarkStart w:id="124" w:name="_Toc11818"/>
      <w:r>
        <w:rPr>
          <w:rFonts w:hint="eastAsia"/>
          <w:b/>
          <w:bCs/>
          <w:color w:val="auto"/>
          <w:sz w:val="28"/>
          <w:szCs w:val="28"/>
          <w:u w:val="single"/>
          <w:lang w:val="en-US" w:eastAsia="zh-CN"/>
        </w:rPr>
        <w:t>附表2：规模化养殖场户粪污肥料化利用配套土地面积要求清单</w:t>
      </w:r>
      <w:bookmarkEnd w:id="123"/>
      <w:bookmarkEnd w:id="124"/>
      <w:r>
        <w:rPr>
          <w:rFonts w:hint="eastAsia"/>
          <w:b/>
          <w:bCs/>
          <w:color w:val="auto"/>
          <w:sz w:val="28"/>
          <w:szCs w:val="28"/>
          <w:u w:val="single"/>
          <w:lang w:val="en-US" w:eastAsia="zh-CN"/>
        </w:rPr>
        <w:t>（按照畜禽粪污土地承载力测算技术指南）</w:t>
      </w:r>
    </w:p>
    <w:tbl>
      <w:tblPr>
        <w:tblStyle w:val="15"/>
        <w:tblW w:w="131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8"/>
        <w:gridCol w:w="720"/>
        <w:gridCol w:w="1066"/>
        <w:gridCol w:w="1320"/>
        <w:gridCol w:w="1306"/>
        <w:gridCol w:w="1306"/>
        <w:gridCol w:w="1317"/>
        <w:gridCol w:w="1320"/>
        <w:gridCol w:w="1313"/>
        <w:gridCol w:w="1536"/>
        <w:gridCol w:w="1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序号</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镇、街</w:t>
            </w:r>
          </w:p>
        </w:tc>
        <w:tc>
          <w:tcPr>
            <w:tcW w:w="106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养殖场户名称</w:t>
            </w:r>
          </w:p>
        </w:tc>
        <w:tc>
          <w:tcPr>
            <w:tcW w:w="13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设计存栏规模（头、羽）</w:t>
            </w:r>
          </w:p>
        </w:tc>
        <w:tc>
          <w:tcPr>
            <w:tcW w:w="130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养殖场地址</w:t>
            </w:r>
          </w:p>
        </w:tc>
        <w:tc>
          <w:tcPr>
            <w:tcW w:w="130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养殖畜种</w:t>
            </w:r>
          </w:p>
        </w:tc>
        <w:tc>
          <w:tcPr>
            <w:tcW w:w="131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需进行沼液资源化利用的猪当量</w:t>
            </w:r>
          </w:p>
        </w:tc>
        <w:tc>
          <w:tcPr>
            <w:tcW w:w="13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消纳地大小（亩）</w:t>
            </w:r>
          </w:p>
        </w:tc>
        <w:tc>
          <w:tcPr>
            <w:tcW w:w="131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作物品种</w:t>
            </w:r>
          </w:p>
        </w:tc>
        <w:tc>
          <w:tcPr>
            <w:tcW w:w="153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沼液还田利用土地承载力（猪当量/亩/当季）</w:t>
            </w:r>
          </w:p>
        </w:tc>
        <w:tc>
          <w:tcPr>
            <w:tcW w:w="13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消纳地可承载猪当量（头）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9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53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竹岐乡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闽侯宏盛农牧发展有限公司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竹岐乡里洋村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1000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林地</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278</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毛竹</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闽侯县扬帆农业发展有限公司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洋里乡林杨村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630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杉树、草地</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33</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柚子</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35</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皇竹草</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13.71</w:t>
            </w:r>
            <w:r>
              <w:rPr>
                <w:rStyle w:val="28"/>
                <w:rFonts w:ascii="Times New Roman" w:hAnsi="Times New Roman"/>
                <w:color w:val="auto"/>
                <w:lang w:val="en-US" w:eastAsia="zh-CN" w:bidi="ar"/>
              </w:rPr>
              <w:t>（</w:t>
            </w:r>
            <w:r>
              <w:rPr>
                <w:rStyle w:val="29"/>
                <w:rFonts w:ascii="Times New Roman" w:hAnsi="Times New Roman" w:eastAsia="宋体"/>
                <w:color w:val="auto"/>
                <w:lang w:val="en-US" w:eastAsia="zh-CN" w:bidi="ar"/>
              </w:rPr>
              <w:t>6</w:t>
            </w:r>
            <w:r>
              <w:rPr>
                <w:rStyle w:val="28"/>
                <w:rFonts w:ascii="Times New Roman" w:hAnsi="Times New Roman"/>
                <w:color w:val="auto"/>
                <w:lang w:val="en-US" w:eastAsia="zh-CN" w:bidi="ar"/>
              </w:rPr>
              <w:t>季）</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2879.1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福建长基畜牧有限公司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洋里乡长基村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杂木</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蔬菜轮作</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闽侯金源达副食品开发有限公司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洋里乡长基村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6500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2170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杉树、松树</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闽侯县宏兴农业专业合作社</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洋里乡廷洋村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850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杂木</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350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毛竹</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福建福丰生态农业股份有限公司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20520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洋里乡际兜村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4104</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912.5</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油茶</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380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柚子</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7.47</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2838.6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闽侯县长盛农业发展有限公司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洋里乡长基村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2000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林地、毛竹</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闽侯县恒顺生态农业综合开发有限公司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大湖乡马墘村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2400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60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板栗</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桃子</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170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油茶</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橙子</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皇竹草</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13.71</w:t>
            </w:r>
            <w:r>
              <w:rPr>
                <w:rStyle w:val="28"/>
                <w:rFonts w:ascii="Times New Roman" w:hAnsi="Times New Roman"/>
                <w:color w:val="auto"/>
                <w:lang w:val="en-US" w:eastAsia="zh-CN" w:bidi="ar"/>
              </w:rPr>
              <w:t>（</w:t>
            </w:r>
            <w:r>
              <w:rPr>
                <w:rStyle w:val="29"/>
                <w:rFonts w:ascii="Times New Roman" w:hAnsi="Times New Roman" w:eastAsia="宋体"/>
                <w:color w:val="auto"/>
                <w:lang w:val="en-US" w:eastAsia="zh-CN" w:bidi="ar"/>
              </w:rPr>
              <w:t>3</w:t>
            </w:r>
            <w:r>
              <w:rPr>
                <w:rStyle w:val="28"/>
                <w:rFonts w:ascii="Times New Roman" w:hAnsi="Times New Roman"/>
                <w:color w:val="auto"/>
                <w:lang w:val="en-US" w:eastAsia="zh-CN" w:bidi="ar"/>
              </w:rPr>
              <w:t>季）</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闽侯县连富农牧发展有限公司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大湖乡箬洋村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10000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230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黑麦草</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13.71</w:t>
            </w:r>
            <w:r>
              <w:rPr>
                <w:rStyle w:val="28"/>
                <w:rFonts w:ascii="Times New Roman" w:hAnsi="Times New Roman"/>
                <w:color w:val="auto"/>
                <w:lang w:val="en-US" w:eastAsia="zh-CN" w:bidi="ar"/>
              </w:rPr>
              <w:t>（</w:t>
            </w:r>
            <w:r>
              <w:rPr>
                <w:rStyle w:val="29"/>
                <w:rFonts w:ascii="Times New Roman" w:hAnsi="Times New Roman" w:eastAsia="宋体"/>
                <w:color w:val="auto"/>
                <w:lang w:val="en-US" w:eastAsia="zh-CN" w:bidi="ar"/>
              </w:rPr>
              <w:t>6</w:t>
            </w:r>
            <w:r>
              <w:rPr>
                <w:rStyle w:val="28"/>
                <w:rFonts w:ascii="Times New Roman" w:hAnsi="Times New Roman"/>
                <w:color w:val="auto"/>
                <w:lang w:val="en-US" w:eastAsia="zh-CN" w:bidi="ar"/>
              </w:rPr>
              <w:t>季）</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18919.8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闽侯县盛源农牧发展有限公司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大湖乡后洋村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15000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蓝莓</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李树</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1117</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松树、杉树</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1300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毛竹</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600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林地</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福州市邑丰农业发展有限公司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大湖乡新塘村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8000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1600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林地</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45</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牧草</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13.71</w:t>
            </w:r>
            <w:r>
              <w:rPr>
                <w:rStyle w:val="28"/>
                <w:rFonts w:ascii="Times New Roman" w:hAnsi="Times New Roman"/>
                <w:color w:val="auto"/>
                <w:lang w:val="en-US" w:eastAsia="zh-CN" w:bidi="ar"/>
              </w:rPr>
              <w:t>（</w:t>
            </w:r>
            <w:r>
              <w:rPr>
                <w:rStyle w:val="29"/>
                <w:rFonts w:ascii="Times New Roman" w:hAnsi="Times New Roman" w:eastAsia="宋体"/>
                <w:color w:val="auto"/>
                <w:lang w:val="en-US" w:eastAsia="zh-CN" w:bidi="ar"/>
              </w:rPr>
              <w:t>5</w:t>
            </w:r>
            <w:r>
              <w:rPr>
                <w:rStyle w:val="28"/>
                <w:rFonts w:ascii="Times New Roman" w:hAnsi="Times New Roman"/>
                <w:color w:val="auto"/>
                <w:lang w:val="en-US" w:eastAsia="zh-CN" w:bidi="ar"/>
              </w:rPr>
              <w:t>季）</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葡萄</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闽侯县湖鑫农业综合开发有限公司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大湖乡上苑村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羊</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闽侯县为民生态养殖场</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大湖乡东乾村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蛋鸡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闽侯县创联农业发展有限公司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大湖乡岭头村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大湖乡兰田村</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闽侯县创联农业发展有限公司兰田分公司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大湖乡兰田村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福建光华农牧科技开发有限公司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大湖乡后洋村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6250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1300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杉树</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6.93</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茶树</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狼尾草</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13.71</w:t>
            </w:r>
            <w:r>
              <w:rPr>
                <w:rStyle w:val="28"/>
                <w:rFonts w:ascii="Times New Roman" w:hAnsi="Times New Roman"/>
                <w:color w:val="auto"/>
                <w:lang w:val="en-US" w:eastAsia="zh-CN" w:bidi="ar"/>
              </w:rPr>
              <w:t>（</w:t>
            </w:r>
            <w:r>
              <w:rPr>
                <w:rStyle w:val="29"/>
                <w:rFonts w:ascii="Times New Roman" w:hAnsi="Times New Roman" w:eastAsia="宋体"/>
                <w:color w:val="auto"/>
                <w:lang w:val="en-US" w:eastAsia="zh-CN" w:bidi="ar"/>
              </w:rPr>
              <w:t>5</w:t>
            </w:r>
            <w:r>
              <w:rPr>
                <w:rStyle w:val="28"/>
                <w:rFonts w:ascii="Times New Roman" w:hAnsi="Times New Roman"/>
                <w:color w:val="auto"/>
                <w:lang w:val="en-US" w:eastAsia="zh-CN" w:bidi="ar"/>
              </w:rPr>
              <w:t>季）</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荆溪镇</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闽侯县舞林农业专业合作社</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荆溪镇埔前村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荆溪镇</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福州金宏源农业发展有限公司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荆溪镇荷洋村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荆溪镇</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福州绿苑农业发展有限公司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荆溪镇关东村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蛋鸡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闽侯县白沙上风山肉羊养殖场（原永鑫顺）</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白沙镇大目埕村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羊</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福建珍珠岭生态农业开发有限公司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白沙镇汶溪村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羊</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闽侯县白沙和盛畜牧养殖有限公司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白沙镇大濑村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2400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1320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橄榄</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福建珍珠岭生态农业开发有限公司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白沙镇汶溪村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牛</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24</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小箬乡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闽侯县森旺养殖场</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105000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小箬乡尚格村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蛋鸡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r>
              <w:rPr>
                <w:rFonts w:hint="eastAsia" w:cs="Times New Roman"/>
                <w:i w:val="0"/>
                <w:iCs w:val="0"/>
                <w:color w:val="auto"/>
                <w:kern w:val="0"/>
                <w:sz w:val="22"/>
                <w:szCs w:val="22"/>
                <w:u w:val="none"/>
                <w:lang w:val="en-US" w:eastAsia="zh-CN" w:bidi="ar"/>
              </w:rPr>
              <w:t>5</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小箬乡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闽侯县小箬鑫兴养殖场</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51000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小箬乡尚格村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蛋鸡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r>
              <w:rPr>
                <w:rFonts w:hint="eastAsia" w:cs="Times New Roman"/>
                <w:i w:val="0"/>
                <w:iCs w:val="0"/>
                <w:color w:val="auto"/>
                <w:kern w:val="0"/>
                <w:sz w:val="22"/>
                <w:szCs w:val="22"/>
                <w:u w:val="none"/>
                <w:lang w:val="en-US" w:eastAsia="zh-CN" w:bidi="ar"/>
              </w:rPr>
              <w:t>6</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小箬乡</w:t>
            </w:r>
          </w:p>
        </w:tc>
        <w:tc>
          <w:tcPr>
            <w:tcW w:w="1066" w:type="dxa"/>
            <w:vMerge w:val="restart"/>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福州中牧绿丰生态农业发展有限公司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小箬乡福田村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2400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400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橄榄</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300</w:t>
            </w:r>
          </w:p>
        </w:tc>
        <w:tc>
          <w:tcPr>
            <w:tcW w:w="1313"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油茶</w:t>
            </w:r>
          </w:p>
        </w:tc>
        <w:tc>
          <w:tcPr>
            <w:tcW w:w="0" w:type="auto"/>
            <w:tcBorders>
              <w:top w:val="nil"/>
              <w:left w:val="single" w:color="000000" w:sz="8" w:space="0"/>
              <w:bottom w:val="nil"/>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0" w:type="auto"/>
            <w:tcBorders>
              <w:top w:val="nil"/>
              <w:left w:val="single" w:color="000000" w:sz="8" w:space="0"/>
              <w:bottom w:val="nil"/>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599</w:t>
            </w:r>
          </w:p>
        </w:tc>
        <w:tc>
          <w:tcPr>
            <w:tcW w:w="1313"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林地</w:t>
            </w:r>
          </w:p>
        </w:tc>
        <w:tc>
          <w:tcPr>
            <w:tcW w:w="0" w:type="auto"/>
            <w:tcBorders>
              <w:top w:val="nil"/>
              <w:left w:val="single" w:color="000000" w:sz="8" w:space="0"/>
              <w:bottom w:val="nil"/>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nil"/>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r>
              <w:rPr>
                <w:rFonts w:hint="eastAsia" w:cs="Times New Roman"/>
                <w:i w:val="0"/>
                <w:iCs w:val="0"/>
                <w:color w:val="auto"/>
                <w:kern w:val="0"/>
                <w:sz w:val="22"/>
                <w:szCs w:val="22"/>
                <w:u w:val="none"/>
                <w:lang w:val="en-US" w:eastAsia="zh-CN" w:bidi="ar"/>
              </w:rPr>
              <w:t>7</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鸿尾乡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福建省春龙农牧科技有限公司闽侯鸿尾养殖场</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28000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鸿尾乡南园村</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兔</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3"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3"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2</w:t>
            </w:r>
            <w:r>
              <w:rPr>
                <w:rFonts w:hint="eastAsia" w:cs="Times New Roman"/>
                <w:i w:val="0"/>
                <w:iCs w:val="0"/>
                <w:color w:val="auto"/>
                <w:kern w:val="0"/>
                <w:sz w:val="22"/>
                <w:szCs w:val="22"/>
                <w:u w:val="none"/>
                <w:lang w:val="en-US" w:eastAsia="zh-CN" w:bidi="ar"/>
              </w:rPr>
              <w:t>8</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鸿尾乡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闽侯县养心生态农业园家庭农场</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鸿尾乡溪元村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29</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鸿尾乡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福建美洋洋畜牧养殖有限公司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420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鸿尾乡超乾村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羊</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0</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福建贵山生态农业发展有限公司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江洋农场澎湖村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牛</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9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1</w:t>
            </w:r>
          </w:p>
        </w:tc>
        <w:tc>
          <w:tcPr>
            <w:tcW w:w="7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福建兴盛天兆猪业有限公司</w:t>
            </w:r>
          </w:p>
        </w:tc>
        <w:tc>
          <w:tcPr>
            <w:tcW w:w="132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50000</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江洋农场</w:t>
            </w:r>
          </w:p>
        </w:tc>
        <w:tc>
          <w:tcPr>
            <w:tcW w:w="130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生猪</w:t>
            </w:r>
          </w:p>
        </w:tc>
        <w:tc>
          <w:tcPr>
            <w:tcW w:w="131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27750</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200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甜柿、甜梨和油茶籽</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265</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甜柿</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550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马尾松、杉树、杂木</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90</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桉树</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7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06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06"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1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宋体"/>
                <w:i w:val="0"/>
                <w:iCs w:val="0"/>
                <w:color w:val="auto"/>
                <w:sz w:val="22"/>
                <w:szCs w:val="22"/>
                <w:u w:val="none"/>
              </w:rPr>
            </w:pP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345</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牧草</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13.71</w:t>
            </w:r>
            <w:r>
              <w:rPr>
                <w:rStyle w:val="28"/>
                <w:rFonts w:ascii="Times New Roman" w:hAnsi="Times New Roman"/>
                <w:color w:val="auto"/>
                <w:lang w:val="en-US" w:eastAsia="zh-CN" w:bidi="ar"/>
              </w:rPr>
              <w:t>（</w:t>
            </w:r>
            <w:r>
              <w:rPr>
                <w:rStyle w:val="29"/>
                <w:rFonts w:ascii="Times New Roman" w:hAnsi="Times New Roman" w:eastAsia="宋体"/>
                <w:color w:val="auto"/>
                <w:lang w:val="en-US" w:eastAsia="zh-CN" w:bidi="ar"/>
              </w:rPr>
              <w:t>5</w:t>
            </w:r>
            <w:r>
              <w:rPr>
                <w:rStyle w:val="28"/>
                <w:rFonts w:ascii="Times New Roman" w:hAnsi="Times New Roman"/>
                <w:color w:val="auto"/>
                <w:lang w:val="en-US" w:eastAsia="zh-CN" w:bidi="ar"/>
              </w:rPr>
              <w:t>季）</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23649.75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2</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福州市农垦种禽有限责任公司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江洋农场江洋村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种鸡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3</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廷坪乡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闽侯县廷坪乡五七前峰家庭农场</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廷坪乡广坪村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番鸭</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4</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廷坪乡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闽侯塘里创联农业开发有限公司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55000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廷坪乡塘里村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5</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廷坪乡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闽侯流源创联农业开发有限公司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廷坪乡流源村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肉鸡</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6</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闽侯县湖山鑫欣生态农业发展有限公司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大湖乡大湖村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家禽</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7</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福州箬洋生态农业开发有限公司</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大湖乡箬洋村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牛</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cs="Times New Roman"/>
                <w:i w:val="0"/>
                <w:iCs w:val="0"/>
                <w:color w:val="auto"/>
                <w:kern w:val="0"/>
                <w:sz w:val="22"/>
                <w:szCs w:val="22"/>
                <w:u w:val="none"/>
                <w:lang w:val="en-US" w:eastAsia="zh-CN" w:bidi="ar"/>
              </w:rPr>
              <w:t>8</w:t>
            </w: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w:t>
            </w:r>
          </w:p>
        </w:tc>
        <w:tc>
          <w:tcPr>
            <w:tcW w:w="10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闽侯县大湖严圣鹰家庭农场</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6000</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大湖乡雪峰村</w:t>
            </w:r>
          </w:p>
        </w:tc>
        <w:tc>
          <w:tcPr>
            <w:tcW w:w="13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肉鸭</w:t>
            </w:r>
          </w:p>
        </w:tc>
        <w:tc>
          <w:tcPr>
            <w:tcW w:w="13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13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宋体"/>
                <w:i w:val="0"/>
                <w:iCs w:val="0"/>
                <w:color w:val="auto"/>
                <w:sz w:val="22"/>
                <w:szCs w:val="22"/>
                <w:u w:val="none"/>
              </w:rPr>
            </w:pPr>
            <w:r>
              <w:rPr>
                <w:rFonts w:hint="eastAsia" w:ascii="Times New Roman" w:hAnsi="Times New Roman" w:eastAsia="宋体" w:cs="宋体"/>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bl>
    <w:p>
      <w:pPr>
        <w:ind w:left="0" w:leftChars="0" w:firstLine="0" w:firstLineChars="0"/>
        <w:rPr>
          <w:rFonts w:hint="default"/>
          <w:color w:val="auto"/>
          <w:lang w:val="en-US" w:eastAsia="zh-CN"/>
        </w:rPr>
      </w:pPr>
    </w:p>
    <w:p>
      <w:pPr>
        <w:ind w:left="0" w:leftChars="0" w:firstLine="0" w:firstLineChars="0"/>
        <w:rPr>
          <w:rFonts w:hint="eastAsia"/>
          <w:b/>
          <w:bCs/>
          <w:color w:val="auto"/>
          <w:sz w:val="28"/>
          <w:szCs w:val="28"/>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b/>
          <w:bCs/>
          <w:color w:val="auto"/>
          <w:sz w:val="28"/>
          <w:szCs w:val="28"/>
          <w:u w:val="single"/>
          <w:lang w:val="en-US" w:eastAsia="zh-CN"/>
        </w:rPr>
      </w:pPr>
      <w:bookmarkStart w:id="125" w:name="_Toc21827"/>
      <w:r>
        <w:rPr>
          <w:rFonts w:hint="eastAsia"/>
          <w:b/>
          <w:bCs/>
          <w:color w:val="auto"/>
          <w:sz w:val="28"/>
          <w:szCs w:val="28"/>
          <w:u w:val="single"/>
          <w:lang w:val="en-US" w:eastAsia="zh-CN"/>
        </w:rPr>
        <w:t>附表3：畜禽养殖污染防治重点工程建设内容清单</w:t>
      </w:r>
      <w:bookmarkEnd w:id="125"/>
    </w:p>
    <w:tbl>
      <w:tblPr>
        <w:tblStyle w:val="16"/>
        <w:tblW w:w="15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980"/>
        <w:gridCol w:w="7481"/>
        <w:gridCol w:w="1311"/>
        <w:gridCol w:w="1775"/>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序号</w:t>
            </w:r>
          </w:p>
        </w:tc>
        <w:tc>
          <w:tcPr>
            <w:tcW w:w="19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项目名称</w:t>
            </w: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内容</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建设期限</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投资额（万元）</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推进单位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1</w:t>
            </w:r>
          </w:p>
        </w:tc>
        <w:tc>
          <w:tcPr>
            <w:tcW w:w="1980"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监管体系建设工程</w:t>
            </w: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1、新增前端减量化设备：流量计、冲栏用水表、饮用水表、智能远程电表</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eastAsiaTheme="minorEastAsia"/>
                <w:color w:val="auto"/>
              </w:rPr>
              <w:t>2021-2022</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41.6</w:t>
            </w:r>
          </w:p>
        </w:tc>
        <w:tc>
          <w:tcPr>
            <w:tcW w:w="2124"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各个规模化生猪养殖场；闽侯县农业农村局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2、安装畜禽粪污处理可视化监控重点位置4个/养殖场</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eastAsiaTheme="minorEastAsia"/>
                <w:color w:val="auto"/>
              </w:rPr>
              <w:t>2021-2022</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16</w:t>
            </w:r>
          </w:p>
        </w:tc>
        <w:tc>
          <w:tcPr>
            <w:tcW w:w="212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3、新增环境监控设备：包括温湿度传感器和氨气传感器</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eastAsiaTheme="minorEastAsia"/>
                <w:color w:val="auto"/>
              </w:rPr>
              <w:t>2021-2022</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4.8</w:t>
            </w:r>
          </w:p>
        </w:tc>
        <w:tc>
          <w:tcPr>
            <w:tcW w:w="212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4、建设畜禽粪污资源化利用管理系统</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eastAsiaTheme="minorEastAsia"/>
                <w:color w:val="auto"/>
              </w:rPr>
              <w:t>2021-2022</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28.8</w:t>
            </w:r>
          </w:p>
        </w:tc>
        <w:tc>
          <w:tcPr>
            <w:tcW w:w="212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5、智能无害化管理成套设备</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eastAsiaTheme="minorEastAsia"/>
                <w:color w:val="auto"/>
              </w:rPr>
              <w:t>2021-2022</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73.364</w:t>
            </w:r>
          </w:p>
        </w:tc>
        <w:tc>
          <w:tcPr>
            <w:tcW w:w="212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6、数字化精准环境监测系统</w:t>
            </w:r>
          </w:p>
        </w:tc>
        <w:tc>
          <w:tcPr>
            <w:tcW w:w="13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eastAsiaTheme="minorEastAsia"/>
                <w:color w:val="auto"/>
              </w:rPr>
              <w:t>2021-2022</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27.68</w:t>
            </w:r>
          </w:p>
        </w:tc>
        <w:tc>
          <w:tcPr>
            <w:tcW w:w="2124"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w:t>
            </w: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结合养殖场直联直报信息系统和全国排污许可证管理  信息平台，对畜禽粪污资源化利用计划、台账和排污许 可证执行报告进行抽查。</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2021-2025</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福州市闽侯生态环境局、县农业农村局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w:t>
            </w:r>
          </w:p>
        </w:tc>
        <w:tc>
          <w:tcPr>
            <w:tcW w:w="19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田间配套设施建设工程</w:t>
            </w: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高标准农田建设项目：修建农渠、排灌渠、田间道、标志牌等农业基础设施。</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2021-2025</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8960</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4</w:t>
            </w:r>
          </w:p>
        </w:tc>
        <w:tc>
          <w:tcPr>
            <w:tcW w:w="19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stheme="minorBidi"/>
                <w:color w:val="auto"/>
                <w:kern w:val="2"/>
                <w:sz w:val="22"/>
                <w:szCs w:val="24"/>
                <w:lang w:val="en-US" w:eastAsia="zh-CN" w:bidi="ar-SA"/>
              </w:rPr>
              <w:t>“美丽牧场”创建 工程</w:t>
            </w: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到2025年，力争在创建2家以上环境友好型“美丽牧场”，开发牧旅结合线路和产品，提高“美丽牧场” 的经济效益和生态环境社会效益，充分发挥示范典型引领作用。</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2021-2025</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w:t>
            </w:r>
          </w:p>
        </w:tc>
        <w:tc>
          <w:tcPr>
            <w:tcW w:w="1980"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迁建、扩建提升规模化养殖厂工程</w:t>
            </w: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闽侯县长盛农业发展有限公司搬迁扩建项目：规划用地1800亩,建设内容为8栋5层立体猪舍建筑,层高4.2米,猪舍总建设面积8万平方米,配套建设污水处理后尾水消纳地。</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2021-2022</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50000</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闽侯县长盛农业发展有限公司、闽侯县农业农村局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w:t>
            </w:r>
          </w:p>
        </w:tc>
        <w:tc>
          <w:tcPr>
            <w:tcW w:w="1980" w:type="dxa"/>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加强畜禽污染防治</w:t>
            </w: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畜禽粪污资源化利用可减少污染物的排放量，但若粪污还田方式不合理，如雨天还田，可能对消纳地周边或下游流域水质造成面源污染的风险。对流域断面水质不达标且周边存在养殖场的流域断面应加强水质监测，对其周边养殖场应加强环保监管和标准化升级。</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2021-2025</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福州市闽侯生态环境局、县农业农村局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w:t>
            </w:r>
            <w:r>
              <w:rPr>
                <w:rFonts w:hint="eastAsia"/>
                <w:color w:val="auto"/>
                <w:lang w:val="en-US" w:eastAsia="zh-CN"/>
              </w:rPr>
              <w:t>兴盛天兆、扬帆、金源达、光华消纳地调整为非种植松树、杉树等对肥料吸收不力的土地类型</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2023-2025</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各生猪养殖场、县农业农村局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c>
          <w:tcPr>
            <w:tcW w:w="1980"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olor w:val="auto"/>
                <w:lang w:val="en-US" w:eastAsia="zh-CN"/>
              </w:rPr>
            </w:pPr>
          </w:p>
        </w:tc>
        <w:tc>
          <w:tcPr>
            <w:tcW w:w="748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3、福丰、光华、邑丰、长基、兴盛五家养猪场调整原先将部分废水回用于猪舍冲洗的模式，改为配套沼液池和储液池发酵，并配套建设自动浇灌的消纳地进行消纳</w:t>
            </w:r>
          </w:p>
        </w:tc>
        <w:tc>
          <w:tcPr>
            <w:tcW w:w="131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2023-2025</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1000</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2"/>
                <w:szCs w:val="24"/>
                <w:lang w:val="en-US" w:eastAsia="zh-CN" w:bidi="ar-SA"/>
              </w:rPr>
            </w:pPr>
            <w:r>
              <w:rPr>
                <w:rFonts w:hint="eastAsia" w:ascii="Times New Roman" w:hAnsi="Times New Roman" w:eastAsiaTheme="minorEastAsia"/>
                <w:color w:val="auto"/>
                <w:lang w:val="en-US" w:eastAsia="zh-CN"/>
              </w:rPr>
              <w:t>各生猪养殖场、县农业农村局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7" w:type="dxa"/>
            <w:gridSpan w:val="4"/>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合计</w:t>
            </w:r>
          </w:p>
        </w:tc>
        <w:tc>
          <w:tcPr>
            <w:tcW w:w="1775"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60152.244</w:t>
            </w:r>
          </w:p>
        </w:tc>
        <w:tc>
          <w:tcPr>
            <w:tcW w:w="212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olor w:val="auto"/>
                <w:lang w:val="en-US" w:eastAsia="zh-CN"/>
              </w:rPr>
            </w:pPr>
          </w:p>
        </w:tc>
      </w:tr>
    </w:tbl>
    <w:p>
      <w:pPr>
        <w:pStyle w:val="2"/>
        <w:ind w:left="0" w:leftChars="0" w:firstLine="0" w:firstLineChars="0"/>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Times New Roman" w:hAnsi="Times New Roman" w:eastAsia="黑体" w:cs="Times New Roman"/>
          <w:b/>
          <w:bCs/>
          <w:color w:val="auto"/>
          <w:sz w:val="32"/>
          <w:szCs w:val="40"/>
          <w:lang w:eastAsia="zh-CN"/>
        </w:rPr>
      </w:pPr>
      <w:bookmarkStart w:id="126" w:name="_Toc7190"/>
      <w:bookmarkStart w:id="127" w:name="_Toc13936"/>
      <w:r>
        <w:rPr>
          <w:rFonts w:hint="eastAsia" w:ascii="Times New Roman" w:hAnsi="Times New Roman" w:eastAsia="黑体" w:cs="Times New Roman"/>
          <w:b/>
          <w:bCs/>
          <w:color w:val="auto"/>
          <w:sz w:val="32"/>
          <w:szCs w:val="40"/>
        </w:rPr>
        <w:t>附表4：行政区域内</w:t>
      </w:r>
      <w:r>
        <w:rPr>
          <w:rFonts w:hint="eastAsia" w:eastAsia="黑体" w:cs="Times New Roman"/>
          <w:b/>
          <w:bCs/>
          <w:color w:val="auto"/>
          <w:sz w:val="32"/>
          <w:szCs w:val="40"/>
          <w:lang w:val="en-US" w:eastAsia="zh-CN"/>
        </w:rPr>
        <w:t>可消纳</w:t>
      </w:r>
      <w:r>
        <w:rPr>
          <w:rFonts w:hint="eastAsia" w:ascii="Times New Roman" w:hAnsi="Times New Roman" w:eastAsia="黑体" w:cs="Times New Roman"/>
          <w:b/>
          <w:bCs/>
          <w:color w:val="auto"/>
          <w:sz w:val="32"/>
          <w:szCs w:val="40"/>
        </w:rPr>
        <w:t>土地类别面积清单</w:t>
      </w:r>
      <w:bookmarkEnd w:id="126"/>
      <w:bookmarkEnd w:id="127"/>
    </w:p>
    <w:tbl>
      <w:tblPr>
        <w:tblStyle w:val="23"/>
        <w:tblW w:w="55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1"/>
        <w:gridCol w:w="977"/>
        <w:gridCol w:w="917"/>
        <w:gridCol w:w="908"/>
        <w:gridCol w:w="880"/>
        <w:gridCol w:w="867"/>
        <w:gridCol w:w="1168"/>
        <w:gridCol w:w="1302"/>
        <w:gridCol w:w="1659"/>
        <w:gridCol w:w="2032"/>
        <w:gridCol w:w="1609"/>
        <w:gridCol w:w="1591"/>
        <w:gridCol w:w="1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blHeader/>
          <w:jc w:val="center"/>
        </w:trPr>
        <w:tc>
          <w:tcPr>
            <w:tcW w:w="192"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color w:val="000000" w:themeColor="text1"/>
                <w:kern w:val="0"/>
                <w:sz w:val="21"/>
                <w:szCs w:val="21"/>
                <w:lang w:eastAsia="zh-CN"/>
                <w14:textFill>
                  <w14:solidFill>
                    <w14:schemeClr w14:val="tx1"/>
                  </w14:solidFill>
                </w14:textFill>
              </w:rPr>
              <w:t>行政区划</w:t>
            </w:r>
          </w:p>
        </w:tc>
        <w:tc>
          <w:tcPr>
            <w:tcW w:w="312"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作物品种</w:t>
            </w:r>
          </w:p>
        </w:tc>
        <w:tc>
          <w:tcPr>
            <w:tcW w:w="293"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种植面积（亩）</w:t>
            </w:r>
          </w:p>
        </w:tc>
        <w:tc>
          <w:tcPr>
            <w:tcW w:w="290"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产量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（吨）</w:t>
            </w:r>
          </w:p>
        </w:tc>
        <w:tc>
          <w:tcPr>
            <w:tcW w:w="281"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不同植物形成100kg 产量所需氮</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（kg）</w:t>
            </w:r>
          </w:p>
        </w:tc>
        <w:tc>
          <w:tcPr>
            <w:tcW w:w="277"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spacing w:val="-1"/>
                <w:kern w:val="0"/>
                <w:sz w:val="21"/>
                <w:szCs w:val="21"/>
                <w:lang w:eastAsia="en-US"/>
                <w14:textFill>
                  <w14:solidFill>
                    <w14:schemeClr w14:val="tx1"/>
                  </w14:solidFill>
                </w14:textFill>
              </w:rPr>
              <w:t>不同植物</w:t>
            </w:r>
            <w:r>
              <w:rPr>
                <w:rFonts w:ascii="Times New Roman" w:hAnsi="Times New Roman"/>
                <w:color w:val="000000" w:themeColor="text1"/>
                <w:spacing w:val="-15"/>
                <w:kern w:val="0"/>
                <w:sz w:val="21"/>
                <w:szCs w:val="21"/>
                <w:lang w:eastAsia="en-US"/>
                <w14:textFill>
                  <w14:solidFill>
                    <w14:schemeClr w14:val="tx1"/>
                  </w14:solidFill>
                </w14:textFill>
              </w:rPr>
              <w:t xml:space="preserve">形成 </w:t>
            </w:r>
            <w:r>
              <w:rPr>
                <w:rFonts w:ascii="Times New Roman" w:hAnsi="Times New Roman"/>
                <w:color w:val="000000" w:themeColor="text1"/>
                <w:spacing w:val="-5"/>
                <w:kern w:val="0"/>
                <w:sz w:val="21"/>
                <w:szCs w:val="21"/>
                <w:lang w:eastAsia="en-US"/>
                <w14:textFill>
                  <w14:solidFill>
                    <w14:schemeClr w14:val="tx1"/>
                  </w14:solidFill>
                </w14:textFill>
              </w:rPr>
              <w:t xml:space="preserve">100kg </w:t>
            </w:r>
            <w:r>
              <w:rPr>
                <w:rFonts w:ascii="Times New Roman" w:hAnsi="Times New Roman"/>
                <w:color w:val="000000" w:themeColor="text1"/>
                <w:spacing w:val="-1"/>
                <w:kern w:val="0"/>
                <w:sz w:val="21"/>
                <w:szCs w:val="21"/>
                <w:lang w:eastAsia="en-US"/>
                <w14:textFill>
                  <w14:solidFill>
                    <w14:schemeClr w14:val="tx1"/>
                  </w14:solidFill>
                </w14:textFill>
              </w:rPr>
              <w:t>产量所需磷（kg）</w:t>
            </w:r>
          </w:p>
        </w:tc>
        <w:tc>
          <w:tcPr>
            <w:tcW w:w="789"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不同植物年氮/磷养分需</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求量（吨）</w:t>
            </w:r>
          </w:p>
        </w:tc>
        <w:tc>
          <w:tcPr>
            <w:tcW w:w="1179"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区域植物粪肥养分需求量（吨）</w:t>
            </w:r>
          </w:p>
        </w:tc>
        <w:tc>
          <w:tcPr>
            <w:tcW w:w="1022" w:type="pct"/>
            <w:gridSpan w:val="2"/>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不同土地承载力</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（猪当量）</w:t>
            </w:r>
          </w:p>
        </w:tc>
        <w:tc>
          <w:tcPr>
            <w:tcW w:w="358" w:type="pct"/>
            <w:vMerge w:val="restar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eastAsia="zh-CN"/>
                <w14:textFill>
                  <w14:solidFill>
                    <w14:schemeClr w14:val="tx1"/>
                  </w14:solidFill>
                </w14:textFill>
              </w:rPr>
              <w:t>规模以上现状猪当量</w:t>
            </w:r>
            <w:r>
              <w:rPr>
                <w:rFonts w:hint="eastAsia" w:ascii="Times New Roman" w:hAnsi="Times New Roman"/>
                <w:color w:val="000000" w:themeColor="text1"/>
                <w:kern w:val="0"/>
                <w:sz w:val="21"/>
                <w:szCs w:val="21"/>
                <w:lang w:val="en-US" w:eastAsia="zh-CN"/>
                <w14:textFill>
                  <w14:solidFill>
                    <w14:schemeClr w14:val="tx1"/>
                  </w14:solidFill>
                </w14:textFill>
              </w:rPr>
              <w:t>(头)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2"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93"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90"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81"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77" w:type="pct"/>
            <w:vMerge w:val="continue"/>
            <w:tcBorders>
              <w:top w:val="nil"/>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73"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以氮为基础</w:t>
            </w:r>
          </w:p>
        </w:tc>
        <w:tc>
          <w:tcPr>
            <w:tcW w:w="416"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以磷为基础</w:t>
            </w:r>
          </w:p>
        </w:tc>
        <w:tc>
          <w:tcPr>
            <w:tcW w:w="530"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以氮为基础</w:t>
            </w:r>
          </w:p>
        </w:tc>
        <w:tc>
          <w:tcPr>
            <w:tcW w:w="649"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以磷为基础</w:t>
            </w:r>
          </w:p>
        </w:tc>
        <w:tc>
          <w:tcPr>
            <w:tcW w:w="51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以氮为基础</w:t>
            </w:r>
          </w:p>
        </w:tc>
        <w:tc>
          <w:tcPr>
            <w:tcW w:w="5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以磷为基础</w:t>
            </w:r>
          </w:p>
        </w:tc>
        <w:tc>
          <w:tcPr>
            <w:tcW w:w="358"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2"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93"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90"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81"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277" w:type="pct"/>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73"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粪肥全部就地还田利用</w:t>
            </w:r>
          </w:p>
        </w:tc>
        <w:tc>
          <w:tcPr>
            <w:tcW w:w="416"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粪肥全部就地还田利用</w:t>
            </w:r>
          </w:p>
        </w:tc>
        <w:tc>
          <w:tcPr>
            <w:tcW w:w="530"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spacing w:val="-2"/>
                <w:kern w:val="0"/>
                <w:sz w:val="21"/>
                <w:szCs w:val="21"/>
                <w:lang w:eastAsia="en-US"/>
                <w14:textFill>
                  <w14:solidFill>
                    <w14:schemeClr w14:val="tx1"/>
                  </w14:solidFill>
                </w14:textFill>
              </w:rPr>
              <w:t>施肥供给养分占</w:t>
            </w:r>
            <w:r>
              <w:rPr>
                <w:rFonts w:ascii="Times New Roman" w:hAnsi="Times New Roman"/>
                <w:color w:val="000000" w:themeColor="text1"/>
                <w:spacing w:val="-26"/>
                <w:kern w:val="0"/>
                <w:sz w:val="21"/>
                <w:szCs w:val="21"/>
                <w:lang w:eastAsia="en-US"/>
                <w14:textFill>
                  <w14:solidFill>
                    <w14:schemeClr w14:val="tx1"/>
                  </w14:solidFill>
                </w14:textFill>
              </w:rPr>
              <w:t xml:space="preserve">比 </w:t>
            </w:r>
            <w:r>
              <w:rPr>
                <w:rFonts w:hint="eastAsia" w:ascii="Times New Roman" w:hAnsi="Times New Roman"/>
                <w:color w:val="000000" w:themeColor="text1"/>
                <w:kern w:val="0"/>
                <w:sz w:val="21"/>
                <w:szCs w:val="21"/>
                <w:lang w:eastAsia="en-US"/>
                <w14:textFill>
                  <w14:solidFill>
                    <w14:schemeClr w14:val="tx1"/>
                  </w14:solidFill>
                </w14:textFill>
              </w:rPr>
              <w:t>5</w:t>
            </w:r>
            <w:r>
              <w:rPr>
                <w:rFonts w:ascii="Times New Roman" w:hAnsi="Times New Roman"/>
                <w:color w:val="000000" w:themeColor="text1"/>
                <w:kern w:val="0"/>
                <w:sz w:val="21"/>
                <w:szCs w:val="21"/>
                <w:lang w:eastAsia="en-US"/>
                <w14:textFill>
                  <w14:solidFill>
                    <w14:schemeClr w14:val="tx1"/>
                  </w14:solidFill>
                </w14:textFill>
              </w:rPr>
              <w:t>5%</w:t>
            </w:r>
            <w:r>
              <w:rPr>
                <w:rFonts w:ascii="Times New Roman" w:hAnsi="Times New Roman"/>
                <w:color w:val="000000" w:themeColor="text1"/>
                <w:spacing w:val="-6"/>
                <w:kern w:val="0"/>
                <w:sz w:val="21"/>
                <w:szCs w:val="21"/>
                <w:lang w:eastAsia="en-US"/>
                <w14:textFill>
                  <w14:solidFill>
                    <w14:schemeClr w14:val="tx1"/>
                  </w14:solidFill>
                </w14:textFill>
              </w:rPr>
              <w:t>，粪肥占</w:t>
            </w:r>
            <w:r>
              <w:rPr>
                <w:rFonts w:ascii="Times New Roman" w:hAnsi="Times New Roman"/>
                <w:color w:val="000000" w:themeColor="text1"/>
                <w:spacing w:val="-11"/>
                <w:kern w:val="0"/>
                <w:sz w:val="21"/>
                <w:szCs w:val="21"/>
                <w:lang w:eastAsia="en-US"/>
                <w14:textFill>
                  <w14:solidFill>
                    <w14:schemeClr w14:val="tx1"/>
                  </w14:solidFill>
                </w14:textFill>
              </w:rPr>
              <w:t xml:space="preserve">施肥比例 </w:t>
            </w:r>
            <w:r>
              <w:rPr>
                <w:rFonts w:ascii="Times New Roman" w:hAnsi="Times New Roman"/>
                <w:color w:val="000000" w:themeColor="text1"/>
                <w:spacing w:val="-5"/>
                <w:kern w:val="0"/>
                <w:sz w:val="21"/>
                <w:szCs w:val="21"/>
                <w:lang w:eastAsia="en-US"/>
                <w14:textFill>
                  <w14:solidFill>
                    <w14:schemeClr w14:val="tx1"/>
                  </w14:solidFill>
                </w14:textFill>
              </w:rPr>
              <w:t>50%，</w:t>
            </w:r>
            <w:r>
              <w:rPr>
                <w:rFonts w:ascii="Times New Roman" w:hAnsi="Times New Roman"/>
                <w:color w:val="000000" w:themeColor="text1"/>
                <w:spacing w:val="-2"/>
                <w:kern w:val="0"/>
                <w:sz w:val="21"/>
                <w:szCs w:val="21"/>
                <w:lang w:eastAsia="en-US"/>
                <w14:textFill>
                  <w14:solidFill>
                    <w14:schemeClr w14:val="tx1"/>
                  </w14:solidFill>
                </w14:textFill>
              </w:rPr>
              <w:t>粪肥当季利用率</w:t>
            </w:r>
            <w:r>
              <w:rPr>
                <w:rFonts w:hint="eastAsia" w:ascii="Times New Roman" w:hAnsi="Times New Roman"/>
                <w:color w:val="000000" w:themeColor="text1"/>
                <w:kern w:val="0"/>
                <w:sz w:val="21"/>
                <w:szCs w:val="21"/>
                <w:lang w:eastAsia="en-US"/>
                <w14:textFill>
                  <w14:solidFill>
                    <w14:schemeClr w14:val="tx1"/>
                  </w14:solidFill>
                </w14:textFill>
              </w:rPr>
              <w:t>25</w:t>
            </w:r>
            <w:r>
              <w:rPr>
                <w:rFonts w:ascii="Times New Roman" w:hAnsi="Times New Roman"/>
                <w:color w:val="000000" w:themeColor="text1"/>
                <w:kern w:val="0"/>
                <w:sz w:val="21"/>
                <w:szCs w:val="21"/>
                <w:lang w:eastAsia="en-US"/>
                <w14:textFill>
                  <w14:solidFill>
                    <w14:schemeClr w14:val="tx1"/>
                  </w14:solidFill>
                </w14:textFill>
              </w:rPr>
              <w:t>%</w:t>
            </w:r>
          </w:p>
        </w:tc>
        <w:tc>
          <w:tcPr>
            <w:tcW w:w="649"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spacing w:val="-2"/>
                <w:kern w:val="0"/>
                <w:sz w:val="21"/>
                <w:szCs w:val="21"/>
                <w:lang w:eastAsia="en-US"/>
                <w14:textFill>
                  <w14:solidFill>
                    <w14:schemeClr w14:val="tx1"/>
                  </w14:solidFill>
                </w14:textFill>
              </w:rPr>
              <w:t>施肥供给养分占</w:t>
            </w:r>
            <w:r>
              <w:rPr>
                <w:rFonts w:ascii="Times New Roman" w:hAnsi="Times New Roman"/>
                <w:color w:val="000000" w:themeColor="text1"/>
                <w:spacing w:val="-26"/>
                <w:kern w:val="0"/>
                <w:sz w:val="21"/>
                <w:szCs w:val="21"/>
                <w:lang w:eastAsia="en-US"/>
                <w14:textFill>
                  <w14:solidFill>
                    <w14:schemeClr w14:val="tx1"/>
                  </w14:solidFill>
                </w14:textFill>
              </w:rPr>
              <w:t xml:space="preserve">比 </w:t>
            </w:r>
            <w:r>
              <w:rPr>
                <w:rFonts w:hint="eastAsia" w:ascii="Times New Roman" w:hAnsi="Times New Roman"/>
                <w:color w:val="000000" w:themeColor="text1"/>
                <w:kern w:val="0"/>
                <w:sz w:val="21"/>
                <w:szCs w:val="21"/>
                <w:lang w:eastAsia="en-US"/>
                <w14:textFill>
                  <w14:solidFill>
                    <w14:schemeClr w14:val="tx1"/>
                  </w14:solidFill>
                </w14:textFill>
              </w:rPr>
              <w:t>5</w:t>
            </w:r>
            <w:r>
              <w:rPr>
                <w:rFonts w:ascii="Times New Roman" w:hAnsi="Times New Roman"/>
                <w:color w:val="000000" w:themeColor="text1"/>
                <w:kern w:val="0"/>
                <w:sz w:val="21"/>
                <w:szCs w:val="21"/>
                <w:lang w:eastAsia="en-US"/>
                <w14:textFill>
                  <w14:solidFill>
                    <w14:schemeClr w14:val="tx1"/>
                  </w14:solidFill>
                </w14:textFill>
              </w:rPr>
              <w:t>5%</w:t>
            </w:r>
            <w:r>
              <w:rPr>
                <w:rFonts w:ascii="Times New Roman" w:hAnsi="Times New Roman"/>
                <w:color w:val="000000" w:themeColor="text1"/>
                <w:spacing w:val="-6"/>
                <w:kern w:val="0"/>
                <w:sz w:val="21"/>
                <w:szCs w:val="21"/>
                <w:lang w:eastAsia="en-US"/>
                <w14:textFill>
                  <w14:solidFill>
                    <w14:schemeClr w14:val="tx1"/>
                  </w14:solidFill>
                </w14:textFill>
              </w:rPr>
              <w:t>，粪肥占</w:t>
            </w:r>
            <w:r>
              <w:rPr>
                <w:rFonts w:ascii="Times New Roman" w:hAnsi="Times New Roman"/>
                <w:color w:val="000000" w:themeColor="text1"/>
                <w:spacing w:val="-10"/>
                <w:kern w:val="0"/>
                <w:sz w:val="21"/>
                <w:szCs w:val="21"/>
                <w:lang w:eastAsia="en-US"/>
                <w14:textFill>
                  <w14:solidFill>
                    <w14:schemeClr w14:val="tx1"/>
                  </w14:solidFill>
                </w14:textFill>
              </w:rPr>
              <w:t xml:space="preserve">施肥比例 </w:t>
            </w:r>
            <w:r>
              <w:rPr>
                <w:rFonts w:ascii="Times New Roman" w:hAnsi="Times New Roman"/>
                <w:color w:val="000000" w:themeColor="text1"/>
                <w:spacing w:val="-6"/>
                <w:kern w:val="0"/>
                <w:sz w:val="21"/>
                <w:szCs w:val="21"/>
                <w:lang w:eastAsia="en-US"/>
                <w14:textFill>
                  <w14:solidFill>
                    <w14:schemeClr w14:val="tx1"/>
                  </w14:solidFill>
                </w14:textFill>
              </w:rPr>
              <w:t>50%，</w:t>
            </w:r>
            <w:r>
              <w:rPr>
                <w:rFonts w:ascii="Times New Roman" w:hAnsi="Times New Roman"/>
                <w:color w:val="000000" w:themeColor="text1"/>
                <w:spacing w:val="-2"/>
                <w:kern w:val="0"/>
                <w:sz w:val="21"/>
                <w:szCs w:val="21"/>
                <w:lang w:eastAsia="en-US"/>
                <w14:textFill>
                  <w14:solidFill>
                    <w14:schemeClr w14:val="tx1"/>
                  </w14:solidFill>
                </w14:textFill>
              </w:rPr>
              <w:t>粪肥当季利用率</w:t>
            </w:r>
            <w:r>
              <w:rPr>
                <w:rFonts w:hint="eastAsia" w:ascii="Times New Roman" w:hAnsi="Times New Roman"/>
                <w:color w:val="000000" w:themeColor="text1"/>
                <w:spacing w:val="-2"/>
                <w:kern w:val="0"/>
                <w:sz w:val="21"/>
                <w:szCs w:val="21"/>
                <w:lang w:eastAsia="en-US"/>
                <w14:textFill>
                  <w14:solidFill>
                    <w14:schemeClr w14:val="tx1"/>
                  </w14:solidFill>
                </w14:textFill>
              </w:rPr>
              <w:t>30</w:t>
            </w:r>
            <w:r>
              <w:rPr>
                <w:rFonts w:ascii="Times New Roman" w:hAnsi="Times New Roman"/>
                <w:color w:val="000000" w:themeColor="text1"/>
                <w:kern w:val="0"/>
                <w:sz w:val="21"/>
                <w:szCs w:val="21"/>
                <w:lang w:eastAsia="en-US"/>
                <w14:textFill>
                  <w14:solidFill>
                    <w14:schemeClr w14:val="tx1"/>
                  </w14:solidFill>
                </w14:textFill>
              </w:rPr>
              <w:t>%</w:t>
            </w:r>
          </w:p>
        </w:tc>
        <w:tc>
          <w:tcPr>
            <w:tcW w:w="514"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养分供给量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7.0kg/猪当量</w:t>
            </w:r>
          </w:p>
        </w:tc>
        <w:tc>
          <w:tcPr>
            <w:tcW w:w="508" w:type="pct"/>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养分供给量</w:t>
            </w:r>
          </w:p>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r>
              <w:rPr>
                <w:rFonts w:ascii="Times New Roman" w:hAnsi="Times New Roman"/>
                <w:color w:val="000000" w:themeColor="text1"/>
                <w:kern w:val="0"/>
                <w:sz w:val="21"/>
                <w:szCs w:val="21"/>
                <w:lang w:eastAsia="en-US"/>
                <w14:textFill>
                  <w14:solidFill>
                    <w14:schemeClr w14:val="tx1"/>
                  </w14:solidFill>
                </w14:textFill>
              </w:rPr>
              <w:t>1.2kg/猪当量</w:t>
            </w:r>
          </w:p>
        </w:tc>
        <w:tc>
          <w:tcPr>
            <w:tcW w:w="358" w:type="pct"/>
            <w:vMerge w:val="continue"/>
            <w:vAlign w:val="center"/>
          </w:tcPr>
          <w:p>
            <w:pPr>
              <w:pStyle w:val="22"/>
              <w:keepNext w:val="0"/>
              <w:keepLines w:val="0"/>
              <w:pageBreakBefore w:val="0"/>
              <w:kinsoku/>
              <w:wordWrap/>
              <w:overflowPunct/>
              <w:topLinePunct w:val="0"/>
              <w:autoSpaceDE w:val="0"/>
              <w:autoSpaceDN w:val="0"/>
              <w:bidi w:val="0"/>
              <w:adjustRightInd/>
              <w:snapToGrid/>
              <w:spacing w:before="0" w:beforeAutospacing="0" w:line="240" w:lineRule="auto"/>
              <w:ind w:firstLine="0" w:firstLineChars="0"/>
              <w:jc w:val="center"/>
              <w:rPr>
                <w:rFonts w:ascii="Times New Roman" w:hAnsi="Times New Roman"/>
                <w:color w:val="000000" w:themeColor="text1"/>
                <w:kern w:val="0"/>
                <w:sz w:val="21"/>
                <w:szCs w:val="21"/>
                <w:lang w:eastAsia="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白沙镇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17567.24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6166.10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135.65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49.33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spacing w:val="-2"/>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149.22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spacing w:val="-2"/>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45.22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21317.09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37681.72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17000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4341.65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9169.55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33.01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8.25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spacing w:val="-2"/>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36.31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spacing w:val="-2"/>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7.56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5187.35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6304.07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471.66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6168.37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31.46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12.15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spacing w:val="-2"/>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34.60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spacing w:val="-2"/>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11.14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4943.51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9282.54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大湖乡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43677.17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15330.68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337.28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122.65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371.00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112.43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53000.37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93687.52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139813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599.76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1266.69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4.56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716.59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870.85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1534.26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20065.05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102.33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39.53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112.56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36.23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16080.71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30195.12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甘蔗街道</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3072.72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1078.52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23.73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26.10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7.91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3728.61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6590.98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644.91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1362.05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770.53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936.41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382.94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5008.02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25.54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9.87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28.10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4013.57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7536.38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鸿尾乡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25640.27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8999.73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197.99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72.00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217.79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66.00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31113.36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54998.37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3101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2996.91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6329.47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22.79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3580.67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4351.51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661.40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8649.72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44.11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17.04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48.52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15.62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6932.14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13016.63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荆溪镇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14126.60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4958.43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109.09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39.67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119.99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36.36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17142.02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30301.55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cs="仿宋"/>
                <w:b w:val="0"/>
                <w:bCs w:val="0"/>
                <w:color w:val="000000"/>
                <w:kern w:val="0"/>
                <w:sz w:val="21"/>
                <w:szCs w:val="21"/>
                <w:lang w:val="en-US" w:eastAsia="zh-CN" w:bidi="ar"/>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1289.40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2723.21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9.80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10.78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1540.56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1872.21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147.63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1930.71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9.85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10.83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3.49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1547.32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2905.44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南通镇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7455.53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2616.89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57.57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20.94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63.33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19.19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9046.96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15992.10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41.02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86.63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0.08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49.01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59.56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350.49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4583.71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23.38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25.71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8.28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3673.51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6897.84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青口镇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15700.34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5510.82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121.24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44.09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133.36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40.41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19051.68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33677.22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1105.34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2334.47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8.40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9.24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1320.64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1604.95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1485.12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19422.40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99.05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38.26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108.96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15565.67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29228.01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上街镇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233.56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81.98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1.80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283.41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500.98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136.61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288.51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1.04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163.21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198.35 </w:t>
            </w:r>
          </w:p>
        </w:tc>
        <w:tc>
          <w:tcPr>
            <w:tcW w:w="358" w:type="pct"/>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118.65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1551.70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7.91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8.71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1243.58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2335.10 </w:t>
            </w:r>
          </w:p>
        </w:tc>
        <w:tc>
          <w:tcPr>
            <w:tcW w:w="358" w:type="pct"/>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尚干镇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361.52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126.89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1.02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3.07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438.68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775.45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廷坪乡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30542.40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10720.38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235.85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85.76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259.43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78.62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37061.89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65513.45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1183.25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2499.01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9.90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1413.73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1718.07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879.69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11504.59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58.67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22.66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20.78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9220.10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17312.80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祥谦镇</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7444.82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2613.13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57.49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20.91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63.24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19.16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9033.96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15969.13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791.60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1671.85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945.79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1149.40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595.98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7794.23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39.75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15.35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43.73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14.08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6246.52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11729.23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小箬乡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8656.73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3038.51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66.85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24.31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73.53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22.28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10504.56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18568.68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8640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332.85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702.98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2.53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0.58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397.69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483.30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32.66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427.06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0.77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342.26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642.67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洋里乡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26440.05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9280.46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204.17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74.24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224.59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68.06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32083.87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56713.91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44200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367.92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777.05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2.80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0.70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3.08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0.64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439.59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534.22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1353.77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17704.54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90.29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34.88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99.32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31.97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14188.92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26642.87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000000" w:themeColor="text1"/>
                <w:kern w:val="0"/>
                <w:sz w:val="21"/>
                <w:szCs w:val="21"/>
                <w:lang w:eastAsia="en-US"/>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竹岐乡</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耕地水稻</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23903.25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8390.04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184.58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67.12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203.04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61.53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29005.57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51272.47 </w:t>
            </w:r>
          </w:p>
        </w:tc>
        <w:tc>
          <w:tcPr>
            <w:tcW w:w="3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仿宋"/>
                <w:b w:val="0"/>
                <w:bCs w:val="0"/>
                <w:color w:val="000000"/>
                <w:kern w:val="0"/>
                <w:sz w:val="21"/>
                <w:szCs w:val="21"/>
                <w:lang w:val="en-US" w:eastAsia="zh-CN" w:bidi="ar"/>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园地蔬菜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1805.06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3812.28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13.72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3.43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15.10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2156.66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2620.94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color w:val="000000" w:themeColor="text1"/>
                <w:kern w:val="0"/>
                <w:sz w:val="21"/>
                <w:szCs w:val="21"/>
                <w:lang w:eastAsia="en-US"/>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林地水果</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476.28 </w:t>
            </w:r>
          </w:p>
        </w:tc>
        <w:tc>
          <w:tcPr>
            <w:tcW w:w="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6228.79 </w:t>
            </w:r>
          </w:p>
        </w:tc>
        <w:tc>
          <w:tcPr>
            <w:tcW w:w="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1168"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31.77 </w:t>
            </w:r>
          </w:p>
        </w:tc>
        <w:tc>
          <w:tcPr>
            <w:tcW w:w="130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12.27 </w:t>
            </w:r>
          </w:p>
        </w:tc>
        <w:tc>
          <w:tcPr>
            <w:tcW w:w="165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34.94 </w:t>
            </w:r>
          </w:p>
        </w:tc>
        <w:tc>
          <w:tcPr>
            <w:tcW w:w="2032"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11.25 </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4991.93 </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9373.46 </w:t>
            </w:r>
          </w:p>
        </w:tc>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pPr>
        <w:pStyle w:val="2"/>
        <w:ind w:left="0" w:leftChars="0" w:firstLine="0" w:firstLineChars="0"/>
        <w:rPr>
          <w:rFonts w:hint="default" w:ascii="Times New Roman" w:hAnsi="Times New Roman" w:eastAsia="宋体" w:cstheme="minorBidi"/>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heme="minorBidi"/>
          <w:color w:val="000000" w:themeColor="text1"/>
          <w:kern w:val="0"/>
          <w:sz w:val="21"/>
          <w:szCs w:val="21"/>
          <w:lang w:val="en-US" w:eastAsia="zh-CN" w:bidi="ar-SA"/>
          <w14:textFill>
            <w14:solidFill>
              <w14:schemeClr w14:val="tx1"/>
            </w14:solidFill>
          </w14:textFill>
        </w:rPr>
        <w:t>注：</w:t>
      </w:r>
      <w:r>
        <w:rPr>
          <w:rFonts w:hint="eastAsia" w:cstheme="minorBidi"/>
          <w:color w:val="000000" w:themeColor="text1"/>
          <w:kern w:val="0"/>
          <w:sz w:val="21"/>
          <w:szCs w:val="21"/>
          <w:lang w:val="en-US" w:eastAsia="zh-CN" w:bidi="ar-SA"/>
          <w14:textFill>
            <w14:solidFill>
              <w14:schemeClr w14:val="tx1"/>
            </w14:solidFill>
          </w14:textFill>
        </w:rPr>
        <w:t>种植面积为当地规定耕地林地园地面积的70%，作为可消纳地面积计算</w:t>
      </w:r>
    </w:p>
    <w:p>
      <w:pPr>
        <w:ind w:left="0" w:leftChars="0" w:firstLine="0" w:firstLineChars="0"/>
        <w:rPr>
          <w:rFonts w:hint="eastAsia" w:eastAsia="黑体" w:cs="Times New Roman"/>
          <w:b/>
          <w:bCs/>
          <w:sz w:val="32"/>
          <w:szCs w:val="40"/>
          <w:lang w:val="en-US" w:eastAsia="zh-CN"/>
        </w:rPr>
      </w:pPr>
    </w:p>
    <w:p>
      <w:pPr>
        <w:pStyle w:val="2"/>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eastAsia="黑体" w:cs="Times New Roman"/>
          <w:b/>
          <w:bCs/>
          <w:sz w:val="32"/>
          <w:szCs w:val="40"/>
          <w:lang w:val="en-US" w:eastAsia="zh-CN"/>
        </w:rPr>
      </w:pPr>
      <w:bookmarkStart w:id="128" w:name="_Toc24555"/>
      <w:r>
        <w:rPr>
          <w:rFonts w:hint="eastAsia" w:eastAsia="黑体" w:cs="Times New Roman"/>
          <w:b/>
          <w:bCs/>
          <w:sz w:val="32"/>
          <w:szCs w:val="40"/>
          <w:lang w:val="en-US" w:eastAsia="zh-CN"/>
        </w:rPr>
        <w:t>附图1 闽侯县行政区划</w:t>
      </w:r>
      <w:bookmarkEnd w:id="128"/>
    </w:p>
    <w:p>
      <w:pPr>
        <w:pStyle w:val="2"/>
        <w:ind w:left="0" w:leftChars="0" w:firstLine="0" w:firstLineChars="0"/>
        <w:rPr>
          <w:rFonts w:hint="default" w:eastAsia="黑体" w:cs="Times New Roman"/>
          <w:b/>
          <w:bCs/>
          <w:sz w:val="32"/>
          <w:szCs w:val="40"/>
          <w:lang w:val="en-US" w:eastAsia="zh-CN"/>
        </w:rPr>
      </w:pPr>
      <w:r>
        <w:rPr>
          <w:rFonts w:hint="default" w:eastAsia="黑体" w:cs="Times New Roman"/>
          <w:b/>
          <w:bCs/>
          <w:sz w:val="32"/>
          <w:szCs w:val="40"/>
          <w:lang w:val="en-US" w:eastAsia="zh-CN"/>
        </w:rPr>
        <w:drawing>
          <wp:inline distT="0" distB="0" distL="114300" distR="114300">
            <wp:extent cx="5725160" cy="7698740"/>
            <wp:effectExtent l="0" t="0" r="8890" b="16510"/>
            <wp:docPr id="5" name="图片 5" descr="闽侯县行政区划图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闽侯县行政区划图2_00"/>
                    <pic:cNvPicPr>
                      <a:picLocks noChangeAspect="1"/>
                    </pic:cNvPicPr>
                  </pic:nvPicPr>
                  <pic:blipFill>
                    <a:blip r:embed="rId10"/>
                    <a:stretch>
                      <a:fillRect/>
                    </a:stretch>
                  </pic:blipFill>
                  <pic:spPr>
                    <a:xfrm>
                      <a:off x="0" y="0"/>
                      <a:ext cx="5725160" cy="7698740"/>
                    </a:xfrm>
                    <a:prstGeom prst="rect">
                      <a:avLst/>
                    </a:prstGeom>
                  </pic:spPr>
                </pic:pic>
              </a:graphicData>
            </a:graphic>
          </wp:inline>
        </w:drawing>
      </w:r>
    </w:p>
    <w:p>
      <w:pPr>
        <w:rPr>
          <w:rFonts w:hint="eastAsia" w:eastAsia="黑体" w:cs="Times New Roman"/>
          <w:b/>
          <w:bCs/>
          <w:sz w:val="32"/>
          <w:szCs w:val="40"/>
          <w:lang w:val="en-US" w:eastAsia="zh-CN"/>
        </w:rPr>
      </w:pPr>
      <w:r>
        <w:rPr>
          <w:rFonts w:hint="eastAsia" w:ascii="宋体" w:hAnsi="宋体" w:cs="宋体"/>
          <w:b w:val="0"/>
          <w:bCs w:val="0"/>
          <w:color w:val="000000"/>
          <w:kern w:val="0"/>
          <w:sz w:val="21"/>
          <w:szCs w:val="21"/>
          <w:lang w:val="en-US" w:eastAsia="zh-CN" w:bidi="ar"/>
        </w:rPr>
        <w:t>备注：南屿镇全域和上街镇新洲、厚廷、马排、马保、建平5个村划归高新区</w:t>
      </w:r>
      <w:r>
        <w:rPr>
          <w:rFonts w:hint="eastAsia" w:eastAsia="黑体" w:cs="Times New Roman"/>
          <w:b/>
          <w:bCs/>
          <w:sz w:val="32"/>
          <w:szCs w:val="40"/>
          <w:lang w:val="en-US" w:eastAsia="zh-CN"/>
        </w:rPr>
        <w:br w:type="page"/>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eastAsia="黑体" w:cs="Times New Roman"/>
          <w:b/>
          <w:bCs/>
          <w:sz w:val="32"/>
          <w:szCs w:val="40"/>
          <w:lang w:val="en-US" w:eastAsia="zh-CN"/>
        </w:rPr>
      </w:pPr>
      <w:bookmarkStart w:id="129" w:name="_Toc19231"/>
      <w:r>
        <w:rPr>
          <w:rFonts w:hint="eastAsia" w:eastAsia="黑体" w:cs="Times New Roman"/>
          <w:b/>
          <w:bCs/>
          <w:sz w:val="32"/>
          <w:szCs w:val="40"/>
          <w:lang w:val="en-US" w:eastAsia="zh-CN"/>
        </w:rPr>
        <w:t>附图2  闽侯县水系图</w:t>
      </w:r>
      <w:bookmarkEnd w:id="129"/>
    </w:p>
    <w:p>
      <w:pPr>
        <w:pStyle w:val="2"/>
        <w:ind w:left="0" w:leftChars="0" w:firstLine="0" w:firstLineChars="0"/>
        <w:rPr>
          <w:rFonts w:hint="default" w:ascii="仿宋" w:hAnsi="仿宋" w:eastAsia="仿宋" w:cs="仿宋"/>
          <w:b w:val="0"/>
          <w:bCs w:val="0"/>
          <w:color w:val="000000"/>
          <w:kern w:val="0"/>
          <w:sz w:val="28"/>
          <w:szCs w:val="28"/>
          <w:lang w:val="en-US" w:eastAsia="zh-CN" w:bidi="ar"/>
        </w:rPr>
      </w:pPr>
      <w:r>
        <w:rPr>
          <w:rFonts w:hint="default" w:ascii="仿宋" w:hAnsi="仿宋" w:eastAsia="仿宋" w:cs="仿宋"/>
          <w:b w:val="0"/>
          <w:bCs w:val="0"/>
          <w:color w:val="000000"/>
          <w:kern w:val="0"/>
          <w:sz w:val="28"/>
          <w:szCs w:val="28"/>
          <w:lang w:val="en-US" w:eastAsia="zh-CN" w:bidi="ar"/>
        </w:rPr>
        <w:drawing>
          <wp:inline distT="0" distB="0" distL="114300" distR="114300">
            <wp:extent cx="5268595" cy="7452360"/>
            <wp:effectExtent l="0" t="0" r="8255" b="15240"/>
            <wp:docPr id="2" name="图片 2" descr="闽侯县水系图（重新做的）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闽侯县水系图（重新做的）_00"/>
                    <pic:cNvPicPr>
                      <a:picLocks noChangeAspect="1"/>
                    </pic:cNvPicPr>
                  </pic:nvPicPr>
                  <pic:blipFill>
                    <a:blip r:embed="rId11"/>
                    <a:stretch>
                      <a:fillRect/>
                    </a:stretch>
                  </pic:blipFill>
                  <pic:spPr>
                    <a:xfrm>
                      <a:off x="0" y="0"/>
                      <a:ext cx="5268595" cy="7452360"/>
                    </a:xfrm>
                    <a:prstGeom prst="rect">
                      <a:avLst/>
                    </a:prstGeom>
                  </pic:spPr>
                </pic:pic>
              </a:graphicData>
            </a:graphic>
          </wp:inline>
        </w:drawing>
      </w:r>
    </w:p>
    <w:p>
      <w:pPr>
        <w:rPr>
          <w:rFonts w:hint="eastAsia" w:eastAsia="黑体" w:cs="Times New Roman"/>
          <w:b/>
          <w:bCs/>
          <w:sz w:val="32"/>
          <w:szCs w:val="40"/>
          <w:lang w:val="en-US" w:eastAsia="zh-CN"/>
        </w:rPr>
      </w:pPr>
      <w:bookmarkStart w:id="130" w:name="_Toc1672"/>
      <w:r>
        <w:rPr>
          <w:rFonts w:hint="eastAsia" w:eastAsia="黑体" w:cs="Times New Roman"/>
          <w:b/>
          <w:bCs/>
          <w:sz w:val="32"/>
          <w:szCs w:val="40"/>
          <w:lang w:val="en-US" w:eastAsia="zh-CN"/>
        </w:rPr>
        <w:br w:type="page"/>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eastAsia="黑体" w:cs="Times New Roman"/>
          <w:b/>
          <w:bCs/>
          <w:color w:val="auto"/>
          <w:sz w:val="32"/>
          <w:szCs w:val="40"/>
          <w:lang w:val="en-US" w:eastAsia="zh-CN"/>
        </w:rPr>
      </w:pPr>
      <w:bookmarkStart w:id="131" w:name="_Toc9863"/>
      <w:r>
        <w:rPr>
          <w:rFonts w:hint="eastAsia" w:eastAsia="黑体" w:cs="Times New Roman"/>
          <w:b/>
          <w:bCs/>
          <w:color w:val="auto"/>
          <w:sz w:val="32"/>
          <w:szCs w:val="40"/>
          <w:lang w:val="en-US" w:eastAsia="zh-CN"/>
        </w:rPr>
        <w:t>附图3：闽侯县养殖企业分布位置图</w:t>
      </w:r>
      <w:bookmarkEnd w:id="130"/>
      <w:bookmarkEnd w:id="131"/>
    </w:p>
    <w:p>
      <w:pPr>
        <w:pStyle w:val="2"/>
        <w:ind w:left="0" w:leftChars="0" w:firstLine="0" w:firstLineChars="0"/>
        <w:rPr>
          <w:rFonts w:hint="default" w:ascii="仿宋" w:hAnsi="仿宋" w:eastAsia="仿宋" w:cs="仿宋"/>
          <w:b w:val="0"/>
          <w:bCs w:val="0"/>
          <w:color w:val="000000"/>
          <w:kern w:val="0"/>
          <w:sz w:val="28"/>
          <w:szCs w:val="28"/>
          <w:lang w:val="en-US" w:eastAsia="zh-CN" w:bidi="ar"/>
        </w:rPr>
      </w:pPr>
      <w:r>
        <w:rPr>
          <w:rFonts w:hint="default" w:ascii="仿宋" w:hAnsi="仿宋" w:eastAsia="仿宋" w:cs="仿宋"/>
          <w:b w:val="0"/>
          <w:bCs w:val="0"/>
          <w:color w:val="000000"/>
          <w:kern w:val="0"/>
          <w:sz w:val="28"/>
          <w:szCs w:val="28"/>
          <w:lang w:val="en-US" w:eastAsia="zh-CN" w:bidi="ar"/>
        </w:rPr>
        <w:drawing>
          <wp:inline distT="0" distB="0" distL="114300" distR="114300">
            <wp:extent cx="5830570" cy="7562850"/>
            <wp:effectExtent l="0" t="0" r="17780" b="0"/>
            <wp:docPr id="4" name="图片 4" descr="行政区划标记养殖场位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行政区划标记养殖场位置_00"/>
                    <pic:cNvPicPr>
                      <a:picLocks noChangeAspect="1"/>
                    </pic:cNvPicPr>
                  </pic:nvPicPr>
                  <pic:blipFill>
                    <a:blip r:embed="rId12"/>
                    <a:srcRect t="4260" b="4047"/>
                    <a:stretch>
                      <a:fillRect/>
                    </a:stretch>
                  </pic:blipFill>
                  <pic:spPr>
                    <a:xfrm>
                      <a:off x="0" y="0"/>
                      <a:ext cx="5830570" cy="7562850"/>
                    </a:xfrm>
                    <a:prstGeom prst="rect">
                      <a:avLst/>
                    </a:prstGeom>
                  </pic:spPr>
                </pic:pic>
              </a:graphicData>
            </a:graphic>
          </wp:inline>
        </w:drawing>
      </w:r>
    </w:p>
    <w:p>
      <w:pPr>
        <w:rPr>
          <w:rFonts w:hint="eastAsia" w:eastAsia="黑体"/>
          <w:b/>
          <w:bCs/>
          <w:sz w:val="32"/>
          <w:szCs w:val="40"/>
        </w:rPr>
      </w:pPr>
      <w:bookmarkStart w:id="132" w:name="_Toc10838"/>
      <w:r>
        <w:rPr>
          <w:rFonts w:hint="eastAsia" w:ascii="宋体" w:hAnsi="宋体" w:cs="宋体"/>
          <w:b w:val="0"/>
          <w:bCs w:val="0"/>
          <w:color w:val="000000"/>
          <w:kern w:val="0"/>
          <w:sz w:val="21"/>
          <w:szCs w:val="21"/>
          <w:lang w:val="en-US" w:eastAsia="zh-CN" w:bidi="ar"/>
        </w:rPr>
        <w:t>备注：南屿镇26个村（居），划归高新区</w:t>
      </w:r>
      <w:r>
        <w:rPr>
          <w:rFonts w:hint="eastAsia" w:eastAsia="黑体"/>
          <w:b/>
          <w:bCs/>
          <w:sz w:val="32"/>
          <w:szCs w:val="40"/>
        </w:rPr>
        <w:br w:type="page"/>
      </w:r>
    </w:p>
    <w:p>
      <w:pPr>
        <w:pStyle w:val="24"/>
        <w:ind w:left="0" w:leftChars="0" w:firstLine="0" w:firstLineChars="0"/>
        <w:outlineLvl w:val="0"/>
        <w:rPr>
          <w:rFonts w:hint="default" w:eastAsia="黑体"/>
          <w:b/>
          <w:bCs/>
          <w:color w:val="auto"/>
          <w:sz w:val="32"/>
          <w:szCs w:val="40"/>
          <w:lang w:val="en-US" w:eastAsia="zh-CN"/>
        </w:rPr>
      </w:pPr>
      <w:bookmarkStart w:id="133" w:name="_Toc374"/>
      <w:r>
        <w:rPr>
          <w:rFonts w:hint="eastAsia" w:eastAsia="黑体"/>
          <w:b/>
          <w:bCs/>
          <w:color w:val="auto"/>
          <w:sz w:val="32"/>
          <w:szCs w:val="40"/>
        </w:rPr>
        <w:t>附图4：</w:t>
      </w:r>
      <w:r>
        <w:rPr>
          <w:rFonts w:hint="eastAsia" w:eastAsia="黑体"/>
          <w:b/>
          <w:bCs/>
          <w:color w:val="auto"/>
          <w:sz w:val="32"/>
          <w:szCs w:val="40"/>
          <w:lang w:val="en-US" w:eastAsia="zh-CN"/>
        </w:rPr>
        <w:t>闽侯县</w:t>
      </w:r>
      <w:r>
        <w:rPr>
          <w:rFonts w:hint="eastAsia" w:eastAsia="黑体"/>
          <w:b/>
          <w:bCs/>
          <w:color w:val="auto"/>
          <w:sz w:val="32"/>
          <w:szCs w:val="40"/>
        </w:rPr>
        <w:t>畜禽养殖</w:t>
      </w:r>
      <w:r>
        <w:rPr>
          <w:rFonts w:hint="eastAsia" w:eastAsia="黑体"/>
          <w:b/>
          <w:bCs/>
          <w:color w:val="auto"/>
          <w:sz w:val="32"/>
          <w:szCs w:val="40"/>
          <w:lang w:val="en-US" w:eastAsia="zh-CN"/>
        </w:rPr>
        <w:t>企业分布（水系图）</w:t>
      </w:r>
    </w:p>
    <w:p>
      <w:pPr>
        <w:pStyle w:val="24"/>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eastAsia="黑体"/>
          <w:b/>
          <w:bCs/>
          <w:sz w:val="32"/>
          <w:szCs w:val="40"/>
          <w:lang w:eastAsia="zh-CN"/>
        </w:rPr>
      </w:pPr>
      <w:r>
        <w:rPr>
          <w:rFonts w:hint="eastAsia" w:eastAsia="黑体"/>
          <w:b/>
          <w:bCs/>
          <w:sz w:val="32"/>
          <w:szCs w:val="40"/>
          <w:lang w:eastAsia="zh-CN"/>
        </w:rPr>
        <w:drawing>
          <wp:inline distT="0" distB="0" distL="114300" distR="114300">
            <wp:extent cx="5431155" cy="7436485"/>
            <wp:effectExtent l="0" t="0" r="17145" b="12065"/>
            <wp:docPr id="6" name="图片 6" descr="闽侯县水系图+养殖场点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闽侯县水系图+养殖场点位_00"/>
                    <pic:cNvPicPr>
                      <a:picLocks noChangeAspect="1"/>
                    </pic:cNvPicPr>
                  </pic:nvPicPr>
                  <pic:blipFill>
                    <a:blip r:embed="rId13"/>
                    <a:srcRect b="3207"/>
                    <a:stretch>
                      <a:fillRect/>
                    </a:stretch>
                  </pic:blipFill>
                  <pic:spPr>
                    <a:xfrm>
                      <a:off x="0" y="0"/>
                      <a:ext cx="5431155" cy="7436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ascii="宋体" w:hAnsi="宋体"/>
          <w:color w:val="000000"/>
          <w:sz w:val="24"/>
          <w:szCs w:val="24"/>
        </w:rPr>
      </w:pPr>
      <w:r>
        <w:rPr>
          <w:rFonts w:hint="eastAsia"/>
          <w:lang w:val="en-US" w:eastAsia="zh-CN"/>
        </w:rPr>
        <w:t>养殖场名称：</w:t>
      </w:r>
      <w:r>
        <w:rPr>
          <w:rFonts w:hint="eastAsia" w:ascii="宋体" w:hAnsi="宋体"/>
          <w:color w:val="000000"/>
          <w:sz w:val="24"/>
          <w:szCs w:val="24"/>
        </w:rPr>
        <w:t>1闽侯流源创联农业开发有限公司</w:t>
      </w:r>
      <w:r>
        <w:rPr>
          <w:rFonts w:hint="eastAsia" w:ascii="宋体" w:hAnsi="宋体"/>
          <w:color w:val="000000"/>
          <w:sz w:val="24"/>
          <w:szCs w:val="24"/>
          <w:lang w:eastAsia="zh-CN"/>
        </w:rPr>
        <w:t>；</w:t>
      </w:r>
      <w:r>
        <w:rPr>
          <w:rFonts w:hint="eastAsia" w:ascii="宋体" w:hAnsi="宋体"/>
          <w:color w:val="000000"/>
          <w:sz w:val="24"/>
          <w:szCs w:val="24"/>
          <w:lang w:val="en-US" w:eastAsia="zh-CN"/>
        </w:rPr>
        <w:t>2</w:t>
      </w:r>
      <w:r>
        <w:rPr>
          <w:rFonts w:hint="eastAsia" w:ascii="宋体" w:hAnsi="宋体"/>
          <w:color w:val="000000"/>
          <w:sz w:val="24"/>
          <w:szCs w:val="24"/>
        </w:rPr>
        <w:t>闽侯县廷坪乡五七前峰家庭农场</w:t>
      </w:r>
      <w:r>
        <w:rPr>
          <w:rFonts w:hint="eastAsia" w:ascii="宋体" w:hAnsi="宋体"/>
          <w:color w:val="000000"/>
          <w:sz w:val="24"/>
          <w:szCs w:val="24"/>
          <w:lang w:eastAsia="zh-CN"/>
        </w:rPr>
        <w:t>；</w:t>
      </w:r>
      <w:r>
        <w:rPr>
          <w:rFonts w:hint="eastAsia" w:ascii="宋体" w:hAnsi="宋体"/>
          <w:color w:val="000000"/>
          <w:sz w:val="24"/>
          <w:szCs w:val="24"/>
        </w:rPr>
        <w:t>3闽侯塘里创联农业开发有限公司</w:t>
      </w:r>
      <w:r>
        <w:rPr>
          <w:rFonts w:hint="eastAsia" w:ascii="宋体" w:hAnsi="宋体"/>
          <w:color w:val="000000"/>
          <w:sz w:val="24"/>
          <w:szCs w:val="24"/>
          <w:lang w:eastAsia="zh-CN"/>
        </w:rPr>
        <w:t>；</w:t>
      </w:r>
      <w:r>
        <w:rPr>
          <w:rFonts w:hint="eastAsia" w:ascii="宋体" w:hAnsi="宋体"/>
          <w:color w:val="000000"/>
          <w:sz w:val="24"/>
          <w:szCs w:val="24"/>
        </w:rPr>
        <w:t>4闽侯县长盛农业发展有限公司</w:t>
      </w:r>
    </w:p>
    <w:p>
      <w:pPr>
        <w:keepNext w:val="0"/>
        <w:keepLines w:val="0"/>
        <w:pageBreakBefore w:val="0"/>
        <w:widowControl w:val="0"/>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color w:val="000000"/>
          <w:sz w:val="24"/>
          <w:szCs w:val="24"/>
        </w:rPr>
      </w:pPr>
      <w:r>
        <w:rPr>
          <w:rFonts w:hint="eastAsia" w:ascii="宋体" w:hAnsi="宋体"/>
          <w:color w:val="000000"/>
          <w:sz w:val="24"/>
          <w:szCs w:val="24"/>
          <w:lang w:val="en-US" w:eastAsia="zh-CN"/>
        </w:rPr>
        <w:t>；</w:t>
      </w:r>
      <w:r>
        <w:rPr>
          <w:rFonts w:hint="eastAsia" w:ascii="宋体" w:hAnsi="宋体"/>
          <w:color w:val="000000"/>
          <w:sz w:val="24"/>
          <w:szCs w:val="24"/>
        </w:rPr>
        <w:t>5闽侯县金源达副食品开发有限公司</w:t>
      </w:r>
      <w:r>
        <w:rPr>
          <w:rFonts w:hint="eastAsia" w:ascii="宋体" w:hAnsi="宋体"/>
          <w:color w:val="000000"/>
          <w:sz w:val="24"/>
          <w:szCs w:val="24"/>
          <w:lang w:eastAsia="zh-CN"/>
        </w:rPr>
        <w:t>；</w:t>
      </w:r>
      <w:r>
        <w:rPr>
          <w:rFonts w:hint="eastAsia" w:ascii="宋体" w:hAnsi="宋体"/>
          <w:color w:val="000000"/>
          <w:sz w:val="24"/>
          <w:szCs w:val="24"/>
        </w:rPr>
        <w:t>6福建长基畜牧有限公司</w:t>
      </w:r>
      <w:r>
        <w:rPr>
          <w:rFonts w:hint="eastAsia" w:ascii="宋体" w:hAnsi="宋体"/>
          <w:color w:val="000000"/>
          <w:sz w:val="24"/>
          <w:szCs w:val="24"/>
          <w:lang w:eastAsia="zh-CN"/>
        </w:rPr>
        <w:t>；</w:t>
      </w:r>
      <w:r>
        <w:rPr>
          <w:rFonts w:hint="eastAsia" w:ascii="宋体" w:hAnsi="宋体"/>
          <w:color w:val="000000"/>
          <w:sz w:val="24"/>
          <w:szCs w:val="24"/>
        </w:rPr>
        <w:t>7闽侯县扬帆农业发展有限</w:t>
      </w:r>
      <w:r>
        <w:rPr>
          <w:rFonts w:hint="eastAsia" w:ascii="宋体" w:hAnsi="宋体"/>
          <w:color w:val="000000"/>
          <w:sz w:val="24"/>
          <w:szCs w:val="24"/>
          <w:lang w:val="en-US" w:eastAsia="zh-CN"/>
        </w:rPr>
        <w:t>公司</w:t>
      </w:r>
      <w:r>
        <w:rPr>
          <w:rFonts w:hint="eastAsia" w:ascii="宋体" w:hAnsi="宋体"/>
          <w:color w:val="000000"/>
          <w:sz w:val="24"/>
          <w:szCs w:val="24"/>
          <w:lang w:eastAsia="zh-CN"/>
        </w:rPr>
        <w:t>；</w:t>
      </w:r>
      <w:r>
        <w:rPr>
          <w:rFonts w:hint="eastAsia" w:ascii="宋体" w:hAnsi="宋体"/>
          <w:color w:val="000000"/>
          <w:sz w:val="24"/>
          <w:szCs w:val="24"/>
        </w:rPr>
        <w:t>8闽侯县创联农业发展有限公司</w:t>
      </w:r>
      <w:r>
        <w:rPr>
          <w:rFonts w:hint="eastAsia" w:ascii="宋体" w:hAnsi="宋体"/>
          <w:color w:val="000000"/>
          <w:sz w:val="24"/>
          <w:szCs w:val="24"/>
          <w:lang w:eastAsia="zh-CN"/>
        </w:rPr>
        <w:t>；</w:t>
      </w:r>
      <w:r>
        <w:rPr>
          <w:rFonts w:hint="eastAsia" w:ascii="宋体" w:hAnsi="宋体"/>
          <w:color w:val="000000"/>
          <w:sz w:val="24"/>
          <w:szCs w:val="24"/>
        </w:rPr>
        <w:t>9闽侯县大湖严圣鹰家庭农场</w:t>
      </w:r>
      <w:r>
        <w:rPr>
          <w:rFonts w:hint="eastAsia" w:ascii="宋体" w:hAnsi="宋体"/>
          <w:color w:val="000000"/>
          <w:sz w:val="24"/>
          <w:szCs w:val="24"/>
          <w:lang w:eastAsia="zh-CN"/>
        </w:rPr>
        <w:t>；</w:t>
      </w:r>
      <w:r>
        <w:rPr>
          <w:rFonts w:hint="eastAsia" w:ascii="宋体" w:hAnsi="宋体"/>
          <w:color w:val="000000"/>
          <w:sz w:val="24"/>
          <w:szCs w:val="24"/>
        </w:rPr>
        <w:t>10闽侯县创联农业发展有限公司兰田分公司</w:t>
      </w:r>
      <w:r>
        <w:rPr>
          <w:rFonts w:hint="eastAsia" w:ascii="宋体" w:hAnsi="宋体"/>
          <w:color w:val="000000"/>
          <w:sz w:val="24"/>
          <w:szCs w:val="24"/>
          <w:lang w:eastAsia="zh-CN"/>
        </w:rPr>
        <w:t>；</w:t>
      </w:r>
      <w:r>
        <w:rPr>
          <w:rFonts w:hint="eastAsia" w:ascii="宋体" w:hAnsi="宋体"/>
          <w:color w:val="000000"/>
          <w:sz w:val="24"/>
          <w:szCs w:val="24"/>
        </w:rPr>
        <w:t>11闽侯县湖鑫农业综合开发有限公司</w:t>
      </w:r>
      <w:r>
        <w:rPr>
          <w:rFonts w:hint="eastAsia" w:ascii="宋体" w:hAnsi="宋体"/>
          <w:color w:val="000000"/>
          <w:sz w:val="24"/>
          <w:szCs w:val="24"/>
          <w:lang w:eastAsia="zh-CN"/>
        </w:rPr>
        <w:t>；</w:t>
      </w:r>
      <w:r>
        <w:rPr>
          <w:rFonts w:hint="eastAsia" w:ascii="宋体" w:hAnsi="宋体"/>
          <w:color w:val="000000"/>
          <w:sz w:val="24"/>
          <w:szCs w:val="24"/>
        </w:rPr>
        <w:t>12福州市邑丰农业发展有限公司</w:t>
      </w:r>
      <w:r>
        <w:rPr>
          <w:rFonts w:hint="eastAsia" w:ascii="宋体" w:hAnsi="宋体"/>
          <w:color w:val="000000"/>
          <w:sz w:val="24"/>
          <w:szCs w:val="24"/>
          <w:lang w:eastAsia="zh-CN"/>
        </w:rPr>
        <w:t>；</w:t>
      </w:r>
      <w:r>
        <w:rPr>
          <w:rFonts w:hint="eastAsia" w:ascii="宋体" w:hAnsi="宋体"/>
          <w:color w:val="000000"/>
          <w:sz w:val="24"/>
          <w:szCs w:val="24"/>
        </w:rPr>
        <w:t>13福建光华农牧科技开发有限公司</w:t>
      </w:r>
      <w:r>
        <w:rPr>
          <w:rFonts w:hint="eastAsia" w:ascii="宋体" w:hAnsi="宋体"/>
          <w:color w:val="000000"/>
          <w:sz w:val="24"/>
          <w:szCs w:val="24"/>
          <w:lang w:eastAsia="zh-CN"/>
        </w:rPr>
        <w:t>；</w:t>
      </w:r>
      <w:r>
        <w:rPr>
          <w:rFonts w:hint="eastAsia" w:ascii="宋体" w:hAnsi="宋体"/>
          <w:color w:val="000000"/>
          <w:sz w:val="24"/>
          <w:szCs w:val="24"/>
        </w:rPr>
        <w:t>14闽侯县盛源农牧发展有限公司</w:t>
      </w:r>
      <w:r>
        <w:rPr>
          <w:rFonts w:hint="eastAsia" w:ascii="宋体" w:hAnsi="宋体"/>
          <w:color w:val="000000"/>
          <w:sz w:val="24"/>
          <w:szCs w:val="24"/>
          <w:lang w:eastAsia="zh-CN"/>
        </w:rPr>
        <w:t>；</w:t>
      </w:r>
      <w:r>
        <w:rPr>
          <w:rFonts w:hint="eastAsia" w:ascii="宋体" w:hAnsi="宋体"/>
          <w:color w:val="000000"/>
          <w:sz w:val="24"/>
          <w:szCs w:val="24"/>
        </w:rPr>
        <w:t>15闽侯县恒顺生态农业综合开发有限公司</w:t>
      </w:r>
      <w:r>
        <w:rPr>
          <w:rFonts w:hint="eastAsia" w:ascii="宋体" w:hAnsi="宋体"/>
          <w:color w:val="000000"/>
          <w:sz w:val="24"/>
          <w:szCs w:val="24"/>
          <w:lang w:eastAsia="zh-CN"/>
        </w:rPr>
        <w:t>；</w:t>
      </w:r>
      <w:r>
        <w:rPr>
          <w:rFonts w:hint="eastAsia" w:ascii="宋体" w:hAnsi="宋体"/>
          <w:color w:val="000000"/>
          <w:sz w:val="24"/>
          <w:szCs w:val="24"/>
        </w:rPr>
        <w:t>16闽侯县湖山鑫欣生态农业发展有限公司</w:t>
      </w:r>
      <w:r>
        <w:rPr>
          <w:rFonts w:hint="eastAsia" w:ascii="宋体" w:hAnsi="宋体"/>
          <w:color w:val="000000"/>
          <w:sz w:val="24"/>
          <w:szCs w:val="24"/>
          <w:lang w:eastAsia="zh-CN"/>
        </w:rPr>
        <w:t>；</w:t>
      </w:r>
      <w:r>
        <w:rPr>
          <w:rFonts w:hint="eastAsia" w:ascii="宋体" w:hAnsi="宋体"/>
          <w:color w:val="000000"/>
          <w:sz w:val="24"/>
          <w:szCs w:val="24"/>
        </w:rPr>
        <w:t>17闽侯县为民生态养殖场</w:t>
      </w:r>
      <w:r>
        <w:rPr>
          <w:rFonts w:hint="eastAsia" w:ascii="宋体" w:hAnsi="宋体"/>
          <w:color w:val="000000"/>
          <w:sz w:val="24"/>
          <w:szCs w:val="24"/>
          <w:lang w:eastAsia="zh-CN"/>
        </w:rPr>
        <w:t>；</w:t>
      </w:r>
      <w:r>
        <w:rPr>
          <w:rFonts w:hint="eastAsia" w:ascii="宋体" w:hAnsi="宋体"/>
          <w:color w:val="000000"/>
          <w:sz w:val="24"/>
          <w:szCs w:val="24"/>
        </w:rPr>
        <w:t>18闽侯县连富农牧发展有限公司</w:t>
      </w:r>
      <w:r>
        <w:rPr>
          <w:rFonts w:hint="eastAsia" w:ascii="宋体" w:hAnsi="宋体"/>
          <w:color w:val="000000"/>
          <w:sz w:val="24"/>
          <w:szCs w:val="24"/>
          <w:lang w:eastAsia="zh-CN"/>
        </w:rPr>
        <w:t>；</w:t>
      </w:r>
      <w:r>
        <w:rPr>
          <w:rFonts w:hint="eastAsia" w:ascii="宋体" w:hAnsi="宋体"/>
          <w:color w:val="000000"/>
          <w:sz w:val="24"/>
          <w:szCs w:val="24"/>
        </w:rPr>
        <w:t>19福州箬洋生态农业开发有限公司</w:t>
      </w:r>
      <w:r>
        <w:rPr>
          <w:rFonts w:hint="eastAsia" w:ascii="宋体" w:hAnsi="宋体"/>
          <w:color w:val="000000"/>
          <w:sz w:val="24"/>
          <w:szCs w:val="24"/>
          <w:lang w:eastAsia="zh-CN"/>
        </w:rPr>
        <w:t>；</w:t>
      </w:r>
      <w:r>
        <w:rPr>
          <w:rFonts w:hint="eastAsia" w:ascii="宋体" w:hAnsi="宋体"/>
          <w:color w:val="000000"/>
          <w:sz w:val="24"/>
          <w:szCs w:val="24"/>
        </w:rPr>
        <w:t>20福建福丰生态农业股份有限公司</w:t>
      </w:r>
      <w:r>
        <w:rPr>
          <w:rFonts w:hint="eastAsia" w:ascii="宋体" w:hAnsi="宋体"/>
          <w:color w:val="000000"/>
          <w:sz w:val="24"/>
          <w:szCs w:val="24"/>
          <w:lang w:eastAsia="zh-CN"/>
        </w:rPr>
        <w:t>；</w:t>
      </w:r>
      <w:r>
        <w:rPr>
          <w:rFonts w:hint="eastAsia" w:ascii="宋体" w:hAnsi="宋体"/>
          <w:color w:val="000000"/>
          <w:sz w:val="24"/>
          <w:szCs w:val="24"/>
        </w:rPr>
        <w:t>21闽侯县宏兴农业专业合作社</w:t>
      </w:r>
      <w:r>
        <w:rPr>
          <w:rFonts w:hint="eastAsia" w:ascii="宋体" w:hAnsi="宋体"/>
          <w:color w:val="000000"/>
          <w:sz w:val="24"/>
          <w:szCs w:val="24"/>
          <w:lang w:eastAsia="zh-CN"/>
        </w:rPr>
        <w:t>；</w:t>
      </w:r>
      <w:r>
        <w:rPr>
          <w:rFonts w:hint="eastAsia" w:ascii="宋体" w:hAnsi="宋体"/>
          <w:color w:val="000000"/>
          <w:sz w:val="24"/>
          <w:szCs w:val="24"/>
        </w:rPr>
        <w:t>22闽侯县森旺养殖场</w:t>
      </w:r>
      <w:r>
        <w:rPr>
          <w:rFonts w:hint="eastAsia" w:ascii="宋体" w:hAnsi="宋体"/>
          <w:color w:val="000000"/>
          <w:sz w:val="24"/>
          <w:szCs w:val="24"/>
          <w:lang w:eastAsia="zh-CN"/>
        </w:rPr>
        <w:t>；</w:t>
      </w:r>
      <w:r>
        <w:rPr>
          <w:rFonts w:hint="eastAsia" w:ascii="宋体" w:hAnsi="宋体"/>
          <w:color w:val="000000"/>
          <w:sz w:val="24"/>
          <w:szCs w:val="24"/>
        </w:rPr>
        <w:t>23闽侯县小箬鑫兴养殖场</w:t>
      </w:r>
      <w:r>
        <w:rPr>
          <w:rFonts w:hint="eastAsia" w:ascii="宋体" w:hAnsi="宋体"/>
          <w:color w:val="000000"/>
          <w:sz w:val="24"/>
          <w:szCs w:val="24"/>
          <w:lang w:eastAsia="zh-CN"/>
        </w:rPr>
        <w:t>；</w:t>
      </w:r>
      <w:r>
        <w:rPr>
          <w:rFonts w:hint="eastAsia" w:ascii="宋体" w:hAnsi="宋体"/>
          <w:color w:val="000000"/>
          <w:sz w:val="24"/>
          <w:szCs w:val="24"/>
        </w:rPr>
        <w:t>24福州中牧绿丰生态农业发展有限公司</w:t>
      </w:r>
      <w:r>
        <w:rPr>
          <w:rFonts w:hint="eastAsia" w:ascii="宋体" w:hAnsi="宋体"/>
          <w:color w:val="000000"/>
          <w:sz w:val="24"/>
          <w:szCs w:val="24"/>
          <w:lang w:eastAsia="zh-CN"/>
        </w:rPr>
        <w:t>；</w:t>
      </w:r>
      <w:r>
        <w:rPr>
          <w:rFonts w:hint="eastAsia" w:ascii="宋体" w:hAnsi="宋体"/>
          <w:color w:val="000000"/>
          <w:sz w:val="24"/>
          <w:szCs w:val="24"/>
        </w:rPr>
        <w:t>25福州泉头畜牧综合养殖有限公司（搬迁）</w:t>
      </w:r>
      <w:r>
        <w:rPr>
          <w:rFonts w:hint="eastAsia" w:ascii="宋体" w:hAnsi="宋体"/>
          <w:color w:val="000000"/>
          <w:sz w:val="24"/>
          <w:szCs w:val="24"/>
          <w:lang w:eastAsia="zh-CN"/>
        </w:rPr>
        <w:t>；</w:t>
      </w:r>
      <w:r>
        <w:rPr>
          <w:rFonts w:hint="eastAsia" w:ascii="宋体" w:hAnsi="宋体"/>
          <w:color w:val="000000"/>
          <w:sz w:val="24"/>
          <w:szCs w:val="24"/>
        </w:rPr>
        <w:t>26闽侯县白沙和盛畜牧养殖有限公司</w:t>
      </w:r>
      <w:r>
        <w:rPr>
          <w:rFonts w:hint="eastAsia" w:ascii="宋体" w:hAnsi="宋体"/>
          <w:color w:val="000000"/>
          <w:sz w:val="24"/>
          <w:szCs w:val="24"/>
          <w:lang w:eastAsia="zh-CN"/>
        </w:rPr>
        <w:t>；</w:t>
      </w:r>
      <w:r>
        <w:rPr>
          <w:rFonts w:hint="eastAsia" w:ascii="宋体" w:hAnsi="宋体"/>
          <w:color w:val="000000"/>
          <w:sz w:val="24"/>
          <w:szCs w:val="24"/>
        </w:rPr>
        <w:t>27闽侯县白沙上风山肉羊养殖场（原永鑫顺</w:t>
      </w:r>
      <w:r>
        <w:rPr>
          <w:rFonts w:hint="eastAsia" w:ascii="宋体" w:hAnsi="宋体"/>
          <w:color w:val="000000"/>
          <w:sz w:val="24"/>
          <w:szCs w:val="24"/>
          <w:lang w:eastAsia="zh-CN"/>
        </w:rPr>
        <w:t>）；</w:t>
      </w:r>
      <w:r>
        <w:rPr>
          <w:rFonts w:hint="eastAsia" w:ascii="宋体" w:hAnsi="宋体"/>
          <w:color w:val="000000"/>
          <w:sz w:val="24"/>
          <w:szCs w:val="24"/>
        </w:rPr>
        <w:t>28福建珍珠岭生态农业开发有限公司</w:t>
      </w:r>
      <w:r>
        <w:rPr>
          <w:rFonts w:hint="eastAsia" w:ascii="宋体" w:hAnsi="宋体"/>
          <w:color w:val="000000"/>
          <w:sz w:val="24"/>
          <w:szCs w:val="24"/>
          <w:lang w:eastAsia="zh-CN"/>
        </w:rPr>
        <w:t>；</w:t>
      </w:r>
      <w:r>
        <w:rPr>
          <w:rFonts w:hint="eastAsia" w:ascii="宋体" w:hAnsi="宋体"/>
          <w:color w:val="000000"/>
          <w:sz w:val="24"/>
          <w:szCs w:val="24"/>
        </w:rPr>
        <w:t>2</w:t>
      </w:r>
      <w:r>
        <w:rPr>
          <w:rFonts w:hint="eastAsia" w:ascii="宋体" w:hAnsi="宋体"/>
          <w:color w:val="000000"/>
          <w:sz w:val="24"/>
          <w:szCs w:val="24"/>
          <w:lang w:val="en-US" w:eastAsia="zh-CN"/>
        </w:rPr>
        <w:t>9</w:t>
      </w:r>
      <w:r>
        <w:rPr>
          <w:rFonts w:hint="eastAsia" w:ascii="宋体" w:hAnsi="宋体"/>
          <w:color w:val="000000"/>
          <w:sz w:val="24"/>
          <w:szCs w:val="24"/>
        </w:rPr>
        <w:t>福建珍珠岭生态农业开发有限公司</w:t>
      </w:r>
      <w:r>
        <w:rPr>
          <w:rFonts w:hint="eastAsia" w:ascii="宋体" w:hAnsi="宋体"/>
          <w:color w:val="000000"/>
          <w:sz w:val="24"/>
          <w:szCs w:val="24"/>
          <w:lang w:eastAsia="zh-CN"/>
        </w:rPr>
        <w:t>；</w:t>
      </w:r>
      <w:r>
        <w:rPr>
          <w:rFonts w:hint="eastAsia" w:ascii="宋体" w:hAnsi="宋体"/>
          <w:color w:val="000000"/>
          <w:sz w:val="24"/>
          <w:szCs w:val="24"/>
        </w:rPr>
        <w:t>30福建贵山生态农业发展有限公司</w:t>
      </w:r>
      <w:r>
        <w:rPr>
          <w:rFonts w:hint="eastAsia" w:ascii="宋体" w:hAnsi="宋体"/>
          <w:color w:val="000000"/>
          <w:sz w:val="24"/>
          <w:szCs w:val="24"/>
          <w:lang w:eastAsia="zh-CN"/>
        </w:rPr>
        <w:t>；</w:t>
      </w:r>
      <w:r>
        <w:rPr>
          <w:rFonts w:hint="eastAsia" w:ascii="宋体" w:hAnsi="宋体"/>
          <w:color w:val="000000"/>
          <w:sz w:val="24"/>
          <w:szCs w:val="24"/>
        </w:rPr>
        <w:t>31福州市农垦种禽有限责任公司</w:t>
      </w:r>
      <w:r>
        <w:rPr>
          <w:rFonts w:hint="eastAsia" w:ascii="宋体" w:hAnsi="宋体"/>
          <w:color w:val="000000"/>
          <w:sz w:val="24"/>
          <w:szCs w:val="24"/>
          <w:lang w:eastAsia="zh-CN"/>
        </w:rPr>
        <w:t>；</w:t>
      </w:r>
      <w:r>
        <w:rPr>
          <w:rFonts w:hint="eastAsia" w:ascii="宋体" w:hAnsi="宋体"/>
          <w:color w:val="000000"/>
          <w:sz w:val="24"/>
          <w:szCs w:val="24"/>
        </w:rPr>
        <w:t>32福州金宏源农业发展有限公司</w:t>
      </w:r>
      <w:r>
        <w:rPr>
          <w:rFonts w:hint="eastAsia" w:ascii="宋体" w:hAnsi="宋体"/>
          <w:color w:val="000000"/>
          <w:sz w:val="24"/>
          <w:szCs w:val="24"/>
          <w:lang w:eastAsia="zh-CN"/>
        </w:rPr>
        <w:t>；</w:t>
      </w:r>
      <w:r>
        <w:rPr>
          <w:rFonts w:hint="eastAsia" w:ascii="宋体" w:hAnsi="宋体"/>
          <w:color w:val="000000"/>
          <w:sz w:val="24"/>
          <w:szCs w:val="24"/>
        </w:rPr>
        <w:t>33闽侯县舞林农业专业合作社</w:t>
      </w:r>
      <w:r>
        <w:rPr>
          <w:rFonts w:hint="eastAsia" w:ascii="宋体" w:hAnsi="宋体"/>
          <w:color w:val="000000"/>
          <w:sz w:val="24"/>
          <w:szCs w:val="24"/>
          <w:lang w:eastAsia="zh-CN"/>
        </w:rPr>
        <w:t>；</w:t>
      </w:r>
      <w:r>
        <w:rPr>
          <w:rFonts w:hint="eastAsia" w:ascii="宋体" w:hAnsi="宋体"/>
          <w:color w:val="000000"/>
          <w:sz w:val="24"/>
          <w:szCs w:val="24"/>
        </w:rPr>
        <w:t>34福州绿苑农业发展有限公司</w:t>
      </w:r>
      <w:r>
        <w:rPr>
          <w:rFonts w:hint="eastAsia" w:ascii="宋体" w:hAnsi="宋体"/>
          <w:color w:val="000000"/>
          <w:sz w:val="24"/>
          <w:szCs w:val="24"/>
          <w:lang w:eastAsia="zh-CN"/>
        </w:rPr>
        <w:t>；</w:t>
      </w:r>
      <w:r>
        <w:rPr>
          <w:rFonts w:hint="eastAsia" w:ascii="宋体" w:hAnsi="宋体"/>
          <w:color w:val="000000"/>
          <w:sz w:val="24"/>
          <w:szCs w:val="24"/>
        </w:rPr>
        <w:t>35福建美洋洋畜牧养殖有限公司</w:t>
      </w:r>
      <w:r>
        <w:rPr>
          <w:rFonts w:hint="eastAsia" w:ascii="宋体" w:hAnsi="宋体"/>
          <w:color w:val="000000"/>
          <w:sz w:val="24"/>
          <w:szCs w:val="24"/>
          <w:lang w:eastAsia="zh-CN"/>
        </w:rPr>
        <w:t>；</w:t>
      </w:r>
      <w:r>
        <w:rPr>
          <w:rFonts w:hint="eastAsia" w:ascii="宋体" w:hAnsi="宋体"/>
          <w:color w:val="000000"/>
          <w:sz w:val="24"/>
          <w:szCs w:val="24"/>
        </w:rPr>
        <w:t>36闽侯县养心生态农业园家庭农场</w:t>
      </w:r>
      <w:r>
        <w:rPr>
          <w:rFonts w:hint="eastAsia" w:ascii="宋体" w:hAnsi="宋体"/>
          <w:color w:val="000000"/>
          <w:sz w:val="24"/>
          <w:szCs w:val="24"/>
          <w:lang w:eastAsia="zh-CN"/>
        </w:rPr>
        <w:t>；</w:t>
      </w:r>
      <w:r>
        <w:rPr>
          <w:rFonts w:hint="eastAsia" w:ascii="宋体" w:hAnsi="宋体"/>
          <w:color w:val="000000"/>
          <w:sz w:val="24"/>
          <w:szCs w:val="24"/>
        </w:rPr>
        <w:t>37福建省春龙农牧科技有限公司</w:t>
      </w:r>
      <w:r>
        <w:rPr>
          <w:rFonts w:hint="eastAsia" w:ascii="宋体" w:hAnsi="宋体"/>
          <w:color w:val="000000"/>
          <w:sz w:val="24"/>
          <w:szCs w:val="24"/>
          <w:lang w:eastAsia="zh-CN"/>
        </w:rPr>
        <w:t>；</w:t>
      </w:r>
      <w:r>
        <w:rPr>
          <w:rFonts w:hint="eastAsia" w:ascii="宋体" w:hAnsi="宋体"/>
          <w:color w:val="000000"/>
          <w:sz w:val="24"/>
          <w:szCs w:val="24"/>
        </w:rPr>
        <w:t>38闽侯宏盛农牧发展有限公司</w:t>
      </w:r>
    </w:p>
    <w:p>
      <w:pPr>
        <w:spacing w:beforeLines="0" w:afterLines="0"/>
        <w:jc w:val="left"/>
        <w:rPr>
          <w:rFonts w:hint="eastAsia" w:ascii="宋体" w:hAnsi="宋体" w:eastAsia="宋体"/>
          <w:color w:val="000000"/>
          <w:sz w:val="24"/>
          <w:szCs w:val="24"/>
          <w:lang w:eastAsia="zh-CN"/>
        </w:rPr>
      </w:pPr>
    </w:p>
    <w:p>
      <w:pPr>
        <w:spacing w:beforeLines="0" w:afterLines="0"/>
        <w:jc w:val="left"/>
        <w:rPr>
          <w:rFonts w:hint="eastAsia" w:ascii="宋体" w:hAnsi="宋体" w:eastAsia="宋体"/>
          <w:color w:val="000000"/>
          <w:sz w:val="24"/>
          <w:szCs w:val="24"/>
          <w:lang w:eastAsia="zh-CN"/>
        </w:rPr>
      </w:pPr>
    </w:p>
    <w:p>
      <w:pPr>
        <w:spacing w:beforeLines="0" w:afterLines="0"/>
        <w:jc w:val="left"/>
        <w:rPr>
          <w:rFonts w:hint="eastAsia" w:ascii="宋体" w:hAnsi="宋体" w:eastAsia="宋体"/>
          <w:color w:val="000000"/>
          <w:sz w:val="24"/>
          <w:szCs w:val="24"/>
          <w:lang w:eastAsia="zh-CN"/>
        </w:rPr>
      </w:pPr>
    </w:p>
    <w:p>
      <w:pPr>
        <w:spacing w:beforeLines="0" w:afterLines="0"/>
        <w:jc w:val="left"/>
        <w:rPr>
          <w:rFonts w:hint="eastAsia" w:ascii="宋体" w:hAnsi="宋体" w:eastAsia="宋体"/>
          <w:color w:val="000000"/>
          <w:sz w:val="24"/>
          <w:szCs w:val="24"/>
          <w:lang w:eastAsia="zh-CN"/>
        </w:rPr>
      </w:pPr>
    </w:p>
    <w:p>
      <w:pPr>
        <w:bidi w:val="0"/>
        <w:rPr>
          <w:rFonts w:hint="eastAsia" w:eastAsia="黑体"/>
          <w:b/>
          <w:bCs/>
          <w:szCs w:val="40"/>
        </w:rPr>
      </w:pPr>
      <w:r>
        <w:rPr>
          <w:rFonts w:hint="eastAsia" w:eastAsia="黑体"/>
          <w:b/>
          <w:bCs/>
          <w:szCs w:val="40"/>
        </w:rPr>
        <w:br w:type="page"/>
      </w:r>
    </w:p>
    <w:p>
      <w:pPr>
        <w:pStyle w:val="24"/>
        <w:ind w:left="0" w:leftChars="0" w:firstLine="0" w:firstLineChars="0"/>
        <w:outlineLvl w:val="0"/>
        <w:rPr>
          <w:rFonts w:eastAsia="黑体"/>
          <w:b/>
          <w:bCs/>
          <w:sz w:val="32"/>
          <w:szCs w:val="40"/>
        </w:rPr>
      </w:pPr>
      <w:r>
        <w:rPr>
          <w:rFonts w:hint="eastAsia" w:eastAsia="黑体"/>
          <w:b/>
          <w:bCs/>
          <w:sz w:val="32"/>
          <w:szCs w:val="40"/>
        </w:rPr>
        <w:t>附图</w:t>
      </w:r>
      <w:r>
        <w:rPr>
          <w:rFonts w:hint="eastAsia" w:eastAsia="黑体"/>
          <w:b/>
          <w:bCs/>
          <w:sz w:val="32"/>
          <w:szCs w:val="40"/>
          <w:lang w:val="en-US" w:eastAsia="zh-CN"/>
        </w:rPr>
        <w:t>5</w:t>
      </w:r>
      <w:r>
        <w:rPr>
          <w:rFonts w:hint="eastAsia" w:eastAsia="黑体"/>
          <w:b/>
          <w:bCs/>
          <w:sz w:val="32"/>
          <w:szCs w:val="40"/>
        </w:rPr>
        <w:t>：</w:t>
      </w:r>
      <w:r>
        <w:rPr>
          <w:rFonts w:hint="eastAsia" w:eastAsia="黑体"/>
          <w:b/>
          <w:bCs/>
          <w:sz w:val="32"/>
          <w:szCs w:val="40"/>
          <w:lang w:val="en-US" w:eastAsia="zh-CN"/>
        </w:rPr>
        <w:t>闽侯县</w:t>
      </w:r>
      <w:r>
        <w:rPr>
          <w:rFonts w:hint="eastAsia" w:eastAsia="黑体"/>
          <w:b/>
          <w:bCs/>
          <w:sz w:val="32"/>
          <w:szCs w:val="40"/>
        </w:rPr>
        <w:t>畜禽养殖禁养区分布图</w:t>
      </w:r>
      <w:bookmarkEnd w:id="132"/>
      <w:bookmarkEnd w:id="133"/>
    </w:p>
    <w:p>
      <w:pPr>
        <w:pStyle w:val="2"/>
        <w:ind w:left="0" w:leftChars="0" w:firstLine="0" w:firstLineChars="0"/>
        <w:rPr>
          <w:rFonts w:hint="eastAsia"/>
          <w:lang w:val="en-US" w:eastAsia="zh-CN"/>
        </w:rPr>
      </w:pPr>
      <w:r>
        <w:rPr>
          <w:rFonts w:hint="eastAsia"/>
          <w:lang w:val="en-US" w:eastAsia="zh-CN"/>
        </w:rPr>
        <w:drawing>
          <wp:inline distT="0" distB="0" distL="114300" distR="114300">
            <wp:extent cx="5269230" cy="7452360"/>
            <wp:effectExtent l="0" t="0" r="7620" b="15240"/>
            <wp:docPr id="7" name="图片 7" descr="禁养区划定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禁养区划定图_00"/>
                    <pic:cNvPicPr>
                      <a:picLocks noChangeAspect="1"/>
                    </pic:cNvPicPr>
                  </pic:nvPicPr>
                  <pic:blipFill>
                    <a:blip r:embed="rId14"/>
                    <a:stretch>
                      <a:fillRect/>
                    </a:stretch>
                  </pic:blipFill>
                  <pic:spPr>
                    <a:xfrm>
                      <a:off x="0" y="0"/>
                      <a:ext cx="5269230" cy="7452360"/>
                    </a:xfrm>
                    <a:prstGeom prst="rect">
                      <a:avLst/>
                    </a:prstGeom>
                  </pic:spPr>
                </pic:pic>
              </a:graphicData>
            </a:graphic>
          </wp:inline>
        </w:drawing>
      </w:r>
    </w:p>
    <w:p>
      <w:pPr>
        <w:rPr>
          <w:rFonts w:hint="eastAsia" w:eastAsia="黑体"/>
          <w:b/>
          <w:bCs/>
          <w:sz w:val="32"/>
          <w:szCs w:val="40"/>
          <w:lang w:eastAsia="zh-CN"/>
        </w:rPr>
      </w:pPr>
      <w:r>
        <w:rPr>
          <w:rFonts w:hint="eastAsia" w:eastAsia="黑体"/>
          <w:b/>
          <w:bCs/>
          <w:sz w:val="32"/>
          <w:szCs w:val="40"/>
          <w:lang w:eastAsia="zh-CN"/>
        </w:rPr>
        <w:br w:type="page"/>
      </w:r>
    </w:p>
    <w:p>
      <w:pPr>
        <w:pStyle w:val="24"/>
        <w:ind w:left="0" w:leftChars="0" w:firstLine="0" w:firstLineChars="0"/>
        <w:outlineLvl w:val="0"/>
        <w:rPr>
          <w:rFonts w:eastAsia="黑体"/>
          <w:b/>
          <w:bCs/>
          <w:sz w:val="32"/>
          <w:szCs w:val="40"/>
        </w:rPr>
      </w:pPr>
      <w:r>
        <w:rPr>
          <w:rFonts w:hint="eastAsia" w:eastAsia="黑体"/>
          <w:b/>
          <w:bCs/>
          <w:sz w:val="32"/>
          <w:szCs w:val="40"/>
          <w:lang w:eastAsia="zh-CN"/>
        </w:rPr>
        <w:t>附件</w:t>
      </w:r>
      <w:r>
        <w:rPr>
          <w:rFonts w:hint="eastAsia" w:eastAsia="黑体"/>
          <w:b/>
          <w:bCs/>
          <w:sz w:val="32"/>
          <w:szCs w:val="40"/>
          <w:lang w:val="en-US" w:eastAsia="zh-CN"/>
        </w:rPr>
        <w:t>1</w:t>
      </w:r>
      <w:r>
        <w:rPr>
          <w:rFonts w:hint="eastAsia" w:eastAsia="黑体"/>
          <w:b/>
          <w:bCs/>
          <w:sz w:val="32"/>
          <w:szCs w:val="40"/>
        </w:rPr>
        <w:t>：</w:t>
      </w:r>
      <w:r>
        <w:rPr>
          <w:rFonts w:hint="eastAsia" w:eastAsia="黑体"/>
          <w:b/>
          <w:bCs/>
          <w:sz w:val="32"/>
          <w:szCs w:val="40"/>
          <w:lang w:val="en-US" w:eastAsia="zh-CN"/>
        </w:rPr>
        <w:t>专家评审会意见</w:t>
      </w:r>
    </w:p>
    <w:p>
      <w:pPr>
        <w:pStyle w:val="2"/>
        <w:ind w:left="0" w:leftChars="0" w:firstLine="0" w:firstLineChars="0"/>
      </w:pPr>
      <w:r>
        <w:drawing>
          <wp:inline distT="0" distB="0" distL="114300" distR="114300">
            <wp:extent cx="5614035" cy="7825740"/>
            <wp:effectExtent l="0" t="0" r="5715"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614035" cy="7825740"/>
                    </a:xfrm>
                    <a:prstGeom prst="rect">
                      <a:avLst/>
                    </a:prstGeom>
                    <a:noFill/>
                    <a:ln>
                      <a:noFill/>
                    </a:ln>
                  </pic:spPr>
                </pic:pic>
              </a:graphicData>
            </a:graphic>
          </wp:inline>
        </w:drawing>
      </w:r>
    </w:p>
    <w:p>
      <w:pPr>
        <w:rPr>
          <w:rFonts w:hint="eastAsia" w:eastAsia="黑体"/>
          <w:b/>
          <w:bCs/>
          <w:sz w:val="32"/>
          <w:szCs w:val="40"/>
          <w:lang w:eastAsia="zh-CN"/>
        </w:rPr>
      </w:pPr>
      <w:r>
        <w:rPr>
          <w:rFonts w:hint="eastAsia" w:eastAsia="黑体"/>
          <w:b/>
          <w:bCs/>
          <w:sz w:val="32"/>
          <w:szCs w:val="40"/>
          <w:lang w:eastAsia="zh-CN"/>
        </w:rPr>
        <w:br w:type="page"/>
      </w:r>
    </w:p>
    <w:p>
      <w:pPr>
        <w:pStyle w:val="24"/>
        <w:ind w:left="0" w:leftChars="0" w:firstLine="0" w:firstLineChars="0"/>
        <w:outlineLvl w:val="0"/>
        <w:rPr>
          <w:rFonts w:hint="eastAsia" w:eastAsia="黑体"/>
          <w:b/>
          <w:bCs/>
          <w:sz w:val="32"/>
          <w:szCs w:val="40"/>
          <w:lang w:val="en-US" w:eastAsia="zh-CN"/>
        </w:rPr>
      </w:pPr>
      <w:r>
        <w:rPr>
          <w:rFonts w:hint="eastAsia" w:eastAsia="黑体"/>
          <w:b/>
          <w:bCs/>
          <w:sz w:val="32"/>
          <w:szCs w:val="40"/>
          <w:lang w:eastAsia="zh-CN"/>
        </w:rPr>
        <w:t>附件</w:t>
      </w:r>
      <w:r>
        <w:rPr>
          <w:rFonts w:hint="eastAsia" w:eastAsia="黑体"/>
          <w:b/>
          <w:bCs/>
          <w:sz w:val="32"/>
          <w:szCs w:val="40"/>
          <w:lang w:val="en-US" w:eastAsia="zh-CN"/>
        </w:rPr>
        <w:t>2</w:t>
      </w:r>
      <w:r>
        <w:rPr>
          <w:rFonts w:hint="eastAsia" w:eastAsia="黑体"/>
          <w:b/>
          <w:bCs/>
          <w:sz w:val="32"/>
          <w:szCs w:val="40"/>
        </w:rPr>
        <w:t>：</w:t>
      </w:r>
      <w:r>
        <w:rPr>
          <w:rFonts w:hint="eastAsia" w:eastAsia="黑体"/>
          <w:b/>
          <w:bCs/>
          <w:sz w:val="32"/>
          <w:szCs w:val="40"/>
          <w:lang w:val="en-US" w:eastAsia="zh-CN"/>
        </w:rPr>
        <w:t>专家评审会意见修改说明</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4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30"/>
              <w:keepNext w:val="0"/>
              <w:keepLines w:val="0"/>
              <w:pageBreakBefore w:val="0"/>
              <w:widowControl w:val="0"/>
              <w:numPr>
                <w:ilvl w:val="2"/>
                <w:numId w:val="0"/>
              </w:numPr>
              <w:kinsoku/>
              <w:wordWrap/>
              <w:overflowPunct/>
              <w:topLinePunct w:val="0"/>
              <w:autoSpaceDE/>
              <w:autoSpaceDN/>
              <w:bidi w:val="0"/>
              <w:adjustRightInd/>
              <w:snapToGrid/>
              <w:spacing w:beforeLines="0" w:afterLines="0" w:line="400" w:lineRule="exact"/>
              <w:ind w:left="0" w:leftChars="0" w:firstLine="0" w:firstLineChars="0"/>
              <w:jc w:val="center"/>
              <w:textAlignment w:val="auto"/>
              <w:outlineLvl w:val="9"/>
              <w:rPr>
                <w:rFonts w:hint="default"/>
                <w:sz w:val="28"/>
                <w:szCs w:val="28"/>
                <w:vertAlign w:val="baseline"/>
                <w:lang w:val="en-US" w:eastAsia="zh-CN"/>
              </w:rPr>
            </w:pPr>
            <w:r>
              <w:rPr>
                <w:rFonts w:hint="eastAsia"/>
                <w:sz w:val="28"/>
                <w:szCs w:val="28"/>
                <w:vertAlign w:val="baseline"/>
                <w:lang w:val="en-US" w:eastAsia="zh-CN"/>
              </w:rPr>
              <w:t>专家组意见</w:t>
            </w:r>
          </w:p>
        </w:tc>
        <w:tc>
          <w:tcPr>
            <w:tcW w:w="0" w:type="auto"/>
            <w:vAlign w:val="center"/>
          </w:tcPr>
          <w:p>
            <w:pPr>
              <w:pStyle w:val="30"/>
              <w:keepNext w:val="0"/>
              <w:keepLines w:val="0"/>
              <w:pageBreakBefore w:val="0"/>
              <w:widowControl w:val="0"/>
              <w:numPr>
                <w:ilvl w:val="2"/>
                <w:numId w:val="0"/>
              </w:numPr>
              <w:kinsoku/>
              <w:wordWrap/>
              <w:overflowPunct/>
              <w:topLinePunct w:val="0"/>
              <w:autoSpaceDE/>
              <w:autoSpaceDN/>
              <w:bidi w:val="0"/>
              <w:adjustRightInd/>
              <w:snapToGrid/>
              <w:spacing w:beforeLines="0" w:afterLines="0" w:line="400" w:lineRule="exact"/>
              <w:ind w:left="0" w:leftChars="0" w:firstLine="0" w:firstLineChars="0"/>
              <w:jc w:val="center"/>
              <w:textAlignment w:val="auto"/>
              <w:outlineLvl w:val="9"/>
              <w:rPr>
                <w:rFonts w:hint="default"/>
                <w:sz w:val="28"/>
                <w:szCs w:val="28"/>
                <w:vertAlign w:val="baseline"/>
                <w:lang w:val="en-US" w:eastAsia="zh-CN"/>
              </w:rPr>
            </w:pPr>
            <w:r>
              <w:rPr>
                <w:rFonts w:hint="eastAsia"/>
                <w:sz w:val="28"/>
                <w:szCs w:val="28"/>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eastAsia="宋体"/>
                <w:sz w:val="28"/>
                <w:szCs w:val="28"/>
                <w:vertAlign w:val="baseline"/>
                <w:lang w:val="en-US" w:eastAsia="zh-CN"/>
              </w:rPr>
            </w:pPr>
            <w:r>
              <w:rPr>
                <w:rFonts w:hint="eastAsia"/>
                <w:sz w:val="28"/>
                <w:szCs w:val="28"/>
                <w:vertAlign w:val="baseline"/>
                <w:lang w:val="en-US" w:eastAsia="zh-CN"/>
              </w:rPr>
              <w:t>1、深化闽侯县畜禽养殖业污染防治、种养结合现状调查，结合畜禽养殖污染防治总体要求，完善畜禽粪污资源化利用和污染防治措施</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default"/>
                <w:sz w:val="28"/>
                <w:szCs w:val="28"/>
                <w:vertAlign w:val="baseline"/>
                <w:lang w:val="en-US" w:eastAsia="zh-CN"/>
              </w:rPr>
            </w:pPr>
            <w:r>
              <w:rPr>
                <w:rFonts w:hint="eastAsia"/>
                <w:sz w:val="28"/>
                <w:szCs w:val="28"/>
                <w:vertAlign w:val="baseline"/>
                <w:lang w:val="en-US" w:eastAsia="zh-CN"/>
              </w:rPr>
              <w:t>补充说明闽侯县目前已经开展的畜禽粪污资源化利用整县推进项目和畜禽养殖废弃物资源化利用工作加入至现有工作成效中，详见3.4.1畜禽养殖污染防治工作发展成果P27，并完善附表1：闽侯县畜禽规模养殖场基本信息清单内容补充，补充其异位发酵床等废弃物利用情况，详见67-72。结合畜禽养殖污染防治总体要求，修改完善畜禽粪污资源化利用和污染防治措施，详见P54-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default"/>
                <w:sz w:val="28"/>
                <w:szCs w:val="28"/>
                <w:vertAlign w:val="baseline"/>
                <w:lang w:val="en-US" w:eastAsia="zh-CN"/>
              </w:rPr>
            </w:pPr>
            <w:r>
              <w:rPr>
                <w:rFonts w:hint="eastAsia"/>
                <w:sz w:val="28"/>
                <w:szCs w:val="28"/>
                <w:vertAlign w:val="baseline"/>
                <w:lang w:val="en-US" w:eastAsia="zh-CN"/>
              </w:rPr>
              <w:t>2、针对存在的问题和规划目标，完善污染防治规划重点建设内容。</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default"/>
                <w:sz w:val="28"/>
                <w:szCs w:val="28"/>
                <w:vertAlign w:val="baseline"/>
                <w:lang w:val="en-US" w:eastAsia="zh-CN"/>
              </w:rPr>
            </w:pPr>
            <w:r>
              <w:rPr>
                <w:rFonts w:hint="eastAsia"/>
                <w:sz w:val="28"/>
                <w:szCs w:val="28"/>
                <w:vertAlign w:val="baseline"/>
                <w:lang w:val="en-US" w:eastAsia="zh-CN"/>
              </w:rPr>
              <w:t>重新梳理3.4.2畜禽养殖污染防治工作面临的挑战，详见P28-30，针对和附表2中体现的部分养殖场消纳地容量不足的情况，补充本次污染防治规划重点项目中6加强畜禽污染防治中2、3两点工作内容，详见P85-86。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default"/>
                <w:sz w:val="28"/>
                <w:szCs w:val="28"/>
                <w:vertAlign w:val="baseline"/>
                <w:lang w:val="en-US" w:eastAsia="zh-CN"/>
              </w:rPr>
            </w:pPr>
            <w:r>
              <w:rPr>
                <w:rFonts w:hint="eastAsia"/>
                <w:sz w:val="28"/>
                <w:szCs w:val="28"/>
                <w:vertAlign w:val="baseline"/>
                <w:lang w:val="en-US" w:eastAsia="zh-CN"/>
              </w:rPr>
              <w:t>3、完善相关编制依据和相关图件。</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default"/>
                <w:sz w:val="28"/>
                <w:szCs w:val="28"/>
                <w:vertAlign w:val="baseline"/>
                <w:lang w:val="en-US" w:eastAsia="zh-CN"/>
              </w:rPr>
            </w:pPr>
            <w:r>
              <w:rPr>
                <w:rFonts w:hint="eastAsia"/>
                <w:sz w:val="28"/>
                <w:szCs w:val="28"/>
                <w:vertAlign w:val="baseline"/>
                <w:lang w:val="en-US" w:eastAsia="zh-CN"/>
              </w:rPr>
              <w:t>已按照专家会评审意见对编制依据进行补充，补充1.2.3政策文件中加入（15）《关于进一步加快推进畜禽养殖污染防治规划编制工作的通知》（闽环保土〔2022〕4号），详见P4。按照评审会意见补充标记养殖场在附图中的具体位置内容，详见P93-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default"/>
                <w:sz w:val="28"/>
                <w:szCs w:val="28"/>
                <w:vertAlign w:val="baseline"/>
                <w:lang w:val="en-US" w:eastAsia="zh-CN"/>
              </w:rPr>
            </w:pPr>
            <w:r>
              <w:rPr>
                <w:rFonts w:hint="eastAsia"/>
                <w:sz w:val="28"/>
                <w:szCs w:val="28"/>
                <w:vertAlign w:val="baseline"/>
                <w:lang w:val="en-US" w:eastAsia="zh-CN"/>
              </w:rPr>
              <w:t>4、与会代表、专家的其他意见。</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default"/>
                <w:sz w:val="28"/>
                <w:szCs w:val="28"/>
                <w:vertAlign w:val="baseline"/>
                <w:lang w:val="en-US" w:eastAsia="zh-CN"/>
              </w:rPr>
            </w:pPr>
            <w:r>
              <w:rPr>
                <w:rFonts w:hint="eastAsia"/>
                <w:sz w:val="28"/>
                <w:szCs w:val="28"/>
                <w:vertAlign w:val="baseline"/>
                <w:lang w:val="en-US" w:eastAsia="zh-CN"/>
              </w:rPr>
              <w:t>已对全本报告进行修改完善，报告通过专家复审。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pStyle w:val="30"/>
              <w:keepNext w:val="0"/>
              <w:keepLines w:val="0"/>
              <w:pageBreakBefore w:val="0"/>
              <w:widowControl w:val="0"/>
              <w:numPr>
                <w:ilvl w:val="2"/>
                <w:numId w:val="0"/>
              </w:numPr>
              <w:kinsoku/>
              <w:wordWrap/>
              <w:overflowPunct/>
              <w:topLinePunct w:val="0"/>
              <w:autoSpaceDE/>
              <w:autoSpaceDN/>
              <w:bidi w:val="0"/>
              <w:adjustRightInd/>
              <w:snapToGrid/>
              <w:spacing w:beforeLines="0" w:afterLines="0" w:line="400" w:lineRule="exact"/>
              <w:ind w:left="0" w:leftChars="0" w:firstLine="0" w:firstLineChars="0"/>
              <w:jc w:val="center"/>
              <w:textAlignment w:val="auto"/>
              <w:outlineLvl w:val="9"/>
              <w:rPr>
                <w:rFonts w:hint="eastAsia"/>
                <w:b/>
                <w:bCs/>
                <w:sz w:val="28"/>
                <w:szCs w:val="28"/>
                <w:vertAlign w:val="baseline"/>
                <w:lang w:val="en-US" w:eastAsia="zh-CN"/>
              </w:rPr>
            </w:pPr>
            <w:r>
              <w:rPr>
                <w:rFonts w:hint="eastAsia"/>
                <w:sz w:val="28"/>
                <w:szCs w:val="28"/>
                <w:vertAlign w:val="baseline"/>
                <w:lang w:val="en-US" w:eastAsia="zh-CN"/>
              </w:rPr>
              <w:t>县直部门意见</w:t>
            </w:r>
          </w:p>
        </w:tc>
        <w:tc>
          <w:tcPr>
            <w:tcW w:w="4586" w:type="dxa"/>
            <w:vAlign w:val="center"/>
          </w:tcPr>
          <w:p>
            <w:pPr>
              <w:pStyle w:val="30"/>
              <w:keepNext w:val="0"/>
              <w:keepLines w:val="0"/>
              <w:pageBreakBefore w:val="0"/>
              <w:widowControl w:val="0"/>
              <w:numPr>
                <w:ilvl w:val="2"/>
                <w:numId w:val="0"/>
              </w:numPr>
              <w:kinsoku/>
              <w:wordWrap/>
              <w:overflowPunct/>
              <w:topLinePunct w:val="0"/>
              <w:autoSpaceDE/>
              <w:autoSpaceDN/>
              <w:bidi w:val="0"/>
              <w:adjustRightInd/>
              <w:snapToGrid/>
              <w:spacing w:beforeLines="0" w:afterLines="0" w:line="400" w:lineRule="exact"/>
              <w:ind w:left="0" w:leftChars="0" w:firstLine="0" w:firstLineChars="0"/>
              <w:jc w:val="center"/>
              <w:textAlignment w:val="auto"/>
              <w:outlineLvl w:val="9"/>
              <w:rPr>
                <w:rFonts w:hint="eastAsia"/>
                <w:sz w:val="28"/>
                <w:szCs w:val="28"/>
                <w:vertAlign w:val="baseline"/>
                <w:lang w:val="en-US" w:eastAsia="zh-CN"/>
              </w:rPr>
            </w:pPr>
            <w:r>
              <w:rPr>
                <w:rFonts w:hint="eastAsia"/>
                <w:sz w:val="28"/>
                <w:szCs w:val="28"/>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adjustRightInd w:val="0"/>
              <w:snapToGrid w:val="0"/>
              <w:spacing w:line="360" w:lineRule="auto"/>
              <w:ind w:left="0" w:leftChars="0" w:firstLine="0" w:firstLineChars="0"/>
              <w:rPr>
                <w:rFonts w:hint="eastAsia" w:ascii="Times New Roman" w:hAnsi="Times New Roman" w:eastAsia="宋体" w:cstheme="minorBidi"/>
                <w:kern w:val="2"/>
                <w:sz w:val="28"/>
                <w:szCs w:val="28"/>
                <w:vertAlign w:val="baseline"/>
                <w:lang w:val="en-US" w:eastAsia="zh-CN" w:bidi="ar-SA"/>
              </w:rPr>
            </w:pPr>
            <w:r>
              <w:rPr>
                <w:rFonts w:hint="eastAsia" w:ascii="Times New Roman" w:hAnsi="Times New Roman" w:eastAsia="宋体" w:cstheme="minorBidi"/>
                <w:kern w:val="2"/>
                <w:sz w:val="28"/>
                <w:szCs w:val="28"/>
                <w:vertAlign w:val="baseline"/>
                <w:lang w:val="en-US" w:eastAsia="zh-CN" w:bidi="ar-SA"/>
              </w:rPr>
              <w:t>1、县市场监督管理局：仅追究未落实环保责任的养殖场责任，营业执照的颁发无法追究其是否完善验收手续。</w:t>
            </w:r>
          </w:p>
          <w:p>
            <w:pPr>
              <w:pStyle w:val="30"/>
              <w:keepNext w:val="0"/>
              <w:keepLines w:val="0"/>
              <w:pageBreakBefore w:val="0"/>
              <w:widowControl w:val="0"/>
              <w:numPr>
                <w:ilvl w:val="2"/>
                <w:numId w:val="0"/>
              </w:numPr>
              <w:kinsoku/>
              <w:wordWrap/>
              <w:overflowPunct/>
              <w:topLinePunct w:val="0"/>
              <w:autoSpaceDE/>
              <w:autoSpaceDN/>
              <w:bidi w:val="0"/>
              <w:adjustRightInd/>
              <w:snapToGrid/>
              <w:spacing w:beforeLines="0" w:afterLines="0" w:line="400" w:lineRule="exact"/>
              <w:ind w:left="0" w:leftChars="0" w:firstLine="0" w:firstLineChars="0"/>
              <w:jc w:val="center"/>
              <w:textAlignment w:val="auto"/>
              <w:outlineLvl w:val="9"/>
              <w:rPr>
                <w:rFonts w:hint="eastAsia" w:ascii="Times New Roman" w:hAnsi="Times New Roman" w:eastAsia="宋体" w:cstheme="minorBidi"/>
                <w:kern w:val="2"/>
                <w:sz w:val="28"/>
                <w:szCs w:val="28"/>
                <w:vertAlign w:val="baseline"/>
                <w:lang w:val="en-US" w:eastAsia="zh-CN" w:bidi="ar-SA"/>
              </w:rPr>
            </w:pPr>
          </w:p>
        </w:tc>
        <w:tc>
          <w:tcPr>
            <w:tcW w:w="4586" w:type="dxa"/>
            <w:vAlign w:val="center"/>
          </w:tcPr>
          <w:p>
            <w:pPr>
              <w:adjustRightInd w:val="0"/>
              <w:snapToGrid w:val="0"/>
              <w:spacing w:line="360" w:lineRule="auto"/>
              <w:ind w:left="0" w:leftChars="0" w:firstLine="0" w:firstLineChars="0"/>
              <w:rPr>
                <w:rFonts w:hint="eastAsia" w:ascii="Times New Roman" w:hAnsi="Times New Roman" w:eastAsia="宋体" w:cstheme="minorBidi"/>
                <w:kern w:val="2"/>
                <w:sz w:val="28"/>
                <w:szCs w:val="28"/>
                <w:vertAlign w:val="baseline"/>
                <w:lang w:val="en-US" w:eastAsia="zh-CN" w:bidi="ar-SA"/>
              </w:rPr>
            </w:pPr>
            <w:r>
              <w:rPr>
                <w:rFonts w:hint="eastAsia" w:ascii="Times New Roman" w:hAnsi="Times New Roman" w:eastAsia="宋体" w:cstheme="minorBidi"/>
                <w:kern w:val="2"/>
                <w:sz w:val="28"/>
                <w:szCs w:val="28"/>
                <w:vertAlign w:val="baseline"/>
                <w:lang w:val="en-US" w:eastAsia="zh-CN" w:bidi="ar-SA"/>
              </w:rPr>
              <w:t>已采纳，将其职能修改为监管责任落实负责组织调查处理由检疫部门认定的食用病死猪造成的食品安全事故，对违反环保法律法规，污染环境或存在污染隐患，破坏环境资源的养殖企业，依照生态环境部门的认定处理文件责令办理变更登记或依法吊销其营业执照，详见P64-65。</w:t>
            </w:r>
          </w:p>
        </w:tc>
      </w:tr>
    </w:tbl>
    <w:p>
      <w:pPr>
        <w:rPr>
          <w:rFonts w:hint="eastAsia"/>
          <w:lang w:val="en-US" w:eastAsia="zh-CN"/>
        </w:rPr>
      </w:pPr>
      <w:r>
        <w:rPr>
          <w:rFonts w:hint="eastAsia"/>
          <w:lang w:val="en-US" w:eastAsia="zh-CN"/>
        </w:rPr>
        <w:br w:type="page"/>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eastAsia="黑体"/>
          <w:b/>
          <w:bCs/>
          <w:sz w:val="32"/>
          <w:szCs w:val="40"/>
          <w:lang w:val="en-US" w:eastAsia="zh-CN"/>
        </w:rPr>
      </w:pPr>
      <w:r>
        <w:rPr>
          <w:rFonts w:hint="eastAsia" w:ascii="Times New Roman" w:hAnsi="Times New Roman" w:eastAsia="黑体"/>
          <w:b/>
          <w:bCs/>
          <w:sz w:val="32"/>
          <w:szCs w:val="40"/>
          <w:lang w:val="en-US" w:eastAsia="zh-CN"/>
        </w:rPr>
        <w:t>附件3：闽</w:t>
      </w:r>
      <w:r>
        <w:rPr>
          <w:rFonts w:hint="eastAsia" w:eastAsia="黑体"/>
          <w:b/>
          <w:bCs/>
          <w:sz w:val="32"/>
          <w:szCs w:val="40"/>
          <w:lang w:val="en-US" w:eastAsia="zh-CN"/>
        </w:rPr>
        <w:t>侯县畜禽养殖污染防治规划复审意见</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lang w:val="en-US" w:eastAsia="zh-CN"/>
        </w:rPr>
      </w:pPr>
      <w:r>
        <w:drawing>
          <wp:inline distT="0" distB="0" distL="114300" distR="114300">
            <wp:extent cx="5271135" cy="7452360"/>
            <wp:effectExtent l="0" t="0" r="5715"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271135" cy="7452360"/>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9C356"/>
    <w:multiLevelType w:val="singleLevel"/>
    <w:tmpl w:val="91C9C356"/>
    <w:lvl w:ilvl="0" w:tentative="0">
      <w:start w:val="4"/>
      <w:numFmt w:val="decimal"/>
      <w:lvlText w:val="%1."/>
      <w:lvlJc w:val="left"/>
      <w:pPr>
        <w:tabs>
          <w:tab w:val="left" w:pos="312"/>
        </w:tabs>
      </w:pPr>
    </w:lvl>
  </w:abstractNum>
  <w:abstractNum w:abstractNumId="1">
    <w:nsid w:val="E977325C"/>
    <w:multiLevelType w:val="multilevel"/>
    <w:tmpl w:val="E977325C"/>
    <w:lvl w:ilvl="0" w:tentative="0">
      <w:start w:val="1"/>
      <w:numFmt w:val="decimal"/>
      <w:pStyle w:val="30"/>
      <w:suff w:val="space"/>
      <w:lvlText w:val="%1"/>
      <w:lvlJc w:val="left"/>
      <w:pPr>
        <w:tabs>
          <w:tab w:val="left" w:pos="0"/>
        </w:tabs>
        <w:ind w:left="0" w:firstLine="0"/>
      </w:pPr>
      <w:rPr>
        <w:rFonts w:hint="default" w:ascii="Times New Roman" w:hAnsi="Times New Roman" w:eastAsia="黑体"/>
        <w:b/>
        <w:i w:val="0"/>
        <w:sz w:val="32"/>
      </w:rPr>
    </w:lvl>
    <w:lvl w:ilvl="1" w:tentative="0">
      <w:start w:val="1"/>
      <w:numFmt w:val="decimal"/>
      <w:suff w:val="space"/>
      <w:lvlText w:val="%1.%2"/>
      <w:lvlJc w:val="left"/>
      <w:pPr>
        <w:ind w:left="0" w:firstLine="0"/>
      </w:pPr>
      <w:rPr>
        <w:rFonts w:hint="default" w:ascii="Times New Roman" w:hAnsi="Times New Roman" w:eastAsia="黑体"/>
        <w:b/>
        <w:i w:val="0"/>
        <w:sz w:val="30"/>
      </w:rPr>
    </w:lvl>
    <w:lvl w:ilvl="2" w:tentative="0">
      <w:start w:val="1"/>
      <w:numFmt w:val="decimal"/>
      <w:suff w:val="space"/>
      <w:lvlText w:val="%1.%2.%3"/>
      <w:lvlJc w:val="left"/>
      <w:pPr>
        <w:ind w:left="142" w:firstLine="0"/>
      </w:pPr>
      <w:rPr>
        <w:rFonts w:hint="default" w:ascii="Times New Roman" w:hAnsi="Times New Roman" w:eastAsia="黑体"/>
        <w:b/>
        <w:bCs w:val="0"/>
        <w:i w:val="0"/>
        <w:iCs w:val="0"/>
        <w:caps w:val="0"/>
        <w:smallCaps w:val="0"/>
        <w:strike w:val="0"/>
        <w:dstrike w:val="0"/>
        <w:color w:val="000000"/>
        <w:spacing w:val="0"/>
        <w:position w:val="0"/>
        <w:sz w:val="28"/>
        <w:u w:val="none"/>
      </w:rPr>
    </w:lvl>
    <w:lvl w:ilvl="3" w:tentative="0">
      <w:start w:val="1"/>
      <w:numFmt w:val="decimal"/>
      <w:suff w:val="space"/>
      <w:lvlText w:val="%1.%2.%3.%4"/>
      <w:lvlJc w:val="left"/>
      <w:pPr>
        <w:ind w:left="0" w:firstLine="0"/>
      </w:pPr>
      <w:rPr>
        <w:rFonts w:hint="default" w:ascii="Times New Roman" w:hAnsi="Times New Roman" w:eastAsia="黑体" w:cs="Times New Roman"/>
        <w:b/>
        <w:bCs w:val="0"/>
        <w:i w:val="0"/>
        <w:iCs w:val="0"/>
        <w:caps w:val="0"/>
        <w:smallCaps w:val="0"/>
        <w:strike w:val="0"/>
        <w:dstrike w:val="0"/>
        <w:color w:val="000000"/>
        <w:spacing w:val="0"/>
        <w:position w:val="0"/>
        <w:sz w:val="24"/>
        <w:u w:val="none"/>
      </w:rPr>
    </w:lvl>
    <w:lvl w:ilvl="4" w:tentative="0">
      <w:start w:val="1"/>
      <w:numFmt w:val="decimal"/>
      <w:lvlText w:val="%5%2."/>
      <w:lvlJc w:val="left"/>
      <w:pPr>
        <w:tabs>
          <w:tab w:val="left" w:pos="720"/>
        </w:tabs>
        <w:ind w:left="0" w:firstLine="0"/>
      </w:pPr>
      <w:rPr>
        <w:rFonts w:hint="eastAsia" w:ascii="Times New Roman" w:hAnsi="Times New Roman" w:cs="Times New Roman"/>
        <w:b w:val="0"/>
        <w:bCs w:val="0"/>
        <w:i w:val="0"/>
        <w:iCs w:val="0"/>
        <w:caps w:val="0"/>
        <w:smallCaps w:val="0"/>
        <w:strike w:val="0"/>
        <w:dstrike w:val="0"/>
        <w:color w:val="000000"/>
        <w:spacing w:val="0"/>
        <w:position w:val="0"/>
        <w:u w:val="none"/>
      </w:rPr>
    </w:lvl>
    <w:lvl w:ilvl="5" w:tentative="0">
      <w:start w:val="1"/>
      <w:numFmt w:val="decimal"/>
      <w:lvlText w:val="%1.%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2">
    <w:nsid w:val="40E8C421"/>
    <w:multiLevelType w:val="singleLevel"/>
    <w:tmpl w:val="40E8C421"/>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MmExNTY1NGFhZjhiMTcxNWFhOGZmNGNiNTI0NTAifQ=="/>
    <w:docVar w:name="KSO_WPS_MARK_KEY" w:val="187d46fe-9bf9-4ef5-9014-817f992b9bcd"/>
  </w:docVars>
  <w:rsids>
    <w:rsidRoot w:val="00172A27"/>
    <w:rsid w:val="00257632"/>
    <w:rsid w:val="011C1337"/>
    <w:rsid w:val="01396CB1"/>
    <w:rsid w:val="01536131"/>
    <w:rsid w:val="019F7C14"/>
    <w:rsid w:val="01A4698D"/>
    <w:rsid w:val="02627157"/>
    <w:rsid w:val="02E84657"/>
    <w:rsid w:val="030C1E9B"/>
    <w:rsid w:val="03C51ABC"/>
    <w:rsid w:val="03FB7F25"/>
    <w:rsid w:val="04736B58"/>
    <w:rsid w:val="04DA26C6"/>
    <w:rsid w:val="05A44372"/>
    <w:rsid w:val="06C311FA"/>
    <w:rsid w:val="06E406D7"/>
    <w:rsid w:val="07474FE1"/>
    <w:rsid w:val="07702FE5"/>
    <w:rsid w:val="07CD6512"/>
    <w:rsid w:val="08640111"/>
    <w:rsid w:val="0920136B"/>
    <w:rsid w:val="099502E8"/>
    <w:rsid w:val="0A617EEE"/>
    <w:rsid w:val="0A633B9E"/>
    <w:rsid w:val="0B666E1B"/>
    <w:rsid w:val="0BA06A4A"/>
    <w:rsid w:val="0C8E3907"/>
    <w:rsid w:val="0CF25940"/>
    <w:rsid w:val="0D4C394E"/>
    <w:rsid w:val="0D5A7443"/>
    <w:rsid w:val="0D7C25A0"/>
    <w:rsid w:val="0E547609"/>
    <w:rsid w:val="0F3D38EF"/>
    <w:rsid w:val="0F5B2655"/>
    <w:rsid w:val="101C36CE"/>
    <w:rsid w:val="109873D9"/>
    <w:rsid w:val="113B1CC2"/>
    <w:rsid w:val="11736D7A"/>
    <w:rsid w:val="11D92FFE"/>
    <w:rsid w:val="11EB0E24"/>
    <w:rsid w:val="122D02D9"/>
    <w:rsid w:val="123728F4"/>
    <w:rsid w:val="12E0534B"/>
    <w:rsid w:val="13031B94"/>
    <w:rsid w:val="13423AE4"/>
    <w:rsid w:val="141E1BAD"/>
    <w:rsid w:val="14AD3953"/>
    <w:rsid w:val="150E0337"/>
    <w:rsid w:val="15BA1617"/>
    <w:rsid w:val="162B4B2F"/>
    <w:rsid w:val="16585846"/>
    <w:rsid w:val="166E2C6E"/>
    <w:rsid w:val="16970417"/>
    <w:rsid w:val="16DA0303"/>
    <w:rsid w:val="1738335C"/>
    <w:rsid w:val="17B94510"/>
    <w:rsid w:val="18782846"/>
    <w:rsid w:val="18842C1C"/>
    <w:rsid w:val="18EB5DD9"/>
    <w:rsid w:val="191C00D6"/>
    <w:rsid w:val="1A057D8D"/>
    <w:rsid w:val="1A2F0966"/>
    <w:rsid w:val="1A696D26"/>
    <w:rsid w:val="1BDB4BDF"/>
    <w:rsid w:val="1BE961E9"/>
    <w:rsid w:val="1C2714FF"/>
    <w:rsid w:val="1C7D3C0B"/>
    <w:rsid w:val="1C9648E4"/>
    <w:rsid w:val="1D083A99"/>
    <w:rsid w:val="1DB01DBE"/>
    <w:rsid w:val="1DD70E19"/>
    <w:rsid w:val="1E384BB5"/>
    <w:rsid w:val="1E82681E"/>
    <w:rsid w:val="1E935967"/>
    <w:rsid w:val="1E9C304C"/>
    <w:rsid w:val="1EB010DF"/>
    <w:rsid w:val="1EC3574C"/>
    <w:rsid w:val="1F3C119F"/>
    <w:rsid w:val="1F63334B"/>
    <w:rsid w:val="1FAA11BB"/>
    <w:rsid w:val="2099414F"/>
    <w:rsid w:val="21036213"/>
    <w:rsid w:val="21452D46"/>
    <w:rsid w:val="21690C01"/>
    <w:rsid w:val="218E09C1"/>
    <w:rsid w:val="21F60AF2"/>
    <w:rsid w:val="224F3C32"/>
    <w:rsid w:val="226A7A4B"/>
    <w:rsid w:val="2301177E"/>
    <w:rsid w:val="243C4A3D"/>
    <w:rsid w:val="245D3D46"/>
    <w:rsid w:val="24794A8E"/>
    <w:rsid w:val="255A320A"/>
    <w:rsid w:val="256A288D"/>
    <w:rsid w:val="259F2E15"/>
    <w:rsid w:val="25D02C01"/>
    <w:rsid w:val="27226FDD"/>
    <w:rsid w:val="272F2738"/>
    <w:rsid w:val="2786629C"/>
    <w:rsid w:val="27E86D24"/>
    <w:rsid w:val="282C2742"/>
    <w:rsid w:val="284C3AC6"/>
    <w:rsid w:val="28C37FC1"/>
    <w:rsid w:val="295C2147"/>
    <w:rsid w:val="29623DC7"/>
    <w:rsid w:val="29630C4C"/>
    <w:rsid w:val="296929E0"/>
    <w:rsid w:val="29B87F6A"/>
    <w:rsid w:val="29DD7657"/>
    <w:rsid w:val="2AB805E4"/>
    <w:rsid w:val="2B33711E"/>
    <w:rsid w:val="2B52737C"/>
    <w:rsid w:val="2CBB5C33"/>
    <w:rsid w:val="2D157E8F"/>
    <w:rsid w:val="2D203C0B"/>
    <w:rsid w:val="2D3C3C89"/>
    <w:rsid w:val="2D574004"/>
    <w:rsid w:val="2D7861A2"/>
    <w:rsid w:val="2E6726D3"/>
    <w:rsid w:val="2ED474D2"/>
    <w:rsid w:val="2EDF2503"/>
    <w:rsid w:val="2F105573"/>
    <w:rsid w:val="2F2C6681"/>
    <w:rsid w:val="2F464330"/>
    <w:rsid w:val="2FC07B3D"/>
    <w:rsid w:val="3008189E"/>
    <w:rsid w:val="300D210B"/>
    <w:rsid w:val="30F37A11"/>
    <w:rsid w:val="31AE5DFB"/>
    <w:rsid w:val="31FF4A78"/>
    <w:rsid w:val="32557077"/>
    <w:rsid w:val="32821ED9"/>
    <w:rsid w:val="3312147C"/>
    <w:rsid w:val="335018B4"/>
    <w:rsid w:val="336B6A5B"/>
    <w:rsid w:val="33AE741F"/>
    <w:rsid w:val="341D61C9"/>
    <w:rsid w:val="34240150"/>
    <w:rsid w:val="354B615D"/>
    <w:rsid w:val="354D466A"/>
    <w:rsid w:val="35504847"/>
    <w:rsid w:val="361574D4"/>
    <w:rsid w:val="3773007D"/>
    <w:rsid w:val="37DC43DD"/>
    <w:rsid w:val="3810197F"/>
    <w:rsid w:val="381841F1"/>
    <w:rsid w:val="38246B0A"/>
    <w:rsid w:val="38535698"/>
    <w:rsid w:val="387864DD"/>
    <w:rsid w:val="389650BF"/>
    <w:rsid w:val="38F06682"/>
    <w:rsid w:val="39DC5FBD"/>
    <w:rsid w:val="39EE2E36"/>
    <w:rsid w:val="3A0D43C8"/>
    <w:rsid w:val="3A4C2677"/>
    <w:rsid w:val="3A667F7C"/>
    <w:rsid w:val="3A7448EB"/>
    <w:rsid w:val="3B1D7B3A"/>
    <w:rsid w:val="3B616116"/>
    <w:rsid w:val="3B710280"/>
    <w:rsid w:val="3B7E49BF"/>
    <w:rsid w:val="3C090BBF"/>
    <w:rsid w:val="3D092722"/>
    <w:rsid w:val="3D7B23B6"/>
    <w:rsid w:val="3EC81ED8"/>
    <w:rsid w:val="3F057D8F"/>
    <w:rsid w:val="3F281CA4"/>
    <w:rsid w:val="3F8D019F"/>
    <w:rsid w:val="3F8D2124"/>
    <w:rsid w:val="3FEA227E"/>
    <w:rsid w:val="40027CC5"/>
    <w:rsid w:val="402504A7"/>
    <w:rsid w:val="402C439A"/>
    <w:rsid w:val="40620542"/>
    <w:rsid w:val="40BD54C8"/>
    <w:rsid w:val="40C33A32"/>
    <w:rsid w:val="41993C89"/>
    <w:rsid w:val="421671B5"/>
    <w:rsid w:val="42CE22FB"/>
    <w:rsid w:val="439A557F"/>
    <w:rsid w:val="43CB2476"/>
    <w:rsid w:val="448D2672"/>
    <w:rsid w:val="44C66E9F"/>
    <w:rsid w:val="44F12BC3"/>
    <w:rsid w:val="45063402"/>
    <w:rsid w:val="453A5A7B"/>
    <w:rsid w:val="455963D5"/>
    <w:rsid w:val="455C6204"/>
    <w:rsid w:val="45921C25"/>
    <w:rsid w:val="45D160D7"/>
    <w:rsid w:val="45F425F8"/>
    <w:rsid w:val="46E6389C"/>
    <w:rsid w:val="471357E2"/>
    <w:rsid w:val="49DE35F0"/>
    <w:rsid w:val="4A390900"/>
    <w:rsid w:val="4A3E2670"/>
    <w:rsid w:val="4AF313B8"/>
    <w:rsid w:val="4BC0402D"/>
    <w:rsid w:val="4DB846C6"/>
    <w:rsid w:val="4E52460F"/>
    <w:rsid w:val="4E5B5BAC"/>
    <w:rsid w:val="4E7668E4"/>
    <w:rsid w:val="4F5A1A06"/>
    <w:rsid w:val="4F6F265D"/>
    <w:rsid w:val="4FD6332E"/>
    <w:rsid w:val="50075A60"/>
    <w:rsid w:val="50E358AB"/>
    <w:rsid w:val="511856D5"/>
    <w:rsid w:val="51BB2870"/>
    <w:rsid w:val="51C81679"/>
    <w:rsid w:val="51EE1EA3"/>
    <w:rsid w:val="52B8431C"/>
    <w:rsid w:val="52D73840"/>
    <w:rsid w:val="54922601"/>
    <w:rsid w:val="55586791"/>
    <w:rsid w:val="55660969"/>
    <w:rsid w:val="56C11C68"/>
    <w:rsid w:val="56DB467E"/>
    <w:rsid w:val="56E54BD5"/>
    <w:rsid w:val="583A1D13"/>
    <w:rsid w:val="58AB6AAB"/>
    <w:rsid w:val="58BA71D5"/>
    <w:rsid w:val="58FF1585"/>
    <w:rsid w:val="595878B1"/>
    <w:rsid w:val="59660143"/>
    <w:rsid w:val="59874F4C"/>
    <w:rsid w:val="598E3EC1"/>
    <w:rsid w:val="5A100E76"/>
    <w:rsid w:val="5ACE63A1"/>
    <w:rsid w:val="5B240C55"/>
    <w:rsid w:val="5B2A51BD"/>
    <w:rsid w:val="5C367F52"/>
    <w:rsid w:val="5C7A7C3A"/>
    <w:rsid w:val="5C8832FC"/>
    <w:rsid w:val="5D327BF3"/>
    <w:rsid w:val="5D5A6CCB"/>
    <w:rsid w:val="5E5658D9"/>
    <w:rsid w:val="5F217E4A"/>
    <w:rsid w:val="5F376927"/>
    <w:rsid w:val="5F4C0216"/>
    <w:rsid w:val="605F6830"/>
    <w:rsid w:val="60B11888"/>
    <w:rsid w:val="612F7149"/>
    <w:rsid w:val="615862C4"/>
    <w:rsid w:val="61A4332B"/>
    <w:rsid w:val="61BF394A"/>
    <w:rsid w:val="61D03DA9"/>
    <w:rsid w:val="61E56971"/>
    <w:rsid w:val="61F4717F"/>
    <w:rsid w:val="620F371F"/>
    <w:rsid w:val="638F4F2F"/>
    <w:rsid w:val="63A00A32"/>
    <w:rsid w:val="644762D1"/>
    <w:rsid w:val="649843E3"/>
    <w:rsid w:val="658B5BC4"/>
    <w:rsid w:val="67687B3C"/>
    <w:rsid w:val="67E16738"/>
    <w:rsid w:val="68610C74"/>
    <w:rsid w:val="68CD2DF1"/>
    <w:rsid w:val="68F93CA2"/>
    <w:rsid w:val="69B20E0D"/>
    <w:rsid w:val="69CF31CF"/>
    <w:rsid w:val="69E307E7"/>
    <w:rsid w:val="6AD87C8C"/>
    <w:rsid w:val="6B0870B8"/>
    <w:rsid w:val="6C0D6F46"/>
    <w:rsid w:val="6C4F5BA1"/>
    <w:rsid w:val="6C945B2F"/>
    <w:rsid w:val="6CA164FD"/>
    <w:rsid w:val="6CC91B21"/>
    <w:rsid w:val="6D2A7A8D"/>
    <w:rsid w:val="6D7920C0"/>
    <w:rsid w:val="6DAB5721"/>
    <w:rsid w:val="6E1153A3"/>
    <w:rsid w:val="6E141A78"/>
    <w:rsid w:val="6E970129"/>
    <w:rsid w:val="6EA531AA"/>
    <w:rsid w:val="6F511B99"/>
    <w:rsid w:val="6F627B96"/>
    <w:rsid w:val="7011648D"/>
    <w:rsid w:val="702D3A37"/>
    <w:rsid w:val="705220A6"/>
    <w:rsid w:val="706D1B3E"/>
    <w:rsid w:val="71CA1682"/>
    <w:rsid w:val="72020FBC"/>
    <w:rsid w:val="727602B0"/>
    <w:rsid w:val="72A36309"/>
    <w:rsid w:val="73977844"/>
    <w:rsid w:val="74573A41"/>
    <w:rsid w:val="74637E32"/>
    <w:rsid w:val="751E60DA"/>
    <w:rsid w:val="759972A9"/>
    <w:rsid w:val="76F12627"/>
    <w:rsid w:val="77BE3F9F"/>
    <w:rsid w:val="786100FB"/>
    <w:rsid w:val="7896099A"/>
    <w:rsid w:val="78B52B59"/>
    <w:rsid w:val="78D701B7"/>
    <w:rsid w:val="78D85500"/>
    <w:rsid w:val="79815565"/>
    <w:rsid w:val="798D562F"/>
    <w:rsid w:val="79B247FB"/>
    <w:rsid w:val="79C7415E"/>
    <w:rsid w:val="79DA711C"/>
    <w:rsid w:val="79F71D04"/>
    <w:rsid w:val="7A5C5589"/>
    <w:rsid w:val="7A6B3129"/>
    <w:rsid w:val="7AD269F0"/>
    <w:rsid w:val="7B276391"/>
    <w:rsid w:val="7C2B20B4"/>
    <w:rsid w:val="7C6D079E"/>
    <w:rsid w:val="7D2F1384"/>
    <w:rsid w:val="7E47246D"/>
    <w:rsid w:val="7E606584"/>
    <w:rsid w:val="7EB419BB"/>
    <w:rsid w:val="7F293A0C"/>
    <w:rsid w:val="7F2F4C29"/>
    <w:rsid w:val="7F736048"/>
    <w:rsid w:val="7FE5416B"/>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snapToGrid/>
      <w:spacing w:line="360" w:lineRule="auto"/>
      <w:ind w:firstLine="1040" w:firstLineChars="200"/>
      <w:jc w:val="both"/>
    </w:pPr>
    <w:rPr>
      <w:rFonts w:ascii="Times New Roman" w:hAnsi="Times New Roman" w:eastAsia="宋体" w:cstheme="minorBidi"/>
      <w:kern w:val="2"/>
      <w:sz w:val="24"/>
      <w:szCs w:val="24"/>
      <w:lang w:val="en-US" w:eastAsia="zh-CN" w:bidi="ar-SA"/>
    </w:rPr>
  </w:style>
  <w:style w:type="paragraph" w:styleId="4">
    <w:name w:val="heading 1"/>
    <w:basedOn w:val="1"/>
    <w:next w:val="1"/>
    <w:qFormat/>
    <w:uiPriority w:val="0"/>
    <w:pPr>
      <w:keepNext/>
      <w:keepLines/>
      <w:spacing w:beforeLines="0" w:beforeAutospacing="0" w:afterLines="0" w:afterAutospacing="0" w:line="360" w:lineRule="auto"/>
      <w:ind w:firstLine="0" w:firstLineChars="0"/>
      <w:jc w:val="center"/>
      <w:outlineLvl w:val="0"/>
    </w:pPr>
    <w:rPr>
      <w:rFonts w:ascii="Times New Roman" w:hAnsi="Times New Roman" w:eastAsia="黑体"/>
      <w:b/>
      <w:kern w:val="44"/>
      <w:sz w:val="36"/>
    </w:rPr>
  </w:style>
  <w:style w:type="paragraph" w:styleId="5">
    <w:name w:val="heading 2"/>
    <w:basedOn w:val="1"/>
    <w:next w:val="1"/>
    <w:unhideWhenUsed/>
    <w:qFormat/>
    <w:uiPriority w:val="0"/>
    <w:pPr>
      <w:keepNext/>
      <w:keepLines/>
      <w:spacing w:beforeLines="0" w:beforeAutospacing="0" w:afterLines="0" w:afterAutospacing="0" w:line="360" w:lineRule="auto"/>
      <w:ind w:firstLine="0" w:firstLineChars="0"/>
      <w:outlineLvl w:val="1"/>
    </w:pPr>
    <w:rPr>
      <w:rFonts w:ascii="Arial" w:hAnsi="Arial" w:eastAsia="黑体"/>
      <w:b/>
      <w:sz w:val="32"/>
    </w:rPr>
  </w:style>
  <w:style w:type="paragraph" w:styleId="6">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eastAsia="黑体"/>
      <w:b/>
      <w:sz w:val="28"/>
    </w:rPr>
  </w:style>
  <w:style w:type="paragraph" w:styleId="7">
    <w:name w:val="heading 4"/>
    <w:basedOn w:val="1"/>
    <w:next w:val="1"/>
    <w:unhideWhenUsed/>
    <w:qFormat/>
    <w:uiPriority w:val="0"/>
    <w:pPr>
      <w:spacing w:beforeAutospacing="0" w:afterAutospacing="0"/>
      <w:ind w:firstLine="0" w:firstLineChars="0"/>
      <w:jc w:val="left"/>
      <w:outlineLvl w:val="3"/>
    </w:pPr>
    <w:rPr>
      <w:rFonts w:hint="eastAsia" w:ascii="Times New Roman" w:hAnsi="Times New Roman" w:eastAsia="黑体"/>
      <w:b/>
      <w:kern w:val="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pPr>
  </w:style>
  <w:style w:type="paragraph" w:styleId="8">
    <w:name w:val="annotation text"/>
    <w:basedOn w:val="1"/>
    <w:qFormat/>
    <w:uiPriority w:val="0"/>
    <w:pPr>
      <w:jc w:val="left"/>
    </w:pPr>
  </w:style>
  <w:style w:type="paragraph" w:styleId="9">
    <w:name w:val="Body Text Indent"/>
    <w:basedOn w:val="1"/>
    <w:next w:val="10"/>
    <w:qFormat/>
    <w:uiPriority w:val="0"/>
    <w:pPr>
      <w:widowControl/>
      <w:spacing w:line="520" w:lineRule="atLeast"/>
      <w:ind w:firstLine="573" w:firstLineChars="0"/>
    </w:pPr>
    <w:rPr>
      <w:color w:val="000000"/>
      <w:szCs w:val="20"/>
    </w:rPr>
  </w:style>
  <w:style w:type="paragraph" w:styleId="10">
    <w:name w:val="Body Text Indent 2"/>
    <w:basedOn w:val="1"/>
    <w:next w:val="11"/>
    <w:qFormat/>
    <w:uiPriority w:val="0"/>
    <w:pPr>
      <w:spacing w:after="120" w:afterLines="0" w:line="480" w:lineRule="auto"/>
      <w:ind w:left="420" w:leftChars="200"/>
    </w:pPr>
  </w:style>
  <w:style w:type="paragraph" w:styleId="11">
    <w:name w:val="Body Text First Indent 2"/>
    <w:basedOn w:val="9"/>
    <w:next w:val="1"/>
    <w:qFormat/>
    <w:uiPriority w:val="0"/>
    <w:pPr>
      <w:widowControl w:val="0"/>
      <w:spacing w:line="240" w:lineRule="auto"/>
      <w:ind w:left="0" w:leftChars="0" w:firstLine="0" w:firstLineChars="0"/>
      <w:jc w:val="center"/>
    </w:pPr>
    <w:rPr>
      <w:rFonts w:ascii="Times New Roman" w:hAnsi="Times New Roman" w:eastAsia="仿宋_GB2312"/>
      <w:sz w:val="22"/>
      <w:szCs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paragraph" w:customStyle="1" w:styleId="19">
    <w:name w:val="样式 正文文本缩进 + 行距: 1.5 倍行距"/>
    <w:basedOn w:val="1"/>
    <w:qFormat/>
    <w:uiPriority w:val="0"/>
    <w:pPr>
      <w:spacing w:after="120" w:line="360" w:lineRule="auto"/>
      <w:ind w:left="32" w:leftChars="32" w:firstLine="200" w:firstLineChars="200"/>
    </w:pPr>
    <w:rPr>
      <w:sz w:val="24"/>
    </w:rPr>
  </w:style>
  <w:style w:type="paragraph" w:customStyle="1" w:styleId="20">
    <w:name w:val="111正文的格式"/>
    <w:basedOn w:val="1"/>
    <w:qFormat/>
    <w:uiPriority w:val="0"/>
    <w:pPr>
      <w:adjustRightInd w:val="0"/>
      <w:snapToGrid w:val="0"/>
    </w:pPr>
    <w:rPr>
      <w:bCs/>
      <w:kern w:val="0"/>
    </w:rPr>
  </w:style>
  <w:style w:type="paragraph" w:customStyle="1" w:styleId="21">
    <w:name w:val="@ 正文"/>
    <w:basedOn w:val="1"/>
    <w:qFormat/>
    <w:uiPriority w:val="0"/>
    <w:pPr>
      <w:ind w:firstLine="480" w:firstLineChars="200"/>
    </w:pPr>
    <w:rPr>
      <w:color w:val="000000" w:themeColor="text1"/>
      <w:sz w:val="24"/>
      <w14:textFill>
        <w14:solidFill>
          <w14:schemeClr w14:val="tx1"/>
        </w14:solidFill>
      </w14:textFill>
    </w:rPr>
  </w:style>
  <w:style w:type="paragraph" w:customStyle="1" w:styleId="22">
    <w:name w:val="Table Paragraph"/>
    <w:basedOn w:val="1"/>
    <w:qFormat/>
    <w:uiPriority w:val="1"/>
    <w:pPr>
      <w:spacing w:before="100" w:beforeAutospacing="1"/>
      <w:jc w:val="left"/>
    </w:pPr>
    <w:rPr>
      <w:rFonts w:ascii="Calibri" w:hAnsi="Calibri"/>
      <w:sz w:val="22"/>
    </w:rPr>
  </w:style>
  <w:style w:type="table" w:customStyle="1" w:styleId="23">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4">
    <w:name w:val="1.正文"/>
    <w:basedOn w:val="1"/>
    <w:qFormat/>
    <w:uiPriority w:val="0"/>
    <w:rPr>
      <w:rFonts w:ascii="Times New Roman" w:hAnsi="Times New Roman" w:cs="Times New Roman"/>
      <w:szCs w:val="21"/>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paragraph" w:customStyle="1" w:styleId="27">
    <w:name w:val="WPSOffice手动目录 3"/>
    <w:qFormat/>
    <w:uiPriority w:val="0"/>
    <w:pPr>
      <w:ind w:leftChars="400"/>
    </w:pPr>
    <w:rPr>
      <w:rFonts w:ascii="Times New Roman" w:hAnsi="Times New Roman" w:eastAsia="宋体" w:cs="Times New Roman"/>
      <w:sz w:val="20"/>
      <w:szCs w:val="20"/>
    </w:rPr>
  </w:style>
  <w:style w:type="character" w:customStyle="1" w:styleId="28">
    <w:name w:val="font01"/>
    <w:basedOn w:val="17"/>
    <w:qFormat/>
    <w:uiPriority w:val="0"/>
    <w:rPr>
      <w:rFonts w:hint="eastAsia" w:ascii="宋体" w:hAnsi="宋体" w:eastAsia="宋体" w:cs="宋体"/>
      <w:color w:val="000000"/>
      <w:sz w:val="22"/>
      <w:szCs w:val="22"/>
      <w:u w:val="none"/>
    </w:rPr>
  </w:style>
  <w:style w:type="character" w:customStyle="1" w:styleId="29">
    <w:name w:val="font21"/>
    <w:basedOn w:val="17"/>
    <w:qFormat/>
    <w:uiPriority w:val="0"/>
    <w:rPr>
      <w:rFonts w:hint="default" w:ascii="Times New Roman" w:hAnsi="Times New Roman" w:cs="Times New Roman"/>
      <w:color w:val="000000"/>
      <w:sz w:val="22"/>
      <w:szCs w:val="22"/>
      <w:u w:val="none"/>
    </w:rPr>
  </w:style>
  <w:style w:type="paragraph" w:customStyle="1" w:styleId="30">
    <w:name w:val="金皇-标题3"/>
    <w:basedOn w:val="6"/>
    <w:qFormat/>
    <w:uiPriority w:val="0"/>
    <w:pPr>
      <w:numPr>
        <w:ilvl w:val="0"/>
        <w:numId w:val="1"/>
      </w:numPr>
      <w:tabs>
        <w:tab w:val="left" w:pos="644"/>
      </w:tabs>
      <w:ind w:left="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AxOTUzMTY4NzUzIiwKCSJHcm91cElkIiA6ICIxMDAyMTM4MTkiLAoJIkltYWdlIiA6ICJpVkJPUncwS0dnb0FBQUFOU1VoRVVnQUFBNllBQUFIckNBWUFBQURjMjRCd0FBQUFDWEJJV1hNQUFBc1RBQUFMRXdFQW1wd1lBQUFnQUVsRVFWUjRuT3pkZVZ4VVZmOEg4TStkZ1VGV3dRMFUxMUxjVTBBem43UTBjeGRGTFZOeks1ZkNUSFBGTlRFUnpTMFQwMFFvbFVkREZCK3lYSExCSmMyUzJFd2VmMjVKcU1qaURySU16TDIvUDJqdU04UE13S0RvS0gzZXJ4Y3ZtSHZQdmZmTU1IUG5mdTg1NTNzQ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twQnNIUUZpSWlJbmhRdkw2OGpBTjZ3ZEQySUxFR1NwRE1KQ1FrZExGMFBJaUp6S0N4ZEFTSWlvaWVJUVNuOVl3bUM4TEtsNjBCRVpDNHJTMWVBaUlqb1NZdUxpN04wRllpZUttOXZiMHRYZ1lpb1hOaGlTa1JFUkVSRVJCYkZ3SlNJaUlpSWlJZ3Npb0VwRVJFUkVSRVJXUlFEVXlJaUlpSWlJcklvQnFaRVJFUkVSRVJrVVF4TWlZaUlpSWlJeUtJWW1CSVJFUkVSRVpGRk1UQWxJaUlpSWlJaWkySmdTa1JFUkVSRVJCYkZ3SlNJaUlpSWlJZ3Npb0VwRVJGUkdaS1NrckJodzRiSDJrZCtmajdXclZ1SDFhdFhvNmlvcUZ6YjV1Ym1HdDBtTnpjWGFyWDZrZXVVbUppSWdvS0NNc3RkdkhqeHNZNmowV2lRa1pGaHNGeXRWa09TSklPeVQxcGFXcHJSMXpNbko2ZmMvNXVLOURTZU94SFJzNHFCS1JFUmtSbkN3c0lRRnhmM1NOdWVQMzhlbzBhTndtKy8vWWJZMkZpTUhqMGFGeTllTkh2N0dUTm1ZTzdjdVJCRlVXLzVraVZMOE1rbm56eFNuUUJnN05peHVIbnpacG5sM24zM1hhU2xwY21QQ3dzTGtaS1NZdktuc0xCUWIvdHIxNjZoVDU4K0J2dnQyTEVqL3ZyckwvbHhTa29LWG43NVpiUHFYbFlkVWxKU1RHN3I0K09ENjlldkd5enYwYU1IRGh3NEFFbVM4T2VmZnhxc1QweE14STRkTytUSDJvRGJuSit5bE9lNUV4RlZSbGFXcmdBUkVkR3p3TnZidTh3eUV5Wk1NTGt1S0NnSVBYdjIxRnQyOCtaTmhJYUdZdS9ldlJnK2ZEZzhQVDNoNGVHQjNidDNZL1RvMGVqZXZUdkdqUnVIK3ZYcmwzcGNmMzkvakJzM0Rzbkp5V2pkdWpVQVlQZnUzVGh4NGdUQ3dzSU15ZzhiTnN4bzRIdnc0RUdERnRMTXpFeW9WQ3E5WlhYcTFDbTFQamR1M01EZ3dZTk5ybytLaWtMRGhnMU5yajkyN0pqODk1a3paK1FnTWpNelUyKzlzN016L1B6OGpMYldSa1ZGbFZvSEFPVytrU0JKRWhRS0JRNGNPSUNBZ0FCTW5Ub1ZRNGNPbGRmbjVPUmcxYXBWY0haMlJzK2VQWEh0MnJVeTY2QmJsOXpjWEdSblp4dGRmL3YyYlFBb05ZaDFkWFV0eDdNaElucStNREFsSWlKQ2NkQ21Lek16RTVzM2I4YUpFeWZRbzBjUFRKbzBDUXBGY1VlanJLd3N4TVhGb1ZldlhuSjVSMGRIQU1YQlRWeGNIS0tpb25Ea3lCRzBhOWNPNGVIaGFOS2tDZno5L1ZGVVZJUlZxMWJCeDhjSHdjSEJHRHg0TU5xM2I0LysvZnVqVTZkT2NIQnd3SVVMRnpCOCtIQ0RPbzRaTThaZzJiQmh3L1FleDhYRlljMmFOZmpycjc4d2RlcFVSRVJFeU92bXpKbGpFS3o1K2ZrWjdGTmI1dHExYS9LeTlQUjBLSlZLbytWMG1SUGdyMSsvWHY3N3UrKytnN1cxTlFESUxhM2E5UzFhdEVCRVJBUWtTY0xnd1lPeGR1MWF1THU3bDFtSGxKUVVnNEF4T1RrWkxWdTJMTFZlR28wR0NvVUN2WHIxd3ZYcjE3Rml4UXJjdkhrVFU2ZE9CUUIwNnRRSmt5ZFBSa0JBQU56ZDNlSGc0QUNnT0xqV1NreE1SUFBteldGall5UFhaY2lRSVFDS2crazFhOWFVV2dkakxjdWxQVmNpb3NxQ2dTa1JFVDN6UEQwOXV3RW9Ta2hJT0FYZ2lRd0NyRjY5T2dEZzNMbHoyTGx6Snk1ZHVvUmV2WHJCMzk4ZkRnNE91SC8vUG03ZHVvVjkrL1poNTg2ZGFOYXNHWHIyN0lrYU5Xckkremg3OWl4bXo1Nk5qSXdNdEd6WkVocU5Cckd4c1hwQnBpaUthTisrdmQ1alVSUXhiOTQ4V0ZsWllmUG16V2pjdURHaW82TU42aWhKRWdZT0hJajE2OWVYMnFycDZ1cUtLMWV1d05YVkZmWHExWk9YaDRTRTZKWHo5dlkyMmJxcDBXamc2K3NyUC83b280L2t2Nk9pb3VTLy8vcnJMN3oxMWx1SWpZMDEyRWRPVGc0S0NncHc3OTQ5QVA5ckZZeU1qSlNQLzhVWFg4akgxd2FVMnZVbHVidTc2NVhWOWY3Nzd5TW9LQWh1Ym00RzIxMjRjQUdqUjQ5R2VIZzRtamR2Ym5UZm9paENvOUhBeXFyNDBtajgrUEZ3Y1hIUmUvMEFZTVNJRWJoNzk2NWVLN051d0Q1aHdnUzkxMVIzM2NpUkl6Rnk1RWk5L1IwK2ZCaXJWNjlHeDQ0ZEVSMGRqUjQ5ZWtBVVJjeVpNd2ZPenM1RzYwcEVWQmt4TUNVaW91ZEJiMEVRcG50NmV0NEJzQVBBN3V6czdKOHZYNzVjZHVhZWN0aTRjU05DUWtLZ1VxbFFxMVl0Yk4yNkZaczJiVUpSVVJIVWFqVVVDZ1U2ZCs2TTRPQmdlSGg0eUsya1dvMGJONFpLcGNLQ0JRc3dZTUFBQU1DVUtWUHd4aHR2b0hmdjNuSXJtaVJKK1A3Nzc3RnYzejZFaElSQW85RmcvLzc5aUl5TVJOT21UYUZRS0tCU3FReTZzR3E3NGRyYTJocXR2MjRRZGZIaVJWU3ZYbDBlRzZwU3FhRFJhQXhhNUVxMkxCNDVjZ1RPenM1UUtwVnlDMTM3OXUyeGE5Y3VOR2pRQUlCK1VDaEprc0hZVjYxbHk1WmgvLzc5OHVNZVBYb0EwTytHYTZ3cmJHa0JzeWxKU1VuSXo4ODN1cTVwMDZabzI3WXRRa0pDOE1VWFg4akxkWitIOXJXK2UvZXV2THhkdTNieU1oY1hGN25zeHg5L2JMQzlia3V4OWpsNWVIaGc2ZEtsQnZVUlJSR25UcDNDMXExYlVhZE9IV3phdEFtRmhZV0lqbzdHMHFWTEVSTVRnNGtUSitLTk45N0EyMisvamFwVnE1cjlPaEFSUGE4WW1CSVIwWE5ERUlScUFQd0ErRGs1T1QzdzlQVGNKVWxTVkdabTVyRzB0TFRjeDkzL1cyKzlCUThQRDlTdVhSdFZxMWJGbjMvK2liMTc5eUkyTmhhOWUvZkdrQ0ZEVUxkdVhVUkVSQ0FvS0FnYk5teEFyVnExNU8zdDdPeXdlL2R1cEthbW9sMjdkamgrL0RocTFhcUYwTkJRQkFjSDQ2MjMza0tUSmswUUZoYUc5UFIwOU8zYkY1Y3VYY0xRb1VNUkZ4ZUhmdjM2eWZ1YU5Xc1d6cDA3WjdTZTc3MzNudEhsdWwwOUV4SVNFQjhmRHg4Zkh3REYzV0pYcmx3Sm9IaDhhcFVxVmZTMnpjN094anZ2dkdQeXRSRUVvWXhYejFCZ1lDQUNBd094WXNVS1JFUkV5UFhUQm5TblQ1ODJ1bDNIamgzTGZheXlEQmt5QlBQbXpkTkw0bVFzS0Y2MmJKbkJzakZqeHVDWFgzNlJ4KzBhQzVxMTQySzdkT21DclZ1M29uNzkrbEFxbGZLNFdVbVNjUDc4ZWNURXhDQXBLUWxlWGw0SURBeVV4NDNxQnJsdnZQRUdYbi85ZGV6YnR3L1RwazJEcTZzcnVuVHBnczZkTzV1OEtVRkU5THhqWUVwRVJNOHJKMEVRM2hjRTRYMDNON2VIYm01dTBhSW83c3JMeXp0eTRjSUY0eGxteWxDOWVuVjRlSGpnNk5HajJMTm5ENXljbk9EcjY0dUZDeGZDeHNZR0JRVUZ1SHYzTHRxM2I0L3QyN2RqN05peCtQcnJyL1hHUFdySG9RS0FnNE1EeG84ZkQwOVBUM3ozM1hmWXZuMDc2dFdyaDJ2WHJtSGt5SkhvMGFPSHlZQnZ5NVl0QnN0Q1FrTHd4eDkvSURnNHVOVG5rWmVYaDk5Ly94MGJOMjVFdTNidDhNa25uK2kxdnRyYTJob0VPS2FtU2RHMmlKWWNYNnBWVUZCUWF0QmFXRmdvajkrOWVQRWltalJwSXE4cm1YVEptRUdEQnNtWmU3V0JaSnMyYmZEcHA1L0taYlRUckpSV2p5NWR1cUJaczJiSXlzcVNsK2tHOGxldVhNR1FJVVBnNStlSGNlUEdHV3cvZVBCZ3FOVnFvOEZzYnE3eGV5SzYwNytJb29nOWUvYWdSWXNXK1BiYmJ4RWZINC9RMEZDRGJZeU4wUTBQRDBkTVRBeGVlKzAxazgrUGlPaDV4OENVaUlncVhOdTJiYnNBYUZOUit4TUV3YXVNSXZZQTNsVW9GTy9hMjl2bmUzcDYvaWhKa3ZHQmlxWFl2SG16SFBRNU9EaEFyVllqT0RnWXk1Y3ZSMTVlSHF5c3JPU2d6dGJXRmprNU9SZy9manhDUWtKUXQyNWRnLzFkdVhJRkFRRUI4UGIyeHNjZmZ3d3ZMeTlZVzFzakt5c0xNVEV4Q0FvS3dydnZ2bXV3WFZrSmhFcGI3KzN0alVHREJzSE96ZzVlWHNVdjI5V3JWL1dtSXVuZHUzZVpyNFcyVzdOVy8vNzk1YjkxeDVqbTV1YWFERm9CNE1DQkEzSVgyeGt6WnFCdjM3NXk5bUxkc2JhbUJBY0hvN0N3VUMvNVVaVXFWZlM2N1dvRHc5SUNYWlZLaGZEd2NKUHJ0WW1lVHAwNlpUUXdMVzFNNzZSSms1Q1VsQ1EvSGpWcWxQeTM5clZTS3BXWVBYczJBR0RSb2tWR0V6bVZkT1BHRFV5ZVBCa3RXclJBaXhZdFNpMXJpcGVYVjZFa1NTS0FRa0VRaWdBVS92MVRCS0JRa3FRaTNjY2x5cFVzSXk4elVrYjdkMUpDUWtJVWlJaktpWUVwRVJGVk9FRVFEZ2lDWUdPSlkwdVNwUGk3eTY5aEZwd3lEQm8wQ0M0dUxxaFpzeVljSFIzaDRPQUFPenM3Mk52Ync4N09UcTgxRkFBZVBIaUFKVXVXNkxXTTZkSm1ZLzN2Zi85ck1paUtqNDgzV0ZZeThWRktTZ28rKyt3emVIbDVZZEtrU1FDQWJkdTJZYytlUGZEMzk1Y0RVQUN3c2JIQmpCa3o4SzkvL1F2TGx5K1hNOHlPR0RGQ0x2UHp6ei9EenM1Tzd4ajM3dDFEdDI3ZDVNZkRodytIajQ4UGJ0KytqVEZqeHVBLy8vbVBuQmhJdC9VMUl5UERaRUJZV0ZpSVRaczJvVy9mdnRpNWN5ZldyMStQRHo3NFFKN3k1dFNwVTBhMzArM0txeHU4bVVwK2xKNmVEZ0J5bHR6U2ZQZmRkMGFYSnljbm8yclZxdmpqano5dzQ4YU5Nb05HWGQ5ODg0M0pkYWJtVTNWeWNpb3p1WkdwcVdYS3llcnZsbVNqL3lSenVtaVhzMHlocVdNUkVaV0dnU2tSRVZVNG5hQzA5TGt4elBjYWdOSmFUZk1BSEFmd2Z3RDJ4c2ZISHdZQUx5K3Z0ZVU1aUpPVEV6Nzc3TE55VlN3cUtrcE9DcVRWc0dGRGc2azljbk56MGExYk44eWNPUk9EQmcyU2wydXoydXJTSmpIS3pNekV0bTNiRUJrWmlaZGVlZ2tMRnk2VUE4cFpzMlloTHk4UGdZR0I2TnUzTDBhT0hJa1hYM3dSYXJVYUR4OCt4TVNKRTdGNzkyNjU5YTlObS84MVlIZnUzTG5NNStYbzZBaEhSMGZjdlhzWGdpRGc1czJiNk5DaEF3RDlZT3ZTcFV1d3NyTENIMy84SVFlY1d0OSsreTN5OHZMZzYrdUxuVHQzb203ZHV0aXhZd2R1M2JvRm9PTEdrbDY2ZEFsS3BSSXBLU2tHZGRES3o4OUhZR0FnRGg4K2JIVDl6ei8vak42OWV5TTJOaGE3ZHUzQ2xDbFR5anh1VVZHUlBOV05zVlpzM1pibGtveE4vZk1reE1mSEsxdTJiR21sVkNxdHJhMnRyUUJZNStibVdpdVZTaXRCRUt3VkNvVVZBUGszQUd0QkVLeUtpb3FzQlVHd0VnVEJHc1hCcmZYZjY2MjBaYlMvTlJxTjlkLzdDUHE3REJGUnVURXdKU0tpSnlZK1BuNXFSZXpIMDlOelpjbnV2SklrUFJRRUlVWVV4YWpDd3NLbzVPVGtuSW80RmdBNWVZMVdhbW9xUm8wYUpTZTQwZXJTcFl2WisvenBwNTlRcFVvVmc2eTREUm8wMEp0cUpUYzNGMGVQSHNYQmd3ZHgrdlJwT0RzN3c4ZkhCNy8vL3J0ZUsyZCtmajRTRXhQaDUrZUhpSWdJL1BEREQyalVxQkc4dmIwUkZoWUdaMmRuK1BuNTRlVEprN2g3OXk0OFBEeVFrWkVCQVBqeHh4OE54cGpldjM5ZkwyRFd1bmp4SXBSS0pTWlBub3lGQ3hjYTFQL1VxVk5RS3BVWU0yWU00dUxpMEtaTkd6bXhVbFpXRnFaUG42NlhhTW5Cd1FFT0RnNDRjK1lNbEVvbDh2UHo4ZXFycitMZ3dZUHlsRDBhamFiVTdzRkFjUXVkdHFYMitQSGpzTGUzbCt0Z2EydXIxM1g1eXBVcjhQZjN4NzE3OS9EMTExOWo3Tml4ZXZ0S1RrN0dwVXVYTUhQbVROU3JWdzlmZmZVVlJvNGNpV3JWcWhrOXRpaUtDQTBOUmFOR2pmU3k5ZXErYjhwNmI1UjhqeG1qZmQ4OUpqRTVPVmtOUUYxbXljZms1ZVVWOUtTUFFVU1ZGd05USWlKNm5qd0FjRmlTcEoxWldWbmZYNzkrUGU5SkhFU2xVc2xUdTJnZkE5QmJab3AyTHM2UzNYNUZVWlNubXpGR0ZFWEV4Y1ZCRUFSczJiSUZibTV1Q0F3TVJOZXVYWEgyN0ZrY1BYcFVyN3hHbzhIMTY5Y3hZTUFBakJneEFqRXhNVGh5NUFnY0hCemtMcUtwcWFueUhKNGxqMVd5KzdHcDdzaW5UcDFDMzc1OTRlYm1oazgvL1JSMzd0ekJpQkVqRUJjWGg5OSsrdzJYTGwzQ3NHSEQ1QzZ5MzN6ekRlN2N1UU1BbUR4NU1od2RIZlZhV0xXdlQwbmFxV1JLMG0xNUxpZ293RysvL1lZelo4NWc5T2pST0gzNk5LNWV2WXFZbUJpODg4NDdjaDFjWFYyeFljTUdaR1Jrd05YVkZiR3hzVkFxbGZMMExDVnQyclFKalJvMWdwZVhGMXEyYkltd3NEQ3NYcjBhZ1lHQmV1VzAwL1hNbkRrVGQrN2NnYSt2cjE1MlhudDdlNE1waEV5NWQrOGU3TzN0eXl4RFJQUlB3Y0NVaUlpZUI2ZEZVUnhZV0ZpNDcrL1dueWRxNk5DaFJwZVhwK3VwdGhVMEl5TURjK2JNd1N1dnZJSUpFeVpBRkVVRUJnYmloUmRla01kOTZnWnJ0cmEyMkxGamg5NjR2ak5uenFCNTgrWW1qNlZTcWRDclZ5LzA2dFZMYi9tMzMzNExLeXNydlAzMjIzckxkUk1abGViT25UczRlZklrbGl4WmdtN2R1a0dwVk9LTEw3NUFUazRPUm8wYWhjOC8veHoxNjlmSGdBRUQ5TVp1ZnZUUlIvRDE5VFU2L1V6OSt2WGxsbWRSRk9IbjV3Y2JHeHY4OGNjZkdETm1qRUVRbloyZGpSTW5UZ0FBUm93WUFWRVUwYlJwVXd3ZE9oUTVPVG1ZTzNjdUdqVnFCRjlmWDcwNlNKSUVIeDhmTEYrK0hFT0hEc1hBZ1FPTjNsZzRkT2dRZnY3NVozeisrZWNRQkFGVnFsVEJsQ2xUc0hEaFFyUnIxdzYrdnI1eTJaaVlHQURGQWVoWFgzMkZXYk5tNGZYWFg1ZlhHd3U0VFprOGViTFpaWW1JL2drWW1CSVIwVFB2YVdmNUxEbFBwVFp3TERsdXRLenN1UURnNStlSGE5ZXU0Y3FWSzlpOGVUUFVhalZzYkd4Z2JXMk5wS1FrTEZteXhHQWIzYUQwNk5HakNBOFB4NG9WSzhyMUhDNWV2SWk5ZS9maW5YZmVnWnViZmg0b2M1SWZBY1ZUMXRqYTJzcXR2R1BIam9Va1NmRHk4c0xzMmJOeDgrWk5oSWFHeXVNc3RiS3pzMDEyeFZVb0ZIQjBkRVJlWGg0Kysrd3ozTHAxQzVHUmtkaTFheGMyYk5pQTlQUjBUSnMyRGRXcVZVTitmajdlZlBOTkZCUVVvRzNidHVqV3JSdTZkdTJLMnJWcjQ4YU5HNWd5WlFveU16UHh6VGZmUUpJa3ZlUGN2MzhmR28xRzdrWnNMQ2k5Y09FQ0ZpOWVqTTZkTytQTk45K1VsL2ZyMTA4T3lCVUtoUnpJdDJ2WERnTUhEc1NzV2JNUUd4dUw4K2ZQeS9PZUtoUUtiTm15UlI0ZkRCUUhzS21wcVFiSERRc0xRL1BtemN0c2dWZXIxYmh3NFVLcFpZaUlLZ3NHcGtSRVJDV1lhdmt5SnhBdGFjbVNKUkJGRVZXclZvV1RreFBzN2UyaFZDcWhWcXNSRVJFQmhVS0JlL2Z1NlhYOUZVVVJwMCtmeHJadDJ4QVhGNGNaTTJiZzFWZGZOZnVZYXJVYUFRRUJjSFYxaForZkh3QWdMUzBOdDIvZkJsQ2N4VlozM0Nmd3Z3eXdHUmtaY3ZmYkhUdDJZT3pZc1hwWmQ0Y05HNGJaczJmanQ5OSt3OUtsUzlHeVpVdDVidEJmZnZrRnRyYTJ5TXpNMUF2UWRHVmxaZUdubjM3Q3RtM2JBQURyMXEyRHM3TXp4bzBiaDJyVnFtSGx5cFU0Y3VRSXVuWHJobGRlZVFXTEZ5OUc2OWF0VWFOR0RRREZtWDYzYmR1R3I3LytHaTR1TGdnTkRVV0RCZzNrNTNiczJERTBiTmhRN3ZyOHdnc3ZHSzFIVWxJU3Z2enlTemc3T3lNZ0lNQmcvYUpGaTNEbnpoMHNXclFJcWFtcG1EUnBFbXJXckluNTgrY2pQVDBkbjMzMkdRWVBIaXgzRGRZZEovem5uMzlDcFZMSjQ0QzFOd0VlNWYyanErUU5FeUtpeW9TQktSRVJVUW5tSktZQnpFdCtaS29McmtxbFFtcHFxcHpwdG52MzducnJ3OExDVUxObVRVUkdSaHBrL1MzTGhnMGJrSnFhaXJDd01Ea284dkh4a2RlWDdOcXJhL2p3NFlpT2prWnFhaXBxMUtoaE1NL3FzbVhMa0ppWWlOV3JWNk5UcDA0QWdKbzFhNkpuejU1eUp0c09IVHFZRE1JaUlpSVFFUkVCWDE5ZmZQREJCM0J5Y3BMWERSbzBDQjA3ZHNUR2pSdHg2TkFoTkd2V0RQMzY5ZFBiZnZyMDZUaDkralQ2OSsrUGFkT215ZU0wcTFldmpxRkRoMkxldkhuSXo4K0hnNE1EeG8wYmgxcTFhaG10UjNaMk5od2NIQkFjSEd4MDJoWWJHeHQ1RHR1K2ZmdnFyVHQyN0JocTFxeUpUejc1eE9pKzE2NWRpNU1uVDBLU0pLaFVLam5aVW1sWmVzMVJuaWxzaUlpZU4yVlBURVZFUkZST1hsNWVFZ0RFeDhkYjlIdEdXNCtTWFhCTG8xYXJZVzF0YmRiY2pjYktGaFlXNHNhTkcyYTFiT1hsNVNFbkp3Y3FsUXBWcTFiVlc2ZE5sdlFvMHRQVGtaYVdwamUvNmFPNGZmdTJuQ2xYS3lzckN6azVPV2pVcUpIWisxR3IxYmg2OVNxYU5tMkt2THc4aUtKWVp1S2YvUHg4ZzFaZG9IamNhMVpXRnBvMmJXcjI4VXY2NDQ4LzBMUnBVd2lDWU5BTjJWeTV1YmtHM2FGTEVrVVJnaUNZOVY2cWFOb2JBMC96TS9pc2ZPNko2UG5FRmxNaUlpSWR1dDFXSDZXc3RiVzEyZDB0YlcxdERhWnQwWHJVb0JRQTNOemNETWFWUG9xU1FTbFEzRHBhczJiTmN1MUhwVkxKZ2FTcDUxdVNzYUFVQUtwVnEyWnlHaGR6bVpycnREektDa3FCeC9zZkVoSDkwL0NNU1VSRVJFUkVSQmJGd0pTSWlJaUlpSWdzaW9FcEVSRVJFUkVSV1JUSG1CSVJFUkhSYzhuTHkrc0lnRGNzWFE5elNaSjBKaUVob1lPbDYwSDBMR0tMS1JFUkVSRTlyNTZib0JRQUJFRjQyZEoxSUhwV3NjV1VpSWlJaUo1cjVaa1N5bEpNemUxTFJNWFlZa3BFUkVSRVJFUVd4Y0NVaUlpSWlJaUlMSXFCS1JFUkVSRVJFVmtVeDVnU0VWR2x4N0ZkUkVSRXp6YTJtQklSVWFVbFNkSVpTOWVCeUlMT1dib0NSRVRtWW9zcEVSRlZXcHd2a0lpSTZQbkFGbE1pSWlJaUlpS3lLQWFtUkVSRVJFUkVaRkVNVEltSWlJaUlpTWlpR0pnU0VSRVJFUkdSUlRFd0pTSWlJaUlpSW90aVlFcEVSRVJFUkVRV3hjQ1VpSWlJaUlpSUxJcUJLUkVSRVJFUkVWa1VBMU1pSWlJaUlpS3lLQWFtUkVSRVJFUkVaRkVNVEltSWlJaUlpTWlpR0pnU0VSRVJFUkdSUlRFd0pTSWlJaUlpSW90aVlFcEVSRVJFUkVRV3hjQ1VpSWlJaUlpSUxJcUJLUkVSRVJFUkVWa1VBMU1pSWlJaUlpS3lLQWFtUkVSRVJFUkVaRkVNVEltSWlJaUlpTWlpR0pnU0VSRVJFUkdSUlRFd0pTSWlJaUlpSW90aVlFcEVSRVJFUkVRV3hjQ1VpSWlJaUlpSUxJcUJLUkVSRVJFUkVWa1VBMU1pSWlJaUlpS3lLQWFtUkVSRVJFUkVaRkZXbHE0QUVSbnk4dkk2QXVBTlM5ZURuaytTSkoxSlNFam9ZT2w2UEFzOFBUMS9Fd1RoWlV2WGc4aEN6c1hIeDdlMmRDV284dkgwOUV3UUJLR3RwZXRCRmU3LzR1UGptMXZxNEd3eEpYbzJNU2lsUjhaQTdILzRXdEEvWEN0TFY0QXFKd2FsbFZZelN4NmNMYVpFejdDNHVEaExWNEdlTTk3ZTNwYXV3ak9KbnlYNnArRzVnSjRHbmxzcmoyZmhuTUVXVXlJaUlpSWlJcklvQnFaRVJFUkVSRVJrVVF4TWlZaUlpSWlJeUtJWW1CSVJFUkVSRVpGRk1UQWxJaUlpSWlJaWkySmdTa1JFUkVSRVJCYkZ3SlNJaUlpSWlJZ3Npb0VwRVJFUkVSRVJXUlFEVXlJaW9qSWtKU1ZodzRZTmo3V1AvUHg4ckZ1M0RxdFhyMFpSVVZHNXRzM056VFc2VFc1dUx0UnE5U1BYS1RFeEVRVUZCWSs4dmJsRVVZUW9pZ2JMaTRxS2NPWEtGVWlTWk5aK0pFbENibTZ1d2I1TExuc1U1cjRPYVdscFJ2OFhHUmtaMEdnMEJuOFRFWkY1R0pnU0VSR1pJU3dzREhGeGNZKzA3Zm56NXpGcTFDajg5dHR2aUkyTnhlalJvM0h4NGtXenQ1OHhZd2JtenAxckVOd3RXYklFbjN6eXlTUFZDUURHamgyTG16ZHZtbHovNDQ4L1l1UEdqWHBCbGthak1ldEgxN1p0MnpCczJEQ2NPSEZDYjNsYVdocUdEQmxpZG1ENjExOS9vWFBuem5yTDR1TGk4T2FiYnlJN085dXNmUmd6Yjk0OHpKMDcxNnl5UGo0K3VINzl1c0h5UG4zNjROcTFhd1ovbDVTWW1JZ2RPM2JJanpVYURUSXlNc3o2SVNLcXpLd3NYUUVpSXFKbmdiZTNkNWxsSmt5WVlISmRVRkFRZXZic3FiZnM1czJiQ0EwTnhkNjllekY4K0hCNGVuckN3OE1EdTNmdnh1alJvOUc5ZTNlTUd6Y085ZXZYTC9XNC92NytHRGR1SEpLVGs5RzZkV3NBd083ZHUzSGl4QW1FaFlVWmxCODJiSmpSd1BmZ3dZTUdMWU9abVpsUXFWUjZ5K3JVcVFPZ3VJVnk4K2JOT0hYcUZJS0NnbEM3ZG0yOC9QTExwZFpWOTFqVnExY0hBUGo2K2lJakl3UFRwMC9INE1HRE1YdjJiQUJBWVdFaGxFb2xGSXJTNzVOZnYzNGREeDQ4Z0oyZG5jRzYvZnYzbzNYcjFuQjBkQ3gxSHlrcEtTYlhOVzNhRkY5KytTV09IeitPQmcwYUdDM1RzR0hEVXZkdnJweWNIS3hhdFFyT3pzN28yYk1ucmwyN2hzR0RCNXUxN2FQZUdDRWllaDR3TUNVaUlrSnhJS1VyTXpNVG16ZHZ4b2tUSjlDalJ3OU1talJKRHFDeXNySVFGeGVIWHIxNnllVzFnWkVrU1lpTGkwTlVWQlNPSERtQ2R1M2FJVHc4SEUyYU5JRy92eitLaW9xd2F0VXErUGo0SURnNEdJTUhEMGI3OXUzUnYzOS9kT3JVQ1E0T0RyaHc0UUtHRHg5dVVNY3hZOFlZTEJzMmJKamU0N2k0T0t4WnN3Wi8vZlVYcGs2ZGlvaUlDSG5kbkRsekRJSWJQejgvZzMxcXkvajQrS0JKa3lhWU5tMGFWcXhZZ1MrLy9CTFIwZEdsdll3eUZ4Y1hBTUMrZmZ2UXZuMTd6Smd4QS8zNzk0ZEtwY0tPSFR1d2ZQbHl1V3pKbXdKbnpweUJVcW1VSHg4NWNnU25UcDB5YU5WOCtQQWhEaDA2aEpFalI1b01QS3RWcXdaN2UzdXpncjlwMDZhWlhCY2JHeXUzN0dvMEdvaWlXR1pBYlV5blRwMHdlZkprQkFRRXdOM2RIUTRPRGdDS243TldZbUlpbWpkdkRoc2JHd0RGUWZXUUlVUEtmU3lpeWtiYmEwVDcyY3ZKeWNITm16ZlJwRW1UcDNMOHFLZ28yTmpZb0YrL2ZnYnJMbDI2aEQxNzlzRFB6OC9vVFRSelBPcDVwYkpnWUVwRVJBVElyWHZuenAzRHpwMDdjZW5TSmZUcTFRdisvdjV3Y0hEQS9mdjNjZXZXTGV6YnR3ODdkKzVFczJiTjBMTm5UOVNvVVVQZXg5bXpaekY3OW14a1pHU2daY3VXMEdnMGlJMk4xUXN5UlZGRSsvYnQ5UjZMb29oNTgrYkJ5c29LbXpkdlJ1UEdqWTBHZ0pJa1llREFnVmkvZnIzY3FtbU1xNnNycmx5NUFsZFhWOVNyVjA5ZUhoSVNvbGZPMjlzYlVWRlJwYllHTm12V0RPSGg0UkFFQVFEMDlsZVd2THc4Yk4yNkZZc1hMOGFRSVVNd1ljSUUyTnZibzFhdFd1amN1VFAyNzkrUE0yZk9ZT0hDaFFDS1c1aU50VXJmdUhFRDFhdFh4KzNidHdFVWorRzB0YlhGdm4zN2tKdWJpNDBiTjJManhvMUc2ekI3OW15OC9mYmJlZ0c1UnFQQnQ5OStDeDhmSDdpNnVocHNFeDBkamM2ZE84dnZDUUJvMzc2OWZGRThaTWdRTkcvZUhLMWJ0MFprWktUUjQrb0d3dDI2ZGRNTHhFZU1HSUc3ZCsvcXRWVHJCdUlUSmt6USs3L29yaVA2Sjl1eVpRdCsrdWtuL1B2Zi80YVZsUlUyYmRxRUV5ZE9JQ29xNm9rSGRGZXVYTUh5NWN1eGFkTW1vK3MzYnR5SXZMeThVb1BTMHM2NXExZXZoa2Fqd2N5Wk15dXF5czhkQnFaRVJFUi8yN2h4STBKQ1FxQlNxVkNyVmkxczNib1Ztelp0UWxGUkVkUnFOUlFLQlRwMzdvemc0R0I0ZUhnWWRCOXQzQjFWRGM4QUFDQUFTVVJCVkxneFZDb1ZGaXhZZ0FFREJnQUFwa3laZ2pmZWVBTzllL2VXVzhBa1NjTDMzMytQZmZ2MklTUWtCQnFOQnZ2MzcwZGtaQ1NhTm0wS2hVSUJsVXBsa05oSTJ3M1gxdGJXYVAxMWc4YUxGeStpZXZYcVNFdExBd0NvVkNwb05CcjA2ZE5IYjV1U0xZbEhqaHlCczdNekhqNThpRk9uVHFGSGp4NTZBVnA1Mk5yYVl2djI3ZmpoaHg4UUhSME5LeXNyaUtJSU96czcyTm5aNGRxMWEyalZxcFVjWk91T1RWV3IxWWlJaU1DZ1FZTnc0Y0lGbkR0M1RtN1Y3dE9uRDdwMzc0NC8vdmdENDhlUGg0K1BEL3IzNzQralI0OWkzNzU5T0hEZ0FEWnYzb3llUFhzYXZVaFVxOVhZczJjUHpwdzVnNDBiTjhwQk53Q2twcVlpS0NnSXc0WU53OVNwVStYbHAwNmRBZ0IwN05nUkVSRVJhTml3SWJLenMvSE9PKzhZZlIzWHJsMExkM2QzQUlDOXZiMUJIVDcrK0dNQStsMk1kVnVPdGZ2ejhQREEwcVZMeTNxcGlTcTl2Lzc2Q3lFaElYai8vZmRoWlZVY3dnd2JOZ3lSa1pHSWpJekUwS0ZEalc2M2E5ZXVSL29NMWE1ZEd6LysrQ09BNG1FSEFRRUJLQ29xd252dnZhZFhya0dEQmxpd1lBR09IajBLd0xBSFNLZE9uZkRsbDErV2VieldyVnRqenB3NWVQUE5OK0hwNlZudStsWUdERXlKS3BtSzdBYnlMSFlwU1VwS3dpKy8vR0swKzZHNTh2UHpFUm9hQ3JWYWpjbVRKOHRmY09iSXpjMkZTcVV5MkNZM054ZFdWbFlHWS9YTVZiTHJIbG5HVzIrOUJROFBEOVN1WFJ0VnExYkZuMy8raWIxNzl5STJOaGE5ZS9mR2tDRkRVTGR1WFVSRVJDQW9LQWdiTm14QXJWcTE1TzN0N095d2UvZHVwS2Ftb2wyN2RqaCsvRGhxMWFxRjBOQlFCQWNINDYyMzNrS1RKazBRRmhhRzlQUjA5TzNiRjVjdVhjTFFvVU1SRnhlbjF6MXMxcXhaT0hmdW5ORjZscnd3MHRKdEZVeElTRUI4ZkR4OGZId0FBQzFhdE1ES2xTc0JGSTlQclZLbGl0NjJ1a0VXQUp3NGNRSUxGaXpBcmwyNzhPbW5uNkpxMWFybzBxVkx1VjdQdUxnNEtCUUtEQmd3QUgzNzlzWG16WnVSbUppSWRldlc0ZGF0V3poOCtMQkJLNjdXM2J0MzhlV1hYOExMeXd2bno1L0gxcTFiNVM2NWNYRngyTEZqQjM3NzdUZTgrKzY3U0VoSWdLdXJLNXljbkpDZW5pNEhoTG01dVVhRFFsdGJXeXhjdUJBVEprekF6cDA3OWJySnJsbXpCblhxMU1HSEgzNm90NDN1Wjl2YTJoclcxdGFvVnEwYXFsV3JaclQrN3U3dUJxMGl1bU4vamJXYUhEdDJEQURRcFVzWGJOMjZGZlhyMTRkU3FVUm1acWJSWXhBOUxrOVB6MjRBaWhJU0VrNEJLRis2OEtjb1B6OGYvdjcrcUYrL3Z0NlFCamMzTjR3ZVBSckJ3Y0Y0K2VXWDhjSUxMNWpjUjFSVVZKbkhLU2dvZ0pXVkZaUktwZnc5TDBrU0FnTURrWjJkalo5KytnbVRKazNDbkRsejBMeDVjd0RGM1luSGpCbURQbjM2WU1pUUlmanl5eSt4YnQwNitmckoxSFdVS0lwSVRVMlZIemRwMGdRdnZQQUN6cDQ5S3crRjBLcW9NZTdQT2dhbVJKVklibTR1Um84ZWpZa1RKNkpyMTY0QUlMZjBsS1ZrcTBKNmVqb0dEeDZNVmF0VzRhV1hYc0s5ZS9kSzNkN1YxZFdndTFscHlVWktjbmQzaDdXMXRWbGx3OExDOFBMTEw1dVZyS2FrOCtmUFkrSENoYkN4c1VGUlVSRkdqeDZOaFFzWHdzUER3Nnp0Wjh5WUFRY0hCeXhidGt6dnkyYkpraVc0ZS9jdTFxOWZYKzQ2QWNYWlVjdnFVa2xQWHZYcTFlSGg0WUdqUjQ5aXo1NDljSEp5Z3ErdnIveWVLU2dvd04yN2Q5RytmWHRzMzc0ZFk4ZU94ZGRmZnkwSFFvRCtSWWlEZ3dQR2p4OFBUMDlQZlBmZGQ5aStmVHZxMWF1SGE5ZXVZZVRJa2VqUm80ZGVhNTJ1TFZ1MkdDd0xDUW5CSDMvOGdlRGc0RktmUjE1ZUhuNy8vWGRzM0xnUjdkcTF3eWVmZktKM0hyQzF0VFZvZFMwNUJVcnYzcjFSbzBZTnpKMDdGME9IRGtWa1pLUjhZZmZ0dDk4aVBqNit6SHBveGNmSFk5bXlaYmg1OHlZKy9QQkQ1T2ZuWTg2Y09lalFvUU5hdEdnaGw5TmVDTjYvZng5SlNVbFFLcFc0Y3VVS0hCd2MwTHg1YzcyTHVGOS8vUlYrZm41d2RIUkVRa0lDMnJadEN3QzRldlVxV3JWcUJVbVNrSitmTDQvaEJJckhwR1psWlFFby9sLzcrdnJpaFJkZWtNOVZ5Y25KT0g3OE9CWXRXcVNYQmRmYTJscnZmNXlWbFlXelo4K2lmLy8rWmoxL3JWV3JWa0d0VmhzZDcycHF5aHRPTzBOUFdHOUJFS1o3ZW5yZUFiQUR3TzdzN095ZkwxKysvT1Rua1RLVEtJb0lDQWhBV2xvYXdzUEREYTRWeG8wYmgxOSsrUVZUcGt6QnBrMmI0T2JtWm5RL0RSczJSR0ppSWc0ZVBJanAwNmNiN1NJL2I5NDhaR1ptWXVQR2pmSzUvTi8vL2pjT0hqeUkwTkJRMUtoUkE2MWF0Y0w4K2ZPeFk4Y083TnUzRDd0Mzc4YklrU1BScFVzWE9EazVJVE16RXdjT0hJQ3ZyNis4WDJPOUlUNy8vSFA0Ky9zYjFHSHQyclZZdTNhdDNySi9TdUl6QnFaRWxZaWRuUjE2OXV3SmYzOS9MRm15Qk4yN2QwZGtaQ1JXclZwVjVyWWxUM29uVHB5QVFxRkFtelp0Y1Bqd1lRUUVCSlM2L2Y3OSsvVmFqZ0REcm0ybDBRM0ttQjMxZjBvYlIwZ1ZiL1BtelhLdzVlRGdBTFZhamVEZ1lDeGZ2aHg1ZVhtd3NyS1NnenBiVzF2azVPUmcvUGp4Q0FrSlFkMjZkUTMyZCtYS0ZRUUVCTURiMnhzZmYvd3h2THk4WUcxdGpheXNMTVRFeENBb0tBanZ2dnV1d1habGZRWktXKy90N1kxQmd3YkJ6czRPWGw1ZUFJcUROZDFzdXIxNzl6YnI5ZEFHNEFjUEh0UjdMOTY0Y1FNdFc3WXM4MGFLS0lwWXRHZ1Jmdnp4UjNUdDJoWHIxcTFEWm1ZbXhvd1pnNktpSXF4WXNVS3Z2S3VyS3p3OFBOQzllM2NBeGRsOFgzbmxGU2dVQ3IyQVh4UkZ6Smd4QTNYcTFJRW9pamh5NUFnbVRwd0lvUGptMDZCQmc1Q2Jtd3RSRlBWYVRJOGZQNDRGQ3hib0hkUFlXRjd0bUZldHVuWHI0dnZ2djVlRDFZa1RKNkpIang1SVNrb3ltUXhLOS95M2Z2MTZkT2pRb2RUUDg2UkprNUNVbENRL0hqVnFsUHkzT1MwOVJJOURFSVJxQVB3QStEazVPVDN3OVBUY0pVbFNWR1ptNXJHMHRMVEhueWo0RVdsYks0OGNPWUlWSzFZWXpacHRaV1dGVmF0VzRmMzMzOGY3NzcrUFZhdFd5YTJaSldrMEd1emR1eGNwS1NsWXNXS0YzdmtoS2lvS0J3NGN3SUlGQy9UT04zMzc5b1dEZ3dQYzNOeHcrL1p0akJ3NUVqWTJOc2pMeTBPalJvMXc0Y0lGT0RnNFFLRlFJQ2NuQitQR2pVT0RCZzNrTWZIVnExZVhQOE9EQncrV3UvbHJqMzN3NEVGNWUyM1FuWmVYQjF0Ylc2U2twSlRyV3VwNXg4Q1VxSklaTjI0Y3NyT3o1VG4wdEJkMkowNmNNSG94ZXYzNmRhTkIzazgvL1lRZVBYckExdFlXUGo0K2NuZkFrdTdkdTRkdTNicnB0VXJvTXFjVnNPUkZOck9qNnUrRG5wNUJnd2JCeGNVRk5XdldoS09qSXh3Y0hHQm5ad2Q3ZTN2WTJka1pkTWw2OE9BQmxpeFpZckpWUzl0RjlMLy8vUy9DdzhPTmxvbVBqemRZVmpMWVNVbEp3V2VmZlFZdkx5OU1talFKUVBIY29IdjI3SUcvdjc4Y2dBS0FqWTBOWnN5WWdYLzk2MTlZdm53NWV2WHFoZXZYcjJQRWlCRnltWjkvL3RtZ2w0VDJzMXhTelpvMTlZSm5VUlJ4L3Z4NURCNDgyR1N2Q0RzN085U3FWUXNLaFFMMTZ0WEQ1NTkvampmZmZCTkFjVkQ3NG9zdnd0L2ZIMTI3ZHRVN1J5Z1VDbXpidGczcDZlbXd0clpHelpvMUFVQSsvMmhiVFB2MDZZTjY5ZXBoMDZaTk9IejRNTEt6czlHMWExZGN2bndaZCs3Y2dhZW5KM0p5Y2dBWUg5OVozcytWV3EzR25EbHpjT1RJRVFEQWloVXIwS1ZMRi9raUZTaDlqS21wRmh4ZDMzenpqY2wxNWVsOVF2OTRpcGRlZXFrdEFIUEhsZFEyc3N4SkVJVDNCVUY0MzgzTjdhR2JtMXUwS0lxSFJWRThmdmJzMmFzVldOZFM1ZWZuWTlHaVJUaDA2QkFDQWdKS0hVcFFzMlpOYk55NEVaTW1UY0o3NzcySDk5NTdENk5IanpZWXN1RHQ3WTFObXpaaDBxUkpHRHQyTElLRGcxR3paazBrSkNSZ3hZb1Y4UFgxMVd2cEJJb3pld2NHQmhvY1UvYzdmZjc4K1NickZoY1hwM2NkcE8zbW41dWJpMWF0V3FHd3NCQ1RKMDlHa3laTk1HUEdEQ1FrSkdEYXRHbVlNbVVLT25Ub2dGYXRXcFh4U2xVZURFeUpLaEZ0dGpmZGhCM2FpK25nNEdDandWUmVYcDdCc3BTVUZDUW1KbUxPbkRsbEhqTTdPeHNLaGNKa01wYjA5UFJ5WjVSa2RsU3lGQ2NuSjN6MjJXZmwyaVlxS3NyZ0xuN0RoZzBOZ3AvYzNGeDA2OVlOTTJmT3hLQkJnK1RsZi8zMUY5NTY2eTI5c3RyM1NtWm1Kclp0MjRiSXlFaTg5TkpMV0xod29SeFF6cG8xQzNsNWVRZ01ERVRmdm4weGN1Ukl2UGppaTFDcjFYajQ4Q0VtVHB5STNidDNZOXk0Y1FDQU5tM2F5UHZ2M0xtejJjL3Y3dDI3T0g3OHVKeTg2ZEtsUzhqUHo4ZTJiZHV3YmRzMm85djA2OWNQaXhZdEFnQTVJTlVHVnk0dUxoZy9manp1M0xrRG9EaFFOVWI3UE96czdCQWVIbzZqUjQvaTVzMmJBSURKa3llalM1Y3V1SFBuRGxhdVhJbng0OGZEeHNZRysvYnRRNnRXcmVUdWRBRDBicG85NnJoNUt5c3JwS1dsNFlzdnZzRGt5WlBsejJuMTZ0Vk5Kb1l5TnNiVW1LS2lJcm1WeEZoTE9GdExxVHphdG0wN1ZLRlFHUDlnUGhwN0FPOHFGSXAzRlFwRm5xZW41eTRBMzBtU1pISVlRa1Zac1dJRmpoMDdoc0RBUUwyYno2YlVxVk1IVzdac3dlTEZpK1h2MkE4KytNQ2duSWVIQjc3NTVodjQrZmxoekpneG1EMTdOaFl1WElnMmJkcVVldDFUM3Uvb3Nsbzc3ZXpzOE9XWFgyTGF0R2x5cmdIdDgyamR1alVXTDE0TUh4OGZrMW1BS3lNR3BrU1ZsTFlMQ1FCNWZLanVNaGNYRjVNWGFOcUx6Y2FORzh0WlNzdlNybDA3QUlZdE1SOTk5Rkg1S3c5bVJ3WCtseDJWbmo1dDRobXQxTlJVakJvMVNrNU9vMVdlWkVBLy9mUVRxbFNwWXZCL2I5Q2dBV0pqWStYSHVibTVPSHIwS0E0ZVBJalRwMC9EMmRrWlBqNCsrUDMzMy9VK1cvbjUrVWhNVElTZm54OGlJaUx3d3c4L29GR2pSdkQyOWtaWVdCaWNuWjNoNStlSGt5ZFA0dTdkdS9EdzhKQzdvdjc0NDQ4Rzc5Mzc5Ky9yQmN4YXNiR3hXTHg0TVJvM2JveFdyVnFoYWRPbXBiWTREaG8wU0g3ZmFqU2FNcnVoVFo0OHVkVDFFUkVSaUkyTnhkQ2hROUcwYVZOOCtPR0g2Tk9uRDNKemN6RjE2bFEwYU5BQVE0Y094WjA3ZDdCejUwNzV4dHlEQnc4QTZBZW1CUVVGWm85bDE2VlFLSXlPK1gwY29pZ2lORFFValJvMTBrdDBvdnZlSzIreUtTSUFOUUZBa3FRc0FNYnYrdWlySXdoQ3JiS0xBU2lPR3hwTGt0VDJTUWVsUUhIbTZvRURCMkxuenAyWU4yK2VXZHNzV3JRSXk1Y3ZSMnhzYktsREh1cldyWXZRMEZCTW5EZ1JuM3p5Q1JvMGFJQ1ZLMWVhVElZNFljSUU1T2JtbXAzYklpNHVEaTR1TGtaN1FtVmtaT0RxMWF1d3Q3ZEhZR0FncWxTcGd2RHdjRG5vZFhWMXhkcTFheEVWRllXVksxY2lKU1VGNjlhdE05a3pyVEpoWUVwVVNmWG8wYVBVWmFidS9LV25wK09ISDM2UUh3OGJOZ3g5K3ZUQmYvLzdYNXc1Y3didnZ2dHVxUmQySlM5Mkg2VXJMOERzcUxyWlVlbnBVNmxVZWhtU3RXTi96Y21hckwxTFh2TEdqN2ExemxScnBTaUtpSXVMZ3lBSTJMSmxDOXpjM0JBWUdJaXVYYnZpN05tejhsUUVXaHFOQnRldlg4ZUFBUU13WXNRSXhNVEU0TWlSSTNCd2NKQUR3OVRVVkZ5NGNBR2pSNDgyT0ZiSjdzZW11aVAvK3V1dnFGYXRHbHEyYkZubWN3ZUtBMEp0cGxxbFVta1F4T2JsNWNIZjN4OE5HalRBOXUzYk1YRGdRSHovL2ZmNDlOTlBUUTRaMEhhWjArM1NPbTNhTkR4OCtCQnIxNjZGSUFoWXNtUUpYRnhjNUlSRTkrN2RnMHFsMGh1M2ZmdjJiVlN0V3RXczUxR1c3ZHUzbHpwK1h6Y2d0N1cxeGNtVEp3SDg3NmJXekpremNlZk9IZmo2K3VxZEkrM3Q3UTF1dE5IVFZSSFozeTFORUlSdDhmSHhVOHNxNStucHVSTEE5RktLNUFPSWxTUXBXcTFXYjA1T1RyNERBRjVlWGtFVlZGV1RuSjJkNGV6c0REYzNOL203OWovLytROSsrdWtuZlAzMTF3YmwzMzc3YmZuN1ZMYzNsQ2xXVmxaeXEyOVdWaFl1WExnZzMyUXY2WU1QUHBCdkxwOCtmZHBrQm43ZFZ0S3FWYXRpM0xoeEVFVVJCdzRja0c5QVRwdzRFZTd1N3BnK2ZUcTZkKytPOGVQSEcxd0hBTVhua05hdFd5TW1Kc2Jva0lUS2lJRXBVU1VXR1JtSmhnMGJJaVVsQlVPR0RNR1pNMmNBUUM4SlNrbHIxcXhCMWFwVmNldldMUURGWFJzZEhSMnhjT0ZDT0RrNWxacUszWmpidDIrYmJGVXNEYk9qa2lXWm1nK3ZZOGVPWnU5RGV4R1NrWkdCT1hQbTRKVlhYc0dFQ1JNZ2lpSUNBd1B4d2dzdnlPTStkUzltYkcxdHNXUEhEcjMzNDVrelowd204d0NLQStkZXZYb1pkSGY3OXR0dllXVmxoYmZmZmx0dnViblpaQ1ZKd3NtVEo5RzVjMmV6dXUySm9vajc5KytibkVMbDRzV0xtRDkvUHRxMGFZTnAwNlpoKy9idEdERmlCR3JVcUlGRml4Ymg0c1dMbURoeG9sbm5qSTgvL2hqdTd1Nm9XclVxZ29PRGNlTEVDWVNFaE1ndEhyZHUzWUtUazVQZU5wY3VYVEthcE9wUjlPdlhELy82MTcva3g2V05NZFY5N1dKaVlnQVVCNkJmZmZVVlpzMmFoZGRmZjkza2ZzZ3lIaWY3ZXlXUUMrQlhVUlNqY25KeS9uMzU4dVVIbHF4TWpSbzE1S0U2UlVWRnFGT25qc0VOYisxUUhHTUJuakUzYnR6QVJ4OTloS0tpSW16ZHVoV0xGeS9HeHg5L2pPWExsNWRycUlPNWdvS0M1R3V2clZ1M3lqZjZwazJiaHMyYk41ZTY3ZlRwMDU5NHQrbG5CUU5Ub2twTXFWVEtQOXJIcFVsT1RzYVJJMGV3YU5FaXZjeVYzMzMzblp3dHNyUXY2WDM3OXNIVjFWVnZXV25aYzB2RDdLaWs2NldYWG1wbFpXV1ZIeDhmL3ljQThVa2ZyMlJMdnpad0xObjZaODVGcTUrZkg2NWR1NFlyVjY1ZzgrYk5VS3ZWc0xHeGdiVzFOWktTa3JCa3lSS0RiWFF2UW80ZVBZcnc4SENERExabHVYanhJdmJ1M1l0MzNubkhJUG1PdWNtUEVoTVRjZnYyYmJ6MjJtdG1IZlBxMWFzUVJkRmczUFg5Ky9jUkZoYUdxS2dvVEpnd3dhQUY5OE1QUDBTalJvMndkT2xTSER4NEVDTkdqRUMvZnYwTTV2TFQxYkpsU3hRV0ZtTHAwcVhZdFdzWHBrK2ZqZ1lOR2tDajBTQTdPeHNIRGh4QTA2Wk41Zkk1T1RuNDlkZGZqU1l6ZXhST1RrNEdnYTh1VTJOTTI3VnJoNEVEQjJMV3JGbUlqWTNGK2ZQbnNXelpNZ0QvNnpLc094VEEzdDVlYjVvY3FoaFBJdnY3ODB5U3BCeEJFRTRCMkNFSXdvNjR1RGlMWmVJdFRYSnlzdDduV3F1czRUVzZrcEtTNUtuZk5tM2FoTnExYStQcnI3L0doeDkraUJrelppQW9LTWhvSWppdDh0eWdCSW8vMTRjT0hZS3RyUzI4dmIwTk1nSHIwczNhcTJYcVJsOWx4TUNVcUJMVHRsWnF4NWJxenN0blRQMzY5ZkhoaHgvcXpTc1lGeGVINE9CZ0xGcTBTQTZ1cmwyN2hrbVRKdUg3NzcvWDIxNmJRVk5YUkVTRTBmVHV1b3lkNUprZDFmU1g0aitSVXFrY0EyQzZwNmRuR29ERmhZV0ZlOCtkTzVjRzRJbE04bWlxMWVwUldrK1dMRmtDVVJSUnRXcFZPRGs1d2Q3ZUhrcWxFbXExR2hFUkVWQW9GTGgzNzU3QmRDaW5UNS9HdG0zYkVCY1hoeGt6WnVEVlYxODErNWhxdFJvQkFRRndkWFdWdXlPbXBhWEo1NEwwOUhTalhjaUI0dk9FbzZNamxFb2xEaHc0QUJzYkc3enl5aXNHeDBoSlNjSGh3NGZoNU9RRUd4c2I1T2ZuNC92dnY0ZTl2YjNjR3ZEZ3dRTjg5ZFZYMkx0M0wxeGRYUkVTRW1LeVMzRFBuajNSdm4xN2hJU0VZUDM2OVZpN2RpM2F0MitQVmF0V21iellYTHg0TVE0Y09JQTVjK2FnVDU4K2VPMjExeUJKRW9EaWl6bmRIZzNCd2NFb0xDeVV4NXlYUjJGaElmNzg4MDk1dlA2ajlBTFJxbG16SnViUG40LzA5SFI4OXRsbkdEeDRzQnpJNjQ0MS92UFBQNkZTcWVTeHhDWFBFL1I0S2lyNysvTk9rcVFFQU1QVmFuVlVjbkp5MlpPZVcxQkdSZ2FTazVQbFROaTZ0SWtjeS9wc1JrUkU0SXN2dmtEVHBrMnhaczBhT2VoemRuYkdoZzBiTUdIQ0JNeVpNd2VMRnk4MmVlT2h0SzY4cHBpcWw3R2JWK1ltVHF1TUdKZ1NWV0lsNy9hV1RMcFNrcU9qSThhT0hhczNqa3VoVU1EZjMxOXZ6T1cxYTlmZzdPeHMxaHliMXRiVzVUNkJBOHlPU3NZSmdsQUh3QWFWU2dVdkw2OWJraVF0bFNScGQySmk0blVBRmRZSHVtVHlJMVBNU1U1anFndXVTcVZDYW1vcU9uVG9BQUR5M0oxYVlXRmhxRm16SmlJakk4dTh1VlBTaGcwYmtKcWFpckN3TVBsOXFqdCtzMlRYWGwzRGh3OUhkSFEwNnRXcmgvUG56Nk5EaHc1R3U4ZloyZGxoNDhhTkVNWGlCbXhCRUZDL2ZuMHNXYkpFTHUvbzZJaWlvaUo4OU5GSGVQdnR0MDBtRnRHcVZxMGFacytlalE4KytBRDc5dTJEdTd0N3FSZWFvMGVQeG9BQkErUWJCcnQzNzBaQlFRR1VTaVhxMWFzbmo0ZS9mUGt5b3FLaThPR0hIejdTM01DQ0lHRFVxRkVRQkFGOSt2UXg2Qm55S0k0ZE80YWFOV3ZpazA4K01icCs3ZHExT0hueUpDUkpna3Fsd3RpeFl4LzdtUFEvRlpIOXZUSklURXlzeUF5K1QxUklTQWljbloyTmZtOXFiNnlWTmhZekxTME5vYUdoNk5xMUt3SUNBZ3pPYXk0dUx0aXdZUVBHangrUHdzSkNrL3N4dDhXVW1mYkxqNEVwVVNVMVo4NGM5T3paRTQ2T2pucmRFQThjT0lENzkrK2JmYkxjdjM4L29xS2lzSGp4WW9OMXhscVBnb0tDTUhmdVhQbXh1ZU9sZE12cEJwTE1qa3FscUNFSXdpcEJFRlo1ZW5yZUZRUmhzVnF0M243dTNMbGJlSXlXMU5PblQ4UGEydHFzTVQzYXNycmMzZDNObnVKait2VHArT0NERDZCU3FmU1M4aWdVQ29TR2hwWTZ0WW1qbzZQSjdManZ2UE1PT25mdXJOZmw3VkhteE4yOGViTmVObTlkdFdyVlFteHNMRVJSUkZGUkVheXNyQXpxS3dpQzNyQ0Frc2FPSFdzMDg3U0xpNHZScnZWMTZ0VFJHNC8xNG9zdjZxMDNkVE9oY2VQR1dMZHVuWHdUb0x5c3JLenc2NisvbHZxZUNBc0xRKzNhdFEzK05tWG8wS0hvMzcrL3lURnhhOWFzQVZEY2VpNEl3ajltak5uVDlMalozK25waVk2T1JuUjBOQll0V21UMFp2ZlZxMWVoVUNpTTl0elNjblYxeGRhdFcrVWJTOFo2V0xtNHVHRGJ0bTJ3c2JHQlJxTXhPZ1RLbkJiVGYralk1TWZHd0pTb2t0SnQrZE1tMDdsNTh5WUtDd3V4WXNVS1ZLOWVYWjVmc0RSK2ZuNTYzV1p5YzNQeHdRY2ZRS1BSb0VPSERwZ3laWXBlK2VyVnErdGRsR2RuWjJQbXpKbHdjSERBNHNXTDVTQk1vOUhnOU9uVDZOU3BVNm5IWjNiVTU1dVhsOWNYRmJTclVnYzVDb0xnQW1DMVNxVmE3ZW5wbVFQZzgvejgvTEJIbVd1dlBDMzh4c3BhVzF1YmZlUEhXUElyclVlWmIxUEx6YzNOWUZ6cG95anJRazliNWxGNlJRREYyU25MUTZWU29YWHIxbzkwTEdQZGtjdWpyUGRSMjdadGpmNWRHbk82NXo3Tyt3QUF2THk4TkFBa1NaSTBnaUNJZi8vV1NKSWtDb0tnUWZHWWJmbXh0aHlLYis2SUpSN3JsaXY1KzdrN2NUMXU5bmQ2OHRScU5UWnMySUR3OEhBTUhUcFU3cjMxNjYrL1FxVlN3ZDdlSGc4ZlBzVDY5ZXZoNWVWVjZtZXF0TVNQcG1oN2orZ3E3eGhUb0hpb2tQYTdYWHY5WWlwNE5YWkQvL1BQUHpmcm11MTV4OENVcUJJYU5HZ1Fzck96VVZCUWdMeThQTG1yWGI5Ky9XQnJhd3RIUjBkOCt1bW5xRnUzYnBrWjdGeGNYT1FFSlBuNStmRDM5NGV0clMzV3JWdUg4ZVBIWStmT25aZ3laWXJlWFVYdFJmbURCdy93NmFlZm9rYU5HbGkzYnAxZXk4aVpNMmNRSEJ5TVM1Y3VZZTdjdVNZRFRXWkhmZTRaNzZmNFpOa0xnakNuU3BVcUhkbktSQVFGQUFpQ29QejdOM1IvYTVXMTNGUTVVOXM5RHlvaSt6czlPV2xwYVhqdnZmZnc0TUVEekpneFErOTZJRG82R29jT0hRSlEvTjU3NmFXWDhPbW5ueHJkVCsvZXZSKzV0NFN4bmcvNzkrOHY4MlpjeVR3UnExZXZ4dm56NStIdDdTM2ZORFMzWncyQWY4d05FUWFtUkUrUXA2ZG5Od0JGQ1FrSnAxQ0I0OS9LTW16WU1GaFpXY0hGeFVXZUIweWJRZExLeWdwWldWa1lPblFvZnZubEY3MXBDa3B6NHNRSnJGbXpCams1T2ZqcXE2L3c0b3N2WXUzYXRmam9vNDhRRnhlSFNaTW00WlZYWHBFdlRxNWN1UUovZjMrNHU3dGoyYkpsY3F1UUtJcFFxOVZvMnJRcEZpeFlnTVdMRitQaXhZdFl2WHExMFM4QVprZDk3aTJxaUoxSWt0UkRFQVJ6N2taY2xpVHBrNFNFaEwwQTRPWGxKVlhFOFltZVYvSHg4UW9BaXBZdFd5b2ZQbnlvY0hKeVVoWVVGQ2hzYlcyVitmbjVTbHRiVzRWYXJWYXFWQ3BGWVdHaDB0cmFXbEZVVktSVUtwVktVUlFWU3FWU3FkRm9GTnJIQ29WQ3FkRm9sRXFsVWlHS29sS2hVTWkvQlVFNGJPbm5XeDRWbmYyZEtsYWRPblV3WThZTXRHblR4aUF3Vzdac0daWXVYWXJDd2tLand3aDAyZHZiVjhnOG9DNHVMbGk4ZURGcTFLaFJaaytHb0tBZ3ZUci8rOS8vbG50cmFYSDhxU0VHcGtSUFZtOUJFS1o3ZW5yZUFiQUR3TzdzN095ZkwxKytYUEFrRDFwYVlwUDA5SFFVRmhaaTY5YXRzTEt5UW1Sa3BNbEVIcElrSVRRMEZIdjM3c1gxNjlmUnZYdDN6Snc1VTg1aTE2cFZLMnpkdWhYejU4L0hwRW1UVUw5K2ZXelpzZ1hYcmwzRG1ERmpJSW9pc3JPejRlUGpnNEtDQXFqVmFxTnpkRjYrZkJralI0N0V5cFVyRGJyQU1UdXFZNW5UL0R6TDR1UGpBeXBpUDU2ZW5nNEFUQVdta1VWRlJSK2ZQWHMyc3lLT1JSWEgxQmd0ZXFva0FKcms1T1FuM3RWV055djU4NkNpczc5VHhTdVpGRTZYSUFpUFBJemdVZGphMnBhWlJGTExXRWJmeCsyVy8wL0F3SlRvS1JBRW9Sb0FQd0IrVGs1T0R6dzlQWGRKa2hTVm1abDVMQzB0N2FuT0ZiWmp4dzVzM2JwVmZ1emk0b0w1OCtmcmxiR3hzVUdyVnEwZ0NBSWNIUjN4OHNzdlkrWEtsV2pjdUxIQi9obzBhSUF0VzdiZ3dJRURzTEt5Z3BPVEU1bzNiNDYrZmZ1aWZ2MzZjSEZ4a2Ivd3RYY3R0WGVmYld4c1VLVktGV1JrWkdEaXhJazRkT2lRUVdESzdLaUc0MXNJRW9CL3E5WHFlVFkyTnVseGNYR20weWVTeFpqcTNVRDByS2lvN085RVZERVltQkk5ZlU2Q0lMd3ZDTUw3Ym01dUQ5M2MzS0pGVWR5Vmw1ZDM1TUtGQzltUHMrT2ZmLzY1ekRtOEprNmNpUGZlZXc5RlJVVVFCQUhPenM0R1k0TnExNjZOTFZ1MkFEQTl4bE9YUXFIUXU0dW9VQ2dRRUJCZ2RyM2QzTndRSGg1dTBOV0cyVkZKNisra0xSc0tDd3NYblR0MzdqYWVZdGQ0TWkwM04xZHU0Uy9KblBtVEsyTGFGYUxIOVNTeXZ4TlIrVEV3SmFvZ2JkdTI3UUtnamU0eVFSREs2dGRrRCtCZGhVTHhycjI5ZmI2bnArZVBraVJGUG1vZHpNbndhRzF0YlJEQVBRdU1qZjlnZHRSSDUrWGxKWlhNU0N0Si94dHVLUWdDZE5mcnJnTWdHVmt1Q1lLZzNhZFV2RXFTZEphTGYyZnUxUDVVcVBqNGVIOFV0NVRTTXlRcUtrcWUxc1NVMHJxKzhTWU5QUXNlSi9zN0VWVWNCcVpFRlVRUWhBT0NJRHp5dDVna1NZcS91L3crL1NpR0tpVnpzMnNhV1NjWVdTNlV0czFUeU1qSm9QUVpOSExrU0wzcHBBRGc4T0hEV0wxNk5UcDI3SWpvNkdqMDZORURvaWhpenB3NVJ1Y3NKYkswaXNqK1RrU1BqNEVwVVFYUkNVcDFtdzllQTFCYXEya2VnT01BL2cvQTN2ajQrTU1BNE9YbHRmYUpWSkwrTWU3ZnYxL2YyZG5aL3VIRGgvYTJ0cllPK2ZuNTlpcVZxZ29BT3dEMlNxWFNGb0NxcUtqSTd1LzNyaDBBbFVLaFVBbUNZQ05Ka28wb2lqWi9yMVBwL0xZV1JkRmFvVkJZaTZKbzlmY1VGRllBbEgvL3JaQWtTU2tJZ3BPbG5qczlmYUlvNHRTcFU5aTZkU3ZxMUttRFRaczJvYkN3RU5IUjBWaTZkQ2xpWW1Jd2NlSkV2UEhHRzNqNzdiZjF1c3NUV1ZwRlpuOG5va2ZId0pTb2dzWEh4MC9WL3UzcDZibXlaSGRlU1pJZUNvSVFJNHBpVkdGaHZTVzZOZ0FBSUFCSlJFRlVZVlJ5Y25MTzA2OWx4VWhMUzBPdFdyVmdaYVYvS3NuSnlVR1ZLbFVNbGo4dGxzZ0VLb29pQ2dvS2pIWUh2bjM3Tmh3ZEhaOXE5c0FyVjY1Y2Uyb0hNNExUdEZSK2tpVGgvUG56aUltSlFWSlNFcnk4dkJBWUdDaVBHMDFKU1pITHZ2SEdHM2o5OWRleGI5OCtUSnMyRGE2dXJ1alNwUXM2ZCs1YzVyaDRvaWV0SXJPL0U5R2pZMkJLOUhROEFIQllrcVNkV1ZsWjMxKy9majNQMGhYU0tpd3N4STBiTjBvdFkycWNwbytQajhHZFpnRG8wYU1INXM2ZGk3NTkrK0xxMWF0NDRZVVg5TlluSmliaXdvVUxlT2VkZHdBVUI1SzNidDB5cTc1bEpVc3hOeE5vYm00dTFxMWJCejgvUHpnNk9zcjFNSWRDb1REb3Vucm16QmxNbVRJRnUzZnZOcGg4dlVlUEhsaThlTEhaYWVhSm5nZWlLR0xQbmoxbzBhSUZ2djMyVzhUSHh5TTBOTlNnbkxHTCsvRHdjTVRFeE9DMTExNTdHbFVsS2xWRlpuOG5va2ZId0pUb3lUb3RpdUxBd3NMQ2Zjbkp5V3BMVnFSang0NVFxdzJyRUJVVlpmSnVzVlo1RTVSSWtnU0ZRb0VEQnc0Z0lDQUFVNmRPMVJ2RGs1T1RnMVdyVnNIWjJSazllL2JFdFd2WHlxeURibDBxSWhOb1RrNE9ZbUppY1BueVpheGZ2eDVXVmxaNCtlV1h6YXJENTU5L2pqZmZmRk52MmRHalIrSGg0V0VRbEJKVlZrcWxFck5uendZQUxGcTBDR3ZYcmkzei9YL2p4ZzFNbmp3WkxWcTBRSXNXTFo1R05ZbEs5YmpaMzRtbzRqQXdKWHFDRWhJU3pKdXI1Q21JaUlpQUpFa1lQSGl3MFF0SVk4R250dlZSVjNKeU1scTJiRm5xc1RRYURSUUtCWHIxNm9YcjE2OWp4WW9WdUhuekpxWk9MZTdsM0tsVEoweWVQQmtCQVFGd2QzZUhnNE1EZ09KV1I2M0V4RVEwYjk1Y3pvcVlrcEtDSVVPR0FLaVlUS0MxYXRYQ21qVnI4TjU3NzJIcDBxVllzR0FCb3FPajljcWRQSGtTSzFldU5GaGVvMFlOZytjYkV4T0RLVk9tbEZvbm9zck15Y21wek9SR3BtNG9FVm5LNDJaL0o2S0t3OENVNkI5Q2QwSndkM2QzdWZ1dDdqZ3dBSGovL2ZjUkZCUmtkSXFUQ3hjdVlQVG8wUWdQRDBmejVzMk5Ia2NVUldnMEdubDg2Zmp4NCtIaTRvSjY5ZXJwbFJzeFlnVHUzcjJyOTBXdk95NTB3b1FKZXQyRWRkZFZWQ2JRWnMyYXdkL2ZYKzdDZStuU0pkU3ZYeCtOR3pjR0FGU3JWZzBBNUxwTGtvVC8vT2MvR0RCZ2dONStmdjc1Wjl5NWN3YzllL1kwT1NacHdZSUZXTEJnZ2Q0eVcxdGJuRHg1MG1oNW91Zk5tREZqTEYwRklpSjZqakV3SlNJOVNVbEp5TS9QTjdxdWFkT21hTnUyTFVKQ1F2REZGMS9JeTNXRFcyMTM0YnQzNzhyTDI3VnJKeTl6Y1hHUnkzNzg4Y2NHMitzR2R0cldXZzhQRHl4ZHV0U2dQaFdSQ2RUWDExZmUxNVl0VytUZnh1WXVQWFRvRUlLQ2d0Q2lSUXMwYTlaTVhoNFpXVHoxckxXMU5hS2lEQnZKQnc4ZWpDbFRwaGlNcDNzS1U2d1FQVFhtak5OTFRVM0ZxRkdqbmxLTmlPaEpZNElvcWtnTVRJbW9YSVlNR1lKNTgrWWhMUzFOWG1ac2ZPaXlaY3NNbG8wWk13YS8vUElMTGw2OENNQXdSVDhBSER0MkRFQnhrZ250aGE1U3FVUm1aaWFBaXNrRSt1cXJyeUlySzBzdTUrN3VEbXRyYTh5ZlB4L0Rody9IamgwN01HellzUDluNzg3am9xcjMvNEcvenNBTSsrWUNtcnNvNUZMS3B0N015c3hkVk1Sd0NkTitpb3FhbHFLNG95bFdKcVZCTGdSWDFBc3FDbGRUdEV3MFRTOEZzcG5MVnhCamwwVmxVeGlINFp6Zkg5dzVsOFBNd0NBZ3lMeWZqNGNQUGN1Yzg1bHhsdk0rbjgvbi9SYTBTeWFUSVNBZ0FKTW1UUklFcFhmdTNNR2ZmLzdKTDZ0TEZOV2hRd2UxMndocEM0cUxpMkZrWkZUdlBvUzBkbEtwRkVGQlFaREpaRmkrZkhtTFpaaHZ6VGlPdThNd0RFMFViM3ZTV3ZMazlFa2pSRXRNbXpZTkdSa1pBUDRYU0E0YU5BaWJOMi9tOTFFTWFhMnJKKys5OTk3RDY2Ky9MZ2pzYXM1UFRVdExnNXViR3p3OVBiRmd3UUtseDd1NnVrSW1rNmtNWnN2THkxV2VzMmEyM0tiSUJEcG8wQ0RCK1JVQmN0KytmZUhtNW9iOSsvZGo3Tml4Z3NmKytPT1BlUHIwcWRJODBuMzc5cUZMbHk3MVpqWW1wSzFidm54NVN6ZUJrRWE3ZS9jdWZIeDhvS2VuQjdsY2pybHo1OExIeHdjMk5qWXQzYlJXSlRFeHNlNWtFNFM4QUFwTUNkRVMvdjcrcUt5c0ZDUS8wdGZYRnd6YlZRU0dkU1Y0a0Vna09ITGtpTnJ0V1ZuVjVUT3ZYNyt1TWpCOTdiWFgxRDUyMmJKbFNFNU81cGRyRHZsVERKRnRxa3lnaW1DNmRnQzdhTkVpbUpxYThnbVpGR3h0YmJGbXpSckJVT1NyVjY4aUppWUcyN1p0dzhhTkcvbjFxcklmeStWeXBmV1VTSU8wRmNIQndZSmtaZXJJWkRMY3UzZnZKYldLRU0wOWZQZ1FRVUZCaUlxS3d1elpzMkZuWndjYkd4dEVSa1ppN3R5NUdEMTZOQllzV0tCUldSbEN5SXVod0pRUUxWRXplRk9YL0Nndkx3OEFsSUl5Vlk0ZVBhcHkvZTNidDJGbVpvYS8vdm9MT1RrNURTcWY4czkvL2xQdHR0cEptaFNhS2hOb3plT1BIVHNXdWJtNWZLOXdlbm82bnhCSnNWL1hybDN4NU1rVHVMcTZLaVdDK3NjLy9xRjAvSzFidDJMcjFxMkNkUTB0dzBOSWE5UFkrV1dxaHZNVDhySndISWY0K0hoRVJFUWdPam9ham82T09ITGtDUHIyN1F0dmIyL0k1WEw0K2ZuQjJka1ovdjcrY0hWMWhaT1RFeVpQbm95MzMzNWJvOTlLUW9qbUtEQWxoUEJTVTFPaG82T0Q5UFIwdlBIR0d5cjNrVXFsMkw1OU95NWV2S2h5KysrLy80N3g0OGNqTGk0T0owK2UxS2lFaWx3dTUydkRxYnJRVlpWUVNLR3BNb0hXVlVkVjFiWXpaODVnL1BqeEdEMTZ0R0JZczhLcVZhdlVGbVAvN2JmZjRPZm45OEp0SmFTMXFPdXpxUW1xKzB0YXlzMmJON0YyN1ZyazUrZGp3SUFCcUtxcVFseGNIR2JQbnMzdnc3SXNuSnljQk1zc3kyTERoZzNRMWRWRlNFaUkyZ3oxaEpDR284Q1VFQzNITUF3L3BQVEtsU3N3TWpMQ3ZIbnpFQjhmRHdNREF3d1pNb1RmTnkwdERkN2UzaWd1THNiKy9mc3hmLzU4d2JGdTM3Nk4xTlJVckY2OUd0MjZkY01QUC95QU9YUG04R1ZYYW1OWkZrRkJRZWpWcTVkZ2lHek43SjdxZ2p0Vis2cWpTU1pRVmIyWHYvenlDOWF2WDE5bno2YWVucDdLd05UYzNGenRzT1g2ZW5nSmVWVlFieWQ1VmZYcDB3Y1NpUVNiTm0zaVM0Q3RXTEVDNzcvL1BzYVBIODhQUytjNERxZFBuOGE1YytjUUdCaUlxcW9xbkQ5L0h1SGg0YkMxdFczSnAwQkltNk5jRDRFUTB1WTlmLzRjZi83NUovejkvV0ZoWVlHWW1CajgvZmZmdUhUcEVpWk9uTWp2WjJWbGhYMzc5aUUvUHg4QUVCY1hCeDBkSFJ3K2ZCaURCdzlXT3U2UFAvNklYcjE2d2Q3ZUhsT25Ub1crdmo2Ky9mWmJsZWNIZ05XclZ5TTBOQlMzYnQwU1hPQWFHUm5CeE1RRUppWW05VDZYNHVKaVBINzh1TTQvbW1ZQ1ZiU0xFRUpJMjJab2FJakl5RWdNSGp3WWpvNk9lUGJzR1N3dExSRVVGSVFKRXlaZzM3NTl1SGp4SW1iUG5vMDllL2JBeHNZR3FhbXBHREprQ0NaTm1vVERodytyTEN0R0NIbHgxR05LaUpZb0t5dkQxYXRYQVFEdTd1NWdXUmEydHJhWU9YTW1uajU5aXZYcjE2TlhyMTZZT25XcVlQNG94M0Z3ZG5iR3pwMDdNWFBtVExpNHVLaE1jUExycjcvaTk5OS94OWRmZncyR1lhQ3ZyNDhWSzFiQXg4Y0hqbzZPZkwxUUFMaDA2UktBNmdEMGh4OSt3Sm8xYS9EdXUrL3kyK3NhVmx0YlUyUUNsY2xrOFBQelE3dDI3ZkRKSjU4MCtuaUVFRUphdjVxQnBiR3hNVHc4UEdCblo0ZWpSNDhpTEN3TTNicDFRMVpXRnViTW1ZTXhZOFpRN1dsQ21oa0Zwb1JvQWFsVWl2SGp4K1A1OCtjWVBIZ3dSbzBhaFpFalI2Sno1ODdJeWNuQmloVXJVRkJRZ0gvKzg1L2dPRTd3MkpLU0VsUlZWVUZmWHg4QVZBYWw5KzdkdzdadDJ6Qml4QWg4OE1FSC9QcEpreWJoMnJWcjhQWDFoVWdrd3VUSmt3RUFqbzZPY0hGeHdabzFheEFYRjRlN2QrL3lkVTlGSWhFT0hUcUVidDI2OGNjeE1qSkNabWFtMG5rYm13bFVrWkY0eFlvVk1EQXd3SmRmZmxubmNScmkwYU5IYWhNMlBYcjBxTW5PUXdnaHBQSFMwdEt3WmNzV09EZzQ0Tk5QUDRXOXZUM0VZakVLQ3d0eDZkSWw3Tml4QXg5OTlGRkxONU9RTm8wQ1UwSzBnTDYrUG54OWZURmd3QUIwNk5BQkFGQlpXWW5RMEZEczM3OGZGaFlXQ0FvS1FvOGVQZkQ0OFdNQTFRbDZldmJzaWN1WEx3TUFldmZ1cmZMWXljbkoyTE5uRDh6TnpiRmx5eGFsN1Z1M2JzV1RKMCt3ZGV0V1pHWm1ZdG15WmVqWXNTTTJidHlJdkx3OGZQSEZGM0IxZGVYblk4YkZ4ZkdQZmZEZ0FTUVNDYVJTS1pLU2ttQm9hQWlnNlRLQlJrZEhBd0NHRFJ1R05Xdld3TURBb0ZISHJXblBuajNZczJkUGt4MlBFRUpJODNGemN3TUEzTGx6UjIxSnRJU0VoSmZaSkVLMERnV21oR2lKbWtObGdlcXNzVEV4TVpnOGVUSldybHdKSXlNakFFRDc5dTB4YytaTWJOaXdBVktwRk1iR3hsaXdZQUVzTFMxVkhyZXNyQXpHeHNidzkvZFhtZFJIVDA4UC92NysyTGx6cDJEK0tsQWQvSGJzMkJHZmZmYVp5bU4vLy8zM3VIYnRHamlPZzBRaTRaTXROVlVtMFBmZmZ4OWlzUmhqeG94cDFQRlUyYlp0R3laTW1LQnkyN2x6NTdCcDA2WW1QeWNoaEpDRzZkbXpwMUtDdS9MeWNvd2FOUXFyVjYvR3RHblQrUFVaR1JtWVBuMzZ5MjRpSVZxREJzc1Qwa1RzN2UwNUFFaElTR2owNTBweHJPYXNjL25reVJNVUZoWTJLcXZnWDMvOUJWdGJXekFNdzVkN2Fhank4bksrSjFRZGxtWEJNTXhMbjk4amw4dFJVVkZSYnhLbTU4K2Y0KzdkdTN4Q3FEdDM3cUJyMTY0d05UVlZ1WDlwYVNteXM3UFJ2My8vSm0rem9qZTVLZDZIamRHVW40ZW1hQWZWakNYYXBpVytDMXJpYzk4Y24vRi8vL3ZmK1A3NzczSCsvSGwrR2t0VGVCbi9KNE1IRDE0aEVvbDJBOWlka0pEd2VYT2RoNURtUUQybWhHaXBkdTNhcVMzam9pbDF0VTRib3I2Z0ZFQ0xaVDdVMWRYVktET3ducDZlSUV0eGZRR25xYWxwc3dTbGhCQkNOSmVlbmc1WFYxZWwzeGlXWlNFU2lUQml4QWlWajJOWmxtNTJFZElNS0RBbGhCQkNDQ0ZhUzVIYklEOC9IK3ZXcmNPd1ljT3djT0ZDc0N5TDdkdTNvM2Z2M25CM2R3Znd2MkNXRU5MMEtEQWxoQkRTNWpVMllSWWhwTzN6OVBSRVZsWVcwdExTRUJJU0FwbE1CajA5UFlqRllpUW5KOFBYMTdlbG0waEltMGFCS1NHRWtEYUw0N2draG1FRzE3OG5JVzNTLzdWMEExNGx2cjYrWUZrV1ptWm1NRFUxaFpHUkVYUjBkQ0NUeVhEczJER0lSQ0lVRnhlMzJQUVNRdG82Q2t3SklZUzBXWW1KaVhZdDNRWkN5S3VoWDc5K0t0ZExKQkprWm1aaTZOQ2hBSURSbzBlL3pHWVJvalVvTUNXRUVFSUlJVnFuUzVjdUdwY2ZXN1ZxRlJZdFdnU0pSQUl6TTdObWJoa2gyb2tDVTBJSUlZUVFvblhFWWpGNjl1eXAwYjRHQmdZd01EQm8zZ1lSb3VWb2tEd2hoQkJDQ0NHRWtCWkZnU2toaEJCQ0NDR0VrQlpGZ1NraGhCQkNDTkY2NWVYbGtNdmxLdGZMWkxJV2FCRWgyb1VDVTBJSUlZUVFvdlc4dkx5d2Z2MTZzQ3dyV08vcjY0dlBQdnVzaFZwRmlQYWd3SlFRUWdnaGhHZzliMjl2SkNZbTR2YnQyL3k2eU1oSVhMMTZsUUpUUWw0Q3lzcExDQ0dFRUVLMHpyMTc5ekI3OW15bDlmUG16Vk5hTjJ2V0xNRnlmSHg4Y3pXTEVLMUZnU2toclppRGcwTkxONEVRUWdocGszcjM3bzFUcDA0cHJlYzREaTR1THRpN2R5OWVlKzIxRm1nWklkcUpodklTMGdweEhCZmIwbTBncjdSYkxkMEFRZ2hwN2NSaU1TUVNpZEw2NTgrZkE0RGF1cVhkdW5WcjFuWVJvcTJveDVTUVZpZ3hNWEZvUzdlQkVFSUlhZXZXckZtRFc3ZFUzOHY3NUpOUFZLNm5ZYnlFTkE4S1RBa2hoQkJDaUZZNmRPaVEwcnJBd0VEODlkZGY4UGYzYjRFV0VhSzlLREFsaEJCQ0NDRmFwNzQ4RG5WdGQzQndRR0JnWUZNM2lSQ3RSb0VwSVlRUVFnalJPclVUSDZXbnArT0xMNzZBdmIwOWxpMWJCZ0FJRFEzRlR6LzlCRzl2YjlqYjIvUDc2dW5wdmRTMkVxSU5LREFsaEJCQ0NDRmFSNUhFcUtDZ0FLR2hvUWdQRDhlYmI3NEpIeDhmR0JvYUFxaWVnMXBSVVlIdDI3ZGo0c1NKbURObkRxeXRyVnV5MllTMFdSU1lFa0lJSVlRUXJWSmVYbzdMbHkvandvVUxpSW1KZ2JtNU9aeWRuWEhqeGcwK0tBVUFxVlNLcEtRa2VIcDY0dGl4WXpoejVneDY5ZW9GQndjSGVIdDdReVNpQWhlRU5CWDZOQkZDQ0NHRUVLM0NNQXdPSFRvRWp1T3dmZnQyUkVWRlllellzU2dyS3hQc1YxVlZoZXpzYkV5Wk1nVm56NTZGcjY4dmV2WHFCV05qWXdwS0NXbGkxR05LQ0NHRUVFSzBpb0dCQVk0ZlB3NkdZZmgxc2JHeDZOZXZuOXJIU0NRU2pCczNEdVBHalhzWlRTUkU2OUN0SGtJSUlZUVFvblZxQnFXWEwxL0drU05ITUdQR2pCWnNFU0hhalhwTUNTR0VFRUtJMW1GWkZqRXhNUWdORFVWOGZEeTh2THd3ZlBqd2xtNFdJVnFMQWxOQ0NDR0VFS0tWZ29PRDBiRmpSNFNIaDZOSGp4NHQzUnhDdEJvRnBvUVFRZ2doUk91SVJDSUVCUVhWbWNUSXhNUUU4Zkh4TDdGVmhHZ3ZtbU5LQ0NHRUVFSzBFbVhXSmFUMW9FOGpJWVFRUWdnaGhKQVdSWUVwSVlRUVFnZ2hoSkFXUllFcElZUVFRZ2doS2lRbEplSDU4K2N0M1F4Q3RBSWxQeUtFRU5KbTJkblpKVElNTTdpbDIwRklDL20vaElTRWZpM2RpRmZaL1BuekVSRVJnWjQ5ZTdaMFUxb1YrbTV0czFyME80TUNVMElJSVcwV1hUZ1JMZmQ2U3plZ3RabzFheFpTVWxLVTFsKzRjRUdwaDdTZ29BQVNpVVN3N3JYWFhtdlc5clYyOU4zYVpyWG9kd1lGcG9RUVF0bzhLdmRBdEkyRGcwTkxONkZWMjcxN056SXlNdkQ1NTUvajJMRmovUHAxNjlZcGZWOTRlbm9xUFo2K1U2clI2OUIydElidkRBcE1DU0dFRUVLSVZyR3lza0phV2hxc3JLelFyVnMzZm4xZ1lLQmdQd2NIQnhyS1M4aExRb0VwSVlRUVFnalJPaWtwS1dqZnZqMXljM01CQUJLSkJGVlZWWmd3WVlKZ1AxZFhWOEZ5ZEhRMHpNM05YMW83Q2RFV0ZKZ1NRZ2doaEJDdGs1aVlpSVNFQkRnN093TUErdmZ2ajEyN2RnRUFJaU1qb2Erdkw5aS9yS3dNTTJiTWVPbnRKRVJiVUxrWVFnZ2hoQkNpVlNvcUtuRGp4ZzBjT0hBQThmSHhHREZpQkV4TVRQanRCZ1lHTURRMEZQd3hNREJvd1JZVDB2WlJqeWtoaEJCQ0NORXFWNjVjZ2FHaEllenQ3UUVBZi8vOU40WU1HY0p2SHo5K2ZFczFqUkN0UllFcElZUVFRZ2pSS21GaFlYanJyYmV3YytkT2pCczNEdG5aMlhCM2QrZTMvLzc3N3pBME5CUThwcmk0R0tOR2pYclpUU1ZFYTFCZ1NnZ2hoQkJDdElaTUpzT3paOCt3Wk1rU1JFWkdZc0dDQlFDQVFZTUc4ZnVNR0RHaXBacEhpTmFpd0pRUVFnZ2hoR2dOaVVTQ2d3Y1B3dFRVRko2ZW5yaDI3UnFLaW9wZ1kyT0QvUHg4QU1EWnMyZVY1cFNXbEpSZzJyUnBMZEZrUXJRQ0pUOGloQkJDQ0NGYXhkVFVGQUNRbVptSmUvZnVLYzBwWlZrV1ZWVlZTbjhJSWMySGVrd0pJWVFRUW9oV09uandJSFIxZGZIaGh4OEsxaytlUExtRldrU0k5cUxBbEJCQ0NDR0VhSjJVbEJSRVJVVmh4b3daNk5TcGsyQWJKVDhpNU9WN3BRTlRlM3Y3YUFEdnQzUTd5S3VONDdqWXhNVEVvUzNkRGtJSUlZUzhIREtaREZ1MmJJR1ZsUlU4UFQwQkFMbTV1WGo4K0RFQUlDOHZEL3I2K29MSGxKV1ZBUUR5OC9OaFltSUNIUjJkbDl0bzhzSllsZ1VBaUVUQ1dZeHl1UndaR1JubzNiczNHSVpwMURsS1MwdjVJZUxreGJ6U2dTa29LQ1ZOZ0dHWUlmWHZSUWdoaEpDMll0KytmY2pNekVSd2NERGZNK3JzN014dnJ6MjB0NmJaczJmajFLbFQ2TmF0VzdPM1U5dWRQWHNXT1RrNVdMQmdBWDhqUU5PNXZqVnZISVNHaHVMczJiTll1blFwM25ubkhYNTlibTR1M056Y0VCY1hWMmRnbXA2ZUxsZ1dpOFhvMHFVTHZ5eVZTdUhxNm9vbFM1YkF4Y1ZGNVRHeXNySmdZV0VCWTJOanBXMGN4K0hiYjcvRnVISGpNR0RBQUkyZVgxdjBxZ2VtQUlENCtQaVdiZ0o1UlRrNE9MUjBFd2doaEJEeWtzMllNUU1qUm95QXJhMHR2NDZ1SjFzZmp1TVFFaEtDNjlldlk4ZU9IZWpjdVRPR0ROR3NQK0hDaFF0bzM3NDlBR0RxMUtuSXo4L0hxbFdyNE9ycWlyVnIxd0lBS2lzcm9hT2pvOVNUV3B1cnE2dGcyZHJhR3VIaDRmeXl2cjQrUHZqZ0EvajUrY0hSMFZIbFRRdGZYMTlrWjJmRDE5ZFhVSm9JQUtLam8zSDA2RkY4OE1FSEdqMjN0cXBOQkthRUVFSUlJWVJvcWxPblRrcnpTclhSNE1HRGgzTWNWNW1jbkp3QVFON1M3YW5OMmRrWmZmdjJ4Y3FWSy9ITk45OWd6NTQ5T0hYcWxFYVB0YkN3QUFDY08zY09UazVPOFBMeXd1VEpreUdSU0hEOCtISHMzTG1UMzdkMlIwVnNiS3pTVU8ySWlBajA3TmtUcTFldmhxNnVybEl2NnBneFkzRHg0a1VVRmhZS2VuVU5EUTFoYVdtSlhidDJZZE9tVGZEdzhNREtsU3N4YytaTUFOWEJzYisvUDF4ZFhmbUF0YXlzREJrWkdSZzRjS0JtTDFRYlFZRXBJWVFRUWdnaFdvaGhHQmVSU0xUSzN0NytFWUNETE11ZXJxeXNqTHQ5Kzdhc3BkdW04UHJycitQSWtTUDhVTnVHREtHdXFLakE0Y09Ic1czYk5yaTV1V0hod29Vd01qS0NwYVVsUm93WWdmUG56eU0yTmhZK1BqNEFnSWNQSDJMaHdvVnFqeWVYeS9ISEgzL0F4OGRIcVJkVndjUERRN0Q4M252dndjL1BEOGJHeHZEejgwTkFRQUNzckt6NDdZY09IVUpsWlNVKy9mUlRmbDFVVkJUMjc5K1A0OGVQQy9adDZ5Z3dKWVFRUWdnaFJMdDFBTEJhSkJLdGxrZ2tSWFoyZGdjNGpvdDgrdlRwemZ2Mzd6OXZpUVk5ZS9ZTTE2OWZ4NWd4WS9naHVRMWxZR0NBc0xBd25EbHpCcWRPbllLdXJpNVlsb1dob1NFTURRMlJsWldGZ1FNSDRyWFhYZ01nbkw4cWs4bHc3Tmd4VEpzMmpWOFhIeDhQbG1YeDl0dHY4ME8vNzkrL2p4a3paaUF1TGs3dGtHQ080MUJhV2dvek16TXNYNzZjWDMvdjNqMEVCd2NqSUNCQU1QZlV6YzBOMGRIUjhQSHh3YjU5K3hxZG1PbFZRWUVwSVlRUVVvL2s1R1Q4NXovLzRiTjN2Z2lwVklxZ29DRElaRElzWDc0Y3VycWEvd1NYbDVkRElwRW9QYWE4dkJ5NnVycVFTQ1F2MUtha3BDVDA2OWNQZW5wNkwvUjRUYjJNakpndkM4ZHhxS2lvVUNvbG9pQ1R5WEQvL24zMDc5Ly9KYmVNRUFBQUF3QWN4N1Y3NDQwM1hxOTNaNFpwcDJLZEJZQzFETU9zTlRVMUxiTzN0LzhueTdKUmNybjg1cTFidC9LYm9jMHFYYjE2RlpzMmJjTEpreWV4ZWZObW1KbVo0YjMzM212UU1lTGo0eUVTaVRCbHloUk1uRGdSSVNFaFNFcEtRa0JBQUI0OWVvU0xGeThpTURCUTVXT0xpb3F3Wjg4ZURCOCtuRjkzK2ZKbERCOCtYSkN4bVdWWmlFU2lPdWVwbmp4NUVnY09ITURHalJ2NTUxQllXSWcxYTlaZzl1elpjSEJ3Z0V3bWcxUXFSVVZGQlNvcUt1RHE2b29OR3piZ3hJa1RjSE56YTlEemZsVlJZRW9JSVlSb0lEZzRHRU9HREhtaHBHbDM3OTZGajQ4UDlQVDBJSmZMTVhmdVhQajQrTURHeGthangzdDVlY0hZMkJoZmZmV1Y0T0xIMTljWFJVVkYyTHQzYjRQYkJBRHo1OC9uNTAycDBsb3lZalpYTmt1NVhJNkNnb0o2OTFQMHBnQkFSa1lHWEYxZDFTYkt5YzNOeFp3NWN6Uk9wRk5aV1ltY25KeDY5K3ZTcFF2RVlyRkd4eVNhYWFyM2QydkNNSXpkZi8vK1dDd1dmOXdFaHpRQnNFSWtFcTJRU0NUbDl2YjJSK1J5ZVdnVEhMZGU0OGVQUjRjT0hiQisvWHJNbkRrVDRlSGhpSWlJQUFBY1BIZ1FDUWtKOFBmMzEraFlDUWtKK09xcnIvRHc0VU1zWHJ3WVVxa1U2OWF0dzlDaFF3VTNrUlEzLzBwS1NwQ2NuQXdkSFIxQjl0MzA5SFNsb2JVeW1Rd3N5NnI4YlFnTEM0T3RyUzFjWEZ4UVVGQ0ExYXRYWS9yMDZmRHk4b0tIaHdleXM3TVJGaGFHUTRjT2dlTTQvbkVpa1FqNit2b3dOVFZGUUVBQTNudnZQVmhhV21yKzRyMmlLREFsaEJCQ29GbVc3cnJtSHUzWXNRTmp4NDRWckh2NDhDR0Nnb0lRRlJXRjJiTm53ODdPRGpZMk5vaU1qTVRjdVhNeGV2Um9MRml3QU4yN2Q2L3p2TjdlM2xpd1lBRnUzNzZOTjk1NEF3QVFHUm1KcTFldklqZzRXR24vV2JObUlTVWxSV245aFFzWDhQeTVjRlJlUVVHQlVvK3JJaEJyTFJreEc1dk5jdG15WllpSmlWRmFIeEVSb1hhZVdFMTFCWm5xM2plMTExdGFXdUxNbVRQNDl0dHZNV1hLRkQ0YmJFNU9qa1p0cU9zR0Fua3hUZlgrYmswNGpqUDU3MDBlS1lCMERmYTNWTlZycW9hWTQ3aGh1cnE2anh2UnhBWnhjbkpDV0ZnWUxseTRJTGhCbEpPVGd3RURCdFQ3bVdCWkZsdTNic1haczJjeGN1UklCQVFFb0tDZ0FQUG16WU5jTHNjMzMzd2oyTi9LeWdvMk5qWVlQWG8wZ09ydnJwcTlvNTkrK2lubXpac0hkM2QzOU8zYkYwRDFrT1BPblRzaklDQkFjS3pwMDZmek41TjBkWFd4ZE9sU09EbzZJajA5SFRvNk9saTNiaDJLaTR0aFlXRUJVMU5UR0JrWjhYOFVvMWdxS2lvd2E5WXMvUExMTDVnelo4Nkx2WWl2RUFwTUNTR0V0SHI5K3ZYclhGWldWcHlkblYzUlhPZTRjT0dDWUxtZ29BQWhJU0c0ZXZVcXhvd1pnMlhMbHZFQlZHRmhJZUxqNHpGdTNEaCtmeE1URXdEVkY3dng4ZkdJaUloQWRIUTBIQjBkY2VUSUVmVHQyeGZlM3Q2UXkrWHc4L09EczdNem40blJ5Y2tKa3lkUHh0dHZ2dzFqWTJQY3UzY1BzMmZQVm1yanZIbnpsTmJObWpWTHNCd2ZINC9kdTNjakl5TURuMy8rT1k0ZE84WnZXN2R1blZLUXBXcDRzbUtmMXBJUnM3SFpMRGR0Mm9TS2lncms1T1JnK2ZMbGZLOUw3ZWVibnA0dTZBMVZMS3Z5eHg5L1lOaXdZZmo5OTk4RjZ6TXpNL0hSUng4cHJWZThkekl5TXJCNDhXTHMzNzlmNDFJbFZOcXNlVFRGKzdzVnU1dVFrR0JmMzA1MmRuYTdBS3lxWTVkS0FQY0JuSkhMNVg0M2I5NHNBQUI3ZS92MVRkUE0rblhzMkJFZmZmUVJ2OHl5TE83ZXZRdFhWMWVsekxnS2lreTRJcEVJM2JwMXc5ZGZmODNmdk1ySnlZRzF0VFc4dmIweGN1Ukl3VTBma1VpRTBOQlE1T1hsUVN3V28yUEhqb0xqRGhnd0FFNU9UZ2dQRDhlR0RSc0FBSThmUDRhbHBhVWdTR1paRmh6SEtkMzBHenAwS0lZT0hRb0FHREprQ0I0K2ZDallMcFZLSVpWS0JldENRME5oWkdTazJZdjFpcVBBbEJCQ1NLdW5yNisveXNEQXdOUFMwdkpmY3JuOFgxVlZWWW0zYjk5KzJwVG5VUFIrM0xwMUN5ZE9uRUJxYWlyR2pSc0hiMjl2R0JzYm82U2tCSThlUGNLNWMrZHc0c1FKdlA3NjZ4ZzdkaXc2ZE9qQUgrUG16WnRZdTNZdDh2UHpNV0RBQUZSVlZTRXVMazRRWkxJc0N5Y25KOEV5eTdMWXNHRURkSFYxRVJJU2dqNTkrcWk4UU9ZNERpNHVMdGk3ZDYrZzk2QTJLeXNycEtXbHdjcktTcERCc3ZaY0tnY0hoM3A3NGxwRFJzekdack9zUGZSTzhYelZYZFNxczN2M2J0aloyUUdvN2lGZnNtUUp0bS9mam9vSzVmc2xJMGFNRUN3ckFzOXZ2dmtHQ3hZc3dMSmx5M0R3NE1FR25aODB2Y2E4djlzcWp1T2VNd3lUeXJMc1NRQjdrcEtTaWx1eVBVVkZSYmh5NVFyR2p4OFBQVDA5cEthbVFpcVZJalEwRktHaHFrY1ZUNW8wQ1Z1M2JnVUFQaUJWZk40dExDemc0ZUdCSjArZUFJRGFvZlF5bVF6UG5qMVQrbjRjUG53NFRwNDh5UzluWjJjcjdTT1hWMWZlcVQzOC91VEprL2o5OTkveDNYZmZRUzZYdzluWnVkN25mK2JNR1FwTUNTR0VrRmJHRU1CQ1hWM2RoVG82T3MvdDdPeU9Nd3h6cUxpNE9QN0Jnd2NsVFhHQ0F3Y09JREF3RUJLSkJKYVdsamg4K0RCKy9QRkh5T1Z5eUdReWlFUWlqQmd4QXY3Ky9yQ3hzZUY3U1JYNjlPa0RpVVNDVFpzMlljcVVLUUNBRlN0VzRQMzMzK2N2cW9EcUFQUDA2ZE94TjhwcUFBQWdBRWxFUVZRNGQrNGNBZ01EVVZWVmhmUG56eU04UEJ5MnRyWVFpVVNRU0NTUXlZUVZHeFREY0EwTURGUzJ2K1pGZFVwS0N0cTNiNC9jM0Z3QWdFUWlRVlZWRlNaTW1DQjRUTzBld2Vqb2FKaWJtN2VhakpndUxpNWdXYlpaczFuVzdwRlUxMFA1ODg4Lzh6MngvKy8vL1Q4Y1BIZ1F2Lzc2cTJCdW1Mb2VVd1ZEUTBOOCsrMjNtRE5uRG43NTVSZU1HaldxM3ZhUnB0Y1U3KzgyUnNweDNEMkdZVUpsTXRtK3ByN3gxeGh4Y1hIWXRtMGIrdlRwZzRFREI4TFcxcmJPRVFiVHBrMkR1Yms1Z09ydmxQcUd5dGY4WGxHbDlyazZkKzRzbUp0KzU4NGRwYVJNaXUvcTJvbmxZbUppVUZ4Y0xKaStFQmtaaWM2ZE95dWRWeWFUNGQxMzM2MnpiVzBOQmFhRUVFSmVPUXpENkFINEdNREg1dWJtY250NysvTXN5eDVoR09hM3hNVEV3aGM5N3ZUcDAyRmpZNFBPblR2RHpNd01EeDQ4UUZSVUZPTGk0akIrL0hpNHVibWhhOWV1T0hic0dIYnMySUY5Ky9ZSkVsSVlHaG9pTWpJU21abVpjSFIweEpVclYyQnBhWW1nb0NENCsvdGordlRwNk51M0w0S0RnNUdYbDRlSkV5Y2lOVFVWTTJmT1JIeDhQQ1pObXNRZmE4MmFOYmgxNjViS2RuN3l5U2NxMTllOGdFcE1URVJDUWdKL1I3NS8vLzdZdFdzWGdPb0xvWnJ6cG9EcUliQXpac3pnbDF0TFJzeW5UNThpTWpLeVdiTlpuanQzRGtCMXo4ZkNoUXVWbG9IcUM5ekhqeC96US9zbVRacUVmdjM2Q1lMU3VwU1hsL09aZkR0MTZvU3dzREIwN05peHdiMjJMMGdFZ0hGd2NCQkpwVkxtMmJObklybGN6bGhaV1RGU3FWUWtsOHVaeXNwS2thbXBLVk5aV1NtcXFxcGlqSXlNbU1yS1NoSExzb3llbnA2SVpWbW1xcXBLc2N6L20yVlprVVFpWWFxcXFrU2F2aGF0UVZPOXY5dUFYSlpsVnhjWEZ3ZWtwNmRMNjkvOTVmdmpqei9RcmwwN2paT2JsWmFXb2wyNzZtbXpPam82U3Y5UEZSVVY4UGIyUm84ZVBSQVdGZ1lYRnhlY1BuMGFtemR2MXFnSE15Y25oLy8rTEMwdFJVSkNBalp2M2l6WVJ4R1kxdnllcmF5c1JHeHNMT2JQbnkvWVZ5d1d2M0JtOWJhR0FsTkNDQ0hOeHQ3ZS9tVmNxZW9DY0JhSlJNNy9QV2N5eTdJN2RYUjBMamYwUXJsOSsvYXdzYkhCNWN1WDhkTlBQOEhVMUJSVHAwN2xNK28rZi80Y1JVVkZmRUtPK2ZQblkvLysvWUtzalRYdmhCc2JHOFBEd3dOMmRuWTRldlFvd3NMQzBLMWJOMlJsWldIT25Ea1lNMmFNMmg2OVE0Y09LYTBMREF6RVgzLzlWVzhteW9xS0N0eTRjUU1IRGh5QW82TWpQdnZzTTBIdnE0R0JnVkt2cTJMb21VSnJ5WWo1OGNjZmcrTzRSbVd6Rkl2RktDa3A0WWZzcGFlbkM0YllLWWI2S29iazFsNEdnTHk4UE9qcjY4UE16SXh2YTNCd01LS2pvMVUrNTlwRGVRRmhJRk43N2xwekJhZzFQNE1jeDBGUFQwL1FjMTl6R1lCZ20rTC9nK000TUF3aldLNWRIcU8xWnFsVnB5bmYzNit5eE1URWIxdTZEWFhoT0E3WHJsM0RpQkVqTkJyOXdMSXNTa3BLK01DMHRwU1VGR3pjdUJHREJnM0N5cFVyRVJZV0JuZDNkM1RvMEFGYnQyNUZTa29LbGl4Wm9uSlV5bzgvL29nSER4NGdMUzJOcjIxNitQQmh2UFBPTzBybnE2aW80TCtMRkc3Y3VJSHk4bktNSERteUlTK0JWcUhBbEJCQ1NGc3ppR0dZQXl6TFhtdG9iY3lRa0JEK1l0VFkyQmd5bVF6Ky92N1l1WE1uS2lvcW9LdXJ5d2QxQmdZR2VQcjBLVHc4UEJBWUdJaXVYYnNxSFM4dExRMWJ0bXlCZzRNRFB2MzBVOWpiMjBNc0ZxT3dzQkNYTGwzQ2poMDdCRWs5Rk9wTGRsUFhkZ2NIQjB5Yk5nMkdob2F3dDYvT2ZmTDMzMzhMc28yT0h6OWVvOWVqTldURU5EWTJiblEyeTBlUEh1RmYvL29YZng1WFYxZDA3ZG9WZS9ic0FWQmRqZ2FvRGo1VkxRUFZTWXRxenovY3VYTW5XSmJGczJmUDZuMHRhdy83enNyS0VoeFBrOHk4TDRLcmp0bzVobUU0QU54L1Y3RzFsbXZ1dzZwWXAxaXU3M0U5bXVWSk5KUEd2cjlKODB0S1NzTGp4NDhGWmFicTh2ZmZmNE5sV2FVNStDVWxKUWdPRGtaRVJBUVdMbHlJdVhQbkNyWXZYcndZdlhyMXdwZGZmb2tMRnk3QTNkMGRreVpORWlTNUdqbHlKS3l0cmZtTTZqZHUzTURKa3ljRkNlWVU4dlB6bGNwYi9mcnJyK2pac3lkNjlCQitUSXFLaWxUV2txNDlsVU1iVUdCS0NDR2syU1FrSkRRc01sVER6czV1RjhNd2RXV09CTWR4SlFDdUE0aVV5V1JIYnQrK0xXdG9qKzIwYWROZ1lXR0JqaDA3d3NURUJNYkd4akEwTklTUmtSRU1EUTJWeXBxVWxwYkMxOWRYYmUxRHhURFNPM2Z1NE1pUkl5cjNTVWhJVUZwWE8vRlJlbm82dnZqaUM5amIyMlBac21VQXFqTTEvdlRUVC9EMjl1WURVS0M2eDh2THl3dHZ2ZlVXZHU3Y2lYSGp4aUU3T3h2dTd1NzhQci8vL2pzL3JGU2h1TGhZNVh6SDFwSVJzN0haTEQvLy9IT1ZXWGVCNmdDNHB0ckxBREJ3NEVBK0MyZE5tWm1aTDFSeXhzdkxDOE9HRGNPTUdUTmdZMk9EbzBlUElqMDlIZE9uVDBkc2JDeC8zUGo0ZU15YU5ldUZoL29sSmliV1hZdW5DYjJrRVJKTnFqSHZiOUw4ZnY3NVoranA2V0hZc0dGSzI5TFQwM0h4NGtXWW1wcENUMDhQVXFrVXAwK2ZocEdSRVQvc3Q3UzBGRC84OEFPaW9xSmdaV1dGd01CQXRVT0N4NDRkQ3ljbkp3UUdCbUx2M3IzNC92dnY0ZVRrQkQ4L1B3RFZPUVFVMzJOWHJsekJ4bzBic1dYTEZuVHExQWtWRlJXNGVmTW0yclZyQjVsTWhzREFRRUZtY0psTWhrdVhMdkU5clRWOS9IRlRsSnR0RzdRNk1HVlp0dDdhYVMxeHJLYVNuSnlNLy96blB5cExBV2hLS3BVaUtDZ0lNcGtNeTVjdjU0ZnhhS0s4dkJ3U2lVVHBNZVhsNWREVjFYM2hIOW1rcENUMDY5ZFA1ZDBsUW9qV2VRemdTbFZWVldoeWN2SnBBS29qUkEyWm1wcmlpeSsrYU5CaklpSWlsTzZBOSt6WlV5a1FLUzh2eDZoUm83QjY5V3JCeFVsR1JnYW1UNTh1MkZmUmsxWlFVSURRMEZDRWg0Zmp6VGZmaEkrUER4OVFybG16QmhVVkZkaStmVHNtVHB5SU9YUG13TnJhbXM4a3VXVEpFa1JHUm1MQmdnVUFJS2ovcVdxWXFUcXRKU05tYzJTemJOZXVIVmF0V3NWblRhNGR1SmFXbHVMczJiTUFxdDhiQXdZTVVCdXNxS3FUQ2xULy95cksyeWlrcGFYaC92MzdtRGR2SGw1NzdUVWNQWG9VQVBEa3lST1ltSmdvWFU4b3RwT20xOWozTjJsZWQrL2V4ZENoUTVYbXhBUFZOd2dPSERnQWxtVUJBQXpEb0h2Mzd2RDE5ZVgzTnpFeGdWd3V4OUtsUy9IaGh4L1dleDNicmwwN3JGMjdGb3NXTGNLNWMrZlFwVXNYcFdHOUZ5OWV4Sll0VytEajQ4UGZ6TlBSMGNIeTVjc2hsOHZCTUF4c2JHeXdmdjMvS3VyazVlV2hjK2ZPS250K2p4MDdoazZkT2ltdHI2eXM1RWVQYUF1dERVekx5OHN4ZCs1Y0xGbXloQi9ycmNpNldKL2FkNW56OHZMZzZ1b0tQejgvdlBubW15Z3VyanVydHBXVmxkSmNqSWJNTGVuU3BZdFMrbWwxZ29PRE1XVElrQmVxZ1hiMzdsMStYcFZjTHNmY3VYUGg0K01ER3hzYmpSN3Y1ZVVGWTJOamZQWFZWNElmV1Y5Zlh4UVZGV0h2M3IwTmJoTUF6SjgvbndxTkU2TEZPSTdMWnhqbU41WmxEeWNsSmYyTTZpR0VUZXJ3NGNQbzNyMDd2NXlabVltUFAvNFl2LzMybTJDL2hpUkwrZVdYWDZDdnI2K1VGYmRIang2SWk0dmpsOHZMeTNINThtVmN1SEFCTVRFeE1EYzNoN096TTI3Y3VDSDQvWkZLcFVoS1NvS25weWVPSFR1R00yZk9vRmV2WG5Cd2NFQndjRERNemMzaDZlbUphOWV1b2Fpb0NEWTJOc2pQendjQW5EMTdWdWxpcTZTa1JPWGQvTmFTRWJNNXNsbHlISWRSbzBieHI4dmp4NDhCZ0Y4R29ISFczSC84NHg4YTdRY0FwMCtmaG9XRkJSKzBLNlNtcGxLNWtwZXNNZTl2MHZ4Q1FrTDR6MlZ0bHBhV2lJdUxBOHV5a012bDBOWFZWYnFwd3pBTU5tM2FwUGI0OCtmUFYvbi9hV0ZoSWVoSkR3OFA1M01KakJvMUNtKzg4WWFnREpWRUlzR2ZmLzdKQjhtMTI5RzllM2VsRzB4aXNSaGhZV0hvMmJPbnl1dDZqdVA0SkduYVFtc0RVME5EUTR3ZE94YmUzdDd3OWZYRjZOR2pFUjRlem5mWDE2WDJGOWJWcTFjaEVva3dhTkFnL2k1S1hjNmZQNjgwQktRaGMwdHFCbVdhQkp5cWFzSXA3Tml4QTJQSGpoV3NlL2p3SVlLQ2doQVZGWVhaczJmRHpzNE9OalkyaUl5TTVNZlZMMWl3UUhEUnBvcTN0emNXTEZpQTI3ZHY0NDAzM2dCUWZSRng5ZXBWQkFjSEsrMC9hOVlzcEtTa0tLMi9jT0VDbjkxTW9hQ2dRS25IdGE2YWZvU1FWMTR1Z0I5WWxqMmFsSlIwdmJsUEpwRklCS015Rk44M21velVVUFM2MWI0d1VZeXNVZGRieWJJczR1UGp3VEFNRGgwNmhFNmRPbUg3OXUwWU9YSWtidDY4aWN1WEx3djJyNnFxUW5aMk5xWk1tUUozZDNkY3VuUUowZEhSTURZMjVpKzBNak16Y2UvZVBhWDVWQ3pMS2cwL1ZqY2N1VFZreEd5T2JKWlZWVlg0NG9zdmxHNDJBRkM2ZWFCSjlsVjEreWplRHdveW1ReFJVVkdZT25XcTBzVm9kSFEwWHllMU5wbE1ScGs3bTBGajN0K2srWWxFb25vRE0wVjVyUmV4Wk1rU2pmYXp0cmJtLzgwd2pGSnQ1SnB0MFJURE1MQzF0WDNoN1cyUjFnYW1BTEJnd1FLVWxaWHhTUTZtVHAyS1ljT0c0ZXJWcXlvVFE5Uk1HMS9UTDcvOGdqRmp4c0RBd0FET3pzNXFmMWdWODNkcVQ0WlcwS1FYc0hZZ2V1SENCY0Z5UVVFQlFrSkNjUFhxVll3Wk13YkxsaTNqUHlTRmhZV0lqNC9IdUhIaitQMFZ5Umc0amtOOGZEd2lJaUlRSFIwTlIwZEhIRGx5QkgzNzlvVzN0emZrY2puOC9Qemc3T3dNZjM5L3VMcTZ3c25KQ1pNblQ4YmJiNzhOWTJOajNMdDNUMUJFWG1IZXZIbEs2MmJObWlWWWpvK1B4KzdkdTVHUmtZSFBQLzljTUpGODNicDFTai80cW9ZbnQ1RzA3WVFRRlY1MjVzamFReThWR3RJcnB1Z0Z6Yy9QeDdwMTZ6QnMyREFzWExnUUxNdGkrL2J0Nk4yN056L3ZzMmJ3WW1CZ2dPUEhqd3N5VU1iR3hxSmZ2MzVxenlXUlNEQnUzRGpCOXp0UW5WMVVWMWNYSDM3NG9XRDk1TW1UTlhvT3JTVWpabE5ucy96cXE2OFFIUjJOMDZkUEM5YlhWNE8wTHBxT1RQcjU1NTlWOWs1ZnZIZ1JDUWtKOFBiMlZ2azRUMDlQakI4L1htbllOM2x4VGYzK0pvUTBqdFlHcGc0T0RvaUlpTURubjMvT3IxTWt0dkQzOTFjWlROVk1HNitRbnA2T3BLUWtyRnUzcnQ1emxwV1ZRU1FTcVMyTW5wZVgxK0IwNjRxaTBMZHUzY0tKRXllUW1wcUtjZVBHd2R2Ykc4Ykd4aWdwS2NHalI0OXc3dHc1bkRoeEFxKy8vanJHamgyTERoMDY4TWU0ZWZNbTFxNWRpL3o4ZkF3WU1BQlZWVldJaTRzVEJKa3N5OExKeVVtd3pMSXNObXpZQUYxZFhZU0VoS0JQbno1S0NUdUE2aTkrRnhjWDdOMjd0ODVlVFNzcks2U2xwY0hLeWtvd2xLbDJqVHZGL3gwTjVTV0VOSmZhM3pHMTV4NHFhQktNZUhwNklpc3JDMmxwYVFnSkNZRk1Kb09lbmg3RVlqR1NrNVBoNit1cjlKaWFGOG1YTDEvR2tTTkhsRExZMWljbEpRVlJVVkdZTVdPRzB2d2xUWk1mdFphTW1JM05adm5UVHo4aEppYUd2MWtRRXhPRGlSTW5Ra2RIUi9CNHhieTAycStOSmpTWlk4cHhIRUpEUXpGMDZGQkJpYUdyVjY5aTgrYk5tRFZybHFCbnBxYWlvaUtVbFpVMXVGMUV2YVo2ZnhOQ21vYldCcVkxMVJ5N3JwZ2ZXbk9kaFlXRjJxNTV4Y1Q0UG4zNjRNQ0JBMm9MaGRmazZPZ0lRUG5DWU9uU3BRMXZQTUNmVnlLUndOTFNFb2NQSDhhUFAvN0l6NWxWREIzejkvZUhqWTJOVXNyNlBuMzZRQ0tSWU5PbVRaZ3laUW9BWU1XS0ZYai8vZmY1WkFCQTlRL3E2ZE9uY2U3Y09RUUdCcUtxcWdybno1OUhlSGc0YkcxdCthRVV0UzhJRk1OdzFRWGtOWVBRbEpRVXRHL2ZIcm01dVFDcWV3R3FxcXFVaGxYVkh2b2NIUjFOY3o0SUlVMUczZlNLRjVtdjcrdnJDNVpsWVdabXhwYzIwZEhSZ1V3bXc3Rmp4eUFTaVpUbVRySXNpNWlZR0lTR2hpSStQaDVlWGw0WVBueTR4dWVVeVdUWXNtVUxyS3lzK0JFbXVibTUvRytib2lablRZcWdKejgvSHlZbUp0RFIwV2tWR1RHLy9QTExSbWV6dkhqeElqSXlNdURpNG9JeFk4YWdiOSsrZVByMHFWSm0zNXAxVG11cjcyWm96YUdFYVdscEtDa3BnWjZlSHVMaTR2amYrbHUzYnVIKy9mdFl0R2dSZ09yNXhQdjI3Y1BSbzBjeGNlSkV3YzF5eFc5bWZIdzhKQklKY25OelZaWWtJaSt1c2U5dlFralRvc0FVd0pneFkrcGNwNjUzTGk4dkQyZk9uT0dYWjgyYWhRa1RKdURPblR1SWpZM0ZSeDk5VkdlU290cUIyb3NNNVFXQTZkT253OGJHQnAwN2Q0YVptUmtlUEhpQXFLZ294TVhGWWZ6NDhYQnpjMFBYcmwxeDdOZ3g3Tml4QS92MjdSUE1jVFUwTkVSa1pDUXlNelBoNk9pSUsxZXV3TkxTRWtGQlFmRDM5OGYwNmRQUnQyOWZCQWNISXk4dkR4TW5Ua1JxYWlwbXpweUorUGg0VEpvMGlUL1dtalZyY092V0xaVnQvK1NUVDFTdXI5a0RrWmlZaUlTRUJINDRkUC8rL2JGcjF5NEExZk5UVlYxSXpaZ3hvODdYakJCQ0dxcDI4aU4xTkVsK3BHNElya1FpUVdabUpsOENwWGIyeGVEZ1lIVHMyQkhoNGVGS1BZWDEyYmR2SHpJek14RWNITXdIUlRXbm1kUWUybHZUN05temNlclVLWFRyMXExVlpNUXNLU2xwZERaTFgxOWZwWnV5Rnk5ZXhMWnQyMVMyUTlXTmlZWk1GN2wyN1JyMjdkc0hqdU5nWUdEQS8vNjk4Y1liK1BISEgva015Y3VXTFVOcWFpcTh2YjJWL2src3JLd3dhdFFvTEY2OEdDekx3dGJXRm0rOTlaYkdiU0QxYSt6N214RFN0Q2d3L2EvdzhIRDA3TmtUNmVucGNITnpRMnhzTEFBSUNwTFh0bnYzYnBpWm1lSFJvMGNBcWxQSm01aVl3TWZIQjZhbXB1amR1M2VEMnZENDhXTzF2WXAxYWQrK1BXeHNiSEQ1OG1YODlOTlBNRFUxeGRTcFUvbU11cytmUDBkUlVSRmZTSHIrL1BuWXYzKy9ZQmhSelR2MXhzYkc4UER3Z0oyZEhZNGVQWXF3c0RCMDY5WU5XVmxabURObkRzYU1HYU4yTHNhaFE0ZVUxZ1VHQnVLdnYvN2lpOWFyVTFGUmdSczNidURBZ1FOd2RIVEVaNTk5SnVoOVZSUzByMGt1bDJ2MEdoRkNpS1ppWW1JZ0ZvczFtbk9tMkxlbUxsMjZJQ0lpUXFOenJWcTFDb3NXTFlKRUlvR1ptUm0vWGlRU0lTZ29xTTVFR2lZbUptcURwUmt6Wm1ERWlCR0N4Qmt2TWcrL3RXVEViR3cyeTlwQktWQ2RWMEpWdmRMNmRPblNCZUhoNGZ4eTkrN2RsZkk5ekowN1YybTRza0xObXJNYk4yNkVzYkd4MnBxWU8zZnViSEQ3aU9ZYSsvNG1oRFF0Q2t6L1MwZEhoLytqV0s3TDdkdTNFUjBkamExYnR3cCtkSThlUFlyazVHUUFkUS81T25mdW5GSkdyN3F5NTlZbEpDU0VEL3FNalkwaGs4bmc3KytQblR0M29xS2lBcnE2dW54UVoyQmdnS2RQbjhMRHd3T0JnWUVxaHdXbHBhVmh5NVl0Y0hCd3dLZWZmZ3A3ZTN1SXhXSVVGaGJpMHFWTDJMRmpoK0NDUWFHK0lXNTFiWGR3Y01DMGFkTmdhR2pJLzJqLy9mZmZnaHNEcWhKU0VVSklVMnRJZGtkVis0ckZZbzNud0t1NjRhYlFtSXZnVHAwNnFleEpiS2pXa2hHenRwYk1aaWtXaXdYelFFVWlFWi92b2FFYWVnT2JOSzNtZm44VFFocUdBdFAvVXZSV3FxcGhwa3IzN3QyeGVQRmk5Ty9mbjE4WEh4OFBmMzkvYk4yNmxRK3Vzckt5c0d6Wk1xWE1mNnErQ0k4ZE8xYnZjQzFWR1NHblRac0dDd3NMZE96WUVTWW1KakEyTm9haG9TR01qSXo0aEU0MWxaYVd3dGZYVjIxcEFEYzNOd0RBblR0M2NPVElFWlg3SkNRa0tLMnJuZmdvUFQwZFgzenhCZXp0N2JGczJUSUExWE55Zi9ycEozaDdld3Z1R3V2cDZjSEx5d3R2dmZVV2R1N2NpWEhqeGlFN081dlBXQWxvbnF5REVFSUlJWVFROG1xaHdQUy9hdmRXMWs2MlU1dUppUW5tejU4dlNKQWdFb25nN2UwdG1IT1psWlVGYzNOempUSzR2V2c5TmxOVFUzenh4UmNOZWt4RVJJUlNFTnl6WjArbG9WN2w1ZVVZTldvVVZxOWVMVWc4a1pHUm9aU3lYcEhFcUtDZ0FLR2hvUWdQRDhlYmI3NEpIeDhmUHFCY3MyWU5LaW9xc0gzN2RreWNPQkZ6NXN5QnRiVTFaRElabmoxN2hpVkxsaUF5TWhJTEZpd0FBSDRlRGdDMXRmOElJWVFRUWdnaHJ6WUtURkZkSjNQczJMRXdNVEVSbEFSUTFCclRkRWpXK2ZQbkVSRVJvVEtaZ3FwaHJEdDI3TUQ2OWV2NVpYVlpJR3VydVYvTlFMSjJzbzdNekV4OC9QSEhTc1hETlVuV29mRExMNzlBWDE5ZktWRHYwYU1IbjNZZnFBNWdMMSsrakFzWExpQW1KZ2JtNXVad2RuYkdqUnMzQkwyY1Vxa1VTVWxKOFBUMHhMRmp4M0RtekJuMDZ0VUxEZzRPQ0E0T2hybTVPVHc5UFhIdDJqVVVGUlhCeHNhRzc3MCtlL2FzMHBBM1ZiWGdDQ0dFRUVJMG9VaHVWSHQwbVZ3dVIwWkdCbnIzN3EzUmZITkNTT05SWUFvSWV2NFV5WFFlUG55SXlzcEtmUFBOTjJqZnZqMCsrT0NEZW8vajZlbUpPWFBtOE12bDVlVll0R2dScXFxcU1IVG9VS3hZc1VLd2YvdjI3UVVKTXNyS3lyQjY5V29ZR3h0ajI3WnRmQkJXVlZXRm1KZ1l2UDMyMjNXZVh5S1JDT3F4S1hwZlZkVjRxMDBSa05mK1ltWlpsaTgzb3dyTHNvaVBqd2ZETURoMDZCQTZkZXFFN2R1M1krVElrYmg1OHlZdVg3NHMyTCtxcWdyWjJkbVlNbVVLM04zZGNlblNKVVJIUjhQWTJKaFBnSkdabVlsNzkrNHBKWTVnV1ZacCtMRzY0Y2lFRUVJSUlmVUpEUTNGMmJObnNYVHBVa0htNTl6Y1hMaTV1U0V1TG80Q1UwSmVFcTBQVEtkTm00YXlzakk4Zi80Y0ZSVVYvSjJ6U1pNbXdjREFBQ1ltSnRpOGVUTzZkdTFhYjNwd0N3c0x2aGk0VkNxRnQ3YzNEQXdNRUJBUUFBOFBENXc0Y1FJclZxd1FKRlpTOU1hV2xwWmk4K2JONk5DaEF3SUNBZ1JaQ21OalkrSHY3NC9VMUZTc1g3OWViYUNwS09CZG02cDVxZW9vZWtIejgvT3hidDA2REJzMkRBc1hMZ1RMc3RpK2ZUdDY5KzdOei90VUJMTkFkUUtQNDhlUEM3NjhZMk5qMVpaSkFLb0Q1M0hqeG1IY3VIR0M5UWNQSG9TdXJxNVM2dnpKa3lkci9Ed0lJWVFRUXVvemRlcFU1T2ZuWTlXcVZYQjFkY1hhdFdzQlZKY2MwdEhSb1V5ODlYaVIyczZFcUtQMWdlbXNXYk9ncTZzTEN3c0xtSnVidzl6Y0hLYW1wakExTllXdXJpNEtDd3N4YytaTS9PYy8vOEc3Nzc2cjBUR3ZYcjJLM2J0MzQrblRwL2poaHg5Z2JXMk43Ny8vSGt1WExrVjhmRHlXTFZ1R1ljT0c4VUZjV2xvYXZMMjkwYVZMRjN6MTFWZDhUeW5Mc3BESlpMQzF0Y1dtVFp1d2JkczJwS1NrNE50dnYwWG56cDJWemx1N0Rtck5ZY2sxYWZJbDR1bnBpYXlzTEtTbHBTRWtKQVF5bVF4NmVub1FpOFZJVGs2R3I2K3YwbU5xQnFXWEwxL0drU05IOE0wMzMyajBtaW1rcEtRZ0tpb0tNMmJNVU1vb1NjbVBDQ0dFRU5KVXpwMDdCeWNuSjNoNWVXSHk1TW1RU0NRNGZ2eTRvRXhQN1d1bTJOalllaXMzYUFPTzQrNHdETk8vL2ozSkt5YXRKVSt1OVlGcFhVWEc4L0x5VUZsWmljT0hEME5YVnhmaDRlRktKVjRVT0k1RFVGQVFvcUtpa0oyZGpkR2pSMlAxNnRWbzE2NGRBR0Rnd0lFNGZQZ3dObTdjaUdYTGxxRjc5KzQ0ZE9nUXNyS3lNRy9lUExBc2k3S3lNamc3TytQNTgrZVF5V1FxYTNUZXYzOGZjK2JNd2E1ZHV6QjQ4R0RCTm5WelZGL2ticGF2cnk5WWxvV1ptUmxNVFUxaFpHUUVIUjBkeUdReUhEdDJEQ0tSQ01YRnhZSTdpU3pMSWlZbUJxR2hvWWlQajRlWGx4ZUdEeCt1OFRsbE1obTJiTmtDS3lzcmVIcDZBcWdlU3FQSWxKeVhsNmZVYTExV1ZnYWd1b2ZYeE1TRWZpd0lJWVFRVXErS2lnb2NQbndZMjdadGc1dWJHeFl1WEFnakl5TllXbHBpeElnUk9ILytQR0pqWStIajR3T2dlb3JYaTViMWE0c1NFeE1IdEhRYlNOdWo5WUZwWFk0ZlA0N0Rody96eXhZV0Z0aTRjYU5nSHowOVBRd2NPQkFNdzhERXhBUkRoZ3pCcmwyNzBLZFBINlhqOWVqUkE0Y09IY0xQUC84TVhWMWRtSnFhb2wrL2ZwZzRjU0s2ZCs4T0N3c0x2dHlMa1pFUmpJeU0rQnAzZW5wNjBOZlhSMzUrUHBZc1dZSmZmLzFWS1RDdG5meElIVTJTSDZrYmdpdVJTSkNabVltaFE0Y0NBRWFQSGkzWUhod2NqSTRkT3lJOFBMemUwamUxN2R1M0Q1bVptUWdPRHVaN1JwMmRuZm50ZGQxRW1EMTdOazZkT3NWbkJpYUVFRUlJVWNmQXdBQmhZV0U0YytZTVRwMDZCVjFkWGJBc0MwTkRReGdhR2lJckt3c0RCdzdrcXlyVXpHbWh1RWsvYmRvMEdCc2J0OVJUSUtUTmVhVm5jOXZiMjNNQWxJYXFhcUs4dkJ3R0JnWjFUbWl2ckt4RVJVVUY1SEk1R0lhQnVibDVxNWdBLyt6Wk14Z1pHUW5XeVdReWlNVmlqZHFuYXQvS3lrcms1T1JvbElHNG9xSUNUNTgraFVRaWdabVptV0NiSWxuU2k4akx5ME51YnE2Z3ZtbHpVL1FtSnlRa05Qby9WdkYrYklwakVmS3FheTJmaDhiOFRoRHlLbXZLM3pkTnRjVG52aWsrNDNLNUhDRWhJVWhLU2tKQVFBQWVQWHFFcVZPbklqQXdrSzlYbjVXVmhhbFRweUkyTmhhUEhqM0NoQWtURUI0ZURtdHJhNDNQOHpMK1R3WVBIaHdwRW9sY0FDUW1KQ1M4dkFzcVFwcUExdmFZMXA2cnFJcFlMSVpZTEg0SnJXbVkya0VwZ0FiVlAxVzFyMWdzMXJnc2pxSVhWNVhHSkFubzFLbVQwcnpTbDhYT3pvNWpHQVljeDNFTXc3QUFPSTdqV0laaHFqaU9xd0lnWnhoR0RrQU9vSkpsMlVxUlNDUURJT000N2puRE1NODVqbXNWTnk0SUlZUVFvcG1FaEFSODlkVlhlUGp3SVJZdlhneXBWSXAxNjlaaDZOQ2hmRkFLQUxxNjFaZk1KU1VsU0U1T2hvNk9EcnAwNmRKU3pTYWtUZExhd0pRUWhacTl2RXgxWktuejMzK2o1dDgxMVF6QTY5cVBFRUlJSWEwUHk3TFl1blVyenA0OWk1RWpSeUlnSUFBRkJRV1lOMjhlNUhLNVV2SkdLeXNyMk5qWThGT1lwazZkV20rMUJrSkl3MUJnU3JTZVNDUkNRa0tDbnAyZG5WbGxaYVdwU0NReTR6ak9SRWRIeDVobFdST1JTR1FDd0FpQVlhMi9EUmlHTVdBWVJwL2pPSDJHWVNnOU1DR0VFUElLRUlsRTZOYXRHNzcrK211K1ZuMU9UZzZzcmEzaDdlMk5rU05IQ3FvZGlFUWloSWFHSWk4dkQyS3hHQjA3ZG16QjFoUFNObEZnMnN3VWRWRnJEM0dWeStYSXlNaEE3OTY5RzkzVFZscGFDbE5UMDBZZFExTXBLU25vMmJObmc0WU92eUpraVltSmhRQUtYL1FBaW5rdWhCQkNDR245RkFGcGVubzZnT29rbHg0ZUhuank1QW1BNmtCVkZabE1obWZQbm1rOEJZb1FvaGtLVE5VNGUvWXNjbkp5c0dEQkFyNEVTYzJNYkhXcFdiSWtORFFVWjgrZXhkS2xTL0hPTysvdzYzTnpjK0htNW9hNHVMZzZBMVBGbDZXQ1dDd1d6R21RU3FWd2RYWEZraVZMNE9MaW92SVlXVmxac0xDd1VKazVqdU00ZlB2dHR4ZzNiaHdHREtnLzgvZEhIMzJFRXlkTzhGL0dpcVJKNm5UcDBrVXdUN2U0dUJpalI0L0d1WFBuOE9qUkkzVHIxcTNPakhZT0RnNUs5VmtKSVlRUVFocWpxcXBLYlprOWhlWExsOWU1blpLcUVkSzBLREJWZytNNGhJU0U0UHIxNjlpeFl3YzZkKzZNSVVPR2FQVFlDeGN1b0gzNzlnQ3E1eURrNStkajFhcFZjSFYxeGRxMWF3RlVCM1E2T2pyMUpndXEvYVZwYlcyTjhQQndmbGxmWHg4ZmZQQUIvUHo4NE9qb3FMSmNpcSt2TDdLenMrSHI2NHRCZ3dZSnRrVkhSK1BvMGFQOFhjT0d5c25KcWZPTHZYWlFLWkZJd0xJc0tpc3I4ZlhYWDZPMHRCUzdkKy9teTl4VVZWVWhOemNYWGJ0MnBUbWJoQkJDQ0drV09qbzZTb0ZsUlVVRnZMMjkwYU5IRDRTRmhjSEZ4UVduVDUvRzVzMmJCZVhyQ0NITmd3SlROWnlkbmRHM2IxK3NYTGtTMzN6ekRmYnMyWU5UcDA1cDlGZ0xDd3NBd0xsejUrRGs1QVF2THk5TW5qd1pFb2tFeDQ4Zng4NmRPL2w5RmFuREZXSmpZd1U5cnNEL2dydlZxMWREVjFkWHFSZDF6Smd4dUhqeElnek9PS2dBQUNBQVNVUkJWQW9MQ3dXOXVvYUdockMwdE1TdVhidXdhZE1tZUhoNFlPWEtsWmc1Y3lhQTZ1RFkzOThmcnE2dWZNQmFWbGFHakl3TURCdzRVSENPckt3cy90OTVlWGxLYlZSMTE3RDJjd1BBSndxb3JLeEVRRUFBdkx5ODhObG5uK0hreVpNUWlVVEl6OC9IMUtsVEVSTVQweGFIQ3hOQ0NDR2tGVXBKU2NIR2pSc3hhTkFnckZ5NUVtRmhZWEIzZDBlSERoMndkZXRXcEtTa1lNbVNKV3FyRWhCQ0dvOEMwenE4L3Zyck9ITGtDTjl6cDZvM1VwMktpZ29jUG53WTI3WnRnNXViR3hZdVhBZ2pJeU5ZV2xwaXhJZ1JPSC8rUEdKalkrSGo0d01BZVBqd0lSWXVYS2oyZUhLNUhILzg4UWQ4Zkh6VTlsQjZlSGdJbHQ5Nzd6MzQrZm5CMk5nWWZuNStDQWdJZ0pXVkZiLzkwS0ZEcUt5c3hLZWZmc3F2aTRxS3d2NzkrM0g4K0hGKzM2cXFLa3lkT3BYZlorblNwZnkvSXlJaStIOW5aR1JnK3ZUcGlJdUxVL3M4UkNJUnhHSXhaRElaakkyTjhmMzMzK1BodzRkZ1daYWYwMEVJSVUxTjFZMHlRa2pyTVhqdzRITU13MlFrSmlhdUJ2RDBaWjIzcEtRRXdjSEJpSWlJd01LRkN6RjM3bHpCOXNXTEY2TlhyMTc0OHNzdmNlSENCYmk3dTJQU3BFbDhKd1FocE9sUVlLckNzMmZQY1AzNmRZd1pNNFlma3R0UUJnWUdDQXNMdzVrelozRHExQ25vNnVxQ1pWa1lHaHJDME5BUVdWbFpHRGh3SUY1NzdUVUF3dm1yTXBrTXg0NGR3N1JwMC9oMThmSHhZRmtXYjcvOU50ODdlZi8rZmN5WU1RTnhjWEZxaHdSekhJZlMwbEtZbVprSjVrcmN1M2NQd2NIQkNBZ0lFTXp4ZEhOelEzUjBOSHg4ZkxCdjN6NHdEQ01ZN3VMazVJU1RKMCtpUjQ4ZUFJUnpZRG1PNDVNOTFmZmF4TVRFNFByMTYwaE5UY1g5Ky9lUmtaR0IvdjM3WS92MjdmVStuaEJDTk1WeDNCMkdZZnJYdnljaGJWSmFTemRBVXd6RGZNQXdqTmplM240eHgzRXlqdVBDcFZMcFovLzNmLy8zdURuT1YxcGFpaDkrK0FGUlVWR3dzckpDWUdDZzJsd2JZOGVPaFpPVEV3SURBN0YzNzE1OC8vMzNjSEp5Z3ArZkgvV2dFdEtFS0RCVjRlclZxOWkwYVJOT25qeUp6WnMzdzh6TURPKzk5MTZEamhFZkh3K1JTSVFwVTZaZzRzU0pDQWtKUVZKU0VnSUNBdkRvMFNOY3ZIZ1JnWUdCS2g5YlZGU0VQWHYyWVBqdzRmeTZ5NWN2WS9qdzRZS2FXWXI2bTNYTlV6MTU4aVFPSERpQWpSczM4cytoc0xBUWE5YXN3ZXpacytIZzRBQ1pUQWFwVklxS2lncFVWRlRBMWRVVkd6WnN3SWtUSitEbTVxWjB6QmVaKzNucDBpV0VoWVVoTFMwTnBhV2xPSG55Skt5dHJXRnRiWTBSSTBiQTJ0b2FQWHYyUkdIaEN5ZkZKWVFRSlltSmlmVm5kU09FdENvTXcwZ1lobkUzTkRSMHQ3T3pxd1R3YzJGaG9XZDJkcmI2YklzTlpHSmlBcmxjanFWTGwrTEREeitFcm03ZGw4VHQyclhEMnJWcnNXalJJcHc3ZHc1ZHVuU2hvSlNRSmthQnFRcmp4NDlIaHc0ZHNINzllc3ljT1JQaDRlSDhrTldEQnc4aUlTRUIvdjcrR2gwcklTRUJYMzMxRlI0K2ZJakZpeGRES3BWaTNicDFHRHAwS1ByMy85OU5mTVVYWWtsSkNaS1RrNkdqb3lQSXZwdWVuaTRZaGd0VTk2eXlMS3R5aUZwWVdCaHNiVzNoNHVLQ2dvSUNyRjY5R3RPblQ0ZVhseGM4UER5UW5aMk5zTEF3SERwMENCejN2eW9uSXBFSSt2cjZNRFUxUlVCQUFONTc3ejFZV2xvQytGK1BhTzM1cFFyUG56OVhHN1JhV0ZqZy9mZmZ4OXk1Yy9IWlo1OGhLQ2lJUHk3THNyaDM3NTRnZXk4aGhCQkNDTU13WWdET2xwYVd6cGFXbGxVY3gvMVdXVm01Nk5hdFc0M3FEV1lZQnBzMmJWSzdmZjc4K1RBM04xZGFiMkZoZ1k4KytxZ3hweWFFcUVHQnFScE9UazRJQ3d2RGhRc1grT0cyUUhVVzJnRURCdFJidm9SbFdXemR1aFZuejU3RnlKRWpFUkFRZ0lLQ0FzeWJOdzl5dVJ6ZmZQT05ZSDhyS3l2WTJOaGc5T2pSQUtxeitkYnNIZjMwMDA4eGI5NDh1THU3bzIvZnZnQ3FoeHgzN3R3WkFRRUJnbU5Obno2ZEQvSjBkWFd4ZE9sU09EbzZJajA5SFRvNk9saTNiaDJLaTR0aFlXRUJVMU5UR0JrWjhYLzA5UFFBVk0rUm5UVnJGbjc1NVJlVWw1Y0xlbmNuVDU3TS83dm1ITlB5OG5LMVFhdWRuUjNzN096NFh0NmlvaUkrTUQxOCtEQU9IRGlBMDZkUDEvbWFFa0lJSWFUMWE4YTYzam9NdzR5U1NDVDM3ZTN0cTFpV3ZkWk01OEdTSlV1YTY5QXZxKzU1NTVkd0RrS2FGQVdtZGVqWXNhUGdyaGpMc3JoNzl5NWNYVjJWTXVNcUtETGhpa1FpZE92V0RWOS8vVFZmaWlVbkp3ZlcxdGJ3OXZiR3lKRWpCYVZVUkNJUlFrTkRrWmVYQjdGWWpJNGRPd3FPTzJEQUFEZzVPU0U4UEJ3Yk5td0FBRHgrL0JpV2xwYUNJSmxsV1hBY3A1VFJkdWpRb1JnNmRDZ0FZTWlRSVhqNDhLRmd1MVFxaFZRcUZhd0xEUTJGa1pFUnlzcks0T3pzak1lUEgyUGV2SG40OTcvL3pmZnd5bVF5ZnYvOC9QeDZNK21LUkNKMDZ0UUpEeDgraEsydExaS1RrN0Z2M3o1ODl0bG5zTFMwUkc1dWJwMlBKNFFRUW9oMjR6Z09ETVBvTUF6emo1WnVTeXRtMk5JTklLU2hLREN0UTFGUkVhNWN1WUx4NDhkRFQwOFBxYW1wa0VxbENBME5SV2hvcU1ySFRKbzBDVnUzYmdVQVBpQlZCTEVXRmhidzhQRGdzOC9tNUtpZUtpR1R5ZkRzMlRPbFh0bmh3NGZqNU1tVC9ISjJkcmJTUG5LNUhBQ1Voc1dlUEhrU3YvLytPNzc3N2p2STVYS042bkdkT1hNR1JrWkdNREV4Z1ltSkNZcUtpc0F3REI0K2ZNZ0h1VFVEOU5UVVZPanE2dUt2di83Q0cyKzhvZmE0dlhyMXdvTUhEOUMzYjE5NGVYbGh6Smd4bURWclZyM3RJWVFRUWtqcng3THMwdnIzRWhLSlJOOERVRDNzcWdhTzQ2UXN5eDRyTEN4Y21wdWJXLzZTZWgrYkZNdXlIdlh2OVdJWWh2RmtHTWFlNDdnSHpYVU9RcG9MQmFaMWlJdUx3N1p0MjlDblR4OE1IRGdRdHJhMkt1dDFLa3liTm8yZmoxQlZWYVcyckl0Q3pTeTVxdFErVitmT25WRlFVTUF2MzdselJ5a3AwL1BuendHQUg1S3JFQk1UZytMaVlrR2lwTWpJU0hUdXJEelNReWFUNGQxMzMxVmFuNUtTQWgwZEhTeGZ2aHcrUGo2WU1HR0NZUHYxNjllaG82T0RlZlBtSVQ0K0hvTUdEUklNUjFZWU5HZ1FmdnZ0TjBSR1JzTGEyaHFiTjI5Vzh3b1FRZ2doNUZXVGxKUzB0NkdQc2JPejI4MHdqQ0F3L1cvUEtEaU9lOGF5ckY5eWN2SjJBSlZOMWxBTmxKYVd3dFRVdEVtUG1aU1VGTlNrQjZ4aDhPREJFeGlHc1djWTVwVUwyQW1od0xRT2YvenhCOXExYTZjMmZYaHRwYVdsYU5ldUhRQUlTcXdvVkZSVXdOdmJHejE2OUVCWVdCaGNYRnh3K3ZScGJONjhXYU1lekp5Y0hEN1FLeTB0UlVKQ2dsSlFwd2hNYXdhRWxaV1ZpSTJOeGZ6NTh3WDdpc1hpZW9mZTFuVDkrblZNbkRnUm5UcDF3dWJObS9Ia3lSTzR1N3NqUGo0ZWYvNzVKMUpUVXpGcjFpd2NQWG9VQVBEUGYvNVRaVzNTTjk5OEUzdjM3b1dEZ3dPKysrNDdpTVZpVkZWVm9iUzBWT08yRUVJSUlhVHQ0amp1V1dWbHBlK3RXN2UrQmxCL0xib1hVSHRhbGxnc0ZpU2VsRXFsY0hWMXhaSWxTK0RpNHRJY1RTQ0UxRUNCcVJvY3grSGF0V3NZTVdLRVJ1VlJXSlpGU1VrSkg1aldscEtTZ28wYk4yTFFvRUZZdVhJbHdzTEM0Tzd1amc0ZE9tRHIxcTFJU1VuQmtpVkxWS1llLy9ISEgvSGd3UU9rcGFYeHRVMFBIejZNZDk1NVIrbDhGUlVWZkdaZGhSczNicUM4dkJ3alI0NXN5RXNnOE9USkUxeTdkZzIrdnI0WU5Xb1VkSFIwOE4xMzMrSHAwNmY0K09PUDhmWFhYNk43OSs2WU1tVUtINWdDd05LbFN6RjE2bFRNbURFREFIRHQyalZzM3Z6LzJidnpzS2pLOWcvZzN6TXN5cXE0Z0lnZ2htSmxXb0NvNzZ1V1M2Q21sb3BMcnZpcXVPYVcreGFhb1dsUmJtbWFKbWdTSXZpNllwSzRweVVpNkt1V2F5QzRnQXNJQ2pnTTUveitJTTZQWVdaZ1VIU1UrWDZ1aXl2T09jODU1eDZRNmR6elBNLzlmQWFGUW9GMzMzMVhmcjJwcWFubzA2Y1BObTdjV0dxdk5CRVJFVlUra2lSbEFLZ2lTZEtjeE1URTcxN0VQVXVPYkhOemMwTkVSSVM4WGJWcVZiei8vdnNJRGc1RzgrYk40ZXpzL0NMQ0lqSmFURXgxU0V4TXhQMzc5L0h1dSsvcTFmN3Z2LytHS0lwcUZYeUJ3dVZmTm16WWdLaW9LSXdjT1JMKy92NXF4MGVQSG8wR0RScGc4ZUxGaUltSndhQkJnOUN0V3pmWTJkbkpiZHEzYnc4M056ZjQrL3ZEeDhjSHAwK2ZSbVJrSk1MRHd6WGlTRXRMZzdXMXRkcStYMy85RmE2dXJxaGZ2NzdhL295TURJMGh2NEI2UWFNaW9hR2hzTEN3UU51MmJRRVVsbEdYSkFtZW5wNllPWE1tYnQrK2pmWHIxMnZNYmMzT3pvYUppUW5TMHRLd1lzVUtIRGh3QUpNblQwWmVYaDQyYk5nQUh4OGZPRGc0SUNrcENhSW9xcjNwaTJMaEI2UlBzMjRxRVJFUnZUb1NFeE1keW01VjhZb0tVVTZiTmcybXBxWWF2YWkrdnI0NGNPQUE3dDY5aTRLQ0FubC9VYkZMSXFvNFRFeDErT1dYWDFDbFNoVzBhdFZLNDFoU1VoSU9IRGdBVzF0YlZLbFNCWGw1ZWRpNWN5ZXNyS3prWWI5WldWbjQ3cnZ2c0hmdlhqZzRPR0RkdW5VNmh3UjM2dFFKM3Q3ZVdMZHVIVmF2WG8wVksxYkEyOXNid2NIQkFJQ0dEUnZLaFpTT0hEbUN1WFBuWXY3OCthaFRwdzV5YzNOeDd0dzUxS2hSQTBxbEV1dldyY05iYjcwbFgxdXBWT0xnd1lOeVQydHhRNFlNMGV0bmNlM2FOV3pkdWhYRGh3OVhHL3JidjM5L3pKdzVFMy84OFFjV0wxNk1KazJhNE83ZHV3Q0FFeWRPd01MQ0F1bnA2WEIyZHNiKy9mdHg1Y29WL1BqamoyalNwQWtLQ2dwdzRzUUpqQjA3RmdzV0xNQ0pFeWZRcUZFajJOcmFJakl5RWhZV0Z2TC9IR3hzYlBTS2s0aUlpS2k4VkNvVmZ2Lzlkd1FHQnVxc0R4SVFvRjZ2cUYyN2R2SnpHaEZWRENhbU92ejU1NTlvMmJLbDF1STlscGFXV0x0MnJWcVBub3VMQzRLQ2d1VDJOalkyVUtsVUdEZHVIUHIwNlNNdnI2SkxqUm8xTUhQbVRJd2FOUXJSMGRGd2NuTFNHTlo3NE1BQnpKOC9INEdCZ2VqWXNTTUF5TVdJVkNvVkJFR0F1N3M3WnMrZUxaOXo1ODRkT0RvNmF1MzVEUThQUjUwNmRUVDI1K2ZueSt1cEFzQ05HemRRcTFZdGpRV2x2L3p5U3lRbUp1S2JiNzVCbXpadEFCUXVzZE9wVXlkTW5EZ1JRT0V5TlY1ZVhtalpzaVVHRGh3b3IzTnFZbUtDWmN1V1ljbVNKZkxjMTZKcXhqdDI3TURmZi84TlUxTlREQmd3UU9md2FDSWlJcUpuRlI4ZkQxRVUwYVpORzNrNjBkV3JWOUd2WHovRXhjV3BGWTRrSXRMSzA5TlQ4dlQwbEo2SGdvSUNLVDA5dmN3MlQ1NDhrUW9LQ3NwOS9lKysrMDdLeU1nb3M5M1ZxMWNscFZJcFNaSWtpYUlvM2JselIyY3Mrc1loaXFMMDExOS95ZGZWNS9pOWUvYzAycVducDB2WHIxL1g2NTZsZWZMa2laU2JtL3ZNMTNrYVJmK0dLdkxmWTBWY2kraFZ4NzhISXVOamlMLzdaM2tXOVBUMGxQNysrMjlwOGVMRjByUnAwOVNPWGJwMFNXcmV2SGxGUEdxbzNlOTUvM3plZWVlZDdmL2M1OHp6dkEvUjg4QWVVeDBVQ2dWcTE2NWRacHZ5VkxVdGJ1ellzWHExYzNOems3OFhCQUVPRHRxbllKVG4wenhCRU5DNGNlTnlIYTlaczZaR3U5cTFhNWY1TTlMSDAvNE1pWWlJaUo1VlVsS1N4dk9WVXFtRUtJcnc4dkxTYUI4V0ZsYnFjeFFSUFIwbXBrUkVSRVJrdE1hUEg0K2hRNGRpMEtCQmFOU29FUURnOGVQSGNIUjB4S3BWcTlUYTl1N2RXNlBRSXhGVkRBNmFKeUlpSWlLajFhUkpFM2g3ZTZzdEZYUC8vbjNZMjl2RDFkVlYvbkp4Y1lFa1NSenBSZlNjTURFbElpSWlJcVBXdW5Wcm5ENTlXdDVPVFUyRnE2dXJXaHVWU2dVQTdERWxlazZZbUJJUkVSR1JVWE4wZEVSNmVycThmZkhpUlRScjFreXR6Wk1uVHdCQTZ4cndSUFRzbUpnU0VSRVJrVkc3ZWZPbXZPUmZWbFlXenB3NW83SFVYbEZpcW0wcFFTSjZkaXgrUkVSRVJFUkc2WWNmZnNEMTY5ZHg3ZG8xOU9yVkN3Q3dhZE1tdlB2dXV4cnJxT2ZtNWtLaFVEQXhKWHBPbUpnU0VSRVJrVkZxMzc0OTNOemM0Ty92RHg4Zkg1dytmUnFSa1pFSUR3L1hhSnVXbGdacmEyc0RSRWxrSEppWUVoRVJFWkZSYXRpd0lkNS8vMzBBd0pFalJ6QjM3bHpNbno4ZmRlclVRVzV1THM2ZE80Y2FOV3BBcVZSaTNicDFlT3V0dHd3Y01WSGx4Y1NVaUlpSWlJemFnUU1ITUgvK2ZBUUdCcUpqeDQ0QUFCTVRFMHlZTUFFcWxRcUNJTURkM1Iyelo4ODJjS1JFbFJjVFV5SWlJaUl5T2hFUkVYQnljZ0lBZE96WUVVMmJOb1dEZzROODNOemNISC84OFFkRVVRUUFLQlNzR1VyMFBERXhKU0lpSWlLajQrYm1Kbjh2Q0lKYVVsb2NFMUtpRjZOU0pLWmVYbDZHRG9HSWlGNUNucDZlc1FBNkdEb09Ja09RSk9sVVFrSkNTMFBIUVVTa2oxZjZJeUJKa2s0Wk9nYXFGTTRiT2dBaWVtNllsSkxSRWdTaGhhRmpJQ0xTMXl2ZFk4cFBBWW1JU0IveDhmR0dEb0hvaGVKb01pSjYxYnpTUGFaRVJFUkVSRThqSlNVRmp4NDkwbnBNa2lRRUJ3Zmp3b1VMTHpncUl1UEZ4SlNJaUlpSWpFNVFVQkErL3Zoam5EMTdWdU5ZYkd3c2Z2NzVaNmhVS2dORVJtU2NtSmdTRVJFUmtkSDUrdXV2MGFoUkl3UUVCQ0E4UEZ6ZW41K2ZqNVVyVjhMUHp3OXZ2LzAyQUNBN094dm56N01rQmRIenhNU1VpSWlJaUl5T3RiVTFnb09ETVdqUUlMV2xZa0pEUTVHZm40L3g0OGZMKy9idTNZdFBQdmtFYVdscGhnaVZ5Q2k4MHNXUGlJaUlpSWpLUzVJa1pHVmxvVnExYXBnd1lZSzgvOUtsUzlpd1lRTldyVm9GYTJ0cmVYL2Z2bjBSR3h1THdNQkFyRm16Qm9JZ0dDTHNsNGFIaDBlQ0lBanZHRG9PcW5CL25UbHo1ZzFEM1p3OXBrUkVSRVJrVkNJakkrSG41NGZEaHcvTCsrN2V2WXZwMDZkandJQUI4UEx5Z2xLcFJGWldGdExTMG5EanhnMzQrZmtoTGk0TzI3WnRNMXpnTHdrbXBaWFc2NGE4T1h0TWlZaUlpTWlvOU96WkUrbnA2WmcyYlJwNjkrNk5xVk9uSWlBZ0FLbXBxUWdMQzBOb2FDZ2tTWkxiS3hRS1ZLMWFGYmEydGxpMWFoWGF0V3NIZTN0N0E3NkNsd09YNHFvOFhvWWxwcGlZRWhFUkVaRlJNVFUxeGJoeDQ5QzhlWE1rSlNYQnhNUUVzMmJOUW1abUp1enM3R0JyYXdzckt5djVxMHFWS2dDQTNOeGM5Ty9mSC92Mzc4Zmd3WU1OL0NxSUtoY21wa1JFUkdWUUtwVzRkZXNXNnRhdEMzTnpjNzNQa3lRSjBkSFI2TkNoQXl3c0xOU09YYmh3QVptWm1XamR1clhlMXp0NzlpeE9uRGlCTVdQRzZIMU9TWGw1ZVZpL2ZqMlVTaVVtVEpnQVUxUDlId1Z5Y25KZ2JtNnVjVTVPVGc1TVRVM0w5Yk1wTGpFeEVXKzg4WWI4OFArOGlLSUlvTEQzcXppVlNvWGs1R1M4OXRwcnp6eDNNQ3NyQzdhMnRzOTBEWHB4V3Jac2laWXRXd0lBV3JSb2dkdTNiNnNkejh2TFExNWVudHErTFZ1MndNcks2b1hGU0dRc09NZVVpSWlvbUxTME5EbUJLZkwzMzMvRHo4OFBWNjllVmR1Zms1T0RqSXdNbmRkNitQQWhWcTVjaVprelo2cGRVNlZTSVNnb0NGOSsrU1d5c3JMS0ZkK0dEUnVlZXZqY24zLytpU0ZEaHVDUFAvNUFYRndjL1AzOWNmbnlaYjNQbnpwMUttYlBucTN4OHdrS0NzS2tTWk9lS2lZQUdENTh1RVpDVU55ZVBYdXdkdTFhRkJRVXlQc0tDZ3IwK2lwdXk1WXQ2TisvUDQ0ZVBhcTIvOWF0VytqYnQ2L2EwRTF0a3BLUzFMNXUzcnlwZGp3dkx3OStmbjc0NzMvL3EvTWFLU2twZVBUb2tkWmpraVFoT0RnWUZ5NWNLRFVPcWppUmtaR1lPSEVpUkZGRWZuNCt1bmZ2WHViWHc0Y1BEUjAyVWFYRUhsTWlJcUovRkJRVUlDQWdBRTJiTnNYQ2hRczFldGFLRTBVUjgrYk5RMUpTRWlJaUltQmlZcUxScG5yMTZ2anl5eTh4WWNJRS9QWFhYM2p6elRjQkFBY09ITURkdTNleGZ2MTZqZDQxZmViNWpCdzVVdWV4UllzV29WT25UbXI3YnQrK2pmWHIxMlB2M3IwWU1HQUFQRHc4NE83dWp1M2J0OFBmM3g4K1BqNFlNV0lFWEZ4Y1NyM3ZqQmt6TUdMRUNGeTRjQUZObXpZRkFHemZ2aDFIang3RmhnMGJOTnIzNzk5ZmErSWJFeE9ESjArZXFPMUxUMC9YNkhHdFc3Y3VnTUtFTFNRa0JMLzk5aHNXTFZvRVIwZEh0R2pSb3RSWWk5K3JaczJhQUlBZVBYb2dMUzBOVTZaTWdaK2ZIMmJPbkFtZ2NOMUtFeE9UVW4vZkFPRG41NmUyN2VibWhvaUlDSG03YXRXcWVQLzk5eEVjSEl6bXpadkQyZGxaNHhwQlFVRklUVTFGVUZDUXZFWm1rZGpZV1B6ODg4OTQvLzMzOVhwdDlPeE9uanlKek14TXRkLzk5dTNiNGVqb3FORldxVlRpdmZmZWU1SGhFUmtWSnFaRVJFVC9NREV4d2NLRkN6RjI3RmpNbVRNSFFVRkJPcE9WNE9CZ0hEOStITjk4ODQyY2xDWW1KbUw0OE9GYTIydWJqOWFyVnkrTmZURXhNV3JiNmVucENBa0p3ZEdqUitIcjY0dFBQdmxFanVudTNidUlqNDlINTg2ZDVmWTJOallBQ3BPNStQaDRSRVZGSVRZMkZzMmJOOGZtelp2UnFGRWp6Smd4QXlxVkNzSEJ3ZWpldlR0V3Jsd0pQejgvZUh0NzQ4TVBQMFNiTm0xZ2JXMk5TNWN1WWNDQUFSb3hEaDA2VkdOZi8vNzkxYmJqNCtPeGJOa3lKQ2NuWS9Ma3lRZ1BENWVQelpvMVM2UFhWOXZ3NUtJMjNidDNSNk5HamZEcHA1L2lxNisrd3ZMbHk3Rmp4dzZOOXRyWTJka0JBS0tqbytIdDdZMnBVNmZpd3c4L2hMbTVPYlp1M1lxbFM1ZktiVXQrS0hEcTFDbU5EeHlpb3FMZzZ1cUthZE9td2RUVUZFbEpTV3JIZlgxOTVROGVpdmZZV2xwYXd0N2VIbDkvL1RYbXpadUhnSUFBZlBycHAvajQ0NDhCRkNiSFJiK0hvb1ExT3pzYnljbkplT3V0dC9SNnJWUSsrZm41T0hYcWxNYmZySm1aMlZNUFN5ZWlwOGZFbElpSXFKaTMzMzRiUzVjdXhhUkprMkJuWjRmcDA2ZHJ0Rm01Y2lVaUlpS3djT0ZDdFRtaWI3enhCcUtpb3A3cC9rVzllK2ZQbjhlMmJkdHc1Y29WZE83Y0dUTm16SUMxdFRVZVBueUllL2Z1SVRvNkd0dTJiY1BycjcrT1RwMDZvVmF0V3ZJMXpwMDdoNWt6WnlJdExRMU5talJCUVVFQjR1TGkxSkpNVVJUaDdlMnR0aTJLSXViTW1RTlRVMU9FaElTZ1ljT0dXaE5BU1pMUXMyZFByRjY5V3U3VjFNYkJ3UUhYcmwyRGc0T0RXdS9odW5YcjFOcDVlWG5KQ1o4dXI3LytPalp2M2l6UEFkWFdHNmxMYm00dU5tM2FoSVVMRjZKdjM3NFlPWElrckt5c1lHOXZqN1p0MjJMZnZuMDRkZW9VQWdNREFSVDJNSmZXSzYxU3FmRDc3NzhqTURCUW94ZTFTRUJBZ05wMnUzYnRFQndjREd0cmF3UUhCMlBWcWxWd2NIQ1FqNGVHaGlJL1B4L2p4NCtYOSszZHV4ZmZmLzg5dG03ZHF0YVdLc2JwMDZlUms1T0Q5dTNiR3pvVUlnSVRVeUlpSWcydFc3ZkdoQWtURUJjWEI2VlNxWFlzUFQwZDBkSFJDQW9LZ3ErdnI5cXhLbFdxbEpwYzZaS1RrNE5qeDQ3SlEzRFhybDJMZGV2V3dkemNIUGIyOXRpMGFSTisrT0VIcUZRcUtKVktLQlFLdEczYkZpdFhyb1M3dTd2Y1MxcWtZY09HTURjM3g3eDU4L0RSUng4QkFDWk9uSWdPSFRxZ1M1Y3VjcEVoU1pLd2MrZE9SRWRIWTkyNmRTZ29LTUMrZmZzUUVSR0J4bzBiUTZGUXdOemNYT05uVURRTXQyUkJweUxGazhiTGx5K2paczJhdUhYckZnREEzTndjQlFVRitPQ0REOVRPS1puZ3hjYkdvbnIxNm5qOCtERisrKzAzK1ByNnlrbDdlVmxZV0NBc0xBeTdkKy9HamgwN1lHcHFDbEVVWVdscENVdExTNlNrcE9DdHQ5NlNrK3ppUFoxS3BSTGg0ZUZxdmR2eDhmRVFSUkZ0MnJTUmUzV3ZYcjJLZnYzNklTNHVUbWN2dXlSSnlNcktRclZxMVRCaHdnUjUvNlZMbDdCaHd3YXNXclVLMXRiVzh2NitmZnNpTmpZV2dZR0JXTE5telRNWFppSjF2Lzc2SzF4ZFhWRy9mbjIxL1JrWkdWb0xjWlg4T3lDaWlzWEVsSWlJU0l2Qmd3ZGo0TUNCR2ttR3ZiMDlkdTdjcVhPbzMvMzc5elVTMXVJT0h6NE1HeHNiaElTRW9GZXZYckMxdFVWNmVqcG16NTR0SjZhOWUvZUd1N3M3SEIwZFVhMWFOVnkvZmgxNzkrNUZYRndjdW5UcGdyNTkrNkpldlhvSUR3L0hva1dMc0diTkdyVTFGUzB0TGJGOSszYmN1SEVEelpzM3g1RWpSMkJ2YjQvMTY5ZGo1Y3FWNk4yN054bzFhb1FOR3piZ3pwMDc2TnExSzY1Y3VZS1BQLzRZOGZIeDZOYXRtM3l0NmRPbjQvejU4MXBmeTMvKzh4K3QrNHNQMDAxSVNNQ1pNMmZRdlh0M0FNQ2JiNzZKcjcvK0drRGhYTDZxVmF1cW5adWRuWTErL2ZySjIwZVBIc1c4ZWZNUUdSbUp6ejc3RE5XcVZVTzdkdTEwL254MXhhTlFLUERSUngraGE5ZXVDQWtKUVdKaUlsYXRXb1Y3OSs3aHdJRURHcjI0UlRJeU1yQjgrWEsxbnZGRGh3NmhkZXZXYXJHTG9naUZRbEhxUE5YSXlFaXNYYnNXYytmT2xWL0QzYnQzTVgzNmRBd1lNQUJlWGw1UUtwWEl5OHREYm00dWNuTno0ZWZuaHpsejVtRGJ0bTNvMjdkdnVWNDM2YVpVS25IdzRFR3R3K21IREJsaWdJaUlpSWtwRVJIUlA2WlBuNDdZMkZpZHgzV3RXemgvL253NThTb1NGaFlHUzB0TGVUc3pNMU50YnViS2xTdlJybDA3clV1TDFLeFpFKzd1N2poMDZCQjI3ZG9GVzF0YjlPalJBNEdCZ2FoU3BRcWVQSG1Dakl3TWVIdDdJeXdzRE1PSEQ4ZjMzMzhQSnljbitSckZFeVJyYTJzRUJBVEF3OE1EUC8vOE04TEN3dURzN0l5VWxCUU1IandZdnI2K09udmpRa05ETmZhdFc3Y08vL3ZmLzdCeTVVcnRQNmgvNU9ibTR2VHAwMWk3ZGkyYU4yK09TWk1tcWZVNldWaFlhUFM2cWxRcXRlMHVYYnFnVnExYW1EMTdOajcrK0dORVJFVEl3NlUzYnR5SU0yZk9sQmxIa1RObnp1RExMNy9FN2R1M01YcjBhT1RsNVdIV3JGbG8yYktsWEpnS2dMd2N6c09IRDNIMjdGbVltSmlvL1d5VGtwSTBodFlxbFVxSW9xaTFlRlZZV0JnYU4yNk1uajE3SWowOUhkT21UVVB2M3IweGRlcFVCQVFFSURVMUZXRmhZUWdORFZXckRLeFFLRkMxYWxYWTJ0cGkxYXBWYU5ldW5kb0hFUFQwN3R5NUEwZEhSN3o3N3JzYXg4TER3MUduVGgyTi9mbjUrZkR4OFhrUjRSRVpKU2FtUkVSRS81ZzJiUnJHamgxYnJuTjB6VEdzVzdldTJoRGI0a2xxV1VKQ1F1Umt5OXJhR2txbEVpdFhyc1RTcFV1Um01c0xVMU5UT2FtenNMREFvMGVQRUJBUWdIWHIxcUZldlhvYTE3dDI3UnJtejU4UEx5OHZqQjgvSHA2ZW5qQXpNOFBkdTNkeDhPQkJMRnEwQ0FNSER0UTRyNndLd2FVZDkvTHlRcTlldldCcGFRbFBUMDhBaGN2dUZLK20yNlZMRjcxK0hrVUplRXhNak5xYzFwczNiNkpKa3labERwOFdSUkVMRml6QW5qMTcwTDU5ZTZ4YXRRcnA2ZWtZT25Rb1ZDb1Z2dnJxSzdYMkRnNE9jSGQzbDVPUUhqMTZxUFdPamg4L0hrT0hEc1dnUVlQUXFGRWpBTURqeDQvaDZPaUlWYXRXcVYycmQrL2VNRE16QTFDWThJNGJOdzdObXpkSFVsSVNURXhNTUd2V0xHUm1ac0xPemc2MnRyYXdzcktTdjRxR2srYm01cUovLy83WXYzKy96ZzlIcUh4Y1hGenc4ODgvcSswek16TkRXRmdZWEYxZDVkOVpjWklrSVN3c0RMVnIxMzVSWVJJWkZTYW1SRVJFLzZoZHUzYUZQWFNXZDdocGNiMTY5WUtkblIxcTE2NE5HeHNiV0Z0Ync5TFNFbFpXVnJDMHROUVlMcHFWbFlXZ29DQ05kVHVMRkEwQnZYanhJalp2M3F5MXpaa3paelQybFN4OGxKU1VoTTgvL3h5ZW5wNzQ1Sk5QQUJTdURicHIxeTdNbURGRFRrQ0J3dm0yVTZkT3hiLy8vVzhzWGJvVW5UdDNSbXBxS2dZTkdpUzNPWGJzbUViQ25wbVppWTRkTzJyRVVydDJiYlhrV1JSRi9Qbm5uL0R6ODlPb2pGdWtxQkt1UXFHQXM3TXpsaXhaSWkvRmN2UG1UYmk1dVdIR2pCbG8zNzY5V3ZFbGhVS0JMVnUyNE02ZE96QXpNOVA0TjlHa1NSTjRlM3NqSWlJQ2MrYk1BVkE0a1BVNWt3QUFJQUJKUkVGVWhOdmUzbDR0U1JaRkVaSWthUXo3YnRteUpWcTJiQWtBYU5HaWhjWWFybmw1ZWNqTHkxUGJ0MlhMRmxoWldXbDluVlF4QkVGQTQ4YU5uL280RVQwYkpxWkVSRVRQd2JadDI5UVNpY3pNVEsxTHIyaGphMnVMenovL3ZGejNpNHFLMGlqaTR1cnFxckVzUzA1T0RqcDI3SWhwMDZhcHphOUxUazVHNzk2OTFkb1dGVEZLVDAvSGxpMWJFQkVSZ1diTm1pRXdNRkJPS0tkUG40N2MzRng4OGNVWDZOcTFLd1lQSGd3M056Y29sVW84ZnZ3WVk4ZU94ZmJ0MnpGaXhBZ0FVRnU3czIzYnRucS92b3lNREJ3NWNrUXUzblRseWhYazVlVmh5NVl0MkxKbGk5Wnp1blhyaGdVTEZnQ0FuSkFXSmJGMmRuWUlDQWpBZ3djUEFCUW1xdG9Vdlk2U3ZiS3RXN2RHWkdTa3ZKMmFtcXJScG1oWWNzbmV0OGpJU0J3N2RnemZmdnN0VkNxVnhqQndiWGJ2M3MzRWxJZ3FOU2FtUkVSRS8waEpTVUdQSGowcTVGclZxMWRYcTdBcWltSzVyN0ZwMHlhNHVMakkyemR1M01DUUlVTncrUEJodFhibDZaM2R2MzgvcWxhdHFsRVZ0Mzc5K29pTGk1TzNjM0p5Y09qUUljVEV4T0RreVpPb1hyMDZ1bmZ2anRPblQ2djFjdWJsNVNFeE1SRmp4b3hCZUhnNGR1L2VqUVlOR3NETHl3c2JObXhBOWVyVk1XYk1HQncvZmh3WkdSbHdkM2RIV2xvYUFHRFBuajBhYzB3ZlBueW90U0JOWEZ3Y0ZpNWNpSVlORytLdHQ5NUM0OGFOTlpMdTRucjE2b1hxMWFzREtLeXlxMnZJZFpIaVZYSzFLWGt2UjBkSHBLZW55OXNYTDE3VStEMFVWUzh1V2VIMTVNbVR5TXpNVk92NTNyNTlPeHdkSFRYdXExUXE4ZDU3NzVVYUc1RXhTVWxKMGF0ZDhlcmcyZG5adUgvL3Z0NzNxRm16cGp3VlE2bFU0cnZ2dmtOQVFJRGFlM3BweTF6OTYxLy9Rbmg0dU1hSGhabVptZkR4OFVGMGREVHUzYnNIWjJkbnRXdVdwTTlTV3BVSkUxTWlJcUovT0RvNmxuc2RVbDBKVDBVVVNURTNOMWRMYW9xR2hHcGJ5cUtrcEtRaytQbjVhUXo3TGFvZXE2dTNVaFJGeE1mSFF4QUVoSWFHb2s2ZE92amlpeS9Rdm4xN25EdDNEb2NPSFZKclgxQlFnTlRVVkh6MDBVY1lOR2dRRGg0OGlOallXRmhiVzh1SjRZMGJOM0RwMGlYNCsvdHIzS3ZrOEdOZHc1Ri8vLzEzMUtoUkEwMmFOQ256dFFPRnc1dHIxS2dCQURBeE1kRklMSE56Y3pGanhnelVyMThmWVdGaDZObXpKM2J1M0luUFB2dE1yeDdNbXpkdnl2Tk9zN0t5Y09iTUdYejIyV2RxYllvUzArTHpVL1B6ODNIcTFDa01IejVjcmEyWm1abk9TczlFeGlndExRMjV1YmthKzh2NmtLbEk4Yi81Nk9ob0xGMjZWTzk3VDU4K1hhNE9mdlBtVGV6YXRRdi8rOS8vOE4xMzM4SGMzQnlabVprQUNoTk5iUW12VXFsRVJrWUdySzJ0MVphNU1qYzNoeWlLeU0vUHg1SWxTNUNWbFlWbHk1YkpIMEFXRkJUZzFxMWJxRmV2bmxFdUQ4WEVsSWlJNkIrbXBxWVY5c24wcmwyNzFJWmVQbmp3QUgzNjlDblhOVDcrK0dPdCsvLzFyMy9wZlkyaVh0QzB0RFRNbWpVTHJWcTF3c2lSSXlHS0lyNzQ0Z3U4OXRwcjhyelBvbVFXS0t5WXUzWHJWcldIbzFPblR1R05OOTdRZVM5emMzTjA3dHdablR0M1Z0dS9jZU5HbUpxYWFyeitEei84VUsvWElFa1NqaDgvanJadDIrcjFzQ2FLSWg0K2ZDZ25waVZkdm53WmMrZk94ZHR2djQxUFAvMFVZV0ZoR0RSb0VHclZxb1VGQ3hiZzh1WExHRHQyck5aMVduLzQ0UWRjdjM0ZDE2NWRrM3QyTjIzYWhIZmZmVmZqZnJtNXVYSmwzU0tuVDU5R1RrNE8ycmR2cjlkcnA1ZUhqNDhQNXN5Wjgwenp4MGwvaXhZdHd2SGp4elgybnpwMVNtMTcxYXBWT0hueXBNNGgvY1dWTnNxaVNNbWliZzBhTk1EMzMzK1BrU05IWXRxMGFSZ3pab3k4cEZESkQ1aUtLenBXL0o1Rjd3WDUrZmxZdFdvVnBrNmRpa21USmlFeU1oSUtoUUpwYVdubzBhTUhUcDQ4YVpRZlZERXhKU0tpbDU2SGgwZEhBS3FFaElUZkFLakthdjh5c0xXMVZhdktXN0luc1BqRGlxNWh2aVdIY0JVbGppVWZyc3FxbmdzQVk4YU1RVXBLQ3E1ZHU0YVFrQkFvbFVwVXFWSUZabVptT0h2MkxJS0NnalRPS1o0RUhqcDBDSnMzYjlhb1lGdVd5NWN2WSsvZXZlalhyNS9HRWh6NkZqOUtURXpFL2Z2M3RTN3RvYzNmZi84TlVSVFZLdmdDaGNPRU4yellnS2lvS0l3Y09WS2pCM2YwNk5GbzBLQUJGaTllakppWUdBd2FOQWpkdW5XRG5aMmQzS1o5Ky9ad2MzT0R2NzgvZkh4OGNQcjBhVVJHUmlJOFBGd2pqclMwTkkxaGVyLysraXRjWFYwMWh2aGxaR1JvN1FrdnZyd09WWndIRHg0Z0t5dEw2ekZkSDA0OWVQQkE3Z1d2TER3OFBJWURRSFoyOWs5WHIxNTlxVjdjOHVYTEFlaCszeXR5K3ZScGVIcDZ3c1RFNUxuRjByaHhZM3p6elRmNDQ0OC8wS0JCQThUSHg1YzZ6RmJYTVlWQ0FUTXpNeWlWU2xoYlcyUEZpaFc0ZmZzMlJGR1U1N3NiTXlhbVJFVDBLdWdpQ01JVUR3K1BCd0MyQXRpZW5aMTlyQ0lmcElyM0ZsYWsyN2R2UTVJa0pDY25BL2ovUWpnSkNRbkl6TXlFbVprWkRodzRvSFU5VTEzeDZKT0lsaFFVRkFSUkZGR3RXalY1V1JJVEV4TW9sVXFFaDRkRG9WQm96SHNVUlZIdWlZaVBqOGZVcVZQUnVuVnJ2ZStwVkNveGYvNThPRGc0WU15WU1RQ0FXN2R1eVVQZjd0eTVvOWFiQ0JUT0JRTUtrem9iR3h1WW1KamdsMTkrUVpVcVZkQ3FWU3VOZXlRbEpjay92eXBWcWlBdkx3ODdkKzZFbFpXVlBPdzNLeXNMMzMzM0hmYnUzUXNIQndlc1c3ZE81NURnVHAwNndkdmJHK3ZXcmNQcTFhdXhZc1VLZUh0N0l6ZzRHQURRc0dGRHVaRFNrU05ITUhmdVhNeWZQeDkxNnRSQmJtNHV6cDA3aHhvMWFrQ3BWR0xkdW5WNDY2MjMxSDRlQnc4ZTFEcUh0cWdIaGw2TUgzLzhVV081bUNMNjlLcFZJbThJZ2pERjF0WjJoWWVIUjRJZ0NPRXFsV3JqdVhQbkhoczZNRjN1Mzc4UFgxOWZ0WDBYTDE3RTFxMWI1ZTNuTVMvVHk4dEw0NzMzYWY2ZllXRmhnWk1uVCtLMzMzN0RsU3RYY1BYcVZTUW5KK1BOTjkvRUYxOThVVkhodnBLWW1CSVIwU3RERUlRYUFNWUFHR05yYTV2bDRlRVJLVWxTVkhwNit1RmJ0MjdsUE11MW5aeWN5ajIvRkNqN3dlU25uMzVDZUhnNEJFR0FyNit2bklpZE9IRUNQLzc0STREQzN0V0pFeWRxbkZ1eStKRXUrZ3d0MURVRTE5emNIRGR1M0pDWEx5azVOM2JEaGcyb1hiczJJaUlpTkhyNXlySm16UnJjdUhFREd6WnNrSHRHaTgvZkxHMW84NEFCQTdCanh3NDRPenZqenovL1JNdVdMVFdTV0tCd1NaaTFhOWZLdmM2Q0lNREZ4UVZCUVVGeWV4c2JHNmhVS293Yk53NTkrdlNCcVducGp6ODFhdFRBekprek1XclVLRVJIUjhQSnlVbGpXTytCQXdjd2YvNThCQVlHeWoyOEppWW1tREJoQWxRcUZRUkJnTHU3TzJiUG5pMmZjK2ZPSFRnNk9tcnQrUTBQRDlmb1VRWUtoL3hWeEh4bFVqZDE2bFJNblRwVmJkL1dyVnZ4d3c4L0FJRE9KWWp1M3IyTHBLUWttSnFhYWwweitCVm1LUWhDYXdDdFRVMU5sM3A2ZXY0dWltTGtvMGVQZnJwNjlhcjJybVVEMjdScGs5WksxYVc5SnovTmgzckYveTA0T1RtcFZkblc5UjVkOGozNTRNR0RDQXNMdzdWcjE1Q1ZsWVhJeUVpNHVibkJ6YzBOYmR1MmhadWJHMXhkWFhIMzd0MXl4MWVaTURFbElxSlhsYTBnQ01NRVFSaFdwMDZkeDNYcTFOa2hpbUprYm01dTdLVkxsN0xMZXpFek03T24rb1E5S2lvS3RXclZrcmVyVmF1R2tKQVErWUZwMnJScG1EeDVNZ1JCVUJ0cU5tN2NPSXdiTjA3bmRVK2VQQWt6TXpPOTVsUVd0UzJ1UEluMmxDbFRNR3JVS0ppYm02TmF0V3J5Zm9WQ2dmWHIxMnNVVUNyT3hzWkdadzlUdjM3OTBMWnRXN1cxSDUrbU55b2tKRVJuUlUxN2UzdkV4Y1ZCRkVXb1ZDcVltcHBxeENzSUF1Yk5tNmZ6K3NPSEQ1Y0xOUlZuWjJlbnRuWnFSRVFFbkp5Y0FBQWRPM1pFMDZaTjRlRGdJQjgzTnpmSEgzLzhJU2ZKSmVOd2NYSFI2S1V6TXpORFdGZ1lYRjFkTlg2SFFPSDgyckN3c0FwYlg1Y0txVlFxSER0MlRHMnViMnBxS2hvMGFBQkFkM0x6N2JmZjR0dHZ2NFc5dlQzMjdkdjNRbUkxQUFzQTdSVUtSWHNiRzV0dlBEMDlUMG1TdERNM056ZmtyNy8rMHIrMDdYUG00dUlDR3hzYjNMbHpCN05uejVZLzZDdU5QdStKeFgvM0pTdDZQMjFQckoyZEhUcDA2QUIvZjM5TW1qUUo2OWV2aDcyOVBZRENrU21YTGwzUyt2ZHZiSmlZRWhIUmMvUE9PKzlvZGdNK0JVRVFQTXRvWWdWZ29FS2hHR2hsWlpYbjRlR3hSNUtraUlxNGQxbEtQcVNZbXBxaWFkT21HdnZLcXp5Rkw3UzFMVStpYldGaG9iWFFENkNaWEpWSG5UcDF0UFlDbHBkQ29TZ3pNVk1vRkU5ZExHVHMyTEY2dFhOemM1Ty9Gd1JCTFNrdEdZdStCRUZRUzl6TGU3d3NucDZlS2dBaWdBSkprbFNDSUJRQVVFbVNWQUNnUUJBRWxTUkpCWUlncUVxMEtaQWtTYVdqalZyN29qWlBIYVFCcEtXbFllN2N1ZmpzczgvUXFWTW5BTUNsUzVmdzVwdHZBdEQrQVlxWGx4Y1dMVm9rdDMrWlNaSlUzOVBUYzZNZTdieExPeTRJUWhVQWJRVkJhR3RwYWJuWTA5TXpYaFRGWFpJa3ZUUlZZL1B5OG5EMjdGbTkycFkzcVN4ZTBWdGJiNnUrUS9BOVBEemc0ZUVoVjBYUHlNaVFFOU5ObXpaaDdkcTEyTGx6WjdsaXE0eVltQklSMGZPZ0JHQ3VVQ2lXdmVnYlM1S2srR2ZJNzdOblJFU3ZQcE4vdnN5S0p4TFA0L3RYaVpPVEU4YVBINC9GaXhmam5YZmVnWjJkSGM2ZlA0OEJBd1lBS0Z3cjg4R0RCM2o3N2JjTkhHbTVxUUI1MnNQUXNocVg4L2Vua2lUcHNpQUlpVThYV3VYU3NXTkhUSnMyRGJWcjE5WW8wRFI5K25TdHc0d1ZDZ1hxMUttRDI3ZHZvM0hqeGpoNzlpeldyRm1EU1pNbXdkN2VIcmR1M1hyUkwrT2x3c1NVaUlncW5DUkpBd1JCYUZPQmwzd1hRR205cHJrQWpnRDRDOERlTTJmT0hBQUFUMC9QRlJVWUE5RXI1OHlaTXdvdkx5L1R0TFEwVXlzcksxTnpjM05UVTFOVFU0VkNZZnJreVJOVGhVSWhmK1huNTVzcUZBcFRRUkRrcjRLQ0FwM2JBRXdGUVRBVlJiRm8zMnBEdjk3eTZOZXZIMkpqWXhFWUdJaUJBd2RDa2lSNXJ2WCsvZnV4YTljdVJFWkd2bExMZGdpQ0VBK2dqeVJKUnlSSittOVo3UlVLeFVjQVNsdTc2REdBLzRxaWVCckFpY1RFeERnQThQUXNheERMaTVPYm02dHp4RWRKVHpQSHRLVDgvSHhrWldWaHhvd1pBQXFMTVJXdGExbzA1YUQ0TVRzN083VlJGQTBhTk1EMTY5ZlJxRkVqVEowNkZiNit2dWpmdi84engxVVpNREVsSXFJS2w1Q1FFQVdnL0pXRWRQRHc4UGk2NUhCZVNaSWVDNEp3VUJURnFQejgvS2dMRnk0OHFxajdrVzVGUTlHZVJkRmMwQmQ5WHlNbHhjZkg1d1BJZjk0Mzh2VDBmS1VTVTBFUUVCZ1lpSDc5K3VIenp6OUhtelp0NUFSbjRNQ0JpSWlJd0U4Ly9ZUmh3NFlaT0ZMOVNaS1VKd2dDQkVGSVNFaElXRjVXZXc4UEQyZEJFRW9tcGxtU0pHMlRKR243dlh2M0RxV21wdVkrcDNETDdjYU5HM0xsN2lJM2I5N1V1V1p4U2VXZFk2ck51WFBuTUhMa1NLM0hTbFlMQmlBWGNTdnk5dHR2NC9EaHc5aStmVHZjM056dzJXZWZsUm1Uc1dCaVNrUkVyNUlzQUFja1NkcDI5KzdkblMvVEE5UExLaTB0RFlzV0xjTFlzV1BsdVlxZmYvNDViR3hzTUhueTVISmRLejA5SFgzNjlNR0NCUXYwcWdTc3k4S0ZDeUdLSWhZdVhLaFgrK3pzYkF3Yk5nekRodzlINTg2ZElVa1M4dlBMenJPS0Y0L0t5OHZEblR0M05OcTR1TGhBcFNwOWVxUzJna3BVT2RTclZ3OEJBUUZZdVhLbFdpRWtDd3NMREJzMkRHdldyRUh2M3IyMUx1ZFVtVWlTOU55VzRucGFvaWdpS1NrSng0NGRBd0IwNmRJRjZlbnBDQWdJVUd0MzVNZ1J2ZWRoVjhRU01qWTJOdklhekJrWkdSZ3dZQUJjWFYxeDZ0UXBlSGg0b0UrZlBxWE9RMjdXckJsV3IxNE5MeTh2ZlB2dHR6QXpNME5CUVlIT2RYV05DUk5USWlKNkZad1VSYkZuZm41KzlJVUxGNVNHRHVaNUVrVVJOMjdjZUtwelhWeGNOQktvdzRjUDQ4U0pFL0t5SlptWm1kaTdkNis4cnFndVNxVlNZNzdUenAwNzhlalJJMWhaV2VsY1RxTTRWMWRYNU9Tb3IrS2pVcWx3NU1nUkRCOCtYT09ZTnBhV2xyQ3hzVUhuenAweGQrNWNaR1ptb2xtelpoZzhlSENaNXhhdm9IbjI3RmxNbmp3WnI3MzJtbno4enovL1JFeE1qTlplanVKZWxZSTM5SFF1WHJ3SUFGaS9majNhdFdzbkwyM1VxMWN2SkNRa0lEYzN0eklucHZza1NkcVZrSkJ3QXYvTVQzMVpEQjA2RkJjdVhFQzFhdFhRb1VNSGVSMVJCd2NISkNjbnc4ek1EQWtKQ2ZqbGwxOEFBRXVYTHNVbm4zd0NYMTlmcmZNN0swSmlZaUtXTDErT0gzLzhFUTRPRHBneVpRb3NMUzB4ZnZ4NERCNDhHTE5temNLSUVTTmdabWFHRGgwNmFKeC8vUGh4ZlBiWloxQW9GSGozM1hmbEh2clUxRlQwNmRNSEd6ZHVOTFoxZE5Vd01TVWlvcGZlUDBPRGpjTGp4NCtmYXRGMkFJaUppVUhObWpYVjlzWEd4cUpseTVaeUJkbnQyN2Vqb0tBQVRaczJMVFc1ek1yS3duLys4eCt0eDBhUEhxMVhQUEh4OFdqYnRxM1dZOHVXTGNPeVpXWFh4aXA2U0JzK2ZEZ0VRVUJzYkN5NmR1MkszYnQzbDNwZThmVlNpOVN2WHg4Ly9mU1R2RjAwMzZ6NGcrRHUzYnV4YnQyNk1xOVBsY1BodzRjUkd4dUxXYk5tSVRnNEdQUG56OGZTcFVzQkZGYTdYckpraVlFamZMNFNFaEppRFIyRExoTW5Ub1MxdFRYYzNkMDFpalF0WHJ3WU1URXhXTGh3SWRxM2I0K0JBd2RpM3J4NU9ITGtDT2JQbjYremlyYytINmhwYysvZVBRQkFVRkFRSmsyYUJFdExTNHdhTlFycDZlbll1SEVqbE1yQ3owdmQzTnd3Yjk0OHpKbzFDNzE3OThiWXNXTmhaV1dGdExRMHJGaXhBZ2NPSE1Ea3laT1JsNWVIRFJzMndNZkhCdzRPRGtoS1NvSW9pbXBEZm91dnpXd3NtSmdTRVJHOVJFcGJGOVRMeXd2ang0L0gwS0ZEOWJwV1Nrb0t6cHc1ZytEZ1lBREFreWRQRUI0ZURrbVNkTTZSS25MczJERzFPRUpEUTdGaXhRcHMzTGdSelpvMTArL0ZBSWlPanBhL0YwVVJ3NFlOdzN2dnZhY3o2ZFhHeThzTFVWRlJHRFpzR1A3em4vOUFFQVRZMk5qb2ZYNlJ5NWN2dzl0YmMzVU1TWkx3OE9GREFNQmZmLzBGRnhjWHVaaEp0V3JWak9yQjBKaWtwcVppd1lJRjZONjlPM3IzN28xSGp4NWg1Y3FWMkxKbGk5cjZ0V1FZMmdvVmlhS0lreWRQSWpRMEZQSHg4ZWpUcHcrbVRwMEtVMU5UL1B6enovajg4ODh4WnN3WURCbzBDT1BIajFkYk94b29lLzZvTHIvLy9qc1VDZ1htekprRGhVS0IvdjM3bzBhTkdnZ0pDWUdqbzZOYXd0dWhRd2Q4ODgwM21EbHpKdmJ1M1l2ZzRHQmN1SEFCVjY1Y3dZOC8vb2dtVFpxZ29LQUFKMDZjd05peFk3Rmd3UUtjT0hFQ2pSbzFncTJ0TFNJakkyRmhZU0ZmODJuZTYxNVZURXlKaUlncXFlM2J0ME9TSkxuWE1pUWtCQThmUHNSLy8vdGZpS0tvdHJ4QmFaNDhlWUtmZnZvSnZyNitxRmV2bnQ3RGVBR29yZlc1ZS9kdVBIcjBDS05HallLZG5aMjhmKzdjdWVqVHA0OWVTM004UzVMbzd1Nk9uMy8rV2Q0dWV2Qjk4T0NCeG5EZWpoMDdBdERlQzAydnZ2djM3MlA4K1BHb1VhTUdwaytmRGdBWVBIZ3dZbUppRUJNVGc3NTkrOExNekV4dVh6U25tWE9ORFd2bHlwWFl0R2tUV3JWcWhSOS8vRkh0UGNQS3lncExsaXpCK3ZYcmtaQ1FvUFc5UXAvM08yMEpjZGV1WGVIbzZBZ1BEdzk4L3ZubjZOQ2hBejc5OUZONTJIZEpyVnUzeHJadDI3QjU4MlkwYTlZTVhsNWVHRGh3b0p3b201aVlZTm15WlZpeVpBbUdEeDhPQUZpd1lBR0F3bUpKZi8vOU4weE5UVEZnd0FDOUN6dFZCa3hNaVlpSUtxR3NyQ3k1QXFWQ29VQnljakpDUTBQUnAwOGZ1TGk0bEd0STI4YU5HNUdmbjQvSmt5ZmorKysvMTZ1eVpja0h3SnljSEt4WnN3YisvdjVxU1NrQTdOdTNELy8rOTcvMVNreUwxZ3ZVOTc3RlhiNTh1ZFRsSXVMajQ1R1dsb1lQUHZnQThmSHhGYkswQkwyY0prK2VqRWVQSGlFa0pFUk9Ma3hNVExCbXpSclkydHBDRUFSY3YzNGRwMDZkZ29XRkJjNmRPd2NBc0xlM04yVFlSaThnSUFBOWUvYUVpNHVMempZalJvelFxT0xkdFd0WC9QdmYvOWJySGp0MjdOQjRqeElFUVg0L21EOS92c1k1Tld2V2xEL2dLRktuVGgxTW16Wk4zaTdaZTJ0cGFZa0ZDeFpnenB3NUVFVVJWYXRXQlFDMTZRYkdob2twRVJGUkpiUmx5eFk4ZnZ4WTNnNE1ERVNOR2pVMGloNXBTMUJyMWFvRmEydHJBSVhMTTRTR2htTDI3Tm13dDdmSDdObXo1VUpLeGVYazVPQ3JyNzdDL3YzN3RSWldXcnQyTGF5c3JPRHY3LytNcjZ4UXllVDQ1czJibURCaFFxbm42T294SmVQajcrK1AxMTU3RFU1T1RtcjdxMVdySm4vLzZORWpmUFhWVndBS0t6ejM2TkdqWE1QWXFlSlpXbHFXbXBRV0tkbXpiVzF0TGIrbmxhWDRQRTk5MmRqWW9GKy9mdVUrRDhBcnRVN3U4OGJFbElpSXFKSzVkZXNXTm0vZWpLNWR1Mkx2M3IwQWdISGp4c0hVMUZTaldxVzIzc2Y1OCtlamUvZnVVS2xVbUQxN05wUktKWm8yYmFyemZzZVBIOGVYWDM0SkZ4Y1hiTjI2VmVQQkxqNCtIbUZoWVZpMWFoWE16TXkwSnNQMzd0M1QyRisvZm4yZFEzZkxzK3hEVGs0T25KMmRNWFBtVEhudUtBQ3NYcTI1N0tZb2lweFRhZ1NLaG1xWHBsbXpaamg5K2pRa1NjSS9hNE8rZ01pSWpCY1RVeUlpb2tybXQ5OStRNzE2OVRCNDhHQTVNZFZXOUFjb2ZlanI0c1dMY2Z2MjdUTHZOM0hpUk15Wk13ZTlldlhTT1BiZ3dRTjVxSnFEZ3dNS0NncTBKc1BMbHkvSDh1WEwxZllWclJYNHJPYlBuNC9ZV04zRlIyTmlZdVR2czdPelVhVktsV2UrSjFVT1RFaUpYaHdtcGtSRVJKWE1CeDk4QUE4UEQ1aWFQdjMvNW84ZlA0NWR1M1poK2ZMbEdEOStQQURBeDhjSER4NDgwTm8rS0NnSVFVRkJhdnRPbkRpQlNaTW13ZGJXRm5mdjNnVlFPTStxWkRMczVlV0ZoUXNYNG9NUFBuanFlRXV6ZE9sU0ZCUVU0TmF0VzNCMmRvYVhseGVpbzZQbHdrejM3OStYMjE2L2ZsM25VaE5FUlBUOE1ERWxJaUtxWkt5c3JOQ3dZVU85Q2h4cGEyTnJhNHRXclZwaDRjS0ZhZ1ZEZnZ6eFJ4UVVGR2kwOS9Qenc0b1ZLelRtNjUwL2Z4NHBLU2tJRFExRno1NDl5LzA2eWhQM3paczN5MncvY09CQS9QNzc3d0QrdjJmVXhNUUVnaURJQzkzSHhzYWlXclZxRUVVUkZoWVc3QzBqSW5wQm1KZ1NFUkVaTVczRGF2MzgvREI3OW14MDd0eFpiWDlwUlVHY25KdzA1bjI2dXJvaUxDd01qbzZPRlJKcnlSakxJejA5WGEyd1RWR2hFamMzTjBSRVJPRDQ4ZU00Y2VJRURoMDZKQzhoRWhzYnkyRzlSdURSbzBkWXUzWXRCZzhlckZGMTkvVHAwemg5K2pSR2p4NXRvT2lJakFjVFV5SWlJaU9tejdwK3o2S2lrOUxxMWF0aitQRGhHRHQyYkxuT08zLytQTzdmdjQ5cjE2NEJnTnBRM29LQ0FrUkVSR0RGaWhYbzFxMGJKa3lZZ0pFalIyTE1tREZZdm55NVVTMXdiNHpXcmwyTFU2ZE80ZE5QUDFYYkw0b2l2djc2YTdSdTNkcEFrUkVaRnlhbVJFUkVMNUd5aHQ5bVpHU1UycVk4MVdvTklUVTFGU3FWU21PL3RxcThnT2JycVY2OWVwbEpxU2lLQUNBUHc1VWtDYi84OGd1YU5XdW1zUWJoaVJNbnNHalJJdHkvZng4alJvekFzR0hESUFnQ1ZxOWVEWDkvZnl4ZnZoeHo1ODdWL3dYU0srWGt5WlA0K2VlZklVa1NtamR2THU5M2RIVEVpQkVqY09YS0ZWeTVjZ1VoSVNGcTV4WDF0Qk5SeFdGaVNrUkU5QklwYTRqcVR6LzlWT29DN0tkT25kSll5TDJpNWVUa0lDVWxCZFdyVjBkcWFpb0E2TjJyR0JBUWdQVDBkSTM5MnFyeUF2cjM2T2JsNWVIaHc0ZXdzTERBbVRObkFQei9tcFJSVVZGSVNrckNsaTFiY1BYcVZTeGF0QWpyMXExRHExYXRVS05HRGJScDB3WStQajZ3dDdkSFNrb0tSRkZFZm40K0prMmFoT3JWcStQYXRXdHdjM1BUS3c1NmRWeThlQkhUcDAvSGtDRkQwTFZyVjF5NGNFRWV2bjd6NWswTUhUb1VNMmZPUk1PR0RYSGh3Z1gwN2R0WFBwZHpqNGtxSGhOVElpS2lsOGp6SGxwYkVaNDhlWUlCQXdZQUtLeXkyNk5IRDlTc1dWT3ZjL2Z0Mi9kY1lycC8vejQrL1BCRGVidGJ0MjZvWHIwNmdNSmU1aFl0V3VEMTExL0g2NisvRG05dmIrellzUU5SVVZGSVQwOUhWbFlXOXV6WmcvejhmTG0zMWNURVJQNmFPM2N1RTlOSzV1TEZpeGcxYWhRNmRPaUE4ZVBINCtyVnEvanFxNi9nN3U2TzExOS9IZGV1WFlPSGh3ZjgvUHp3NTU5LzRydnZ2a09kT25Ydy92dnZHenAwb2txTGlTa1JFVkVsVmFOR0RVeVpNcVhjeDBvNmZQZ3dyS3lzNUcwN096dWNQbjBhS3BVS0ppWW1VQ2dVNWI1R2VlalRDK3prNUlSZmYvMFZCUVVGTURNems1TlNBUEQzOTFkYmlzYkJ3UUdqUm8xNnFsaW9jbWpjdURHbVRKbUNqejc2Q0lJZ29GR2pScGcrZmJyYzh6OWp4Z3hFUlVWQm9WQ2dTWk1tbURkdjNuTXA0a1ZFLzQrSktSRVJVU1ZsYTJzcjkyeVc1MWhKMm9icENvSUFNek16dldONWxnSkMrZzVOcmxHamh0Yjk1dWJtR2t2WmtIRXpNVEhCd29VTHNYRGhRcDF0U2h0VzcrdnJpOFdMRnorUDBGNHBYbDVlaGc2QktoRW1wa1JFUkVSa2RJNGRPNmJ6V051MmJiRmx5eGE0dUxob1BXNXFhdHlQMEpJa1hSUUU0VTFEeDBFVjdwb2hiMjdjZjFWRVJFUkVaSlFzTFMwaFNSTHk4L08xSGpjeE1kR2FnSnFabVJsOThhT0VoSVFtaG82QktoOG1wa1JFUkVSa2xKS1RrM1VPMmYzNDQ0KzE3bytLaW5ycGwyVWllaFV4TVNVaUlpSWlvMWF5R3JhWGw1ZldCSlJ6S29tZW43TEw2QkVSRVJFUkdRRlJGUEhsbDE4Q0FMNzU1aHZrNU9RZ1B6OGY5Ky9mUjNKeU1nRE9MeVY2WHBpWUVoRVJFWkhSZS9qd0lTWk5tb1FMRnk3STIwT0hEc1g1OCtmaDYrdUxYcjE2d2QzZG5jdkdFRDBuL01pSGlJZ3FQUTYvSXlKdFhGMWRFUjhmaitQSGoyUGh3b1Y0KysyMzhjTVBQNkIxNjlZSURBeEVkSFEweG93WmcyN2R1bUhJa0NGbzBLQ0JYdXYyRWxINThTK0xpSWdxTFVtU1RoazZCaUlET20vb0FGNTJWNjlleGZqeDR6Rno1a3dFQkFSZzZkS2xxRnExS2dCQW9WRGdrMDgrd2ZmZmY0OUxseTVoNk5DaFdMRmlCYTVmdjI3Z3FJa3FKL2FZRWhGUnBaV1FrTkRTMERFUTBjc25KU1VGaXhjdlJseGNISHg4ZkJBVkZRVUhCd2V0YmQ5NTV4MkVoWVZoLy83OTJMaHhJelp2M2d3Zkh4OTVMaW9SVlF3bXBrUkVSRVJrVkp5Y25OQ3laVXRNbVRJRmJtNXVaYlpYS0JUbzBxVUx1blRwZ3RPblQ4UEZ4ZVVGUkVsa1hKaVlFaEVSRVpGUlVTZ1U4UGYzMTNrOE5qWVd0cmEyV284MWI5NzhlWVZGWk5TWW1CSVJFUkVSRlZPOWVuVkRoMEJrZEZqOGlJaUlpSWlJaUF5S2lTa1JFUkVSRVJFWkZCTlRJaUlpSWlJaU1pak9NU1VpSWlJaW8xTlFVS0IxdjRtSkNUSXpNMHM5MTlUVUZOYlcxczhqTENLanhjU1VpSWlJaUl4S2RuWTIyclZycC9WWWZIdzhPbmJzV09yNWI3MzFGa0pEUTU5RFpFVEdpNGtwRVJFUkVSa1ZhMnRyeE1iR0FnREdqQm1EWHIxNndjZkhSejRlR3hzTEh4OGZyRml4QW0rODhRWUFJQ1VsQlVPSERrVnNiQ3hNVGZrSVRWVFIrRmRGUkVSRVJFWkZFQVJVcjE0ZGVYbDV1SGJ0R2xxMGFLRzJSRXpSOTliVzF2TDNSY043dVpRTTBmUEI0a2RFUkVSRVpKUk9uanlKV3JWcW9YNzkrb1lPaGNqb3NjZVVpSWlJaUl4U1RFd01QRHc4Y092V0xRQ0F2YjA5aCtrU0dRai84b2lJaUlqSTZLU25wK1Bnd1lOUXFWVDQ1WmRmQUFCUlVWRndkWFVGQUVpU1pNRG9pSXdQRTFNaUlpSWlNanFiTjIrR1NxVkNSRVFFWEYxZDBhSkZDeng1OGdSZVhsNU0ySWZtQUFBZ0FFbEVRVlJ5bTZGRGgycWNWM1Q4MUtsVE1ERXhlVkhoRWxWNlRFeUppSWlJeUtna0p5Y2pJaUlDUU9HNnBVVUpwcm01T2FLaW92RG8wU1A0Ky90aitmTGxxRmV2SGdEZzVzMmJtREJoQXFLaW91VHppS2ppTURFbElpSWlJcVB5NU1rVC9QdmYvOGJSbzBmVjlndUNBRmRYVnlRbkp3TUFYbi85ZGRTcVZVdXRUZEZRWHlLcVdLektTMFJFUkVSR3hkM2RIVXVXTE5GNS9NcVZLNmhhdFNwcTFxejVBcU1pTW01TVRJbUlpSWpJNkppYm0rczhkdno0Y1RSdDJoU0NJTHpBaUlpTUd4TlRJaUlpSWpKYWQrN2NRVXBLaXJ5ZGtaR0JBd2NPb0VPSERnYU1pc2o0Y0k0cEVSRVJFUm10Y2VQR3FXMnZXclVLWm1abTZOYXRtNEVpSWpKT1RFeUppSWlJeUdnVlg3dDB6NTQ5MkxGakIyYk1tQUZMUzB2REJrWmtaRGlVbDRpSWlJaU1Va1JFQkp5Y25BQUF1Ym01MkxScEV6cDI3SWkrZmZzYU9ESWk0OE1lVXlJaUlpSXlTbTV1YnZMM0ZoWVcrT21ubjNTMmRYWjJSblIwOUlzSWk4Z29NVEVsSWlJaUlrTHBsWHBOVEV6ZzRPRHdBcU1oTWk0Y3lrdEVSRVJFUkVRR3hjU1VpSWlJaUlpSURJcUpLUkVSRVJIUlAxUXFGWlJLcGFIRElESTZURXlKaUlpSWlBQklrb1FoUTRaZytmTGxoZzZGeU9nd01TVWlJaUlpQWlBSUFqNzQ0QVBzMmJNSER4NDhNSFE0UkVhRlZYbUppSWlJeU9oNGVYbVZldHpIeDBmbnNmajQrSW9PaDhqb01URWxJaUlpSXFPMFlzVUtPRGs1QVFDeXM3TmhiVzBOUVJEazQ5bloyYkN4c1pHM2I5NjhpUWtUSnJ6d09JbU1BWWZ5RWhFUkVaRlJjbkp5Z3F1ckt4UUtCZWJPbll0VHAwN0IxZFVWcnE2dXlNckt3dWpSbzNINDhHRTRPenZEMWRWVlRtS0pxT0l4TVNVaUlpSWlveE1TRW9LNmRldmkwS0ZER0R4NE1ONTU1eDMwN05sVFB0NnNXVFBNbWpVTG9hR2hHREprQ0s1ZXZZcTZkZXNpSkNURWNFRVRWV0pNVEltSWlJakk2TlN2WHgrTEZpM0M3Tm16OGNrbm4yREJnZ1VJRFExVkszclVyVnMzYk51MkRiVnExY0xnd1lNUkhoNk9KazJhR0RCcW9zcUxpU2tSRVJFUkdaV0hEeCtpVjY5ZXVIanhJalp0Mm9RK2Zmb2dQejhmMzMvL1BYSnpjOVhhMXFwVkM4dVhMOGVFQ1JPd1pzMGFMRml3d0VCUkUxVnVMSDVFUkVSRVJFYWxXclZxbUR4NU10emQzV0ZtWm9ha3BDUThmUGdRQUhEdjNqM2s1K2VydGE5WHJ4NzY5KzhQVDA5UHFGUXFRNFJNVk9reE1TVWlJaUlpbzVPYW1vclBQdnRNWS8rd1ljTTA5dTNZc1FQT3pzNW8zTGp4aXdpTnlDZ3hNU1VpSWlJaW96TnExQ2lNR2pWSzN0NjNieC9XcmwyTEhUdDJ5UHN1WHJ5SXdZTUhHeUk4SXFQRE9hWkVSRVJFWlBRT0h6NE1UMC9QTXR1bHA2ZERrcVFYRUJHUmNXR1BLZEZMeU5QVE14WkFCMFBIUWE4bVNaSk9KU1FrdERSMEhFUkVyNG9MRnk3ZzRNR0QyTEJoUTVsdFEwTkRrWk9UZzhEQXdCY1EyY3ZKdzhOanB5QUlIeG82RHFwWWtpUWRUa2hJYUcrbys3UEhsT2pseEtTVW5wb2dDQzBNSFFNUjBhdmkrdlhybURKbENqcDM3b3htelpxcEhSTUVBUURVZWtqdjM3OFBLeXVyRnhyank0WkphZVVrQ0VJN1E5NmZQYVpFTDdINCtIaERoMEN2R0M4dkwwT0g4RkxoNkFNeVpodzlVYnE4dkR4czI3WU5hOWV1UmRPbVRURm56aHlOTm5aMmRnQ0FRNGNPNGIzMzNrTk9UZzdPbmoyTGdJQ0FGeDN1UzRuUEtaWEh5L0Q4d01TVWlJZ3FNeWFsWkxRNGVrSzM0OGVQWTk2OGVWQXFsUmc2ZENpR0RSc0dFeE1UalhaMTZ0UkJuejU5c0diTkdxeFlzUUlLaFFKTm1qU0JqNCtQQWFJbXF0eVltQklSVWFYSFQvWEoyTHdNdlI4dk0yOXZiNHdlUFJxK3ZyNXlyNmd1TTJmT3hNeVpNMTlRWkVUR2k0a3BFUkVSRVJtVktsV3FvRisvZm9ZT2c0aUtZZkVqSWlJaUlpSWlNaWdtcGtSRVJFUkVSR1JRVEV5SmlJaUlpSWpJb0ppWUVoRVJFUkVSa1VFeE1TVWlJaUlpSWlLRFltSktSRVJFUkVSRUJzWEVsSWlJaUlpSWlBeUtpU2tSRVJFUkVSRVpGQk5USWlJaUlpSjZhVjIrZkJsS3BkTFFZVHd6VVJTUm5aMXQ2REJlV3FhR0RvQ0lpSWlJaUVpWGdRTUhZdHUyYlhCMWRRVUE1T2ZuNCtiTm16cmJPems1d2N6TVRON096TXlFajQ4UG9xT2pjZS9lUFRnN084UGEybHJuK1Y1ZVhvaUtpcEx2QndEWjJkbTRmLysrM2pIWHJGa1ROalkyYXZ0dTNMZ0JQejgveE1mSHE4VldHaE1URTQzclZGWk1USW1JaUlpSTZKVng4K1pOK1BuNTZUeGVNcWswTnplSEtJckl6OC9Ia2lWTGtKV1ZoV1hMbHNIRnhRVUFVRkJRZ0Z1M2JxRmV2WG9RQkVIck5hT2pvN0YwNlZLOVk1dytmVHI2OWV0WFpydU9IVHVXZXJ4Ky9mcll2bjI3M3ZkOWxURXhKU0lpSWlLaWwwNUtTb3I4L1owN2QyQmlZcUoydkhqUFl4RXZMeStOZlZXclZnVlEyTk82YXRVcVRKMDZGWk1tVFVKa1pDUVVDZ1hTMHRMUW8wY1BuRHg1RXVibTVxWEdwTzJlK3NTZ1MyeHNiS25IUzc3bXlveUpLUkVSRVJHUkVXcmF0R2xURXhPVGxNVEV4TkxIa3hwQVFVRUJldlRvSVcrUEd6ZE8vajRxS2tyK1BqazVHYjE3OTBaY1hKek9heWtVQ3BpWm1VR3BWTUxhMmhvclZxekE3ZHUzSVlvaUhqeDQ4SHhlUURGdDJyUkJibTZ1dkYyVXVNYkh4Nk42OWVyUC9mNnZDaFkvSXFwa1JGRjhLYTlWVWM2ZVBZczFhOVk4MHpYeTh2S3dhdFVxZlBQTk4xQ3BWT1U2TnljblIrczVPVGs1ejFTWUlURXhFVStlUEhucTgrbjVVcWxVYXAvY1A2MUxseTY5MEFJZW9paHEvVHRXcVZTNGR1MGFKRW5TNnpxU0pDRW5KMGZqMmlYM1BRMTkvOTNmdW5WTDY5OWVXbG9hQ2dvS05MN1hSdHZyS0U2cFZPTGl4WXQ2eFVOVUdaaWFtdm9MZ3BEbTZlbDUwTVBEWTRLSGgwZHRROGRVeE1URUJQSHg4WWlQajRkQ29jRDI3ZHZsN2VJa1NkTHJlY1hDd2dJblQ1NUVTRWdJRml4WWdPblRwNk5ObXphWVBuMzY4M29Kc3NqSVNPemV2UnRqeDQ0RkFPemV2UnU3ZCs5Kzd2ZDkxYkRIbEtnU3ljbkpnYisvUDhhT0hZdjI3ZHNES0h3QTFlZEIyTkxTVW0zN3pwMDc4UFB6UTNCd01KbzFhMWJtNUh3SEJ3ZU40U1pKU1VsNngxNnlVRUZwTm16WWdCWXRXcFJycUV5UlAvLzhFNEdCZ2FoU3BRcFVLaFg4L2YwUkdCZ0lkM2QzdmM2Zk9uVXFySzJ0OGVXWFgwS2grUC9QOW9LQ2dwQ1JrWUhWcTFlWE95WUFHRDU4dU1hY0dIcDVwS2FtYWhTc2VCb0RCZ3pRNi9lOFo4OGUzTHg1RXlOR2pKRC9ya3BMdUlvci9uZTRaY3NXN05tekIrUEdqY083Nzc0cjc3OTE2eGI2OXUyTHVMZzRuZk9waWt0T1R0WjQvZkh4OFpnNGNTTDI3OS8vMUlVNTVzeVpnN3k4UEFRSEI1Zlp0bnYzN2xwL2RoOTg4SUc4di9qMytyNk80bTdkdW9YQmd3ZnIvWHN1cXdCTGthTDNOMTN2aVhYcjFzV2xTNWZLdkU3ZHVuVlJzMlpOdldJajBwY2dDT1lBMmd1QzBCNUFzS2VuNSsraUtPNlNKQ25zN05telpmOERmMEgwZWE4cTZlREJnd2dMQzhPMWE5ZVFsWldGeU1oSXVMbTV3YzNORFczYnRvV2JteHRjWFYxeDkrNWR2YS81Tk04ZWRlclVBUUQ1Nzd4dTNib0E5SDlPc3JlMzEzaE9xNHlZbUJKVklwYVdsdWpVcVJObXpKaUJvS0FnK1BqNElDSWlRcStIdnBJUFlrZVBIb1ZDb2NEYmI3K05Bd2NPWVA3OCthV2V2Mi9mUHRqYjI2dnRLNjB3UVVuRkh5YjFlZE1mT1hLa3ptT0xGaTFDcDA2ZDFQYmR2bjBiNjlldng5NjllekZnd0FCNGVIakEzZDBkMjdkdmg3Ky9QM3g4ZkRCaXhBaTVFSUl1TTJiTXdJZ1JJM0Rod2dVMGJkb1VBTEI5KzNZY1BYb1VHelpzMEdqZnYzOS9YTDU4V1dOL1RFeU1SazlSZW5xNnh0eVdvdjk1a1hHUkpBa2hJU0g0N2JmZnNHalJJamc2T3FKRml4WjZuUnNURXlNbkx6MTY5RUJhV2hxbVRKa0NQejgvekp3NUUwQmhRbVZpWXFMMjRZbzJxYW1weU1ySzB2cEF0Ry9mUGpSdDJyVE1wTFMwQjYvR2pSdGorZkxsT0hMa0NPclhyNisxemZQOHNFYlhlMDNKL2ZiMjl0aTllemUrK2VZYmZQVFJSMmpjdURHQXNndXdGQ2w2ZjlQVmR2UG16Umd6Wm95OExVa1M4dkx5VUxWcVZiV0g4WWtUSjZKUG56NWwzby9vR1pnQ2FLTlFLTm9BV096aDRSRVBZTGNrU1Q4bEppWW1HU0tnb2g1UlhYTXRueng1b2pOcHRiT3pRNGNPSGVEdjc0OUpreVpoL2ZyMThyT0tLSXE0ZE9tUzNoK0tGeWsrakZnWGJYL3JXVmxaT0hic0dBRGcrdlhycUYrL3Z0N1BTZHFlYXlvakpxWkVsY3lJRVNPUW5aMHREenZzMGFNSFdyVnFoYU5IajZKTGx5NGE3Vk5UVTdVbWVmdjM3NGV2cnk4c0xDelF2WHQzZE8vZVhldjlNak16MGJGalI1MWwxL1hwSFNyNUVCZ1RFNk8yblo2ZWpwQ1FFQnc5ZWhTK3ZyNzQ1Sk5QNUFmcXUzZnZJajQrSHAwN2Q1YmJGejBvUzVLRStQaDRSRVZGSVRZMkZzMmJOOGZtelp2UnFGRWp6Smd4QXlxVkNzSEJ3ZWpldlR0V3Jsd0pQejgvZUh0NzQ4TVBQMFNiTm0xZ2JXMk5TNWN1WWNDQUFSb3hEeDA2VkdOZi8vNzkxYmJqNCtPeGJOa3lKQ2NuWS9Ma3lRZ1BENWVQelpvMVMrUERnT0lQcHNXdlFTK09yaVNxcUZkTTEvRjY5ZXJCMUxUd2Y2bloyZGxvMTY2ZHpudVU5aUN5WThjT09EczdvM3YzN21qVXFCRSsvZlJUZlBYVlYxaStmRGwyN05paDEydXdzN01EVUZoQjB0dmJHMU9uVHNXSEgzNEljM056Yk4yNlZhMnFaTW0vdlZPblRxazkvTVhHeHVLMzMzN0Q3Tm16MWRvOWZ2d1l2Lzc2S3dZUEhxenpaMUtqUmcxWVdWbnA5ZUQxNmFlZjZqd1dGeGNuRHprdUtDaUFLSXBsSnRSbCtmMzMzOUdxVlN2NUliSElqUnMzTUhEZ1FJMzlSZmRMVGs3RzZOR2o4ZjMzMzh2SktWRDYzMm54bjNISmR0OSsreTBTRXhQUnFGRWpIRDkrWE40ZkZ4ZUhDUk1tNE1pUkkvSy9LNkp5ZXMvVDAvTmJQZHE5VzhveEUwRVFXZ0JvSVFqQ1FnOFBqNHNBb2tSUi9LbGlRaXpkMnJWcnNXN2RPbm43d3c4L2xMOHZuaHptNU9Ub1RGbzlQRHpnNGVFaHYyOWtaR1RJaWVtbVRadXdkdTFhN055NXMxeHhQZTJIWmJ0MjdVTE5talZ4Ky9adHpKNDlHODJhTmNQcDA2ZlZrdXFrcEtRS0daM3pxdUs3SFZFbFVyVHUxdVRKaytWOWxwYVdVQ2dVV0xseXBkWmtxdmhrL0NKSlNVbElURXpFckZtenlyeG5kblkyRkFvRkxDd3N0QjdYVmtXdkxFVzlQZWZQbjhlMmJkdHc1Y29WZE83Y0dUTm16SUMxdFRVZVBueUllL2Z1SVRvNkd0dTJiY1BycjcrT1RwMDZvVmF0V3ZJMXpwMDdoNWt6WnlJdExRMU5talJCUVVFQjR1TGkxSkpNVVJUaDdlMnR0aTJLSXViTW1RTlRVMU9FaElTZ1ljT0dXaE1DU1pMUXMyZFByRjY5dXRSZVRRY0hCMXk3ZGcwT0RnNXdkbmFXOXhmL255MmdmYzAwZXJFS0NncktUS0owSGQrOWU3Zjg3OERLeWdwUlVWR1FKQW1QSHo5Vys5REd6ODhQSzFhc2dKT1RrN3p2OXUzYmNIUjBCQUQ1di8vWDN0M0gxWHozZndCL2RVNm5uRlJLa2lFM2Era3lEZFdzc2RrMTI4Skt0TnhWbUxaSW1udTVDaXR5ZnpkWnVkeEVVU1loSnFhNWoxMkVyR0xtTWlvM2hZUUtVVG5wbk44Zi9jNzM2blJPZDRiSTYvbDRlRHljNy9uZWZEcWQ3N2Z2Ky90NWY5NGZBUGpIUC82QlRaczJDVGN0RmI4L05Ta3VMa1owZERUbXpwMkxJVU9Hd052Ykc0MGJOMGJ6NXMzUnMyZFAvUHJycjBoT1RzYXNXYk9FTm1oNlFIWHo1azJZbUpnSWMvZmw1dVpDS3BVaUlTRUJSVVZGV0x0MkxkYXVYYXV4RFFFQkFSZzhlTERLRFZaWldSazJiTmdBWjJkbm1KbVpxVzJ6YTljdTlPelpVeVZkdFZ1M2JzTDRzU0ZEaHFCang0NTQ3NzMzc0czYk5vM0hyZmc3K3Z6eno0VkFmTVdLRmJDeHNRRlEzdnZnNit1TGVmUG1hYndHOXV6WlUrVzE4bWRZdW5RcFJvMGFoWEhqeG1IRGhnMGFqMStUa0pBUTNMeDVFOTI2ZFVOQ1FnSisrdWtudFI2Ynk1Y3ZvMlBIamd4S3FjN0VZbkhwL3ovSXNmbi9mOCtObHBiV3V3cUZvcVZZTEs3OXhlaHY4UER3Z0xPek0vTHk4dURwNlltZmYvNVpPQ2NxRGxIS3pjMnRzWkt1U0NSQ2l4WXRrSk9UQXlzcks2RmV4YVJKazlDOGVYUGN1blhyaGY0c0pTVWxpSXFLd3FCQmd4QWVIbzVGaXhiQnk4c0xBd2NPaEpHUkVaNCtmYXJ5ZHdFbzcyRXRMQ3hVVzk2UThZcEgxRUJWbkFSYU9UNjA0akpqWStNcWV4MDJiOTRNQUhqbm5YZlVubGhXNWYzMzN3Y0EvT2MvLzFGSis2dFlSYTh1bE1mVjBkRkI4K2JORVIwZGpYWHIxZ2xqWmtVaUVYcjI3SW13c0RCMDZOQkJMWjN3blhmZWdZNk9EZ0lEQXpGZ3dBQUE1V2x3bjMzMkdiNzg4a3ZvNnVvQ0tBOHc0K1Bqa1pDUWdQRHdjSlNWbGVIWFgzL0Z0bTNiWUdWbEJaRklCQjBkSGJWeHVzbzAzS29DOG9wQnhPWExsMkZpWWlMODRkUFIwVUZaV1JrY0hSMVZ0cWtjOUJ3K2ZKalYrbDRpWmFFTlRlcnlGRnNrRXFGZHUzWllzMllOVHAwNkpYeVBsVnExYWlVOGdEaC8vanltVEptQ21UTm5vbCsvZmdES2V5TlBuRGlCM3IxN1AvTjRRcWxVaXBpWUdPelpzd2U3ZHUyQ3RyWTI1SEk1OVBUMG9LZW5oK3pzYkZoYld3dkJkTVh4cXpLWkRMR3hzWEIxZGNXbFM1Znc1NTkvQ2xrTWpvNk9jSEJ3d1BuejV6RjY5R2c0T3p1amYvLytTRXhNUkVKQ0F2YnQyNGVOR3plaVQ1OCtHdE4vWlRJWmR1L2VqZVRrWkt4ZHUxYWxweUFyS3dzTEZpeUF1N3U3eXNPMUV5ZE9BQUM2ZCsrTzJOaFl0R3ZYRG9XRmhjTDhnSlhQbTRxQmYrUEdqWVhsKy9idGc3VzFOUURnMjIrL3hZWU5HM0R3NEVHVkFsQlY5WmdxNmVucFlmbnk1Umd4WWdUMjc5OWY0L3lEbXJpNXVXSE1tREZJVEV4RWFHaW9FS0FydjJNVlZlN1JmbE43VWFqMlpETFpGckZZM0VRa0VsVWZxZjAvaFVMUlcwdExxMGNONjl3REVLOVFLSTZJeGVMdEtTa3BwYmEydHA3UG83M1ZNVEF3Z0lHQkFRb0tDcUNscFlXY25CelkyOXNEVU0xZVNVOVBoN2EyTnM2ZlB5OE1zZEdrZmZ2MnVITGxDaXd0TGVIbjU0ZmV2WHVyWlRyVnhyT01NVjIzYmgwa0VnbSsrT0lMaEllSG8xMjdkdGkxYXhjTURBd3dhOVlzL1BISEgycHpsYzZhTlF0bFpXVUlEUTJ0OC9GZVZ3eE1pUnFvM3IxN1Y3dXNxdDY1MjdkdnExU0tjM2QzaDZPakkvNzczLzhpT1RrWnc0WU5xM1k4UnVWQTdWbFNlUUZnMEtCQjZOQ2hBOTU2NnkwMGFkSUVWNjVjd2Q2OWUzSG16Qmw4K2VXWEdESmtDRnEzYm8zWTJGZ3NXTEFBcTFldlZobmpxcWVuaDUwN2R5SXJLd3Z2di84K2poMDdodWJObTJQOSt2VUlDd3ZEb0VHRFlHbHBpWWlJQ055K2ZSdE9UazVJVDArSG01c2JVbEpTaENBQktKOGsrODgvLzlUWTltKysrVWJqOG9vM2tHbHBhVWhOVFJYU29kOTk5MTBzVzdZTVFQbjRWT1g4YWtvVmI3cnA5ZFcvZjMvRXhzWmk4ZUxGQ0F3TVZIcy9KeWNIVTZkT1JkdTJiWVZpWlVENStPN0F3RURFeGNVaEtDZ0lUWm8wcVRZMVdCTmxGY3NCQXdiQXlja0pHemR1eE5telo3Rnk1VXJjdTNjUGh3NGRxdktCVTBGQkFYNzg4VWZZMnRyaTRzV0xpSTZPRmxKeVUxSlNzSFhyVnB3K2ZSckRoZzFEV2xvYXpNek1ZR2hvaU51M2J3c0JZVkZSa1VwUXFDU1ZTakZyMWl4NGUzdGorL2J0R0RKa2lQRGVpaFVyMExKbFMvajQrS2hzVXpHb2wwZ2trRWdrYU5xMEtabzJiYXF4L1JVRGY2V3lzakxrNWVYQjFMUzg0R2kvZnYzUXNXUEhXbGNsTGlvcUVnTHRGaTFhSUNZbUJxYW1wblVxOEtiMDFsdHZZYzJhTlJnMWFwVEc5NVVwaW5sNWVUQXlNb0pZTE1iTm16Y3hZY0tFT2grTDNqem56NTh2QUxDd3R1dmIyTmdZQU5BVW1ONEM4SE5aV2RtT2MrZk8vUWFnZHRYWFhvRExseTlETEJaandvUUptRFZybHRwRDNSTW5Ua0FzRnNQVDB4TXBLU25vMHFXTDJ0OVZBT2pTcFF1T0hqMktuVHQzd3NMQ0FrRkJRYy9VbnJxT01aWEw1ZGk1Y3ljbVRacWtra0ZtWUdDQTI3ZHZZOSsrZlFnTURGUWJKenQ4K0hCNGUzc2pNek1URmhZV3o5VFcxdzBEVTZJR2JOdTJiV2pYcmgydVhidUdJVU9HSURrNUdRQ3FMYUt5WXNVS05HblNCUGZ1M1FNQUdCb2FDay8wREEwTjhmYmJiOWVwRFhsNWVWWDJLbGJIeE1RRUhUcDBRR0ppSW5idjNnMURRME80dUxnSUZYV2ZQSG1DZ29JQ2RPdldEVEV4TWZEeThzS2FOV3RVVWw0cTlnanI2K3RqOU9qUnNMR3h3Wll0V3hBVEV3TnpjM05rWjJkanhJZ1I2TjI3ZDVYRkU2S2lvdFNXaFllSDQvejU4d2dMQzZ2MjV5Z3VMc2J2di8rT3RXdlg0djMzMzhla1NaTlVlbCtsVXFuYTUxUFhLV3pvMWRTeVpVdk1uRGtUTTJiTXdNaVJJMVVLYThubGNreVpNZ1dOR2pWQ1dGaVlTaEQzNVpkZm9sbXpacGd4WXdiYzNOeXdiZHMyNFVab3c0WU5TRTFOcmZGN3A1U2Ftb3BGaXhZaEp5Y0hQajQrS0NrcHdmVHAwMkZ2YjQ5MzMzMVhXRStaSHZmZ3dRT2NPM2NPWXJFWW1abVowTmZYUjhlT0haR1ZsU1dzZStyVUtZd2RPeFlHQmdaSVMwdEQxNjVkQVFCWHIxNkZ0YlcxVUxpbllncno0OGVQaGFxWEppWW1jSEZ4d2R0dnZ5MEVkaGN1WE1DeFk4Y1FIQnlNM054Y1lUdUpSS0p5VHQrOWV4ZC8vUEdIeWxpejJyaDkrellhTldxRUprMmFDRDl2UkVSRWxSUGJWMDdsQlZRZk5pa0RYS1hhQnFoRGhneEJabWFtOExwaXNLbjhIU3VENm9FREJ6SzluMTYyNndCMnl1WHlIV2ZQbmswQ1VMc25OeS9ZaVJNbjRPVGtoQll0V2lBb0tBajUrZmtZUG53NFVsSlNjUHIwYWFTbnA4UGQzUjFidG13QkFFUkdSbXFjbTdSejU4NVl0V29WN096c0VCSVNBb2xFZ3JLeU1qeDgrTEJPN2Fuck9Ta1NpZURuNXdkSFIwZGN2MzVkNWIzMTY5ZWpUWnMyYXNFMlVQN1Ezc2JHQmpFeE1Sb2ZialpFREV5SkdqQ3hXQ3o4VTc2dXpvVUxGM0Q0OEdFRUJ3ZXJYQVMzYk5tQ2MrZk9BYWcraFNVaElVRnQzRmgxMVhPcnMzSGpSdUhtVzE5Zkh6S1pER0ZoWVZpeVpBbUtpNHVocmEwdEJIVlNxUlNQSGozQzZOR2pFUjRlanRhdFc2dnRMek16RTdObno0YWRuUjNHang4UFcxdGJTQ1FTM0wxN0YwZU9ITUdDQlFzd2JOZ3d0ZTFxU3RtcDduMDdPenU0dXJwQ1QwOFB0cmEyQU1wdjNpcytHTkJVa0lycVIyM1NzNnBiNStUSms1QklKQ28zSHBhV2xwZ3padzdrY3JrUXZDZ0xLYm01dWNIVTFCU1BIei9HNDhlUGhXM2F0V3NuUEhBNWNPQ0F5aGptbXpkdm9sT25UalhlR01ubGNnUUhCK09YWDM1QnIxNjlzSExsU3R5NWN3ZWVucDU0K3ZRcGxpNWRxcksrbVprWk9uVG9BQWNIQndEL0s1b21Fb2xVSHZESTVYTDQrZm1oWmN1V2tNdmxPSHo0c0RBdjM4V0xGK0hxNm9xaW9pTEk1WEtWWVB2WXNXTnFOMWFheG00cng3d3F0VzdkR3ZIeDhVS3c2dXZyaTk2OWUrUGN1WE5WRm9PcTJGT3hhdFVxMk52YjQvcjE2MnBqZEpjc1dRSzVYSzd5MlZlbDhsQ0I3T3hzbGYzVnRySm1TRWdJU2t0TGtaZVhCMjl2YjJ6ZXZCblIwZEZWWm1RUXZRUlpDb1ZpRVlBZGFXbHB2OWQzWXlyTHo4L0g4ZVBITVgvK2ZIeisrZWNRaThVSUNRbkJvMGVQOFBYWFgyUHg0c1ZvMDZZTkJnd1lJQVNtUVBrd0loY1hGeUg3NlBqeDR3Z0tDb0pJSk1Jbm4zd2lQQkMrY2VNR0JnOGVqQTBiTnJ6UVZIa25KeWUxWlZldlhrVjhmRHlXTDE5ZTVkQ3FFU05HSUNBZ0FPUEhqMzhqaHZZd01DVnF3SlM5bFJVTGwxU25UWnMyOFBIeFVlbEpTVWxKUVZoWUdJS0RnNFhnS2pzN0crUEdqVk9yWkZlNUZ3RUFZbU5qcTV3R1FxbDc5KzVxeTF4ZFhXRnNiQXhUVTFNWUdCaEFYMThmZW5wNmFOeTRzVkRRcWFLSER4OWkvdno1VmM3MXFFd1ovTzkvLzR0Tm16WnBYQ2MxTlZWdFdlV2IzMnZYcm1IT25EbXd0YlhGdUhIakFKU1B5ZDI5ZXpmOC9mMkZ6d2dBZEhWMTRlZm5oeDQ5ZW1ESmtpWG8yN2N2YnR5NGdlSERod3ZyVkI2VEMveXYwakc5WEZXbForWG01c0xQenc5RlJVV3dzckxDdkhuek5ONUVTQ1FTRkJjWDF4aWsxSlNTcWJ3NU1qVTFWWGxZSXBmTGNmSGlSUXdjT0xES0hqbzlQVDAwYjk0Y0lwRUk1dWJtV0x4NE1iNzQ0Z3NBNVVHdGhZVUYvUDM5MGF0WEw1WGVPSkZJaE0yYk4rUDI3ZHVRU0NUQ3VheE1QMWYybURvNk9zTGMzQnpyMXEzRG9VT0hVRmhZaUY2OWVpRWpJd1A1K2Ztd3NiSEJvMGVQQUVCakttOWRiL3hrTWhtbVQ1OHU5R3d1WGJvVW4zNzZLZkx5OGpCaXhBZ0ExWTh4VmM0ZGFHMXRqWmt6WjZydFB5c3JxMVpCWmVWMisvbjU0Y01QUDhUUW9VUFJvVU1IYk5teUJkZXVYY09nUVlPUW5Kd3M3RGNsSlFYdTd1NUNPckt5WGNxYjRqWnQydUQ2OWV0cUQ2aVV4WjZlWmQ1R29ycElTMHQ3cFFjd1JrVkZRU3FWQ2xrTVhsNWVVQ2dVc0xXMVJVQkFnREFWWE9VaFJvV0ZoUkNMeGNqTnpVVm9hQ2dPSFRxRXlaTW5vNlNrQkJFUkVYQndjSUNabVJtdVhic0d1Vnl1OHFDcHB2UHZXVkw0TlZtNmRDbTZkZXVta3FHaFBMWlN6NTQ5WVdabWh2ajRlSXdjT2ZLNUhQZFZ4c0NVcUFHcjNGdXBLVldrSWdNREEzaDVlYWxjZEVVaUVmejkvVlhHWEdablo4UEl5S2hXYzJ4S0pKSWFxK1ZwWW1ob2lEbHo1dFJwbXgwN2RxZ0Z3ZTNhdFZPN3FTd3FLc0xubjMrT2FkT213ZFhWVlZoKy9mcDFEQm8wU0dWZDVSK3JPM2Z1WVBQbXpkaTJiUnM2ZCs2TVdiTm1DUUhsdi83MUx4UVhGMlBldkhsd2NuTENpQkVqWUdGaEFabE1oc2VQSDhQWDF4YzdkKzRVeHBSMTZkSkYyTCttbEVHcUg1cDZJZlB5OGpCMTZsVFkyOXNqTVRFUlJrWkcrT1dYWDZvTUx2WDA5RFFHWDNmdjNzVzRjZU9Ra1pHQjVzMmJZK1hLbFRXT0dTb29LTUN4WThlRVlsM3A2ZWtvS1NuQjVzMmJoUUpsbGZYcjF3L0J3Y0VBSUFTa3l2UFoyTmdZbzBlUEZsTGNsRDIzbFNtL3QzcDZldGkwYVJNU0V4T1JrNU1Eb0R5by92VFRUNUdmbjQ5bHk1Wmg5T2pSME5YVlJVSkNBcXl0cldGb2FJZzdkKzRBZ0VvcTc3Tk84YUt0clkxYnQyNGhKQ1FFRXlaTUVINUhKaVltVlJhRzBqVEcxTkRRRUowNmRhcnlodkxreVpNYWwxKy9maDF1Ym00cXl6SXpNNUdSa1FGUFQwKzBiTmxTNktYSno4K0hnWUdCMnM5WnNSZW5zaWRQbnFDNHVCaXVycTRxMVlFTEN3c0JhQTd1aWQ0VW1abVoyTHAxSzd5OHZGVHVJOXpkM1JFUUVJRFRwMDlqNGNLRjZOU3BrekJVSUNrcENWS3BGSGZ1M0lHNXVUbjI3OStQOVBSMFJFWkdDaFg2azVLUzRPdnJpK0RnWUNRbEpjSFMwaEtHaG9hSWk0dURWQ29WcmhOVnpkRmNsem5hcXpObXpCZ1lHeHZqL3YzN3lNN09ocDZlSGc0Y09LQnlYSkZJaEtDZ29EY21wWitCS1ZFRE5YMzZkUFRwMHdjR0JnWXFGVVgzN2R1SEJ3OGUxUG9pOSt1dnYyTEhqaDJZTzNldTJudWEwaG9YTEZpZ011ZGhiUy9nRmRlcmVHTWZIUjJ0TWpZdkt5c0xYMy85Tlk0ZVBhcXlmVjJLdyt6ZnZ4K05HalZTQzlUYnRtMkxNMmZPQ0srTGlvcVFtSmlJQXdjTzRPVEprekF5TW9LenN6TisvLzEzbFY3T2twSVNuRDE3Rm1QSGprVnNiQ3oyN05tRDl1M2J3ODdPRGhFUkVUQXlNc0xZc1dOeC9QaHhGQlFVb0VPSERrTHY5UysvL0tJMnh2VEJnd2NxQVRQVmordlhyMlA4K1BIbzBxVUx2djMyV3lRbUptTGV2SGx3YzNPRFdDeXVkY1hwOVBSMFRKa3lCUjRlSGxpMmJCbWNuWjB4ZXZSb3pKa3pCeDkvL0hHVjI1MDVjd1p6NTg3Rk8rKzhBMnRyYTFoWldWWGI0K2pxNmlxa2V0Vm02cHVhZW01alkyTng1c3dadUxtNXdjcktDajQrUG5CMGRFUlJVUkVtVHoxOXlQWUFBQnNMU1VSQlZKNk10bTNid3MzTkRmbjUrZGkrZmJ0UVNWYzVYcXRpWVBya3laTTZUMklQbE4rVWFScmovYnhweXRxb1NueDhQSXlOallYQVh5azlQYjFPVS9vQTVWa1Z5a3FjRllQbWpJd01OR3JVcU1vQ1QwUnZncXlzTERScjFreHRtTTJpUll0dzl1eFpMRisrWExpR21wcWFvaytmUHBnNGNTSUF3TjdlSG5aMmRyQzN0OGV3WWNOVWhqU3RXTEVDaXhjdmhwZVhGd0FJRC9OMjdkcUZxMWV2UWx0Ykd4NGVIbFdlZjdYSi9Lak4wQkRsUStvclY2N2dtMisrZ1VLaGdKNmVuakE4UXFsaUpsWkR4OENVcUlHcTJQT25MS2FUazVPRDB0SlNMRjI2RkNZbUptbzNWcHFNSFR0V1NKa0R5b08xTVdQR29LeXNEUGIyOXNJZkFTVVRFeE9WbE1qQ3drSk1tellOK3ZyNm1EdDNyaENFbFpXVjRlVEprOVhlbUFQbEZUbVZVN3NvWHdOUVdWWVZaVUJldVFkRDJYdFRWVytsWEM1SFNrb0t0TFMwRUJVVmhSWXRXbURldkhubzFhc1gvdmpqRHlRbUpxcXNYMVpXaGhzM2JtREFnQUVZUG53NGpodzVnc09IRDBOZlgxOElGTEt5c25EcDBpVzFWQnk1WEs2V2ZseFZPaks5UEljT0hjTGN1WFBScDA4ZkJBUUVDS21zVFpzMnhhcFZxK0R0N1kzYnQyOGpJQ0NnMmw2dFgzNzVCWXNXTGNMbzBhUGg3dTZPWmN1V3dkSFJFWmFXbHBnMmJScWNuSnd3WWNJRUdCb2FxbTE3NnRRcE5HM2FGSjA2ZGFwVm14OCtmQ2pjU0dtYStxYTR1QmorL3Y1bzI3WXRZbUppOE5WWFh5RStQaDVCUVVGQ3ltNWxzYkd4QUZTRHBpbFRwdUR4NDhjSURRMkZscFlXNXMrZkQyTmpZNkVnMGYzNzk2R2pvNlBTdzVHWGx5Y1VIdnE3WW1KaThNTVBQMVQ1ZnNXQVhDcVY0dmp4NHpYdXM2WnBncFJrTWhuMjd0MExGeGNYdFVENzhPSER3anlwbGNsa3NqcGxqaHc2ZEtqT1FTNVJROU9yVnk5MDd0eFpiYmpMaEFrVDhPMjMzNko5Ky9ZcXl4Y3NXSUFGQ3hhbzdhZHlmUTA5UFQwRUJ3ZGo1c3laa012bFFnWGZuMzc2cWRyMk9EazVvVWVQYW1mV0VlemF0UXZHeHNacXk4M056WkdRa0tDeTdPMjMzOGJ2di84T2hVTHh4cWZ2TXpBbGFvQmNYVjFSV0Znb3BJa3B4eXowNjljUFVxa1VCZ1lHQ0FvS1F1dldyVFdXVksvSTJOaFl1TGlXbEpUQTM5OGZVcWtVSzFldXhPalJvN0Y5KzNaTW5EaFI1Y0t2N0kxOStQQWhnb0tDMEt4Wk02eGN1VkpsNEg1eWNqTEN3c0tRbnA2T0dUTm1WQmxvVms2alU2cExENGV5RnpRM054ZlRwMC9IaHg5K0NHOXZiOGpsY3N5Yk53OXZ2LzIyTU82ejRvMm9WQ3JGMXExYlZmNVFKQ2NubzJQSGpsVWVTMGRIQjMzNzlrWGZ2bjFWbG0vWXNBSGEydG9ZUEhpd3l2SzZWaGVsRnlzL1B4OC8vUEFERGg0OENGOWZYM2g2ZXFxdG81emZkL0xreVJnNmRDZ0NBZ0xVSHJEY3VYTUhDeFlzUUhKeU1nSURBOVhHRURvNE9LQk5temFZTVdNR25KMmRNV0xFQ0F3ZE9sUkk0VklvRkRoKy9EaDY5dXhacXhzVnVWeU9CdzhlVlBtRS8vTGx5L2orKysvUnBVc1hUSmt5QlRFeE1SZytmRGlhTld1RzRPQmdYTDU4R2I2K3ZyV3FvRDErL0hpMGF0VUtUWm8wUVZoWUdINzc3VGVFaDRjTGxYM3YzYnVuRm1pbnA2ZHJMRXIyTFByMTY2ZHljMWpkR05QYTN1VFZkbDVDWmNaSjVZeUdRNGNPSVRVMUZmNysvaHEzR3p0MkxMNzg4a3Uxb1FJVnRXclZDdHUyYmNQRml4Zng4ODgvUTBkSEJ6NCtQcGc3ZDY3d0h0R2JSbFBLdnFtcHFjYWFGblZWMTJGRyt2cjZLcGtnMWFucXdaSllMRllyRXFuMHBnZWxBQU5Ub2hlcWE5ZXVIeWtVaXRKejU4NmxBbmhwYzRDNHU3dERXMXNieHNiR01ESXlncEdSRVF3TkRXRm9hQWh0YlczY3ZYc1hibTV1U0VwS3dqLy8rYzlhN2ZPMzMzN0RpaFVyOE9qUkkvejczLytHaFlVRlFrTkQ4ZDEzM3lFbEpRWGp4bzNEaHg5K0tGeFlNek16NGUvdmoxYXRXbUhSb2tYQ0RhOWNMb2RNSm9PVmxSVUNBd014ZCs1Y1hMNThHY3VYTDhkYmI3MmxkdHpLMHlWVVRFdXVxRFkzbG1QSGprVjJkall5TXpPeGNlTkd5R1F5Nk9ycVFpS1I0Tnk1YzVnL2Y3N2FOaFgvVUNRbUptTFRwazFxRlUxcmN2bnlaZXpkdXhkRGh3NFZpckVvc2ZoUjdkalkySHdPNEdsYVd0b0p2S0J6S1NvcUNwR1JrZERYMTBkNGVMZ3dEWW9tbHBhVzJMeDVNd0lEQXpGeDRrUllXMXNqSkNSRUdKY1pGUlVGTXpNelJFZEg0NTEzM3RHNER5c3JLMnpac2dWUlVWSFl1SEVqSWlNajRlRGdnR25UcGlFOVBSMTVlWG40NUpOUGF0WDJxMWV2UWk2WHE0MzdmdkRnQVNJaUlyQmp4dzU0ZTN1cjlkajcrUGlnZmZ2MldMaHdJUTRjT0lEaHc0ZWpYNzkrR3AvMEszWHExQW1scGFWWXVIQWg0dUxpaExsWXk4cktVRmhZaUgzNzlzSEt5a3BZLzlHalJ6aDE2aFE4UER4cTliUFVSSGt0cTRxbU1hWTFxYzBZVTRWQ2djMmJOOFBlM2w1bENwdmZmdnNOUVVGQmNIZDNyM0xjY0VGQmdUQnV0Q29TaVFRRkJRWHc5L2VIZzRNRHBrNmRpdm56NTJQbzBLRUlDZ3JDWjU5OVZxZWZpWWpvZGNQQWxPZ0YwdExTK2tva0VrMjF0Ylc5QjJDRFhDNlBMeTB0UFhQaHdnVlpqUnYvRFpWNzVTcTZmZnMyU2t0TEVSMGREVzF0Yld6YnRxM0twM2NLaFFMcjE2L0gzcjE3Y2VQR0RlR21XZGtyWTIxdGplam9hSHovL2ZjWU4yNGMyclJwZzZpb0tHUm5aOFBUMHhOeXVSeUZoWVZ3ZG5iR2t5ZFBJSlBKTk03Um1aR1JnUkVqUm1EWnNtVnF3VUJWNCtScTI4TlIwZno1OHlHWHk5R2tTUk1ZR2hxaWNlUEdFSXZGa01sa2lJMk5oVWdrd3YzNzk5V214emg1OGlRMmI5Nk1sSlFVK1BuNTRhT1BQcXIxTVdVeUdXYlBuZzB6TXpPTUhUc1dBSERyMWkyaFVySnlmc1dLbERld3VibTVNREF3cUhHYW56ZkVsMXBhV2xOdGJHenlBV3dGc0xPd3NQQS9HUmtaVDU3WEFmN3puLy9BeGNVRlBqNCt0ZW81Yk5La0NVSkRRM0h3NEVHY1BYc1dUWnMyeGVQSGozSDQ4R0c0dWJuQjI5dTd4aWZ5T2pvNkdEMTZOQVlPSElqTm16Zmo4ZVBIME5mWHg3NTkrNkNycTRzUFAveFFiWnRyMTY3aDBLRkRNRFEwaEs2dUxrcEtTaEFmSDQvR2pSc0xhYjhQSHo3RXYvLzliK3pkdXhkbVptWUlEdyt2TWlXNFQ1OCs2TmF0RzhMRHc3RnExU3FFaG9haVc3ZHUrT0dISDZyOEhPYk9uWXQ5Ky9aaCt2VHBjSFIweENlZmZBS0ZvbnpLdzZaTm02ck1zeG9XRm9iUzBsSU1HRENneHMrMHN0TFNVbHk1Y2dYMzc5OEhnR2VhRTdrMkt2NmVNak16OGVEQkEranE2dUxNbVRQQ2c2TS8vL3dUR1JrWkdETm1ESUR5WVEyclY2L0dsaTFiNE9Ua0pJeXhyZGpPbEpRVTZPam80TmF0VzJqZHVqVXlNek9ocTZ1TGt5ZFBRaVFTQ2NmTnpjMUZlSGc0ZHUvZWphKysrZ3IrL3Y0UWk4Vll1blFwZHUvZWpjREFRSnc3ZHc0VEpremc5WUNJR2l3R3BrUXZSek1BMDBRaTBUUWRIWjBITmpZMjBRcUZZdWY5Ky9kUFhidDJyZVJsTm1UcjFxMklqbzRXWGhzYkcrUDc3NzlYV1VkWFZ4ZlcxdGJRMHRLQ2dZRUJQdmpnQXl4YnRreGp6MC9idG0wUkZSV0ZmZnYyUVZ0Ykc0YUdodWpZc1NPY25KelFwazBiR0JzYkM5TzlORzdjR0kwYk54Ym1IdFhWMVVXalJvMlFtNXNMWDE5ZkhEeDRVQzB3clZ6OHFDcTFLWDVVVlFxdWpvNE9zckt5WUc5dkR3RENYSTVLRVJFUk1EVTF4Ylp0MjJxYytxYXkxYXRYSXlzckN4RVJFY0lOYnNYeGZOVTlSUER3OE1DdVhiczQxcXdDTFMydHBnREdBaGhyYUdqNDBNYkdKazZoVU95NGMrZk8wVnUzYmhYOW5YMnZXN2Z1bVZLcEhCd2NoTzlNNDhhTkVSTVRVK2NLdEUyYk5zWDQ4ZU9GMXhjdlhvUzl2YjNHVkhzOVBUMnNYYnRXWlVxRE5tM2FZUDc4K2NMNkJnWUdlUHIwS2I3Nzdqc01IanhZU0xPdDd2Z0JBUUVZTTJZTUVoSVMwS3BWcTJxRHdKRWpSMkxBZ0FIQ0E2S2RPM2ZpeVpNbkVJdkZNRGMzRjhaZlptUmtZTWVPSGZEeDhhbFZGZS9LdExTMDhQWFhYME5MU3d1T2pvNVZQa1I3bm80ZlA0N1ZxMWREb1ZCQUtwWGltMisrQVFDODk5NTdXTGR1blZDd1pOeTRjVWhQVDRlL3Y3L2FlV3htWm9iUFAvOGNQajQra012bHNMS3lRbzhlUGVEaDRZRWJOMjVBSXBIQTA5TVQydHJhdUhmdkhqdzhQS0NucHlkTWgxTlIvLzc5MGFsVEoweWJOZzA5ZS9iRSsrKy8vOEkvQXlLaStzQmtacUxueE5iV1ZnRUFxYW1wd25sbFkyT3pURXRMYTJvMW16MEdzRXN1bDhjVkZ4Y2Z2blRwVW1IRmZkVjF6citpb2lKSXBkSnFiNjVMUzB0UlhGeU1wMCtmUWt0TEMwWkdScS9FdUliSGp4K3JGWkdSeVdTUVNDUzFhcCttZFV0TFMzSHo1czFhcGZVVkZ4ZmowYU5IME5IUlVTdlM4cXhUWFFEbFBhSzNidDE2YVZYMWxJRkN4ZTloUS9DeXo2WEtaRElacmw2OXFwS2kraXpPbmoyTGpoMDcxbGk4U3k2WEl5OHZyOXB4VkhLNUhFK2ZQb1cydG5hZHY1K3JWcTJDaDRkSHJTZHNsOGxrdUhUcEV0NTc3NzA2SFFjb0wrSmtiMi8vek5lWm1ncUNWUHhNYS9wOFMwdExrWldWSmFUY3l1VnlGQlFVVkRuMVRIV3VYTGtDZlgxOU5HL2V2TmJibEphV1FxRlFxUDNPYnQ2OENUTXpzMm9mSUR4NThxUldSZCtVNnVOYW9PbnY0TXM2NXQ4OXgxK0doblI5ZnAwK2Q2cWRWK0g3K2RxZkdFU3ZDdVZGK204b1VTZ1V2eWdVaW0waWtXZ2J3QXMrMWQyenBEZzNRRHlYNkkxWG45Y0NCcWFhdlFvMy9zL0w2L1M1VSsyOEN0L1BaK3NDSUNJMUNvVWkrVzl1TDlMUzBtcXFwYVhWb3VhMWlhZ3FQSmVJNnRXZjlkMEFJbm85Y1l3cDBYT1NscFptWDNsWkxkSVBpd0VjQTdEcjZkT24yODZmUDE4QUFMYTJ0cUV2cUpuMGhtZ0lUK1FyNHJsRTlHd2EycldBaUJvdUJxWkVMNWxDb1hpc3BhVjFSQzZYN3lndExkMXg0Y0tGUi9YZHB0Zlo1Y3VYMGE1ZHV6clBSMGF2UDU1TFJFUkVEUWNEVTZLWDR5R0FRd3FGWXZ2ZHUzZmpiOXk0VVZ6ZkRmbzdMbDY4Q0FzTEN5RVlqSTJOUlVKQ2dsRHR0NlNrQk5IUjBSZytmTGphSEoxS3l1bFM2c0xZMkZpdHlNdXdZY093ZmZ0Mm9jQ1JzdUJSVlZxMWFpVlVEQVhLNXd4MWNIQkFRa0lDN3QyN0IzTno4Mm9uMExhenMxT2JXNVZlcWdaMUxqVUV5cmw0N2V6czhQVHBVOXk1YzBmamVpMWF0RkE1ZngwY0hCQVpHY21xMDBSRUJJQ0JLZEdMZGxJdWwzOVZXbHFhOEtMbkxuMVpDZ29LNE9ucENYOS9mN2k2dWdJQS92cnJMOGhrLy92eDh2UHpjZkRnUWNUSHgyUE9uRGthaTNEMDd0Mjd6c2V1VFVCNDgrYk5LdWMrMWJRUEhSMGR5T1Z5bEphV1l2SGl4WGo0OENGV3JGZ2hURkZUVmxZbXpFSDRLbFF2Zm9NMXVIT3BvU2dwS1lHL3Z6OW16SmdCYTJ2cktzKy9vMGVQSWk4dkR3TUhEa1JLU2dyeTgvTlJWbGIya2x0TFJFU3ZLZ2FtUkM5UVdscmFqdnB1dy9PMmQrOWVOR3JVQ0gzNzloV1dwYWVucTB5ajBiSmxTMnphdEFuejVzMkRqNDhQWW1KaVlHbHBxYmF2OFBEd1dsZU9yTHhlZG5hMjhQL2J0MityVFRxdnFWS2dwbU1wNTMwc0xTM0Z5cFVyNGVmbmgwbVRKaUV1TGc0aWtRaTV1Ymx3Y1hIQnlaTW5tUzVjanhyaXVkUlFPRGc0b0xDd0VMTm56NGEvdno4QTRPVEprOEw3ZVhsNTZOZXZYMzAxajRpSVhoTU1USW1vVHVMaTR2RHh4eDhMNlhwbFpXWEl5TWhBang0OWNPM2FOWlYxUjQwYWhhNWR1MElpa2VEYXRXc3dNakpTbVRmUjI5djdtZHBRVmxZR0Z4Y1g0ZlYzMzMwbi9IL0hqdi9GTDlldlg4ZWdRWU53NXN5Wkt2Y2xFb2tna1VnZ2s4bWdyNitQME5CUTVPVGtRQzZYSXo4Ly81bmFSL1NtY1hWMWhabVpHVnExYWdXZ1BCT2hvS0FBUC8zMEV6dzhQT3E1ZFVUMG9uQ0tNbnFlR0pnU1VaMWtaMmNqT3pzYisvYnRVMWtlR1JtSnlNaklhcmYxOHZLQ3I2K3Y4SHJ4NHNWNDc3MzNBQUNQSGoxQ1ltSWluSjJkaGZmMzdObURYcjE2UVY5Zkg0Nk9qc0p5c1ZnczlJaDI2OVlOY1hGeGFOdTJMUUNvQk1jS2hRSnl1YnpHbjBrcWxlTGt5Wk00Y2VJRTB0UFRrWkdSZ2V2WHIrUGRkOS9GdkhuemF0eWU2RTBsbDh0eDZkSWxkT3pZRVI5OTlKSEsrZmZnd1FOczNMaVJnU2xSdzdRUFFOOGExNkxYaWtLaE9GR2Z4MmRnU2tSMVVqbEZOaVFrQkVlT0hNR2VQWHZxdkM5alkyT1ltWmtCQUlxTGk3RjY5V3FNR2pWS2VILzE2dFg0NG9zdllHWm1ockN3TUdIZHlwNWw3T2VSSTBjUUV4T0R6TXhNUEh6NEVIRnhjYkN3c0lDRmhRVjY5dXdKQ3dzTHRHdlhEbmZ2M3EzenZvbmVGQ2RPbk1EVXFWTXhiZG8wREI0OHVMNmJRMFF2U1dwcTZwZjEzUVpxZUJpWUV0RXpVeWdVT0hMa0NQNzV6MytpcUtpb3l2VzB0YldySEo5Wk9RMm84dXVLaFZTNmQrK09sU3RYcWh4ZkxwZXJqUzlWZXZMa1NaVkJxN0d4TVQ3NzdET01IRGtTa3laTnd2cjE2OUc4ZVhNQS8rc0ZxbGk5bDRqVTllelpFK1BIajhlaVJZdHc1ODRkT0RrNTFYZVRpSWpvTmNYQWxJaWVXV3BxS203ZHVvVXRXN1pneTVZdFZhN240dUtDd01CQXRlVWlrUWdIRGh3QVVKNGk3T1hsSmJ3R3lpdjNSa1JFQ05OSktBUEZ0V3ZYSWp3OFhGaXZmLy8rd3Y4cmpqRXRLaXFxTW1pMXNiR0JqWTBONUhJNVJDSVJDZ29LaE1BME9qb2FhOWV1Ulh4OGZJMmZBZEdiYnNTSUVXalVxQkduZlNFaW9yK0ZnU2tSUGJQWTJGalkyTmpnNXMyYkdETm1ESHIyN0tueS9yMTc5L0QxMTEralk4ZU9Lc3VWVTBSSUpCS1ltSmdBQUFvTEN3RkFlSzFrWkdTa3RzekR3d1BPenM3SXk4dURwNmNuZnY3NVoyaHJsMS9PS2s1Yms1dWJXMk1sWFpGSWhCWXRXaUFuSndkV1ZsWTRkKzRjVnE5ZWpVbVRKcUY1OCthNGRldFdiVDhPb2plV01vMjM0aGpUSjArZU1PdUFpSWhxallFcEVUMlRLMWV1NE9qUm8xaXhZZ1grK3VzdjdOeTVFLzM3OTRkSUpCTFdXYlZxRlV4TlRWVjZOQUhnOGVQSEFJQ1JJMGVxN2JlNlZGNEFDQXdNaEl1TEN3d01ERkJRVUFBdExTM2s1T1RBM3Q0ZWdPcU5jWHA2T3JTMXRYSCsvSG1oeUpJbTdkdTN4NVVyVjJCcGFRay9Qei8wN3QwYjd1N3V0ZnNnaUFncEtTblExdFpHa3laTmhHVUZCUVV3TURDb3gxWVJFZEhyaElFcEVUMlRGU3RXNEIvLytBZDY5T2dCT3pzNzdOaXhBK3ZYcnhlbWdObS9mejkyNzk2TjBOQlF0VjVMWlVHaHVMZzRHQm9hcXFUc1JrUkVRQ2FUWWV6WXNjTDZOMjdjd1AzNzkyRnRiUTE5ZlgxaCtlWExseUVXaXpGaHdnVE1talZMcFhJdlVGNllSU3dXdzlQVEV5a3BLZWpTcFlzd2IybEZYYnAwd2RHalI3Rno1MDVZV0ZnZ0tDam91WDFPUkcrQ3ZYdjM0cSsvL3NLQ0JRdUVaWm1abVdqWnNtVTl0b3FJaUY0bm9wcFhJU0pTZGVEQUFTUWxKZUZmLy9vWHRMUzAwS2hSSXl4Y3VCQWJObXhBZEhRMGpoNDlpdG16WjhQWDF4ZmR1M2RYMi83cTFhdlEwZEZCKy9idGhUUmRaY3J1dUhIamtKcWFpdlBuejBPaFVBakI3dDY5ZTJGaVlnSmRYVjFoUHlkT25JQ1RreE84dkx3UUZCU0VuMzc2Q2UzYXRVTktTZ3BPbno2TjlQUjA5TzM3djJyMmtaR1JHbE43TzNmdWpBc1hMcUJseTVZSUNRbUJSQ0pCV1ZrWkNnb0tYc0NuUjlUd3BLV2x3ZDdlSHMyYU5jUHMyYk1CQU1lT0hVT1RKazJncjYrUDJiTm5hM3dvUkVSRXBNVEFsSWpxSkRzN0cvUG56OGZnd1lOVjBtTzdkT21DQlFzVzRNY2ZmNFNmbngrR0RCbUNiNzc1UnVNK2Z2LzlkN3o3N3JzYTM5UFQwME5JU0FpV0xGbUMvdjM3SXpjM0Y2R2hvVml5WkluS2V2bjUrVGgrL0RnKyt1Z2plSHQ3WSt6WXNRZ0pDY0dhTld0UVZGU0V4WXNYbzAyYk5oZ3dZSURLZHQ5OTl4MjJidDBxdkQ1Ky9EajgvZjBoRW9ud3lTZWZRQ3FWQWlqdnBlM1RwdzhLQ2dxUWtwSlM0MWhWb2pmVjNidDNrWldWQlh0N2UranI2OFBaMlJrblRwekFIMy84Z1Z1M2JtSGh3b1Z3ZEhTRVJDSVJIaHdSRVJGVnhsUmVJcXExL1B4OFRKZ3dBYTFhdGNMa3laT0Y1UThmUHNTZVBYc1FFeE1ERXhNVG1KaVlZT2ZPblpCSUpCZzhlTERLL0tNeW1ReUhEaDJDaDRlSDJ2NHpNek9SbUpnSUN3c0xyRisvSHY3Ky9zakp5Y0dOR3pkZ2FXbUpwazJiQ3V0R1JVVkJLcFVLQlplOHZMeWdVQ2hnYTJ1TGdJQUE1T1RrWVAzNjlXckZWd29MQ3lFV2k0V0E5OUNoUTVnOGVUSktTa29RRVJFQkJ3Y0htSm1aNGRxMWE1REw1U3FWUnVWeU9ZQm5temVWcUtGS1NrcUNSQ0pCMTY1ZEFRQVhMbHpBOTk5L0QyOXZiN2k0dUdEVXFGR1lPSEVpbGk1ZEtqejRJU0lpcW95QktSSFYycElsUzFCYVdvbzFhOWJnL3YzN1NFcEt3dEdqUjNIcTFDbElwVks0dWJsaCtQRGhrRXFsMkxWckY5YXRXNGVvcUNoMDZkSUYzYnQzUjY5ZXZaQ1ltSWhIang0SkJaSHk4L01CQUQ0K1ByaDc5eTRzTEN3d2RlcFV0R3paRWxGUlVmajU1NThSSFIyTkJRc1d3TnpjSEtOR2pVTEhqaDJ4ZGV0V2VIbDVxZlJrdXJ1N0l5QWdBS2RQbjhiQ2hRdlJxVk1uWVR4clVsSVNwRklwN3R5NUEzTnpjK3pmdngvcDZlbUlqSXhFcDA2ZFVGWldocVNrSlBqNitpSTRPQmhKU1Vtd3RMU0VvYUVoNHVMaUlKVktoY0pLTE9oQzlEKy8vZlliT25mdURGMWRYY1RGeGVHSEgzNkFxNnNydnYzMld3REF5cFVyNGVucGlmSGp4MlB4NHNXNGUvZXVjRjdxNmVuVlo5T0ppT2dWd3NDVWlHcHR3b1FKS0Nzcmc1bVpHZno5L1hIa3lCRjA3ZG9WTTJmT1JPL2V2VlhHZjdxNnVxSmZ2MzdZdTNjdnRtM2JodTNidDZOLy8vNzQ0SU1QVUZaV2htYk5tZ0VBRkFvRnpNM04wYWRQSHpnNk9xSnQyN2JDUGtRaUVRWU9IQWhYVjFlY1AzOGV5Y25KK1BUVFQzSG16QmswYTlZTXc0WU5VMm5mb2tXTGNQYnNXU3hmdmh3ZmYvd3hBTURVMUJSOSt2VEJ4SWtUQVFEMjl2YXdzN09EdmIwOWhnMGJKc3h6S2hhTHNXTEZDaXhldkJoZVhsNEFnT0RnWUFEQXJsMjdjUFhxVldocmE4UER3ME9sNTVib1RWZFdWb1lQUHZnQWtaR1IyTGh4SS96OC9GU3FhYmRzMlJJLy92Z2pIajU4aVB6OGZBd2JOZ3dpa1FoZmZQR0ZNSGN3RVJFUjg5R0lYa0cydHJZS0FLLzBXS3lpb2lJVUZSVUpBV1p0MW4rZXZTTjVlWGxxODV2ZXZYc1hqeDQ5UXZ2MjdmL1d2bVV5R2VSeStXdFpyRVU1M1U1cWFpcXY3M2c5enFXR1FDNlg0K25UcHlnb0tGQkozYTl1L1lwVFM5SHo5NlpjQzE2bmMveE4rWjBRUFN2Mm1CTFJNOUhUMDZ0VG9QbThVL1lxQjZWQWVlK29xYW5wMzk0M0N4MFIxWTFJSklLT2prNnRnbExsK2tSRVJCWHhMd01SRVJFUkVSSFZLL2FZRWhFUkVkRnJUWmttUzBTdkwvYVlFaEVSRWRGclNhRlFKTmQzRytyb3ovcHVBTkdyaWoybVJFUkVSUFJhU2t0THM2L3ZOaERSODhFZVV5SWlJaUlpSXFwWERFeUppSWlJaUlpb1hqRXdKU0lpSWlJaW9uckZ3SlNJaUlpSWlJanFGUU5USWlJaUlpSWlxbGNNVEltSWlJaUlpS2hlTVRBbElpSWlJaUtpZXNYQWxJaUlpSWlJaU9vVkExTWlJaUlpSWlLcVY5cjEzUUFpSXFJWHpjN09ycjZiUUVSRVJOVmdqeWtSRVRWWUNvVWl1YjdiUUZTUC9xenZCaEFSMVpaV2ZUZUFpTlRaMnRvcTZyc045SHBMVFUzbDlaMklpSWhlRyt3eEpYb0ZzWmVIL2liMmto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YjErL2cvdjBwY3g3RHZKOWdBQUFBQkpSVTVFcmtKZ2dnPT0iLAoJIlRoZW1lIiA6ICIiLAoJIlR5cGUiIDogImZsb3ciLAoJIlZlcnNpb24iIDogIjE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52896</Words>
  <Characters>65660</Characters>
  <Lines>0</Lines>
  <Paragraphs>0</Paragraphs>
  <TotalTime>10</TotalTime>
  <ScaleCrop>false</ScaleCrop>
  <LinksUpToDate>false</LinksUpToDate>
  <CharactersWithSpaces>67094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2022-10-19T14:00:00Z</dcterms:created>
  <dc:creator>hasee</dc:creator>
  <cp:lastModifiedBy>006</cp:lastModifiedBy>
  <dcterms:modified xsi:type="dcterms:W3CDTF">2023-03-31T10:04:50Z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36FD19C413354153AEF5EC12748F5EB9</vt:lpwstr>
  </property>
</Properties>
</file>