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rFonts w:ascii="仿宋_GB2312" w:hAnsi="仿宋_GB2312" w:eastAsia="仿宋_GB2312" w:cs="仿宋_GB2312"/>
        </w:rPr>
        <w:t>　</w:t>
      </w:r>
    </w:p>
    <w:p>
      <w:pPr>
        <w:pStyle w:val="6"/>
        <w:jc w:val="center"/>
        <w:outlineLvl w:val="0"/>
      </w:pPr>
      <w:r>
        <w:rPr>
          <w:rFonts w:ascii="仿宋_GB2312" w:hAnsi="仿宋_GB2312" w:eastAsia="仿宋_GB2312" w:cs="仿宋_GB2312"/>
          <w:b/>
          <w:sz w:val="48"/>
        </w:rPr>
        <w:t>福建省政府采购</w:t>
      </w:r>
    </w:p>
    <w:p>
      <w:pPr>
        <w:pStyle w:val="6"/>
        <w:jc w:val="center"/>
        <w:outlineLvl w:val="0"/>
      </w:pPr>
      <w:r>
        <w:rPr>
          <w:rFonts w:ascii="仿宋_GB2312" w:hAnsi="仿宋_GB2312" w:eastAsia="仿宋_GB2312" w:cs="仿宋_GB2312"/>
          <w:b/>
          <w:sz w:val="48"/>
        </w:rPr>
        <w:t>货物和服务项目</w:t>
      </w:r>
    </w:p>
    <w:p>
      <w:pPr>
        <w:pStyle w:val="6"/>
        <w:jc w:val="center"/>
        <w:outlineLvl w:val="0"/>
      </w:pPr>
      <w:r>
        <w:rPr>
          <w:rFonts w:ascii="仿宋_GB2312" w:hAnsi="仿宋_GB2312" w:eastAsia="仿宋_GB2312" w:cs="仿宋_GB2312"/>
          <w:b/>
          <w:sz w:val="48"/>
        </w:rPr>
        <w:t>公开招标文件</w:t>
      </w:r>
    </w:p>
    <w:p>
      <w:pPr>
        <w:pStyle w:val="6"/>
        <w:jc w:val="center"/>
        <w:outlineLvl w:val="2"/>
      </w:pPr>
      <w:r>
        <w:rPr>
          <w:rFonts w:ascii="仿宋_GB2312" w:hAnsi="仿宋_GB2312" w:eastAsia="仿宋_GB2312" w:cs="仿宋_GB2312"/>
          <w:b/>
          <w:sz w:val="28"/>
        </w:rPr>
        <w:t>项目名称：2026-2027年度南屿镇和上街镇（7个村居）市政园林绿化养护项目</w:t>
      </w:r>
    </w:p>
    <w:p>
      <w:pPr>
        <w:pStyle w:val="6"/>
        <w:jc w:val="center"/>
        <w:outlineLvl w:val="2"/>
      </w:pPr>
      <w:r>
        <w:rPr>
          <w:rFonts w:ascii="仿宋_GB2312" w:hAnsi="仿宋_GB2312" w:eastAsia="仿宋_GB2312" w:cs="仿宋_GB2312"/>
          <w:b/>
          <w:sz w:val="28"/>
        </w:rPr>
        <w:t>备案编号：CGXM-2026-350121-00565[2026]00326</w:t>
      </w:r>
    </w:p>
    <w:p>
      <w:pPr>
        <w:pStyle w:val="6"/>
        <w:jc w:val="center"/>
        <w:outlineLvl w:val="2"/>
      </w:pPr>
      <w:r>
        <w:rPr>
          <w:rFonts w:ascii="仿宋_GB2312" w:hAnsi="仿宋_GB2312" w:eastAsia="仿宋_GB2312" w:cs="仿宋_GB2312"/>
          <w:b/>
          <w:sz w:val="28"/>
        </w:rPr>
        <w:t>项目编号：[350121]YZC[GK]2026001</w:t>
      </w:r>
    </w:p>
    <w:p>
      <w:pPr>
        <w:pStyle w:val="6"/>
        <w:jc w:val="center"/>
        <w:outlineLvl w:val="2"/>
      </w:pPr>
      <w:r>
        <w:rPr>
          <w:rFonts w:ascii="仿宋_GB2312" w:hAnsi="仿宋_GB2312" w:eastAsia="仿宋_GB2312" w:cs="仿宋_GB2312"/>
          <w:b/>
          <w:sz w:val="28"/>
        </w:rPr>
        <w:t>采购人：福州上街大学新校区市政管理服务中心</w:t>
      </w:r>
    </w:p>
    <w:p>
      <w:pPr>
        <w:pStyle w:val="6"/>
        <w:jc w:val="center"/>
        <w:outlineLvl w:val="2"/>
      </w:pPr>
      <w:r>
        <w:rPr>
          <w:rFonts w:ascii="仿宋_GB2312" w:hAnsi="仿宋_GB2312" w:eastAsia="仿宋_GB2312" w:cs="仿宋_GB2312"/>
          <w:b/>
          <w:sz w:val="28"/>
        </w:rPr>
        <w:t>代理机构：福建省营造项目管理有限公司</w:t>
      </w:r>
    </w:p>
    <w:p>
      <w:pPr>
        <w:pStyle w:val="6"/>
        <w:jc w:val="center"/>
        <w:outlineLvl w:val="2"/>
      </w:pPr>
      <w:r>
        <w:rPr>
          <w:rFonts w:ascii="仿宋_GB2312" w:hAnsi="仿宋_GB2312" w:eastAsia="仿宋_GB2312" w:cs="仿宋_GB2312"/>
          <w:b/>
          <w:sz w:val="28"/>
        </w:rPr>
        <w:t>编制时间：2026年06月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第一章 投标邀请</w:t>
      </w:r>
    </w:p>
    <w:p>
      <w:pPr>
        <w:pStyle w:val="6"/>
        <w:ind w:firstLine="480"/>
        <w:jc w:val="both"/>
      </w:pPr>
      <w:r>
        <w:rPr>
          <w:rFonts w:ascii="仿宋_GB2312" w:hAnsi="仿宋_GB2312" w:eastAsia="仿宋_GB2312" w:cs="仿宋_GB2312"/>
        </w:rPr>
        <w:t>福建省营造项目管理有限公司 采用公开招标方式组织 2026-2027年度南屿镇和上街镇（7个村居）市政园林绿化养护项目 （以下简称：“本项目”）的政府采购活动，现邀请供应商参加投标。</w:t>
      </w:r>
    </w:p>
    <w:p>
      <w:pPr>
        <w:pStyle w:val="6"/>
        <w:ind w:firstLine="480"/>
        <w:jc w:val="left"/>
        <w:outlineLvl w:val="2"/>
      </w:pPr>
      <w:r>
        <w:rPr>
          <w:rFonts w:ascii="仿宋_GB2312" w:hAnsi="仿宋_GB2312" w:eastAsia="仿宋_GB2312" w:cs="仿宋_GB2312"/>
          <w:b/>
          <w:sz w:val="28"/>
        </w:rPr>
        <w:t>1、备案编号：CGXM-2026-350121-00565[2026]00326</w:t>
      </w:r>
    </w:p>
    <w:p>
      <w:pPr>
        <w:pStyle w:val="6"/>
        <w:ind w:firstLine="480"/>
        <w:jc w:val="left"/>
        <w:outlineLvl w:val="2"/>
      </w:pPr>
      <w:r>
        <w:rPr>
          <w:rFonts w:ascii="仿宋_GB2312" w:hAnsi="仿宋_GB2312" w:eastAsia="仿宋_GB2312" w:cs="仿宋_GB2312"/>
          <w:b/>
          <w:sz w:val="28"/>
        </w:rPr>
        <w:t>2、项目编号：[350121]YZC[GK]2026001</w:t>
      </w:r>
    </w:p>
    <w:p>
      <w:pPr>
        <w:pStyle w:val="6"/>
        <w:ind w:firstLine="480"/>
        <w:jc w:val="both"/>
        <w:outlineLvl w:val="2"/>
      </w:pPr>
      <w:r>
        <w:rPr>
          <w:rFonts w:ascii="仿宋_GB2312" w:hAnsi="仿宋_GB2312" w:eastAsia="仿宋_GB2312" w:cs="仿宋_GB2312"/>
          <w:b/>
          <w:sz w:val="28"/>
        </w:rPr>
        <w:t>3、预算金额、最高限价：详见《采购标的一览表》。</w:t>
      </w:r>
    </w:p>
    <w:p>
      <w:pPr>
        <w:pStyle w:val="6"/>
        <w:ind w:firstLine="480"/>
        <w:jc w:val="left"/>
        <w:outlineLvl w:val="2"/>
      </w:pPr>
      <w:r>
        <w:rPr>
          <w:rFonts w:ascii="仿宋_GB2312" w:hAnsi="仿宋_GB2312" w:eastAsia="仿宋_GB2312" w:cs="仿宋_GB2312"/>
          <w:b/>
          <w:sz w:val="28"/>
        </w:rPr>
        <w:t>4、招标内容及要求：详见《采购标的一览表》及招标文件第五章。</w:t>
      </w:r>
    </w:p>
    <w:p>
      <w:pPr>
        <w:pStyle w:val="6"/>
        <w:ind w:firstLine="480"/>
        <w:jc w:val="left"/>
        <w:outlineLvl w:val="2"/>
      </w:pPr>
      <w:r>
        <w:rPr>
          <w:rFonts w:ascii="仿宋_GB2312" w:hAnsi="仿宋_GB2312" w:eastAsia="仿宋_GB2312" w:cs="仿宋_GB2312"/>
          <w:b/>
          <w:sz w:val="28"/>
        </w:rPr>
        <w:t>5、需要落实的政府采购政策</w:t>
      </w:r>
    </w:p>
    <w:p>
      <w:pPr>
        <w:pStyle w:val="6"/>
        <w:ind w:firstLine="960"/>
        <w:jc w:val="left"/>
      </w:pPr>
      <w:r>
        <w:rPr>
          <w:rFonts w:ascii="仿宋_GB2312" w:hAnsi="仿宋_GB2312" w:eastAsia="仿宋_GB2312" w:cs="仿宋_GB2312"/>
        </w:rPr>
        <w:t>进口产品：不适用</w:t>
      </w:r>
    </w:p>
    <w:p>
      <w:pPr>
        <w:pStyle w:val="6"/>
        <w:ind w:firstLine="960"/>
        <w:jc w:val="left"/>
      </w:pPr>
      <w:r>
        <w:rPr>
          <w:rFonts w:ascii="仿宋_GB2312" w:hAnsi="仿宋_GB2312" w:eastAsia="仿宋_GB2312" w:cs="仿宋_GB2312"/>
        </w:rPr>
        <w:t>节能产品：不适用</w:t>
      </w:r>
    </w:p>
    <w:p>
      <w:pPr>
        <w:pStyle w:val="6"/>
        <w:ind w:firstLine="960"/>
        <w:jc w:val="left"/>
      </w:pPr>
      <w:r>
        <w:rPr>
          <w:rFonts w:ascii="仿宋_GB2312" w:hAnsi="仿宋_GB2312" w:eastAsia="仿宋_GB2312" w:cs="仿宋_GB2312"/>
        </w:rPr>
        <w:t>环境标志产品：不适用</w:t>
      </w:r>
    </w:p>
    <w:p>
      <w:pPr>
        <w:pStyle w:val="6"/>
        <w:ind w:firstLine="960"/>
        <w:jc w:val="left"/>
      </w:pPr>
      <w:r>
        <w:rPr>
          <w:rFonts w:ascii="仿宋_GB2312" w:hAnsi="仿宋_GB2312" w:eastAsia="仿宋_GB2312" w:cs="仿宋_GB2312"/>
        </w:rPr>
        <w:t>促进中小企业发展的相关政策：</w:t>
      </w:r>
    </w:p>
    <w:p>
      <w:pPr>
        <w:pStyle w:val="6"/>
        <w:ind w:firstLine="960"/>
        <w:jc w:val="left"/>
      </w:pPr>
      <w:r>
        <w:rPr>
          <w:rFonts w:ascii="仿宋_GB2312" w:hAnsi="仿宋_GB2312" w:eastAsia="仿宋_GB2312" w:cs="仿宋_GB2312"/>
        </w:rPr>
        <w:t>采购包1：不专门面向中小企业采购</w:t>
      </w:r>
    </w:p>
    <w:p>
      <w:pPr>
        <w:pStyle w:val="6"/>
        <w:jc w:val="left"/>
      </w:pPr>
      <w:r>
        <w:rPr>
          <w:rFonts w:ascii="仿宋_GB2312" w:hAnsi="仿宋_GB2312" w:eastAsia="仿宋_GB2312" w:cs="仿宋_GB2312"/>
        </w:rPr>
        <w:t>采购包2：不专门面向中小企业采购</w:t>
      </w:r>
    </w:p>
    <w:p>
      <w:pPr>
        <w:pStyle w:val="6"/>
        <w:ind w:firstLine="480"/>
        <w:jc w:val="both"/>
        <w:outlineLvl w:val="2"/>
      </w:pPr>
      <w:r>
        <w:rPr>
          <w:rFonts w:ascii="仿宋_GB2312" w:hAnsi="仿宋_GB2312" w:eastAsia="仿宋_GB2312" w:cs="仿宋_GB2312"/>
          <w:b/>
          <w:sz w:val="28"/>
        </w:rPr>
        <w:t>6、投标人的资格要求</w:t>
      </w:r>
    </w:p>
    <w:p>
      <w:pPr>
        <w:pStyle w:val="6"/>
        <w:ind w:firstLine="960"/>
        <w:jc w:val="both"/>
      </w:pPr>
      <w:r>
        <w:rPr>
          <w:rFonts w:ascii="仿宋_GB2312" w:hAnsi="仿宋_GB2312" w:eastAsia="仿宋_GB2312" w:cs="仿宋_GB2312"/>
        </w:rPr>
        <w:t>6.1法定条件：符合政府采购法第二十二条第一款规定的条件。</w:t>
      </w:r>
    </w:p>
    <w:p>
      <w:pPr>
        <w:pStyle w:val="6"/>
        <w:ind w:firstLine="960"/>
        <w:jc w:val="both"/>
      </w:pPr>
      <w:r>
        <w:rPr>
          <w:rFonts w:ascii="仿宋_GB2312" w:hAnsi="仿宋_GB2312" w:eastAsia="仿宋_GB2312" w:cs="仿宋_GB2312"/>
        </w:rPr>
        <w:t>6.2特定条件：</w:t>
      </w:r>
    </w:p>
    <w:p>
      <w:pPr>
        <w:pStyle w:val="6"/>
        <w:ind w:firstLine="96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rPr>
                <w:rFonts w:ascii="仿宋_GB2312" w:hAnsi="仿宋_GB2312" w:eastAsia="仿宋_GB2312" w:cs="仿宋_GB2312"/>
              </w:rPr>
              <w:t xml:space="preserve"> 资格审查要求概况</w:t>
            </w:r>
          </w:p>
        </w:tc>
        <w:tc>
          <w:tcPr>
            <w:tcW w:w="4614"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rPr>
                <w:rFonts w:ascii="仿宋_GB2312" w:hAnsi="仿宋_GB2312" w:eastAsia="仿宋_GB2312" w:cs="仿宋_GB2312"/>
              </w:rPr>
              <w:t>资格承诺函</w:t>
            </w:r>
          </w:p>
        </w:tc>
        <w:tc>
          <w:tcPr>
            <w:tcW w:w="4614" w:type="dxa"/>
          </w:tcPr>
          <w:p>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rPr>
                <w:rFonts w:ascii="仿宋_GB2312" w:hAnsi="仿宋_GB2312" w:eastAsia="仿宋_GB2312" w:cs="仿宋_GB2312"/>
              </w:rPr>
              <w:t xml:space="preserve"> 资格审查要求概况</w:t>
            </w:r>
          </w:p>
        </w:tc>
        <w:tc>
          <w:tcPr>
            <w:tcW w:w="4614"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pPr>
            <w:r>
              <w:rPr>
                <w:rFonts w:ascii="仿宋_GB2312" w:hAnsi="仿宋_GB2312" w:eastAsia="仿宋_GB2312" w:cs="仿宋_GB2312"/>
              </w:rPr>
              <w:t>资格承诺函</w:t>
            </w:r>
          </w:p>
        </w:tc>
        <w:tc>
          <w:tcPr>
            <w:tcW w:w="4614" w:type="dxa"/>
          </w:tcPr>
          <w:p>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960"/>
        <w:jc w:val="both"/>
      </w:pPr>
      <w:r>
        <w:rPr>
          <w:rFonts w:ascii="仿宋_GB2312" w:hAnsi="仿宋_GB2312" w:eastAsia="仿宋_GB2312" w:cs="仿宋_GB2312"/>
        </w:rPr>
        <w:t>6.3是否接受联合体投标：</w:t>
      </w:r>
    </w:p>
    <w:p>
      <w:pPr>
        <w:pStyle w:val="6"/>
        <w:ind w:firstLine="960"/>
        <w:jc w:val="both"/>
      </w:pPr>
      <w:r>
        <w:rPr>
          <w:rFonts w:ascii="仿宋_GB2312" w:hAnsi="仿宋_GB2312" w:eastAsia="仿宋_GB2312" w:cs="仿宋_GB2312"/>
        </w:rPr>
        <w:t>采购包1：不接受</w:t>
      </w:r>
    </w:p>
    <w:p>
      <w:pPr>
        <w:pStyle w:val="6"/>
        <w:jc w:val="both"/>
      </w:pPr>
      <w:r>
        <w:rPr>
          <w:rFonts w:ascii="仿宋_GB2312" w:hAnsi="仿宋_GB2312" w:eastAsia="仿宋_GB2312" w:cs="仿宋_GB2312"/>
        </w:rPr>
        <w:t>采购包2：不接受</w:t>
      </w:r>
    </w:p>
    <w:p>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pPr>
      <w:r>
        <w:rPr>
          <w:rFonts w:ascii="仿宋_GB2312" w:hAnsi="仿宋_GB2312" w:eastAsia="仿宋_GB2312" w:cs="仿宋_GB2312"/>
          <w:b/>
          <w:sz w:val="28"/>
        </w:rPr>
        <w:t>7、招标文件的获取</w:t>
      </w:r>
    </w:p>
    <w:p>
      <w:pPr>
        <w:pStyle w:val="6"/>
        <w:ind w:firstLine="960"/>
        <w:jc w:val="both"/>
      </w:pPr>
      <w:r>
        <w:rPr>
          <w:rFonts w:ascii="仿宋_GB2312" w:hAnsi="仿宋_GB2312" w:eastAsia="仿宋_GB2312" w:cs="仿宋_GB2312"/>
        </w:rPr>
        <w:t>7.1、招标文件获取期限：详见招标公告或更正公告，若不一致，以更正公告为准。</w:t>
      </w:r>
    </w:p>
    <w:p>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pPr>
      <w:r>
        <w:rPr>
          <w:rFonts w:ascii="仿宋_GB2312" w:hAnsi="仿宋_GB2312" w:eastAsia="仿宋_GB2312" w:cs="仿宋_GB2312"/>
        </w:rPr>
        <w:t>7.4、招标文件售价：0元。</w:t>
      </w:r>
    </w:p>
    <w:p>
      <w:pPr>
        <w:pStyle w:val="6"/>
        <w:ind w:firstLine="480"/>
        <w:jc w:val="both"/>
        <w:outlineLvl w:val="2"/>
      </w:pPr>
      <w:r>
        <w:rPr>
          <w:rFonts w:ascii="仿宋_GB2312" w:hAnsi="仿宋_GB2312" w:eastAsia="仿宋_GB2312" w:cs="仿宋_GB2312"/>
          <w:b/>
          <w:sz w:val="28"/>
        </w:rPr>
        <w:t>8、投标截止</w:t>
      </w:r>
    </w:p>
    <w:p>
      <w:pPr>
        <w:pStyle w:val="6"/>
        <w:ind w:firstLine="960"/>
        <w:jc w:val="both"/>
      </w:pPr>
      <w:r>
        <w:rPr>
          <w:rFonts w:ascii="仿宋_GB2312" w:hAnsi="仿宋_GB2312" w:eastAsia="仿宋_GB2312" w:cs="仿宋_GB2312"/>
        </w:rPr>
        <w:t>8.1、投标截止时间：详见招标公告或更正公告，若不一致，以更正公告为准。</w:t>
      </w:r>
    </w:p>
    <w:p>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rFonts w:ascii="仿宋_GB2312" w:hAnsi="仿宋_GB2312" w:eastAsia="仿宋_GB2312" w:cs="仿宋_GB2312"/>
          <w:b/>
          <w:sz w:val="28"/>
        </w:rPr>
        <w:t>9、开标时间及地点</w:t>
      </w:r>
    </w:p>
    <w:p>
      <w:pPr>
        <w:pStyle w:val="6"/>
        <w:ind w:firstLine="960"/>
        <w:jc w:val="both"/>
      </w:pPr>
      <w:r>
        <w:rPr>
          <w:rFonts w:ascii="仿宋_GB2312" w:hAnsi="仿宋_GB2312" w:eastAsia="仿宋_GB2312" w:cs="仿宋_GB2312"/>
        </w:rPr>
        <w:t>详见招标公告或更正公告，若不一致，以更正公告为准。</w:t>
      </w:r>
    </w:p>
    <w:p>
      <w:pPr>
        <w:pStyle w:val="6"/>
        <w:ind w:firstLine="480"/>
        <w:jc w:val="both"/>
        <w:outlineLvl w:val="2"/>
      </w:pPr>
      <w:r>
        <w:rPr>
          <w:rFonts w:ascii="仿宋_GB2312" w:hAnsi="仿宋_GB2312" w:eastAsia="仿宋_GB2312" w:cs="仿宋_GB2312"/>
          <w:b/>
          <w:sz w:val="28"/>
        </w:rPr>
        <w:t>10、公告期限</w:t>
      </w:r>
    </w:p>
    <w:p>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jc w:val="left"/>
        <w:outlineLvl w:val="2"/>
      </w:pPr>
      <w:r>
        <w:rPr>
          <w:rFonts w:ascii="仿宋_GB2312" w:hAnsi="仿宋_GB2312" w:eastAsia="仿宋_GB2312" w:cs="仿宋_GB2312"/>
          <w:b/>
          <w:sz w:val="28"/>
        </w:rPr>
        <w:t>11、采购人：福州上街大学新校区市政管理服务中心</w:t>
      </w:r>
    </w:p>
    <w:p>
      <w:pPr>
        <w:pStyle w:val="6"/>
        <w:ind w:firstLine="960"/>
        <w:jc w:val="left"/>
      </w:pPr>
      <w:r>
        <w:rPr>
          <w:rFonts w:ascii="仿宋_GB2312" w:hAnsi="仿宋_GB2312" w:eastAsia="仿宋_GB2312" w:cs="仿宋_GB2312"/>
        </w:rPr>
        <w:t xml:space="preserve"> 地址： 闽侯县国资大厦三楼</w:t>
      </w:r>
    </w:p>
    <w:p>
      <w:pPr>
        <w:pStyle w:val="6"/>
        <w:jc w:val="left"/>
      </w:pPr>
      <w:r>
        <w:rPr>
          <w:rFonts w:ascii="仿宋_GB2312" w:hAnsi="仿宋_GB2312" w:eastAsia="仿宋_GB2312" w:cs="仿宋_GB2312"/>
        </w:rPr>
        <w:t xml:space="preserve"> 邮编：  350100</w:t>
      </w:r>
    </w:p>
    <w:p>
      <w:pPr>
        <w:pStyle w:val="6"/>
        <w:jc w:val="left"/>
      </w:pPr>
      <w:r>
        <w:rPr>
          <w:rFonts w:ascii="仿宋_GB2312" w:hAnsi="仿宋_GB2312" w:eastAsia="仿宋_GB2312" w:cs="仿宋_GB2312"/>
        </w:rPr>
        <w:t xml:space="preserve"> 联系人： 林成开</w:t>
      </w:r>
    </w:p>
    <w:p>
      <w:pPr>
        <w:pStyle w:val="6"/>
        <w:jc w:val="left"/>
      </w:pPr>
      <w:r>
        <w:rPr>
          <w:rFonts w:ascii="仿宋_GB2312" w:hAnsi="仿宋_GB2312" w:eastAsia="仿宋_GB2312" w:cs="仿宋_GB2312"/>
        </w:rPr>
        <w:t xml:space="preserve"> 联系电话： 22068797</w:t>
      </w:r>
    </w:p>
    <w:p>
      <w:pPr>
        <w:pStyle w:val="6"/>
        <w:ind w:firstLine="480"/>
        <w:jc w:val="left"/>
        <w:outlineLvl w:val="2"/>
      </w:pPr>
      <w:r>
        <w:rPr>
          <w:rFonts w:ascii="仿宋_GB2312" w:hAnsi="仿宋_GB2312" w:eastAsia="仿宋_GB2312" w:cs="仿宋_GB2312"/>
          <w:b/>
          <w:sz w:val="28"/>
        </w:rPr>
        <w:t>12、代理机构：福建省营造项目管理有限公司</w:t>
      </w:r>
    </w:p>
    <w:p>
      <w:pPr>
        <w:pStyle w:val="6"/>
        <w:ind w:firstLine="960"/>
        <w:jc w:val="both"/>
      </w:pPr>
      <w:r>
        <w:rPr>
          <w:rFonts w:ascii="仿宋_GB2312" w:hAnsi="仿宋_GB2312" w:eastAsia="仿宋_GB2312" w:cs="仿宋_GB2312"/>
        </w:rPr>
        <w:t xml:space="preserve"> 地址： 梅峰路5号梅亭中华技校沿街综合楼八层西侧</w:t>
      </w:r>
    </w:p>
    <w:p>
      <w:pPr>
        <w:pStyle w:val="6"/>
        <w:jc w:val="both"/>
      </w:pPr>
      <w:r>
        <w:rPr>
          <w:rFonts w:ascii="仿宋_GB2312" w:hAnsi="仿宋_GB2312" w:eastAsia="仿宋_GB2312" w:cs="仿宋_GB2312"/>
        </w:rPr>
        <w:t xml:space="preserve"> 邮编： 350025</w:t>
      </w:r>
    </w:p>
    <w:p>
      <w:pPr>
        <w:pStyle w:val="6"/>
        <w:jc w:val="both"/>
      </w:pPr>
      <w:r>
        <w:rPr>
          <w:rFonts w:ascii="仿宋_GB2312" w:hAnsi="仿宋_GB2312" w:eastAsia="仿宋_GB2312" w:cs="仿宋_GB2312"/>
        </w:rPr>
        <w:t xml:space="preserve"> 联系人： 陈崇登</w:t>
      </w:r>
    </w:p>
    <w:p>
      <w:pPr>
        <w:pStyle w:val="6"/>
        <w:jc w:val="both"/>
      </w:pPr>
      <w:r>
        <w:rPr>
          <w:rFonts w:ascii="仿宋_GB2312" w:hAnsi="仿宋_GB2312" w:eastAsia="仿宋_GB2312" w:cs="仿宋_GB2312"/>
        </w:rPr>
        <w:t xml:space="preserve"> 联系电话： 15280039824</w:t>
      </w:r>
    </w:p>
    <w:p>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投标保证金账户</w:t>
            </w:r>
          </w:p>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开户名称： 福建省营造项目管理有限公司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pPr>
      <w:r>
        <w:rPr>
          <w:rFonts w:ascii="仿宋_GB2312" w:hAnsi="仿宋_GB2312" w:eastAsia="仿宋_GB2312" w:cs="仿宋_GB2312"/>
          <w:b/>
          <w:sz w:val="28"/>
        </w:rPr>
        <w:t>附2：采购标的一览表</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采购包预算金额（元）: 5,405,000.00</w:t>
      </w:r>
    </w:p>
    <w:p>
      <w:pPr>
        <w:pStyle w:val="6"/>
        <w:jc w:val="left"/>
      </w:pPr>
      <w:r>
        <w:rPr>
          <w:rFonts w:ascii="仿宋_GB2312" w:hAnsi="仿宋_GB2312" w:eastAsia="仿宋_GB2312" w:cs="仿宋_GB2312"/>
        </w:rPr>
        <w:t>采购包最高限价（元）: 5,405,000.00</w:t>
      </w:r>
    </w:p>
    <w:p>
      <w:pPr>
        <w:pStyle w:val="6"/>
        <w:jc w:val="left"/>
      </w:pPr>
      <w:r>
        <w:rPr>
          <w:rFonts w:ascii="仿宋_GB2312" w:hAnsi="仿宋_GB2312" w:eastAsia="仿宋_GB2312" w:cs="仿宋_GB2312"/>
        </w:rPr>
        <w:t>采购包保证金金额（元）: 54,050.00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南屿镇和上街镇（7个村居）市政园林绿化社会化养护项目南屿镇片区（标段一）</w:t>
            </w:r>
          </w:p>
        </w:tc>
        <w:tc>
          <w:tcPr>
            <w:tcW w:w="1187" w:type="dxa"/>
          </w:tcPr>
          <w:p>
            <w:pPr>
              <w:pStyle w:val="6"/>
              <w:jc w:val="right"/>
            </w:pPr>
            <w:r>
              <w:rPr>
                <w:rFonts w:ascii="仿宋_GB2312" w:hAnsi="仿宋_GB2312" w:eastAsia="仿宋_GB2312" w:cs="仿宋_GB2312"/>
              </w:rPr>
              <w:t>1.00</w:t>
            </w:r>
          </w:p>
        </w:tc>
        <w:tc>
          <w:tcPr>
            <w:tcW w:w="1187" w:type="dxa"/>
          </w:tcPr>
          <w:p>
            <w:pPr>
              <w:pStyle w:val="6"/>
              <w:jc w:val="right"/>
            </w:pPr>
            <w:r>
              <w:rPr>
                <w:rFonts w:ascii="仿宋_GB2312" w:hAnsi="仿宋_GB2312" w:eastAsia="仿宋_GB2312" w:cs="仿宋_GB2312"/>
              </w:rPr>
              <w:t>5,405,000.00</w:t>
            </w:r>
          </w:p>
        </w:tc>
        <w:tc>
          <w:tcPr>
            <w:tcW w:w="1187" w:type="dxa"/>
          </w:tcPr>
          <w:p>
            <w:pPr>
              <w:pStyle w:val="6"/>
              <w:jc w:val="left"/>
            </w:pPr>
            <w:r>
              <w:rPr>
                <w:rFonts w:ascii="仿宋_GB2312" w:hAnsi="仿宋_GB2312" w:eastAsia="仿宋_GB2312" w:cs="仿宋_GB2312"/>
              </w:rPr>
              <w:t>项目</w:t>
            </w:r>
          </w:p>
        </w:tc>
        <w:tc>
          <w:tcPr>
            <w:tcW w:w="1187" w:type="dxa"/>
          </w:tcPr>
          <w:p>
            <w:pPr>
              <w:pStyle w:val="6"/>
              <w:jc w:val="left"/>
            </w:pPr>
            <w:r>
              <w:rPr>
                <w:rFonts w:ascii="仿宋_GB2312" w:hAnsi="仿宋_GB2312" w:eastAsia="仿宋_GB2312" w:cs="仿宋_GB2312"/>
              </w:rPr>
              <w:t>其他未列明行业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采购包预算金额（元）: 6,377,000.00</w:t>
      </w:r>
    </w:p>
    <w:p>
      <w:pPr>
        <w:pStyle w:val="6"/>
        <w:jc w:val="left"/>
      </w:pPr>
      <w:r>
        <w:rPr>
          <w:rFonts w:ascii="仿宋_GB2312" w:hAnsi="仿宋_GB2312" w:eastAsia="仿宋_GB2312" w:cs="仿宋_GB2312"/>
        </w:rPr>
        <w:t>采购包最高限价（元）: 6,377,000.00</w:t>
      </w:r>
    </w:p>
    <w:p>
      <w:pPr>
        <w:pStyle w:val="6"/>
        <w:jc w:val="left"/>
      </w:pPr>
      <w:r>
        <w:rPr>
          <w:rFonts w:ascii="仿宋_GB2312" w:hAnsi="仿宋_GB2312" w:eastAsia="仿宋_GB2312" w:cs="仿宋_GB2312"/>
        </w:rPr>
        <w:t>采购包保证金金额（元）: 63,770.00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南屿镇和上街镇（7个村居）市政园林绿化社会化养护项目上街镇（7个村居）片区（标段二）</w:t>
            </w:r>
          </w:p>
        </w:tc>
        <w:tc>
          <w:tcPr>
            <w:tcW w:w="1187" w:type="dxa"/>
          </w:tcPr>
          <w:p>
            <w:pPr>
              <w:pStyle w:val="6"/>
              <w:jc w:val="right"/>
            </w:pPr>
            <w:r>
              <w:rPr>
                <w:rFonts w:ascii="仿宋_GB2312" w:hAnsi="仿宋_GB2312" w:eastAsia="仿宋_GB2312" w:cs="仿宋_GB2312"/>
              </w:rPr>
              <w:t>1.00</w:t>
            </w:r>
          </w:p>
        </w:tc>
        <w:tc>
          <w:tcPr>
            <w:tcW w:w="1187" w:type="dxa"/>
          </w:tcPr>
          <w:p>
            <w:pPr>
              <w:pStyle w:val="6"/>
              <w:jc w:val="right"/>
            </w:pPr>
            <w:r>
              <w:rPr>
                <w:rFonts w:ascii="仿宋_GB2312" w:hAnsi="仿宋_GB2312" w:eastAsia="仿宋_GB2312" w:cs="仿宋_GB2312"/>
              </w:rPr>
              <w:t>6,377,000.00</w:t>
            </w:r>
          </w:p>
        </w:tc>
        <w:tc>
          <w:tcPr>
            <w:tcW w:w="1187" w:type="dxa"/>
          </w:tcPr>
          <w:p>
            <w:pPr>
              <w:pStyle w:val="6"/>
              <w:jc w:val="left"/>
            </w:pPr>
            <w:r>
              <w:rPr>
                <w:rFonts w:ascii="仿宋_GB2312" w:hAnsi="仿宋_GB2312" w:eastAsia="仿宋_GB2312" w:cs="仿宋_GB2312"/>
              </w:rPr>
              <w:t>项</w:t>
            </w:r>
          </w:p>
        </w:tc>
        <w:tc>
          <w:tcPr>
            <w:tcW w:w="1187" w:type="dxa"/>
          </w:tcPr>
          <w:p>
            <w:pPr>
              <w:pStyle w:val="6"/>
              <w:jc w:val="left"/>
            </w:pPr>
            <w:r>
              <w:rPr>
                <w:rFonts w:ascii="仿宋_GB2312" w:hAnsi="仿宋_GB2312" w:eastAsia="仿宋_GB2312" w:cs="仿宋_GB2312"/>
              </w:rPr>
              <w:t>其他未列明行业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序号</w:t>
            </w:r>
          </w:p>
        </w:tc>
        <w:tc>
          <w:tcPr>
            <w:tcW w:w="3046" w:type="dxa"/>
          </w:tcPr>
          <w:p>
            <w:pPr>
              <w:pStyle w:val="6"/>
              <w:jc w:val="left"/>
            </w:pPr>
            <w:r>
              <w:rPr>
                <w:rFonts w:ascii="仿宋_GB2312" w:hAnsi="仿宋_GB2312" w:eastAsia="仿宋_GB2312" w:cs="仿宋_GB2312"/>
              </w:rPr>
              <w:t>报价内容</w:t>
            </w:r>
          </w:p>
        </w:tc>
        <w:tc>
          <w:tcPr>
            <w:tcW w:w="554" w:type="dxa"/>
          </w:tcPr>
          <w:p>
            <w:pPr>
              <w:pStyle w:val="6"/>
              <w:jc w:val="left"/>
            </w:pPr>
            <w:r>
              <w:rPr>
                <w:rFonts w:ascii="仿宋_GB2312" w:hAnsi="仿宋_GB2312" w:eastAsia="仿宋_GB2312" w:cs="仿宋_GB2312"/>
              </w:rPr>
              <w:t>计量单位</w:t>
            </w:r>
          </w:p>
        </w:tc>
        <w:tc>
          <w:tcPr>
            <w:tcW w:w="554" w:type="dxa"/>
          </w:tcPr>
          <w:p>
            <w:pPr>
              <w:pStyle w:val="6"/>
              <w:jc w:val="left"/>
            </w:pPr>
            <w:r>
              <w:rPr>
                <w:rFonts w:ascii="仿宋_GB2312" w:hAnsi="仿宋_GB2312" w:eastAsia="仿宋_GB2312" w:cs="仿宋_GB2312"/>
              </w:rPr>
              <w:t>报价单位</w:t>
            </w:r>
          </w:p>
        </w:tc>
        <w:tc>
          <w:tcPr>
            <w:tcW w:w="1384" w:type="dxa"/>
          </w:tcPr>
          <w:p>
            <w:pPr>
              <w:pStyle w:val="6"/>
              <w:jc w:val="left"/>
            </w:pPr>
            <w:r>
              <w:rPr>
                <w:rFonts w:ascii="仿宋_GB2312" w:hAnsi="仿宋_GB2312" w:eastAsia="仿宋_GB2312" w:cs="仿宋_GB2312"/>
              </w:rPr>
              <w:t>最高限价</w:t>
            </w:r>
          </w:p>
        </w:tc>
        <w:tc>
          <w:tcPr>
            <w:tcW w:w="1384" w:type="dxa"/>
          </w:tcPr>
          <w:p>
            <w:pPr>
              <w:pStyle w:val="6"/>
              <w:jc w:val="left"/>
            </w:pPr>
            <w:r>
              <w:rPr>
                <w:rFonts w:ascii="仿宋_GB2312" w:hAnsi="仿宋_GB2312" w:eastAsia="仿宋_GB2312" w:cs="仿宋_GB2312"/>
              </w:rPr>
              <w:t>价款形式</w:t>
            </w:r>
          </w:p>
        </w:tc>
        <w:tc>
          <w:tcPr>
            <w:tcW w:w="1038"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1</w:t>
            </w:r>
          </w:p>
        </w:tc>
        <w:tc>
          <w:tcPr>
            <w:tcW w:w="3046" w:type="dxa"/>
          </w:tcPr>
          <w:p>
            <w:pPr>
              <w:pStyle w:val="6"/>
              <w:jc w:val="left"/>
            </w:pPr>
            <w:r>
              <w:rPr>
                <w:rFonts w:ascii="仿宋_GB2312" w:hAnsi="仿宋_GB2312" w:eastAsia="仿宋_GB2312" w:cs="仿宋_GB2312"/>
              </w:rPr>
              <w:t>南屿镇和上街镇（7个村居）市政园林绿化社会化养护项目南屿镇片区（标段一）</w:t>
            </w:r>
          </w:p>
        </w:tc>
        <w:tc>
          <w:tcPr>
            <w:tcW w:w="554" w:type="dxa"/>
          </w:tcPr>
          <w:p>
            <w:pPr>
              <w:pStyle w:val="6"/>
              <w:jc w:val="left"/>
            </w:pPr>
            <w:r>
              <w:rPr>
                <w:rFonts w:ascii="仿宋_GB2312" w:hAnsi="仿宋_GB2312" w:eastAsia="仿宋_GB2312" w:cs="仿宋_GB2312"/>
              </w:rPr>
              <w:t>项目</w:t>
            </w:r>
          </w:p>
        </w:tc>
        <w:tc>
          <w:tcPr>
            <w:tcW w:w="554" w:type="dxa"/>
          </w:tcPr>
          <w:p>
            <w:pPr>
              <w:pStyle w:val="6"/>
              <w:jc w:val="left"/>
            </w:pPr>
            <w:r>
              <w:rPr>
                <w:rFonts w:ascii="仿宋_GB2312" w:hAnsi="仿宋_GB2312" w:eastAsia="仿宋_GB2312" w:cs="仿宋_GB2312"/>
              </w:rPr>
              <w:t>元</w:t>
            </w:r>
          </w:p>
        </w:tc>
        <w:tc>
          <w:tcPr>
            <w:tcW w:w="1384" w:type="dxa"/>
          </w:tcPr>
          <w:p>
            <w:pPr>
              <w:pStyle w:val="6"/>
              <w:jc w:val="right"/>
            </w:pPr>
            <w:r>
              <w:rPr>
                <w:rFonts w:ascii="仿宋_GB2312" w:hAnsi="仿宋_GB2312" w:eastAsia="仿宋_GB2312" w:cs="仿宋_GB2312"/>
              </w:rPr>
              <w:t>5,405,000.00</w:t>
            </w:r>
          </w:p>
        </w:tc>
        <w:tc>
          <w:tcPr>
            <w:tcW w:w="1384" w:type="dxa"/>
          </w:tcPr>
          <w:p>
            <w:pPr>
              <w:pStyle w:val="6"/>
              <w:jc w:val="left"/>
            </w:pPr>
            <w:r>
              <w:rPr>
                <w:rFonts w:ascii="仿宋_GB2312" w:hAnsi="仿宋_GB2312" w:eastAsia="仿宋_GB2312" w:cs="仿宋_GB2312"/>
              </w:rPr>
              <w:t>总价</w:t>
            </w:r>
          </w:p>
        </w:tc>
        <w:tc>
          <w:tcPr>
            <w:tcW w:w="1038" w:type="dxa"/>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南屿镇和上街镇（7个村居）市政园林绿化社会化养护项目南屿镇片区（标段一）</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报价明细内容</w:t>
            </w:r>
          </w:p>
        </w:tc>
        <w:tc>
          <w:tcPr>
            <w:tcW w:w="2076" w:type="dxa"/>
          </w:tcPr>
          <w:p>
            <w:pPr>
              <w:pStyle w:val="6"/>
              <w:jc w:val="left"/>
            </w:pPr>
            <w:r>
              <w:rPr>
                <w:rFonts w:ascii="仿宋_GB2312" w:hAnsi="仿宋_GB2312" w:eastAsia="仿宋_GB2312" w:cs="仿宋_GB2312"/>
              </w:rPr>
              <w:t>报价要求</w:t>
            </w:r>
          </w:p>
        </w:tc>
        <w:tc>
          <w:tcPr>
            <w:tcW w:w="415" w:type="dxa"/>
          </w:tcPr>
          <w:p>
            <w:pPr>
              <w:pStyle w:val="6"/>
              <w:jc w:val="left"/>
            </w:pPr>
            <w:r>
              <w:rPr>
                <w:rFonts w:ascii="仿宋_GB2312" w:hAnsi="仿宋_GB2312" w:eastAsia="仿宋_GB2312" w:cs="仿宋_GB2312"/>
              </w:rPr>
              <w:t>计量单位</w:t>
            </w:r>
          </w:p>
        </w:tc>
        <w:tc>
          <w:tcPr>
            <w:tcW w:w="415" w:type="dxa"/>
          </w:tcPr>
          <w:p>
            <w:pPr>
              <w:pStyle w:val="6"/>
              <w:jc w:val="left"/>
            </w:pPr>
            <w:r>
              <w:rPr>
                <w:rFonts w:ascii="仿宋_GB2312" w:hAnsi="仿宋_GB2312" w:eastAsia="仿宋_GB2312" w:cs="仿宋_GB2312"/>
              </w:rPr>
              <w:t>报价单位</w:t>
            </w:r>
          </w:p>
        </w:tc>
        <w:tc>
          <w:tcPr>
            <w:tcW w:w="831" w:type="dxa"/>
          </w:tcPr>
          <w:p>
            <w:pPr>
              <w:pStyle w:val="6"/>
              <w:jc w:val="left"/>
            </w:pPr>
            <w:r>
              <w:rPr>
                <w:rFonts w:ascii="仿宋_GB2312" w:hAnsi="仿宋_GB2312" w:eastAsia="仿宋_GB2312" w:cs="仿宋_GB2312"/>
              </w:rPr>
              <w:t>最高限价</w:t>
            </w:r>
          </w:p>
        </w:tc>
        <w:tc>
          <w:tcPr>
            <w:tcW w:w="831" w:type="dxa"/>
          </w:tcPr>
          <w:p>
            <w:pPr>
              <w:pStyle w:val="6"/>
              <w:jc w:val="left"/>
            </w:pPr>
            <w:r>
              <w:rPr>
                <w:rFonts w:ascii="仿宋_GB2312" w:hAnsi="仿宋_GB2312" w:eastAsia="仿宋_GB2312" w:cs="仿宋_GB2312"/>
              </w:rPr>
              <w:t>价款形式</w:t>
            </w:r>
          </w:p>
        </w:tc>
        <w:tc>
          <w:tcPr>
            <w:tcW w:w="1246"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智慧大道 起点：乌龙江南大道 终点：庐隐路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智慧大道 起点：乌龙江南大道 终点：庐隐路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旗麓南大道 起点：新保路 终点：南港大桥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w:t>
            </w:r>
          </w:p>
        </w:tc>
        <w:tc>
          <w:tcPr>
            <w:tcW w:w="2076" w:type="dxa"/>
          </w:tcPr>
          <w:p>
            <w:pPr>
              <w:pStyle w:val="6"/>
              <w:jc w:val="left"/>
            </w:pPr>
            <w:r>
              <w:rPr>
                <w:rFonts w:ascii="仿宋_GB2312" w:hAnsi="仿宋_GB2312" w:eastAsia="仿宋_GB2312" w:cs="仿宋_GB2312"/>
              </w:rPr>
              <w:t>旗麓南大道 起点：新保路 终点：南港大桥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w:t>
            </w:r>
          </w:p>
        </w:tc>
        <w:tc>
          <w:tcPr>
            <w:tcW w:w="2076" w:type="dxa"/>
          </w:tcPr>
          <w:p>
            <w:pPr>
              <w:pStyle w:val="6"/>
              <w:jc w:val="left"/>
            </w:pPr>
            <w:r>
              <w:rPr>
                <w:rFonts w:ascii="仿宋_GB2312" w:hAnsi="仿宋_GB2312" w:eastAsia="仿宋_GB2312" w:cs="仿宋_GB2312"/>
              </w:rPr>
              <w:t>乌龙江南大道 起点：新保路 终点：湾边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w:t>
            </w:r>
          </w:p>
        </w:tc>
        <w:tc>
          <w:tcPr>
            <w:tcW w:w="2076" w:type="dxa"/>
          </w:tcPr>
          <w:p>
            <w:pPr>
              <w:pStyle w:val="6"/>
              <w:jc w:val="left"/>
            </w:pPr>
            <w:r>
              <w:rPr>
                <w:rFonts w:ascii="仿宋_GB2312" w:hAnsi="仿宋_GB2312" w:eastAsia="仿宋_GB2312" w:cs="仿宋_GB2312"/>
              </w:rPr>
              <w:t>乌龙江南大道 起点：新保路 终点：湾边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w:t>
            </w:r>
          </w:p>
        </w:tc>
        <w:tc>
          <w:tcPr>
            <w:tcW w:w="2076" w:type="dxa"/>
          </w:tcPr>
          <w:p>
            <w:pPr>
              <w:pStyle w:val="6"/>
              <w:jc w:val="left"/>
            </w:pPr>
            <w:r>
              <w:rPr>
                <w:rFonts w:ascii="仿宋_GB2312" w:hAnsi="仿宋_GB2312" w:eastAsia="仿宋_GB2312" w:cs="仿宋_GB2312"/>
              </w:rPr>
              <w:t>旗麓北大道 起点：科技西路 终点：新保路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w:t>
            </w:r>
          </w:p>
        </w:tc>
        <w:tc>
          <w:tcPr>
            <w:tcW w:w="2076" w:type="dxa"/>
          </w:tcPr>
          <w:p>
            <w:pPr>
              <w:pStyle w:val="6"/>
              <w:jc w:val="left"/>
            </w:pPr>
            <w:r>
              <w:rPr>
                <w:rFonts w:ascii="仿宋_GB2312" w:hAnsi="仿宋_GB2312" w:eastAsia="仿宋_GB2312" w:cs="仿宋_GB2312"/>
              </w:rPr>
              <w:t>湾边连接线 起点：乌龙江南大道 终点：湾边互通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w:t>
            </w:r>
          </w:p>
        </w:tc>
        <w:tc>
          <w:tcPr>
            <w:tcW w:w="2076" w:type="dxa"/>
          </w:tcPr>
          <w:p>
            <w:pPr>
              <w:pStyle w:val="6"/>
              <w:jc w:val="left"/>
            </w:pPr>
            <w:r>
              <w:rPr>
                <w:rFonts w:ascii="仿宋_GB2312" w:hAnsi="仿宋_GB2312" w:eastAsia="仿宋_GB2312" w:cs="仿宋_GB2312"/>
              </w:rPr>
              <w:t>湾边连接线 起点：乌龙江南大道 终点：湾边互通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w:t>
            </w:r>
          </w:p>
        </w:tc>
        <w:tc>
          <w:tcPr>
            <w:tcW w:w="2076" w:type="dxa"/>
          </w:tcPr>
          <w:p>
            <w:pPr>
              <w:pStyle w:val="6"/>
              <w:jc w:val="left"/>
            </w:pPr>
            <w:r>
              <w:rPr>
                <w:rFonts w:ascii="仿宋_GB2312" w:hAnsi="仿宋_GB2312" w:eastAsia="仿宋_GB2312" w:cs="仿宋_GB2312"/>
              </w:rPr>
              <w:t>湾边连接线 起点：湾边互通 终点：六十份村路口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11</w:t>
            </w:r>
          </w:p>
        </w:tc>
        <w:tc>
          <w:tcPr>
            <w:tcW w:w="2076" w:type="dxa"/>
          </w:tcPr>
          <w:p>
            <w:pPr>
              <w:pStyle w:val="6"/>
              <w:jc w:val="left"/>
            </w:pPr>
            <w:r>
              <w:rPr>
                <w:rFonts w:ascii="仿宋_GB2312" w:hAnsi="仿宋_GB2312" w:eastAsia="仿宋_GB2312" w:cs="仿宋_GB2312"/>
              </w:rPr>
              <w:t>群升路 起点：乌龙江南大道 终点：新保路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12</w:t>
            </w:r>
          </w:p>
        </w:tc>
        <w:tc>
          <w:tcPr>
            <w:tcW w:w="2076" w:type="dxa"/>
          </w:tcPr>
          <w:p>
            <w:pPr>
              <w:pStyle w:val="6"/>
              <w:jc w:val="left"/>
            </w:pPr>
            <w:r>
              <w:rPr>
                <w:rFonts w:ascii="仿宋_GB2312" w:hAnsi="仿宋_GB2312" w:eastAsia="仿宋_GB2312" w:cs="仿宋_GB2312"/>
              </w:rPr>
              <w:t>群升路 起点：乌龙江南大道 终点：新保路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13</w:t>
            </w:r>
          </w:p>
        </w:tc>
        <w:tc>
          <w:tcPr>
            <w:tcW w:w="2076" w:type="dxa"/>
          </w:tcPr>
          <w:p>
            <w:pPr>
              <w:pStyle w:val="6"/>
              <w:jc w:val="left"/>
            </w:pPr>
            <w:r>
              <w:rPr>
                <w:rFonts w:ascii="仿宋_GB2312" w:hAnsi="仿宋_GB2312" w:eastAsia="仿宋_GB2312" w:cs="仿宋_GB2312"/>
              </w:rPr>
              <w:t>兴业支路 起点：117 县道 终点：规划路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14</w:t>
            </w:r>
          </w:p>
        </w:tc>
        <w:tc>
          <w:tcPr>
            <w:tcW w:w="2076" w:type="dxa"/>
          </w:tcPr>
          <w:p>
            <w:pPr>
              <w:pStyle w:val="6"/>
              <w:jc w:val="left"/>
            </w:pPr>
            <w:r>
              <w:rPr>
                <w:rFonts w:ascii="仿宋_GB2312" w:hAnsi="仿宋_GB2312" w:eastAsia="仿宋_GB2312" w:cs="仿宋_GB2312"/>
              </w:rPr>
              <w:t>兴业支路 起点：117 县道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15</w:t>
            </w:r>
          </w:p>
        </w:tc>
        <w:tc>
          <w:tcPr>
            <w:tcW w:w="2076" w:type="dxa"/>
          </w:tcPr>
          <w:p>
            <w:pPr>
              <w:pStyle w:val="6"/>
              <w:jc w:val="left"/>
            </w:pPr>
            <w:r>
              <w:rPr>
                <w:rFonts w:ascii="仿宋_GB2312" w:hAnsi="仿宋_GB2312" w:eastAsia="仿宋_GB2312" w:cs="仿宋_GB2312"/>
              </w:rPr>
              <w:t>缸窑路 起点：规划路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16</w:t>
            </w:r>
          </w:p>
        </w:tc>
        <w:tc>
          <w:tcPr>
            <w:tcW w:w="2076" w:type="dxa"/>
          </w:tcPr>
          <w:p>
            <w:pPr>
              <w:pStyle w:val="6"/>
              <w:jc w:val="left"/>
            </w:pPr>
            <w:r>
              <w:rPr>
                <w:rFonts w:ascii="仿宋_GB2312" w:hAnsi="仿宋_GB2312" w:eastAsia="仿宋_GB2312" w:cs="仿宋_GB2312"/>
              </w:rPr>
              <w:t>岐源路 起点：规划路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17</w:t>
            </w:r>
          </w:p>
        </w:tc>
        <w:tc>
          <w:tcPr>
            <w:tcW w:w="2076" w:type="dxa"/>
          </w:tcPr>
          <w:p>
            <w:pPr>
              <w:pStyle w:val="6"/>
              <w:jc w:val="left"/>
            </w:pPr>
            <w:r>
              <w:rPr>
                <w:rFonts w:ascii="仿宋_GB2312" w:hAnsi="仿宋_GB2312" w:eastAsia="仿宋_GB2312" w:cs="仿宋_GB2312"/>
              </w:rPr>
              <w:t>高岐路 起点：规划路 终点：规划路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18</w:t>
            </w:r>
          </w:p>
        </w:tc>
        <w:tc>
          <w:tcPr>
            <w:tcW w:w="2076" w:type="dxa"/>
          </w:tcPr>
          <w:p>
            <w:pPr>
              <w:pStyle w:val="6"/>
              <w:jc w:val="left"/>
            </w:pPr>
            <w:r>
              <w:rPr>
                <w:rFonts w:ascii="仿宋_GB2312" w:hAnsi="仿宋_GB2312" w:eastAsia="仿宋_GB2312" w:cs="仿宋_GB2312"/>
              </w:rPr>
              <w:t>高岐路 起点：规划路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19</w:t>
            </w:r>
          </w:p>
        </w:tc>
        <w:tc>
          <w:tcPr>
            <w:tcW w:w="2076" w:type="dxa"/>
          </w:tcPr>
          <w:p>
            <w:pPr>
              <w:pStyle w:val="6"/>
              <w:jc w:val="left"/>
            </w:pPr>
            <w:r>
              <w:rPr>
                <w:rFonts w:ascii="仿宋_GB2312" w:hAnsi="仿宋_GB2312" w:eastAsia="仿宋_GB2312" w:cs="仿宋_GB2312"/>
              </w:rPr>
              <w:t>三岐东路 起点：乌龙江南大道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20</w:t>
            </w:r>
          </w:p>
        </w:tc>
        <w:tc>
          <w:tcPr>
            <w:tcW w:w="2076" w:type="dxa"/>
          </w:tcPr>
          <w:p>
            <w:pPr>
              <w:pStyle w:val="6"/>
              <w:jc w:val="left"/>
            </w:pPr>
            <w:r>
              <w:rPr>
                <w:rFonts w:ascii="仿宋_GB2312" w:hAnsi="仿宋_GB2312" w:eastAsia="仿宋_GB2312" w:cs="仿宋_GB2312"/>
              </w:rPr>
              <w:t>育秀路 起点：乌龙江南大道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21</w:t>
            </w:r>
          </w:p>
        </w:tc>
        <w:tc>
          <w:tcPr>
            <w:tcW w:w="2076" w:type="dxa"/>
          </w:tcPr>
          <w:p>
            <w:pPr>
              <w:pStyle w:val="6"/>
              <w:jc w:val="left"/>
            </w:pPr>
            <w:r>
              <w:rPr>
                <w:rFonts w:ascii="仿宋_GB2312" w:hAnsi="仿宋_GB2312" w:eastAsia="仿宋_GB2312" w:cs="仿宋_GB2312"/>
              </w:rPr>
              <w:t>高晓路 起点：乌龙江南大道 终点：旗麓南大道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22</w:t>
            </w:r>
          </w:p>
        </w:tc>
        <w:tc>
          <w:tcPr>
            <w:tcW w:w="2076" w:type="dxa"/>
          </w:tcPr>
          <w:p>
            <w:pPr>
              <w:pStyle w:val="6"/>
              <w:jc w:val="left"/>
            </w:pPr>
            <w:r>
              <w:rPr>
                <w:rFonts w:ascii="仿宋_GB2312" w:hAnsi="仿宋_GB2312" w:eastAsia="仿宋_GB2312" w:cs="仿宋_GB2312"/>
              </w:rPr>
              <w:t>晓岐路 起点：乌龙江南大道 终点：旗麓南大道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23</w:t>
            </w:r>
          </w:p>
        </w:tc>
        <w:tc>
          <w:tcPr>
            <w:tcW w:w="2076" w:type="dxa"/>
          </w:tcPr>
          <w:p>
            <w:pPr>
              <w:pStyle w:val="6"/>
              <w:jc w:val="left"/>
            </w:pPr>
            <w:r>
              <w:rPr>
                <w:rFonts w:ascii="仿宋_GB2312" w:hAnsi="仿宋_GB2312" w:eastAsia="仿宋_GB2312" w:cs="仿宋_GB2312"/>
              </w:rPr>
              <w:t>晓岐路 起点：乌龙江南大道 终点：旗麓南大道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24</w:t>
            </w:r>
          </w:p>
        </w:tc>
        <w:tc>
          <w:tcPr>
            <w:tcW w:w="2076" w:type="dxa"/>
          </w:tcPr>
          <w:p>
            <w:pPr>
              <w:pStyle w:val="6"/>
              <w:jc w:val="left"/>
            </w:pPr>
            <w:r>
              <w:rPr>
                <w:rFonts w:ascii="仿宋_GB2312" w:hAnsi="仿宋_GB2312" w:eastAsia="仿宋_GB2312" w:cs="仿宋_GB2312"/>
              </w:rPr>
              <w:t>元峰路 起点：乌龙江南大道 终点：旗麓南大道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25</w:t>
            </w:r>
          </w:p>
        </w:tc>
        <w:tc>
          <w:tcPr>
            <w:tcW w:w="2076" w:type="dxa"/>
          </w:tcPr>
          <w:p>
            <w:pPr>
              <w:pStyle w:val="6"/>
              <w:jc w:val="left"/>
            </w:pPr>
            <w:r>
              <w:rPr>
                <w:rFonts w:ascii="仿宋_GB2312" w:hAnsi="仿宋_GB2312" w:eastAsia="仿宋_GB2312" w:cs="仿宋_GB2312"/>
              </w:rPr>
              <w:t>南元路 起点：乌龙江南大道 终点：环湖路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26</w:t>
            </w:r>
          </w:p>
        </w:tc>
        <w:tc>
          <w:tcPr>
            <w:tcW w:w="2076" w:type="dxa"/>
          </w:tcPr>
          <w:p>
            <w:pPr>
              <w:pStyle w:val="6"/>
              <w:jc w:val="left"/>
            </w:pPr>
            <w:r>
              <w:rPr>
                <w:rFonts w:ascii="仿宋_GB2312" w:hAnsi="仿宋_GB2312" w:eastAsia="仿宋_GB2312" w:cs="仿宋_GB2312"/>
              </w:rPr>
              <w:t>环湖路 起点：南元路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27</w:t>
            </w:r>
          </w:p>
        </w:tc>
        <w:tc>
          <w:tcPr>
            <w:tcW w:w="2076" w:type="dxa"/>
          </w:tcPr>
          <w:p>
            <w:pPr>
              <w:pStyle w:val="6"/>
              <w:jc w:val="left"/>
            </w:pPr>
            <w:r>
              <w:rPr>
                <w:rFonts w:ascii="仿宋_GB2312" w:hAnsi="仿宋_GB2312" w:eastAsia="仿宋_GB2312" w:cs="仿宋_GB2312"/>
              </w:rPr>
              <w:t>忠观路 起点：万佛寺 终点：旗麓南大道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28</w:t>
            </w:r>
          </w:p>
        </w:tc>
        <w:tc>
          <w:tcPr>
            <w:tcW w:w="2076" w:type="dxa"/>
          </w:tcPr>
          <w:p>
            <w:pPr>
              <w:pStyle w:val="6"/>
              <w:jc w:val="left"/>
            </w:pPr>
            <w:r>
              <w:rPr>
                <w:rFonts w:ascii="仿宋_GB2312" w:hAnsi="仿宋_GB2312" w:eastAsia="仿宋_GB2312" w:cs="仿宋_GB2312"/>
              </w:rPr>
              <w:t>仁义路 起点：虎秀路 终点：南前路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29</w:t>
            </w:r>
          </w:p>
        </w:tc>
        <w:tc>
          <w:tcPr>
            <w:tcW w:w="2076" w:type="dxa"/>
          </w:tcPr>
          <w:p>
            <w:pPr>
              <w:pStyle w:val="6"/>
              <w:jc w:val="left"/>
            </w:pPr>
            <w:r>
              <w:rPr>
                <w:rFonts w:ascii="仿宋_GB2312" w:hAnsi="仿宋_GB2312" w:eastAsia="仿宋_GB2312" w:cs="仿宋_GB2312"/>
              </w:rPr>
              <w:t>旗山路 /五都路 起点：侠客谷 终点：旗麓南大道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30</w:t>
            </w:r>
          </w:p>
        </w:tc>
        <w:tc>
          <w:tcPr>
            <w:tcW w:w="2076" w:type="dxa"/>
          </w:tcPr>
          <w:p>
            <w:pPr>
              <w:pStyle w:val="6"/>
              <w:jc w:val="left"/>
            </w:pPr>
            <w:r>
              <w:rPr>
                <w:rFonts w:ascii="仿宋_GB2312" w:hAnsi="仿宋_GB2312" w:eastAsia="仿宋_GB2312" w:cs="仿宋_GB2312"/>
              </w:rPr>
              <w:t>旗山路 /五都路 起点：侠客谷 终点：旗麓南大道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31</w:t>
            </w:r>
          </w:p>
        </w:tc>
        <w:tc>
          <w:tcPr>
            <w:tcW w:w="2076" w:type="dxa"/>
          </w:tcPr>
          <w:p>
            <w:pPr>
              <w:pStyle w:val="6"/>
              <w:jc w:val="left"/>
            </w:pPr>
            <w:r>
              <w:rPr>
                <w:rFonts w:ascii="仿宋_GB2312" w:hAnsi="仿宋_GB2312" w:eastAsia="仿宋_GB2312" w:cs="仿宋_GB2312"/>
              </w:rPr>
              <w:t>文城路 起点：五都支路 终点：断头路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32</w:t>
            </w:r>
          </w:p>
        </w:tc>
        <w:tc>
          <w:tcPr>
            <w:tcW w:w="2076" w:type="dxa"/>
          </w:tcPr>
          <w:p>
            <w:pPr>
              <w:pStyle w:val="6"/>
              <w:jc w:val="left"/>
            </w:pPr>
            <w:r>
              <w:rPr>
                <w:rFonts w:ascii="仿宋_GB2312" w:hAnsi="仿宋_GB2312" w:eastAsia="仿宋_GB2312" w:cs="仿宋_GB2312"/>
              </w:rPr>
              <w:t>文城路 起点：五都支路 终点：断头路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33</w:t>
            </w:r>
          </w:p>
        </w:tc>
        <w:tc>
          <w:tcPr>
            <w:tcW w:w="2076" w:type="dxa"/>
          </w:tcPr>
          <w:p>
            <w:pPr>
              <w:pStyle w:val="6"/>
              <w:jc w:val="left"/>
            </w:pPr>
            <w:r>
              <w:rPr>
                <w:rFonts w:ascii="仿宋_GB2312" w:hAnsi="仿宋_GB2312" w:eastAsia="仿宋_GB2312" w:cs="仿宋_GB2312"/>
              </w:rPr>
              <w:t>山前路 起点：旗麓南大道 终点：虎秀路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34</w:t>
            </w:r>
          </w:p>
        </w:tc>
        <w:tc>
          <w:tcPr>
            <w:tcW w:w="2076" w:type="dxa"/>
          </w:tcPr>
          <w:p>
            <w:pPr>
              <w:pStyle w:val="6"/>
              <w:jc w:val="left"/>
            </w:pPr>
            <w:r>
              <w:rPr>
                <w:rFonts w:ascii="仿宋_GB2312" w:hAnsi="仿宋_GB2312" w:eastAsia="仿宋_GB2312" w:cs="仿宋_GB2312"/>
              </w:rPr>
              <w:t>山前路 起点：旗麓南大道 终点：虎秀路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35</w:t>
            </w:r>
          </w:p>
        </w:tc>
        <w:tc>
          <w:tcPr>
            <w:tcW w:w="2076" w:type="dxa"/>
          </w:tcPr>
          <w:p>
            <w:pPr>
              <w:pStyle w:val="6"/>
              <w:jc w:val="left"/>
            </w:pPr>
            <w:r>
              <w:rPr>
                <w:rFonts w:ascii="仿宋_GB2312" w:hAnsi="仿宋_GB2312" w:eastAsia="仿宋_GB2312" w:cs="仿宋_GB2312"/>
              </w:rPr>
              <w:t>上井路 起点：智慧大道 终点：断头路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36</w:t>
            </w:r>
          </w:p>
        </w:tc>
        <w:tc>
          <w:tcPr>
            <w:tcW w:w="2076" w:type="dxa"/>
          </w:tcPr>
          <w:p>
            <w:pPr>
              <w:pStyle w:val="6"/>
              <w:jc w:val="left"/>
            </w:pPr>
            <w:r>
              <w:rPr>
                <w:rFonts w:ascii="仿宋_GB2312" w:hAnsi="仿宋_GB2312" w:eastAsia="仿宋_GB2312" w:cs="仿宋_GB2312"/>
              </w:rPr>
              <w:t>五都支路 起点：五都路 终点：虎秀路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37</w:t>
            </w:r>
          </w:p>
        </w:tc>
        <w:tc>
          <w:tcPr>
            <w:tcW w:w="2076" w:type="dxa"/>
          </w:tcPr>
          <w:p>
            <w:pPr>
              <w:pStyle w:val="6"/>
              <w:jc w:val="left"/>
            </w:pPr>
            <w:r>
              <w:rPr>
                <w:rFonts w:ascii="仿宋_GB2312" w:hAnsi="仿宋_GB2312" w:eastAsia="仿宋_GB2312" w:cs="仿宋_GB2312"/>
              </w:rPr>
              <w:t>忠孝路 起点：虎秀路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38</w:t>
            </w:r>
          </w:p>
        </w:tc>
        <w:tc>
          <w:tcPr>
            <w:tcW w:w="2076" w:type="dxa"/>
          </w:tcPr>
          <w:p>
            <w:pPr>
              <w:pStyle w:val="6"/>
              <w:jc w:val="left"/>
            </w:pPr>
            <w:r>
              <w:rPr>
                <w:rFonts w:ascii="仿宋_GB2312" w:hAnsi="仿宋_GB2312" w:eastAsia="仿宋_GB2312" w:cs="仿宋_GB2312"/>
              </w:rPr>
              <w:t>南前路 起点：忠观路 终点：第一中心小学校门口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39</w:t>
            </w:r>
          </w:p>
        </w:tc>
        <w:tc>
          <w:tcPr>
            <w:tcW w:w="2076" w:type="dxa"/>
          </w:tcPr>
          <w:p>
            <w:pPr>
              <w:pStyle w:val="6"/>
              <w:jc w:val="left"/>
            </w:pPr>
            <w:r>
              <w:rPr>
                <w:rFonts w:ascii="仿宋_GB2312" w:hAnsi="仿宋_GB2312" w:eastAsia="仿宋_GB2312" w:cs="仿宋_GB2312"/>
              </w:rPr>
              <w:t>南前路 起点：忠观路 终点：第一中心小学校门口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40</w:t>
            </w:r>
          </w:p>
        </w:tc>
        <w:tc>
          <w:tcPr>
            <w:tcW w:w="2076" w:type="dxa"/>
          </w:tcPr>
          <w:p>
            <w:pPr>
              <w:pStyle w:val="6"/>
              <w:jc w:val="left"/>
            </w:pPr>
            <w:r>
              <w:rPr>
                <w:rFonts w:ascii="仿宋_GB2312" w:hAnsi="仿宋_GB2312" w:eastAsia="仿宋_GB2312" w:cs="仿宋_GB2312"/>
              </w:rPr>
              <w:t>虎秀路 起点：五都路 终点：断头路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41</w:t>
            </w:r>
          </w:p>
        </w:tc>
        <w:tc>
          <w:tcPr>
            <w:tcW w:w="2076" w:type="dxa"/>
          </w:tcPr>
          <w:p>
            <w:pPr>
              <w:pStyle w:val="6"/>
              <w:jc w:val="left"/>
            </w:pPr>
            <w:r>
              <w:rPr>
                <w:rFonts w:ascii="仿宋_GB2312" w:hAnsi="仿宋_GB2312" w:eastAsia="仿宋_GB2312" w:cs="仿宋_GB2312"/>
              </w:rPr>
              <w:t>虎秀路 起点：五都路 终点：断头路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42</w:t>
            </w:r>
          </w:p>
        </w:tc>
        <w:tc>
          <w:tcPr>
            <w:tcW w:w="2076" w:type="dxa"/>
          </w:tcPr>
          <w:p>
            <w:pPr>
              <w:pStyle w:val="6"/>
              <w:jc w:val="left"/>
            </w:pPr>
            <w:r>
              <w:rPr>
                <w:rFonts w:ascii="仿宋_GB2312" w:hAnsi="仿宋_GB2312" w:eastAsia="仿宋_GB2312" w:cs="仿宋_GB2312"/>
              </w:rPr>
              <w:t>鑫兴路 起点：K1+123 终点：K1+497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43</w:t>
            </w:r>
          </w:p>
        </w:tc>
        <w:tc>
          <w:tcPr>
            <w:tcW w:w="2076" w:type="dxa"/>
          </w:tcPr>
          <w:p>
            <w:pPr>
              <w:pStyle w:val="6"/>
              <w:jc w:val="left"/>
            </w:pPr>
            <w:r>
              <w:rPr>
                <w:rFonts w:ascii="仿宋_GB2312" w:hAnsi="仿宋_GB2312" w:eastAsia="仿宋_GB2312" w:cs="仿宋_GB2312"/>
              </w:rPr>
              <w:t>龙好路 起点：旗麓南大道 终点：规划口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44</w:t>
            </w:r>
          </w:p>
        </w:tc>
        <w:tc>
          <w:tcPr>
            <w:tcW w:w="2076" w:type="dxa"/>
          </w:tcPr>
          <w:p>
            <w:pPr>
              <w:pStyle w:val="6"/>
              <w:jc w:val="left"/>
            </w:pPr>
            <w:r>
              <w:rPr>
                <w:rFonts w:ascii="仿宋_GB2312" w:hAnsi="仿宋_GB2312" w:eastAsia="仿宋_GB2312" w:cs="仿宋_GB2312"/>
              </w:rPr>
              <w:t>龙好路 起点：旗麓南大道 终点：规划口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45</w:t>
            </w:r>
          </w:p>
        </w:tc>
        <w:tc>
          <w:tcPr>
            <w:tcW w:w="2076" w:type="dxa"/>
          </w:tcPr>
          <w:p>
            <w:pPr>
              <w:pStyle w:val="6"/>
              <w:jc w:val="left"/>
            </w:pPr>
            <w:r>
              <w:rPr>
                <w:rFonts w:ascii="仿宋_GB2312" w:hAnsi="仿宋_GB2312" w:eastAsia="仿宋_GB2312" w:cs="仿宋_GB2312"/>
              </w:rPr>
              <w:t>新南大道 起点：13 号路 终点：大樟溪东大道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46</w:t>
            </w:r>
          </w:p>
        </w:tc>
        <w:tc>
          <w:tcPr>
            <w:tcW w:w="2076" w:type="dxa"/>
          </w:tcPr>
          <w:p>
            <w:pPr>
              <w:pStyle w:val="6"/>
              <w:jc w:val="left"/>
            </w:pPr>
            <w:r>
              <w:rPr>
                <w:rFonts w:ascii="仿宋_GB2312" w:hAnsi="仿宋_GB2312" w:eastAsia="仿宋_GB2312" w:cs="仿宋_GB2312"/>
              </w:rPr>
              <w:t>新南大道 起点：13 号路 终点：大樟溪东大道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47</w:t>
            </w:r>
          </w:p>
        </w:tc>
        <w:tc>
          <w:tcPr>
            <w:tcW w:w="2076" w:type="dxa"/>
          </w:tcPr>
          <w:p>
            <w:pPr>
              <w:pStyle w:val="6"/>
              <w:jc w:val="left"/>
            </w:pPr>
            <w:r>
              <w:rPr>
                <w:rFonts w:ascii="仿宋_GB2312" w:hAnsi="仿宋_GB2312" w:eastAsia="仿宋_GB2312" w:cs="仿宋_GB2312"/>
              </w:rPr>
              <w:t>新南大道 起点：2号路 终点：S203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48</w:t>
            </w:r>
          </w:p>
        </w:tc>
        <w:tc>
          <w:tcPr>
            <w:tcW w:w="2076" w:type="dxa"/>
          </w:tcPr>
          <w:p>
            <w:pPr>
              <w:pStyle w:val="6"/>
              <w:jc w:val="left"/>
            </w:pPr>
            <w:r>
              <w:rPr>
                <w:rFonts w:ascii="仿宋_GB2312" w:hAnsi="仿宋_GB2312" w:eastAsia="仿宋_GB2312" w:cs="仿宋_GB2312"/>
              </w:rPr>
              <w:t>尧溪路 起点：虎秀路 终点：大樟溪东大道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49</w:t>
            </w:r>
          </w:p>
        </w:tc>
        <w:tc>
          <w:tcPr>
            <w:tcW w:w="2076" w:type="dxa"/>
          </w:tcPr>
          <w:p>
            <w:pPr>
              <w:pStyle w:val="6"/>
              <w:jc w:val="left"/>
            </w:pPr>
            <w:r>
              <w:rPr>
                <w:rFonts w:ascii="仿宋_GB2312" w:hAnsi="仿宋_GB2312" w:eastAsia="仿宋_GB2312" w:cs="仿宋_GB2312"/>
              </w:rPr>
              <w:t>尧溪路 起点：虎秀路 终点：大樟溪东大道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50</w:t>
            </w:r>
          </w:p>
        </w:tc>
        <w:tc>
          <w:tcPr>
            <w:tcW w:w="2076" w:type="dxa"/>
          </w:tcPr>
          <w:p>
            <w:pPr>
              <w:pStyle w:val="6"/>
              <w:jc w:val="left"/>
            </w:pPr>
            <w:r>
              <w:rPr>
                <w:rFonts w:ascii="仿宋_GB2312" w:hAnsi="仿宋_GB2312" w:eastAsia="仿宋_GB2312" w:cs="仿宋_GB2312"/>
              </w:rPr>
              <w:t>尧溪路 起点：11 号路 终点：S203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51</w:t>
            </w:r>
          </w:p>
        </w:tc>
        <w:tc>
          <w:tcPr>
            <w:tcW w:w="2076" w:type="dxa"/>
          </w:tcPr>
          <w:p>
            <w:pPr>
              <w:pStyle w:val="6"/>
              <w:jc w:val="left"/>
            </w:pPr>
            <w:r>
              <w:rPr>
                <w:rFonts w:ascii="仿宋_GB2312" w:hAnsi="仿宋_GB2312" w:eastAsia="仿宋_GB2312" w:cs="仿宋_GB2312"/>
              </w:rPr>
              <w:t>芯园路 起点：智慧大道 终点：大樟溪东大道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52</w:t>
            </w:r>
          </w:p>
        </w:tc>
        <w:tc>
          <w:tcPr>
            <w:tcW w:w="2076" w:type="dxa"/>
          </w:tcPr>
          <w:p>
            <w:pPr>
              <w:pStyle w:val="6"/>
              <w:jc w:val="left"/>
            </w:pPr>
            <w:r>
              <w:rPr>
                <w:rFonts w:ascii="仿宋_GB2312" w:hAnsi="仿宋_GB2312" w:eastAsia="仿宋_GB2312" w:cs="仿宋_GB2312"/>
              </w:rPr>
              <w:t>庐隐路 起点：智慧大道 终点：10 号路 B 段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53</w:t>
            </w:r>
          </w:p>
        </w:tc>
        <w:tc>
          <w:tcPr>
            <w:tcW w:w="2076" w:type="dxa"/>
          </w:tcPr>
          <w:p>
            <w:pPr>
              <w:pStyle w:val="6"/>
              <w:jc w:val="left"/>
            </w:pPr>
            <w:r>
              <w:rPr>
                <w:rFonts w:ascii="仿宋_GB2312" w:hAnsi="仿宋_GB2312" w:eastAsia="仿宋_GB2312" w:cs="仿宋_GB2312"/>
              </w:rPr>
              <w:t>江滨路华威物流园便道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54</w:t>
            </w:r>
          </w:p>
        </w:tc>
        <w:tc>
          <w:tcPr>
            <w:tcW w:w="2076" w:type="dxa"/>
          </w:tcPr>
          <w:p>
            <w:pPr>
              <w:pStyle w:val="6"/>
              <w:jc w:val="left"/>
            </w:pPr>
            <w:r>
              <w:rPr>
                <w:rFonts w:ascii="仿宋_GB2312" w:hAnsi="仿宋_GB2312" w:eastAsia="仿宋_GB2312" w:cs="仿宋_GB2312"/>
              </w:rPr>
              <w:t>高岐河智慧体育公园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55</w:t>
            </w:r>
          </w:p>
        </w:tc>
        <w:tc>
          <w:tcPr>
            <w:tcW w:w="2076" w:type="dxa"/>
          </w:tcPr>
          <w:p>
            <w:pPr>
              <w:pStyle w:val="6"/>
              <w:jc w:val="left"/>
            </w:pPr>
            <w:r>
              <w:rPr>
                <w:rFonts w:ascii="仿宋_GB2312" w:hAnsi="仿宋_GB2312" w:eastAsia="仿宋_GB2312" w:cs="仿宋_GB2312"/>
              </w:rPr>
              <w:t>元峰河公园 起点：后山溪 终点：环湖路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56</w:t>
            </w:r>
          </w:p>
        </w:tc>
        <w:tc>
          <w:tcPr>
            <w:tcW w:w="2076" w:type="dxa"/>
          </w:tcPr>
          <w:p>
            <w:pPr>
              <w:pStyle w:val="6"/>
              <w:jc w:val="left"/>
            </w:pPr>
            <w:r>
              <w:rPr>
                <w:rFonts w:ascii="仿宋_GB2312" w:hAnsi="仿宋_GB2312" w:eastAsia="仿宋_GB2312" w:cs="仿宋_GB2312"/>
              </w:rPr>
              <w:t>水西林 起点：后山溪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57</w:t>
            </w:r>
          </w:p>
        </w:tc>
        <w:tc>
          <w:tcPr>
            <w:tcW w:w="2076" w:type="dxa"/>
          </w:tcPr>
          <w:p>
            <w:pPr>
              <w:pStyle w:val="6"/>
              <w:jc w:val="left"/>
            </w:pPr>
            <w:r>
              <w:rPr>
                <w:rFonts w:ascii="仿宋_GB2312" w:hAnsi="仿宋_GB2312" w:eastAsia="仿宋_GB2312" w:cs="仿宋_GB2312"/>
              </w:rPr>
              <w:t>锦溪公园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58</w:t>
            </w:r>
          </w:p>
        </w:tc>
        <w:tc>
          <w:tcPr>
            <w:tcW w:w="2076" w:type="dxa"/>
          </w:tcPr>
          <w:p>
            <w:pPr>
              <w:pStyle w:val="6"/>
              <w:jc w:val="left"/>
            </w:pPr>
            <w:r>
              <w:rPr>
                <w:rFonts w:ascii="仿宋_GB2312" w:hAnsi="仿宋_GB2312" w:eastAsia="仿宋_GB2312" w:cs="仿宋_GB2312"/>
              </w:rPr>
              <w:t>登山道公园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59</w:t>
            </w:r>
          </w:p>
        </w:tc>
        <w:tc>
          <w:tcPr>
            <w:tcW w:w="2076" w:type="dxa"/>
          </w:tcPr>
          <w:p>
            <w:pPr>
              <w:pStyle w:val="6"/>
              <w:jc w:val="left"/>
            </w:pPr>
            <w:r>
              <w:rPr>
                <w:rFonts w:ascii="仿宋_GB2312" w:hAnsi="仿宋_GB2312" w:eastAsia="仿宋_GB2312" w:cs="仿宋_GB2312"/>
              </w:rPr>
              <w:t>南港桥下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60</w:t>
            </w:r>
          </w:p>
        </w:tc>
        <w:tc>
          <w:tcPr>
            <w:tcW w:w="2076" w:type="dxa"/>
          </w:tcPr>
          <w:p>
            <w:pPr>
              <w:pStyle w:val="6"/>
              <w:jc w:val="left"/>
            </w:pPr>
            <w:r>
              <w:rPr>
                <w:rFonts w:ascii="仿宋_GB2312" w:hAnsi="仿宋_GB2312" w:eastAsia="仿宋_GB2312" w:cs="仿宋_GB2312"/>
              </w:rPr>
              <w:t>湾边互通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61</w:t>
            </w:r>
          </w:p>
        </w:tc>
        <w:tc>
          <w:tcPr>
            <w:tcW w:w="2076" w:type="dxa"/>
          </w:tcPr>
          <w:p>
            <w:pPr>
              <w:pStyle w:val="6"/>
              <w:jc w:val="left"/>
            </w:pPr>
            <w:r>
              <w:rPr>
                <w:rFonts w:ascii="仿宋_GB2312" w:hAnsi="仿宋_GB2312" w:eastAsia="仿宋_GB2312" w:cs="仿宋_GB2312"/>
              </w:rPr>
              <w:t>湾边互通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62</w:t>
            </w:r>
          </w:p>
        </w:tc>
        <w:tc>
          <w:tcPr>
            <w:tcW w:w="2076" w:type="dxa"/>
          </w:tcPr>
          <w:p>
            <w:pPr>
              <w:pStyle w:val="6"/>
              <w:jc w:val="left"/>
            </w:pPr>
            <w:r>
              <w:rPr>
                <w:rFonts w:ascii="仿宋_GB2312" w:hAnsi="仿宋_GB2312" w:eastAsia="仿宋_GB2312" w:cs="仿宋_GB2312"/>
              </w:rPr>
              <w:t>高新区南元路提升改造工程 起点：旗山大道 终点：环湖路 道路长度：792.1米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63</w:t>
            </w:r>
          </w:p>
        </w:tc>
        <w:tc>
          <w:tcPr>
            <w:tcW w:w="2076" w:type="dxa"/>
          </w:tcPr>
          <w:p>
            <w:pPr>
              <w:pStyle w:val="6"/>
              <w:jc w:val="left"/>
            </w:pPr>
            <w:r>
              <w:rPr>
                <w:rFonts w:ascii="仿宋_GB2312" w:hAnsi="仿宋_GB2312" w:eastAsia="仿宋_GB2312" w:cs="仿宋_GB2312"/>
              </w:rPr>
              <w:t>高新区南元路提升改造工程 起点：旗山大道 终点：环湖路 道路长度：792.1米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64</w:t>
            </w:r>
          </w:p>
        </w:tc>
        <w:tc>
          <w:tcPr>
            <w:tcW w:w="2076" w:type="dxa"/>
          </w:tcPr>
          <w:p>
            <w:pPr>
              <w:pStyle w:val="6"/>
              <w:jc w:val="left"/>
            </w:pPr>
            <w:r>
              <w:rPr>
                <w:rFonts w:ascii="仿宋_GB2312" w:hAnsi="仿宋_GB2312" w:eastAsia="仿宋_GB2312" w:cs="仿宋_GB2312"/>
              </w:rPr>
              <w:t>福州市生物医药和机电产业园17 号路道路工程（一期K0+331.61~K0+850）起点：15 号路 终点：K0+850 道路长度：518.4米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65</w:t>
            </w:r>
          </w:p>
        </w:tc>
        <w:tc>
          <w:tcPr>
            <w:tcW w:w="2076" w:type="dxa"/>
          </w:tcPr>
          <w:p>
            <w:pPr>
              <w:pStyle w:val="6"/>
              <w:jc w:val="left"/>
            </w:pPr>
            <w:r>
              <w:rPr>
                <w:rFonts w:ascii="仿宋_GB2312" w:hAnsi="仿宋_GB2312" w:eastAsia="仿宋_GB2312" w:cs="仿宋_GB2312"/>
              </w:rPr>
              <w:t>福州市生物医药和机电产业园17 号路道路工程（一期K0+331.61~K0+850）起点：15 号路 终点：K0+850 道路长度：518.4米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66</w:t>
            </w:r>
          </w:p>
        </w:tc>
        <w:tc>
          <w:tcPr>
            <w:tcW w:w="2076" w:type="dxa"/>
          </w:tcPr>
          <w:p>
            <w:pPr>
              <w:pStyle w:val="6"/>
              <w:jc w:val="left"/>
            </w:pPr>
            <w:r>
              <w:rPr>
                <w:rFonts w:ascii="仿宋_GB2312" w:hAnsi="仿宋_GB2312" w:eastAsia="仿宋_GB2312" w:cs="仿宋_GB2312"/>
              </w:rPr>
              <w:t>福州高新区117县道（南港大桥－新保路）段道路两侧环境整治工程 起点：南港大桥 终点：新保路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67</w:t>
            </w:r>
          </w:p>
        </w:tc>
        <w:tc>
          <w:tcPr>
            <w:tcW w:w="2076" w:type="dxa"/>
          </w:tcPr>
          <w:p>
            <w:pPr>
              <w:pStyle w:val="6"/>
              <w:jc w:val="left"/>
            </w:pPr>
            <w:r>
              <w:rPr>
                <w:rFonts w:ascii="仿宋_GB2312" w:hAnsi="仿宋_GB2312" w:eastAsia="仿宋_GB2312" w:cs="仿宋_GB2312"/>
              </w:rPr>
              <w:t>南港路 起点：南港路连接线接线一 终点：六十份洲互通 道路长度：627米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68</w:t>
            </w:r>
          </w:p>
        </w:tc>
        <w:tc>
          <w:tcPr>
            <w:tcW w:w="2076" w:type="dxa"/>
          </w:tcPr>
          <w:p>
            <w:pPr>
              <w:pStyle w:val="6"/>
              <w:jc w:val="left"/>
            </w:pPr>
            <w:r>
              <w:rPr>
                <w:rFonts w:ascii="仿宋_GB2312" w:hAnsi="仿宋_GB2312" w:eastAsia="仿宋_GB2312" w:cs="仿宋_GB2312"/>
              </w:rPr>
              <w:t>南港路 起点：南港路连接线接线一 终点：六十份洲互通 道路长度：627米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69</w:t>
            </w:r>
          </w:p>
        </w:tc>
        <w:tc>
          <w:tcPr>
            <w:tcW w:w="2076" w:type="dxa"/>
          </w:tcPr>
          <w:p>
            <w:pPr>
              <w:pStyle w:val="6"/>
              <w:jc w:val="left"/>
            </w:pPr>
            <w:r>
              <w:rPr>
                <w:rFonts w:ascii="仿宋_GB2312" w:hAnsi="仿宋_GB2312" w:eastAsia="仿宋_GB2312" w:cs="仿宋_GB2312"/>
              </w:rPr>
              <w:t>南港路连接线 起点：接线一：旗山大道；接线二：南港路；接线三：南港路 终点：接线一：南港路；接线二：六十份洲互通；接线三：接线二 道路长度：接线一：200 米（桥梁）接线二：518 米 接线三：261米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70</w:t>
            </w:r>
          </w:p>
        </w:tc>
        <w:tc>
          <w:tcPr>
            <w:tcW w:w="2076" w:type="dxa"/>
          </w:tcPr>
          <w:p>
            <w:pPr>
              <w:pStyle w:val="6"/>
              <w:jc w:val="left"/>
            </w:pPr>
            <w:r>
              <w:rPr>
                <w:rFonts w:ascii="仿宋_GB2312" w:hAnsi="仿宋_GB2312" w:eastAsia="仿宋_GB2312" w:cs="仿宋_GB2312"/>
              </w:rPr>
              <w:t>南港路连接线 起点：接线一：旗山大道；接线二：南港路；接线三：南港路 终点：接线一：南港路；接线二：六十份洲互通；接线三：接线二 道路长度：接线一：200 米（桥梁）接线二：518 米 接线三：261米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71</w:t>
            </w:r>
          </w:p>
        </w:tc>
        <w:tc>
          <w:tcPr>
            <w:tcW w:w="2076" w:type="dxa"/>
          </w:tcPr>
          <w:p>
            <w:pPr>
              <w:pStyle w:val="6"/>
              <w:jc w:val="left"/>
            </w:pPr>
            <w:r>
              <w:rPr>
                <w:rFonts w:ascii="仿宋_GB2312" w:hAnsi="仿宋_GB2312" w:eastAsia="仿宋_GB2312" w:cs="仿宋_GB2312"/>
              </w:rPr>
              <w:t>新建桐南桥及配套道路 起点：福建省莲花服装实业有限责任公司附近现状村道 终点：尧溪路与新南大道交叉口附近 道路长度：1292.5米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72</w:t>
            </w:r>
          </w:p>
        </w:tc>
        <w:tc>
          <w:tcPr>
            <w:tcW w:w="2076" w:type="dxa"/>
          </w:tcPr>
          <w:p>
            <w:pPr>
              <w:pStyle w:val="6"/>
              <w:jc w:val="left"/>
            </w:pPr>
            <w:r>
              <w:rPr>
                <w:rFonts w:ascii="仿宋_GB2312" w:hAnsi="仿宋_GB2312" w:eastAsia="仿宋_GB2312" w:cs="仿宋_GB2312"/>
              </w:rPr>
              <w:t>新建桐南桥及配套道路 起点：福建省莲花服装实业有限责任公司附近现状村道 终点：尧溪路与新南大道交叉口附近 道路长度：1292.5米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73</w:t>
            </w:r>
          </w:p>
        </w:tc>
        <w:tc>
          <w:tcPr>
            <w:tcW w:w="2076" w:type="dxa"/>
          </w:tcPr>
          <w:p>
            <w:pPr>
              <w:pStyle w:val="6"/>
              <w:jc w:val="left"/>
            </w:pPr>
            <w:r>
              <w:rPr>
                <w:rFonts w:ascii="仿宋_GB2312" w:hAnsi="仿宋_GB2312" w:eastAsia="仿宋_GB2312" w:cs="仿宋_GB2312"/>
              </w:rPr>
              <w:t>五后溪上游段河道建设工程（桥梁工程） 起点：117 县道 终点：117 县道 道路长度：88米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74</w:t>
            </w:r>
          </w:p>
        </w:tc>
        <w:tc>
          <w:tcPr>
            <w:tcW w:w="2076" w:type="dxa"/>
          </w:tcPr>
          <w:p>
            <w:pPr>
              <w:pStyle w:val="6"/>
              <w:jc w:val="left"/>
            </w:pPr>
            <w:r>
              <w:rPr>
                <w:rFonts w:ascii="仿宋_GB2312" w:hAnsi="仿宋_GB2312" w:eastAsia="仿宋_GB2312" w:cs="仿宋_GB2312"/>
              </w:rPr>
              <w:t>五后溪上游段河道建设工程（桥梁工程） 起点：117 县道 终点：117 县道 道路长度：88米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75</w:t>
            </w:r>
          </w:p>
        </w:tc>
        <w:tc>
          <w:tcPr>
            <w:tcW w:w="2076" w:type="dxa"/>
          </w:tcPr>
          <w:p>
            <w:pPr>
              <w:pStyle w:val="6"/>
              <w:jc w:val="left"/>
            </w:pPr>
            <w:r>
              <w:rPr>
                <w:rFonts w:ascii="仿宋_GB2312" w:hAnsi="仿宋_GB2312" w:eastAsia="仿宋_GB2312" w:cs="仿宋_GB2312"/>
              </w:rPr>
              <w:t>两园 5 号路道路工程 起点：虎秀路 终点：智慧大道 道路长度：1600.0米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76</w:t>
            </w:r>
          </w:p>
        </w:tc>
        <w:tc>
          <w:tcPr>
            <w:tcW w:w="2076" w:type="dxa"/>
          </w:tcPr>
          <w:p>
            <w:pPr>
              <w:pStyle w:val="6"/>
              <w:jc w:val="left"/>
            </w:pPr>
            <w:r>
              <w:rPr>
                <w:rFonts w:ascii="仿宋_GB2312" w:hAnsi="仿宋_GB2312" w:eastAsia="仿宋_GB2312" w:cs="仿宋_GB2312"/>
              </w:rPr>
              <w:t>两园 5 号路道路工程 起点：虎秀路 终点：智慧大道 道路长度：1600.0米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序号</w:t>
            </w:r>
          </w:p>
        </w:tc>
        <w:tc>
          <w:tcPr>
            <w:tcW w:w="3046" w:type="dxa"/>
          </w:tcPr>
          <w:p>
            <w:pPr>
              <w:pStyle w:val="6"/>
              <w:jc w:val="left"/>
            </w:pPr>
            <w:r>
              <w:rPr>
                <w:rFonts w:ascii="仿宋_GB2312" w:hAnsi="仿宋_GB2312" w:eastAsia="仿宋_GB2312" w:cs="仿宋_GB2312"/>
              </w:rPr>
              <w:t>报价内容</w:t>
            </w:r>
          </w:p>
        </w:tc>
        <w:tc>
          <w:tcPr>
            <w:tcW w:w="554" w:type="dxa"/>
          </w:tcPr>
          <w:p>
            <w:pPr>
              <w:pStyle w:val="6"/>
              <w:jc w:val="left"/>
            </w:pPr>
            <w:r>
              <w:rPr>
                <w:rFonts w:ascii="仿宋_GB2312" w:hAnsi="仿宋_GB2312" w:eastAsia="仿宋_GB2312" w:cs="仿宋_GB2312"/>
              </w:rPr>
              <w:t>计量单位</w:t>
            </w:r>
          </w:p>
        </w:tc>
        <w:tc>
          <w:tcPr>
            <w:tcW w:w="554" w:type="dxa"/>
          </w:tcPr>
          <w:p>
            <w:pPr>
              <w:pStyle w:val="6"/>
              <w:jc w:val="left"/>
            </w:pPr>
            <w:r>
              <w:rPr>
                <w:rFonts w:ascii="仿宋_GB2312" w:hAnsi="仿宋_GB2312" w:eastAsia="仿宋_GB2312" w:cs="仿宋_GB2312"/>
              </w:rPr>
              <w:t>报价单位</w:t>
            </w:r>
          </w:p>
        </w:tc>
        <w:tc>
          <w:tcPr>
            <w:tcW w:w="1384" w:type="dxa"/>
          </w:tcPr>
          <w:p>
            <w:pPr>
              <w:pStyle w:val="6"/>
              <w:jc w:val="left"/>
            </w:pPr>
            <w:r>
              <w:rPr>
                <w:rFonts w:ascii="仿宋_GB2312" w:hAnsi="仿宋_GB2312" w:eastAsia="仿宋_GB2312" w:cs="仿宋_GB2312"/>
              </w:rPr>
              <w:t>最高限价</w:t>
            </w:r>
          </w:p>
        </w:tc>
        <w:tc>
          <w:tcPr>
            <w:tcW w:w="1384" w:type="dxa"/>
          </w:tcPr>
          <w:p>
            <w:pPr>
              <w:pStyle w:val="6"/>
              <w:jc w:val="left"/>
            </w:pPr>
            <w:r>
              <w:rPr>
                <w:rFonts w:ascii="仿宋_GB2312" w:hAnsi="仿宋_GB2312" w:eastAsia="仿宋_GB2312" w:cs="仿宋_GB2312"/>
              </w:rPr>
              <w:t>价款形式</w:t>
            </w:r>
          </w:p>
        </w:tc>
        <w:tc>
          <w:tcPr>
            <w:tcW w:w="1038"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1</w:t>
            </w:r>
          </w:p>
        </w:tc>
        <w:tc>
          <w:tcPr>
            <w:tcW w:w="3046" w:type="dxa"/>
          </w:tcPr>
          <w:p>
            <w:pPr>
              <w:pStyle w:val="6"/>
              <w:jc w:val="left"/>
            </w:pPr>
            <w:r>
              <w:rPr>
                <w:rFonts w:ascii="仿宋_GB2312" w:hAnsi="仿宋_GB2312" w:eastAsia="仿宋_GB2312" w:cs="仿宋_GB2312"/>
              </w:rPr>
              <w:t>南屿镇和上街镇（7个村居）市政园林绿化社会化养护项目上街镇（7个村居）片区（标段二）</w:t>
            </w:r>
          </w:p>
        </w:tc>
        <w:tc>
          <w:tcPr>
            <w:tcW w:w="554" w:type="dxa"/>
          </w:tcPr>
          <w:p>
            <w:pPr>
              <w:pStyle w:val="6"/>
              <w:jc w:val="left"/>
            </w:pPr>
            <w:r>
              <w:rPr>
                <w:rFonts w:ascii="仿宋_GB2312" w:hAnsi="仿宋_GB2312" w:eastAsia="仿宋_GB2312" w:cs="仿宋_GB2312"/>
              </w:rPr>
              <w:t>项</w:t>
            </w:r>
          </w:p>
        </w:tc>
        <w:tc>
          <w:tcPr>
            <w:tcW w:w="554" w:type="dxa"/>
          </w:tcPr>
          <w:p>
            <w:pPr>
              <w:pStyle w:val="6"/>
              <w:jc w:val="left"/>
            </w:pPr>
            <w:r>
              <w:rPr>
                <w:rFonts w:ascii="仿宋_GB2312" w:hAnsi="仿宋_GB2312" w:eastAsia="仿宋_GB2312" w:cs="仿宋_GB2312"/>
              </w:rPr>
              <w:t>元</w:t>
            </w:r>
          </w:p>
        </w:tc>
        <w:tc>
          <w:tcPr>
            <w:tcW w:w="1384" w:type="dxa"/>
          </w:tcPr>
          <w:p>
            <w:pPr>
              <w:pStyle w:val="6"/>
              <w:jc w:val="right"/>
            </w:pPr>
            <w:r>
              <w:rPr>
                <w:rFonts w:ascii="仿宋_GB2312" w:hAnsi="仿宋_GB2312" w:eastAsia="仿宋_GB2312" w:cs="仿宋_GB2312"/>
              </w:rPr>
              <w:t>6,377,000.00</w:t>
            </w:r>
          </w:p>
        </w:tc>
        <w:tc>
          <w:tcPr>
            <w:tcW w:w="1384" w:type="dxa"/>
          </w:tcPr>
          <w:p>
            <w:pPr>
              <w:pStyle w:val="6"/>
              <w:jc w:val="left"/>
            </w:pPr>
            <w:r>
              <w:rPr>
                <w:rFonts w:ascii="仿宋_GB2312" w:hAnsi="仿宋_GB2312" w:eastAsia="仿宋_GB2312" w:cs="仿宋_GB2312"/>
              </w:rPr>
              <w:t>总价</w:t>
            </w:r>
          </w:p>
        </w:tc>
        <w:tc>
          <w:tcPr>
            <w:tcW w:w="1038" w:type="dxa"/>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南屿镇和上街镇（7个村居）市政园林绿化社会化养护项目上街镇（7个村居）片区（标段二）</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报价明细内容</w:t>
            </w:r>
          </w:p>
        </w:tc>
        <w:tc>
          <w:tcPr>
            <w:tcW w:w="2076" w:type="dxa"/>
          </w:tcPr>
          <w:p>
            <w:pPr>
              <w:pStyle w:val="6"/>
              <w:jc w:val="left"/>
            </w:pPr>
            <w:r>
              <w:rPr>
                <w:rFonts w:ascii="仿宋_GB2312" w:hAnsi="仿宋_GB2312" w:eastAsia="仿宋_GB2312" w:cs="仿宋_GB2312"/>
              </w:rPr>
              <w:t>报价要求</w:t>
            </w:r>
          </w:p>
        </w:tc>
        <w:tc>
          <w:tcPr>
            <w:tcW w:w="415" w:type="dxa"/>
          </w:tcPr>
          <w:p>
            <w:pPr>
              <w:pStyle w:val="6"/>
              <w:jc w:val="left"/>
            </w:pPr>
            <w:r>
              <w:rPr>
                <w:rFonts w:ascii="仿宋_GB2312" w:hAnsi="仿宋_GB2312" w:eastAsia="仿宋_GB2312" w:cs="仿宋_GB2312"/>
              </w:rPr>
              <w:t>计量单位</w:t>
            </w:r>
          </w:p>
        </w:tc>
        <w:tc>
          <w:tcPr>
            <w:tcW w:w="415" w:type="dxa"/>
          </w:tcPr>
          <w:p>
            <w:pPr>
              <w:pStyle w:val="6"/>
              <w:jc w:val="left"/>
            </w:pPr>
            <w:r>
              <w:rPr>
                <w:rFonts w:ascii="仿宋_GB2312" w:hAnsi="仿宋_GB2312" w:eastAsia="仿宋_GB2312" w:cs="仿宋_GB2312"/>
              </w:rPr>
              <w:t>报价单位</w:t>
            </w:r>
          </w:p>
        </w:tc>
        <w:tc>
          <w:tcPr>
            <w:tcW w:w="831" w:type="dxa"/>
          </w:tcPr>
          <w:p>
            <w:pPr>
              <w:pStyle w:val="6"/>
              <w:jc w:val="left"/>
            </w:pPr>
            <w:r>
              <w:rPr>
                <w:rFonts w:ascii="仿宋_GB2312" w:hAnsi="仿宋_GB2312" w:eastAsia="仿宋_GB2312" w:cs="仿宋_GB2312"/>
              </w:rPr>
              <w:t>最高限价</w:t>
            </w:r>
          </w:p>
        </w:tc>
        <w:tc>
          <w:tcPr>
            <w:tcW w:w="831" w:type="dxa"/>
          </w:tcPr>
          <w:p>
            <w:pPr>
              <w:pStyle w:val="6"/>
              <w:jc w:val="left"/>
            </w:pPr>
            <w:r>
              <w:rPr>
                <w:rFonts w:ascii="仿宋_GB2312" w:hAnsi="仿宋_GB2312" w:eastAsia="仿宋_GB2312" w:cs="仿宋_GB2312"/>
              </w:rPr>
              <w:t>价款形式</w:t>
            </w:r>
          </w:p>
        </w:tc>
        <w:tc>
          <w:tcPr>
            <w:tcW w:w="1246"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乌龙江中大道 起点：建平路 终点：新保路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乌龙江中大道 起点：建平路 终点：新保路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高新大道 起点：建平路 终点：断头路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w:t>
            </w:r>
          </w:p>
        </w:tc>
        <w:tc>
          <w:tcPr>
            <w:tcW w:w="2076" w:type="dxa"/>
          </w:tcPr>
          <w:p>
            <w:pPr>
              <w:pStyle w:val="6"/>
              <w:jc w:val="left"/>
            </w:pPr>
            <w:r>
              <w:rPr>
                <w:rFonts w:ascii="仿宋_GB2312" w:hAnsi="仿宋_GB2312" w:eastAsia="仿宋_GB2312" w:cs="仿宋_GB2312"/>
              </w:rPr>
              <w:t>高新大道 起点：建平路 终点：断头路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w:t>
            </w:r>
          </w:p>
        </w:tc>
        <w:tc>
          <w:tcPr>
            <w:tcW w:w="2076" w:type="dxa"/>
          </w:tcPr>
          <w:p>
            <w:pPr>
              <w:pStyle w:val="6"/>
              <w:jc w:val="left"/>
            </w:pPr>
            <w:r>
              <w:rPr>
                <w:rFonts w:ascii="仿宋_GB2312" w:hAnsi="仿宋_GB2312" w:eastAsia="仿宋_GB2312" w:cs="仿宋_GB2312"/>
              </w:rPr>
              <w:t>高新大道 起点：创意路 终点：科技东路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w:t>
            </w:r>
          </w:p>
        </w:tc>
        <w:tc>
          <w:tcPr>
            <w:tcW w:w="2076" w:type="dxa"/>
          </w:tcPr>
          <w:p>
            <w:pPr>
              <w:pStyle w:val="6"/>
              <w:jc w:val="left"/>
            </w:pPr>
            <w:r>
              <w:rPr>
                <w:rFonts w:ascii="仿宋_GB2312" w:hAnsi="仿宋_GB2312" w:eastAsia="仿宋_GB2312" w:cs="仿宋_GB2312"/>
              </w:rPr>
              <w:t>新港大道 起点：创意路 终点：规划路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w:t>
            </w:r>
          </w:p>
        </w:tc>
        <w:tc>
          <w:tcPr>
            <w:tcW w:w="2076" w:type="dxa"/>
          </w:tcPr>
          <w:p>
            <w:pPr>
              <w:pStyle w:val="6"/>
              <w:jc w:val="left"/>
            </w:pPr>
            <w:r>
              <w:rPr>
                <w:rFonts w:ascii="仿宋_GB2312" w:hAnsi="仿宋_GB2312" w:eastAsia="仿宋_GB2312" w:cs="仿宋_GB2312"/>
              </w:rPr>
              <w:t>新港大道 起点：创意路 终点：规划路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w:t>
            </w:r>
          </w:p>
        </w:tc>
        <w:tc>
          <w:tcPr>
            <w:tcW w:w="2076" w:type="dxa"/>
          </w:tcPr>
          <w:p>
            <w:pPr>
              <w:pStyle w:val="6"/>
              <w:jc w:val="left"/>
            </w:pPr>
            <w:r>
              <w:rPr>
                <w:rFonts w:ascii="仿宋_GB2312" w:hAnsi="仿宋_GB2312" w:eastAsia="仿宋_GB2312" w:cs="仿宋_GB2312"/>
              </w:rPr>
              <w:t>新港大道 起点：厚庭排涝站 终点：葛岐排涝站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w:t>
            </w:r>
          </w:p>
        </w:tc>
        <w:tc>
          <w:tcPr>
            <w:tcW w:w="2076" w:type="dxa"/>
          </w:tcPr>
          <w:p>
            <w:pPr>
              <w:pStyle w:val="6"/>
              <w:jc w:val="left"/>
            </w:pPr>
            <w:r>
              <w:rPr>
                <w:rFonts w:ascii="仿宋_GB2312" w:hAnsi="仿宋_GB2312" w:eastAsia="仿宋_GB2312" w:cs="仿宋_GB2312"/>
              </w:rPr>
              <w:t>新港大道 起点：建平路匝道 终点：明德东路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w:t>
            </w:r>
          </w:p>
        </w:tc>
        <w:tc>
          <w:tcPr>
            <w:tcW w:w="2076" w:type="dxa"/>
          </w:tcPr>
          <w:p>
            <w:pPr>
              <w:pStyle w:val="6"/>
              <w:jc w:val="left"/>
            </w:pPr>
            <w:r>
              <w:rPr>
                <w:rFonts w:ascii="仿宋_GB2312" w:hAnsi="仿宋_GB2312" w:eastAsia="仿宋_GB2312" w:cs="仿宋_GB2312"/>
              </w:rPr>
              <w:t>新港大道 其他绿地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11</w:t>
            </w:r>
          </w:p>
        </w:tc>
        <w:tc>
          <w:tcPr>
            <w:tcW w:w="2076" w:type="dxa"/>
          </w:tcPr>
          <w:p>
            <w:pPr>
              <w:pStyle w:val="6"/>
              <w:jc w:val="left"/>
            </w:pPr>
            <w:r>
              <w:rPr>
                <w:rFonts w:ascii="仿宋_GB2312" w:hAnsi="仿宋_GB2312" w:eastAsia="仿宋_GB2312" w:cs="仿宋_GB2312"/>
              </w:rPr>
              <w:t>建平路 起点：橘园洲桥头 终点：广兴路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12</w:t>
            </w:r>
          </w:p>
        </w:tc>
        <w:tc>
          <w:tcPr>
            <w:tcW w:w="2076" w:type="dxa"/>
          </w:tcPr>
          <w:p>
            <w:pPr>
              <w:pStyle w:val="6"/>
              <w:jc w:val="left"/>
            </w:pPr>
            <w:r>
              <w:rPr>
                <w:rFonts w:ascii="仿宋_GB2312" w:hAnsi="仿宋_GB2312" w:eastAsia="仿宋_GB2312" w:cs="仿宋_GB2312"/>
              </w:rPr>
              <w:t>建平路 数字峰会场地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13</w:t>
            </w:r>
          </w:p>
        </w:tc>
        <w:tc>
          <w:tcPr>
            <w:tcW w:w="2076" w:type="dxa"/>
          </w:tcPr>
          <w:p>
            <w:pPr>
              <w:pStyle w:val="6"/>
              <w:jc w:val="left"/>
            </w:pPr>
            <w:r>
              <w:rPr>
                <w:rFonts w:ascii="仿宋_GB2312" w:hAnsi="仿宋_GB2312" w:eastAsia="仿宋_GB2312" w:cs="仿宋_GB2312"/>
              </w:rPr>
              <w:t>科技东路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14</w:t>
            </w:r>
          </w:p>
        </w:tc>
        <w:tc>
          <w:tcPr>
            <w:tcW w:w="2076" w:type="dxa"/>
          </w:tcPr>
          <w:p>
            <w:pPr>
              <w:pStyle w:val="6"/>
              <w:jc w:val="left"/>
            </w:pPr>
            <w:r>
              <w:rPr>
                <w:rFonts w:ascii="仿宋_GB2312" w:hAnsi="仿宋_GB2312" w:eastAsia="仿宋_GB2312" w:cs="仿宋_GB2312"/>
              </w:rPr>
              <w:t>科技东路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15</w:t>
            </w:r>
          </w:p>
        </w:tc>
        <w:tc>
          <w:tcPr>
            <w:tcW w:w="2076" w:type="dxa"/>
          </w:tcPr>
          <w:p>
            <w:pPr>
              <w:pStyle w:val="6"/>
              <w:jc w:val="left"/>
            </w:pPr>
            <w:r>
              <w:rPr>
                <w:rFonts w:ascii="仿宋_GB2312" w:hAnsi="仿宋_GB2312" w:eastAsia="仿宋_GB2312" w:cs="仿宋_GB2312"/>
              </w:rPr>
              <w:t>新保路 起点：乌龙江南大道 终点：旗麓南大道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16</w:t>
            </w:r>
          </w:p>
        </w:tc>
        <w:tc>
          <w:tcPr>
            <w:tcW w:w="2076" w:type="dxa"/>
          </w:tcPr>
          <w:p>
            <w:pPr>
              <w:pStyle w:val="6"/>
              <w:jc w:val="left"/>
            </w:pPr>
            <w:r>
              <w:rPr>
                <w:rFonts w:ascii="仿宋_GB2312" w:hAnsi="仿宋_GB2312" w:eastAsia="仿宋_GB2312" w:cs="仿宋_GB2312"/>
              </w:rPr>
              <w:t>新保路 起点：乌龙江南大道 终点：旗麓南大道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17</w:t>
            </w:r>
          </w:p>
        </w:tc>
        <w:tc>
          <w:tcPr>
            <w:tcW w:w="2076" w:type="dxa"/>
          </w:tcPr>
          <w:p>
            <w:pPr>
              <w:pStyle w:val="6"/>
              <w:jc w:val="left"/>
            </w:pPr>
            <w:r>
              <w:rPr>
                <w:rFonts w:ascii="仿宋_GB2312" w:hAnsi="仿宋_GB2312" w:eastAsia="仿宋_GB2312" w:cs="仿宋_GB2312"/>
              </w:rPr>
              <w:t>新保路 起点：浦上大桥西桥头 终点：旗麓北大道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18</w:t>
            </w:r>
          </w:p>
        </w:tc>
        <w:tc>
          <w:tcPr>
            <w:tcW w:w="2076" w:type="dxa"/>
          </w:tcPr>
          <w:p>
            <w:pPr>
              <w:pStyle w:val="6"/>
              <w:jc w:val="left"/>
            </w:pPr>
            <w:r>
              <w:rPr>
                <w:rFonts w:ascii="仿宋_GB2312" w:hAnsi="仿宋_GB2312" w:eastAsia="仿宋_GB2312" w:cs="仿宋_GB2312"/>
              </w:rPr>
              <w:t>新保路 起点：浦上大桥西桥头 终点：旗麓北大道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19</w:t>
            </w:r>
          </w:p>
        </w:tc>
        <w:tc>
          <w:tcPr>
            <w:tcW w:w="2076" w:type="dxa"/>
          </w:tcPr>
          <w:p>
            <w:pPr>
              <w:pStyle w:val="6"/>
              <w:jc w:val="left"/>
            </w:pPr>
            <w:r>
              <w:rPr>
                <w:rFonts w:ascii="仿宋_GB2312" w:hAnsi="仿宋_GB2312" w:eastAsia="仿宋_GB2312" w:cs="仿宋_GB2312"/>
              </w:rPr>
              <w:t>新保路 其他绿地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养护等级二级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20</w:t>
            </w:r>
          </w:p>
        </w:tc>
        <w:tc>
          <w:tcPr>
            <w:tcW w:w="2076" w:type="dxa"/>
          </w:tcPr>
          <w:p>
            <w:pPr>
              <w:pStyle w:val="6"/>
              <w:jc w:val="left"/>
            </w:pPr>
            <w:r>
              <w:rPr>
                <w:rFonts w:ascii="仿宋_GB2312" w:hAnsi="仿宋_GB2312" w:eastAsia="仿宋_GB2312" w:cs="仿宋_GB2312"/>
              </w:rPr>
              <w:t>广兴路 起点：建平路 终点：明德路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21</w:t>
            </w:r>
          </w:p>
        </w:tc>
        <w:tc>
          <w:tcPr>
            <w:tcW w:w="2076" w:type="dxa"/>
          </w:tcPr>
          <w:p>
            <w:pPr>
              <w:pStyle w:val="6"/>
              <w:jc w:val="left"/>
            </w:pPr>
            <w:r>
              <w:rPr>
                <w:rFonts w:ascii="仿宋_GB2312" w:hAnsi="仿宋_GB2312" w:eastAsia="仿宋_GB2312" w:cs="仿宋_GB2312"/>
              </w:rPr>
              <w:t>广兴路 起点：建平路 终点：明德路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22</w:t>
            </w:r>
          </w:p>
        </w:tc>
        <w:tc>
          <w:tcPr>
            <w:tcW w:w="2076" w:type="dxa"/>
          </w:tcPr>
          <w:p>
            <w:pPr>
              <w:pStyle w:val="6"/>
              <w:jc w:val="left"/>
            </w:pPr>
            <w:r>
              <w:rPr>
                <w:rFonts w:ascii="仿宋_GB2312" w:hAnsi="仿宋_GB2312" w:eastAsia="仿宋_GB2312" w:cs="仿宋_GB2312"/>
              </w:rPr>
              <w:t>贤林路 起点：广兴路 终点：明德路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23</w:t>
            </w:r>
          </w:p>
        </w:tc>
        <w:tc>
          <w:tcPr>
            <w:tcW w:w="2076" w:type="dxa"/>
          </w:tcPr>
          <w:p>
            <w:pPr>
              <w:pStyle w:val="6"/>
              <w:jc w:val="left"/>
            </w:pPr>
            <w:r>
              <w:rPr>
                <w:rFonts w:ascii="仿宋_GB2312" w:hAnsi="仿宋_GB2312" w:eastAsia="仿宋_GB2312" w:cs="仿宋_GB2312"/>
              </w:rPr>
              <w:t>高新一路 起点：创意路 终点：创新路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24</w:t>
            </w:r>
          </w:p>
        </w:tc>
        <w:tc>
          <w:tcPr>
            <w:tcW w:w="2076" w:type="dxa"/>
          </w:tcPr>
          <w:p>
            <w:pPr>
              <w:pStyle w:val="6"/>
              <w:jc w:val="left"/>
            </w:pPr>
            <w:r>
              <w:rPr>
                <w:rFonts w:ascii="仿宋_GB2312" w:hAnsi="仿宋_GB2312" w:eastAsia="仿宋_GB2312" w:cs="仿宋_GB2312"/>
              </w:rPr>
              <w:t>高新一路 起点：创意路 终点：创新路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25</w:t>
            </w:r>
          </w:p>
        </w:tc>
        <w:tc>
          <w:tcPr>
            <w:tcW w:w="2076" w:type="dxa"/>
          </w:tcPr>
          <w:p>
            <w:pPr>
              <w:pStyle w:val="6"/>
              <w:jc w:val="left"/>
            </w:pPr>
            <w:r>
              <w:rPr>
                <w:rFonts w:ascii="仿宋_GB2312" w:hAnsi="仿宋_GB2312" w:eastAsia="仿宋_GB2312" w:cs="仿宋_GB2312"/>
              </w:rPr>
              <w:t>金瑛路 起点：创新路 终点：龙凤路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26</w:t>
            </w:r>
          </w:p>
        </w:tc>
        <w:tc>
          <w:tcPr>
            <w:tcW w:w="2076" w:type="dxa"/>
          </w:tcPr>
          <w:p>
            <w:pPr>
              <w:pStyle w:val="6"/>
              <w:jc w:val="left"/>
            </w:pPr>
            <w:r>
              <w:rPr>
                <w:rFonts w:ascii="仿宋_GB2312" w:hAnsi="仿宋_GB2312" w:eastAsia="仿宋_GB2312" w:cs="仿宋_GB2312"/>
              </w:rPr>
              <w:t>履丰北路 起点：知舟路 终点：履丰南路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27</w:t>
            </w:r>
          </w:p>
        </w:tc>
        <w:tc>
          <w:tcPr>
            <w:tcW w:w="2076" w:type="dxa"/>
          </w:tcPr>
          <w:p>
            <w:pPr>
              <w:pStyle w:val="6"/>
              <w:jc w:val="left"/>
            </w:pPr>
            <w:r>
              <w:rPr>
                <w:rFonts w:ascii="仿宋_GB2312" w:hAnsi="仿宋_GB2312" w:eastAsia="仿宋_GB2312" w:cs="仿宋_GB2312"/>
              </w:rPr>
              <w:t>履丰南路 起点：履丰北路 终点：将军庙路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28</w:t>
            </w:r>
          </w:p>
        </w:tc>
        <w:tc>
          <w:tcPr>
            <w:tcW w:w="2076" w:type="dxa"/>
          </w:tcPr>
          <w:p>
            <w:pPr>
              <w:pStyle w:val="6"/>
              <w:jc w:val="left"/>
            </w:pPr>
            <w:r>
              <w:rPr>
                <w:rFonts w:ascii="仿宋_GB2312" w:hAnsi="仿宋_GB2312" w:eastAsia="仿宋_GB2312" w:cs="仿宋_GB2312"/>
              </w:rPr>
              <w:t>创业路 起点：创意路 终点：创新路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29</w:t>
            </w:r>
          </w:p>
        </w:tc>
        <w:tc>
          <w:tcPr>
            <w:tcW w:w="2076" w:type="dxa"/>
          </w:tcPr>
          <w:p>
            <w:pPr>
              <w:pStyle w:val="6"/>
              <w:jc w:val="left"/>
            </w:pPr>
            <w:r>
              <w:rPr>
                <w:rFonts w:ascii="仿宋_GB2312" w:hAnsi="仿宋_GB2312" w:eastAsia="仿宋_GB2312" w:cs="仿宋_GB2312"/>
              </w:rPr>
              <w:t>创业路 起点：创意路 终点：创新路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30</w:t>
            </w:r>
          </w:p>
        </w:tc>
        <w:tc>
          <w:tcPr>
            <w:tcW w:w="2076" w:type="dxa"/>
          </w:tcPr>
          <w:p>
            <w:pPr>
              <w:pStyle w:val="6"/>
              <w:jc w:val="left"/>
            </w:pPr>
            <w:r>
              <w:rPr>
                <w:rFonts w:ascii="仿宋_GB2312" w:hAnsi="仿宋_GB2312" w:eastAsia="仿宋_GB2312" w:cs="仿宋_GB2312"/>
              </w:rPr>
              <w:t>创业南路 起点：创新路 终点：龙凤路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31</w:t>
            </w:r>
          </w:p>
        </w:tc>
        <w:tc>
          <w:tcPr>
            <w:tcW w:w="2076" w:type="dxa"/>
          </w:tcPr>
          <w:p>
            <w:pPr>
              <w:pStyle w:val="6"/>
              <w:jc w:val="left"/>
            </w:pPr>
            <w:r>
              <w:rPr>
                <w:rFonts w:ascii="仿宋_GB2312" w:hAnsi="仿宋_GB2312" w:eastAsia="仿宋_GB2312" w:cs="仿宋_GB2312"/>
              </w:rPr>
              <w:t>柴排路 起点：竹缆路 终点：湖滨北路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32</w:t>
            </w:r>
          </w:p>
        </w:tc>
        <w:tc>
          <w:tcPr>
            <w:tcW w:w="2076" w:type="dxa"/>
          </w:tcPr>
          <w:p>
            <w:pPr>
              <w:pStyle w:val="6"/>
              <w:jc w:val="left"/>
            </w:pPr>
            <w:r>
              <w:rPr>
                <w:rFonts w:ascii="仿宋_GB2312" w:hAnsi="仿宋_GB2312" w:eastAsia="仿宋_GB2312" w:cs="仿宋_GB2312"/>
              </w:rPr>
              <w:t>双庙路 起点：湖滨路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33</w:t>
            </w:r>
          </w:p>
        </w:tc>
        <w:tc>
          <w:tcPr>
            <w:tcW w:w="2076" w:type="dxa"/>
          </w:tcPr>
          <w:p>
            <w:pPr>
              <w:pStyle w:val="6"/>
              <w:jc w:val="left"/>
            </w:pPr>
            <w:r>
              <w:rPr>
                <w:rFonts w:ascii="仿宋_GB2312" w:hAnsi="仿宋_GB2312" w:eastAsia="仿宋_GB2312" w:cs="仿宋_GB2312"/>
              </w:rPr>
              <w:t>江景路 起点：马洲路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34</w:t>
            </w:r>
          </w:p>
        </w:tc>
        <w:tc>
          <w:tcPr>
            <w:tcW w:w="2076" w:type="dxa"/>
          </w:tcPr>
          <w:p>
            <w:pPr>
              <w:pStyle w:val="6"/>
              <w:jc w:val="left"/>
            </w:pPr>
            <w:r>
              <w:rPr>
                <w:rFonts w:ascii="仿宋_GB2312" w:hAnsi="仿宋_GB2312" w:eastAsia="仿宋_GB2312" w:cs="仿宋_GB2312"/>
              </w:rPr>
              <w:t>明德路 起点：广兴路 终点：乌龙江中大道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35</w:t>
            </w:r>
          </w:p>
        </w:tc>
        <w:tc>
          <w:tcPr>
            <w:tcW w:w="2076" w:type="dxa"/>
          </w:tcPr>
          <w:p>
            <w:pPr>
              <w:pStyle w:val="6"/>
              <w:jc w:val="left"/>
            </w:pPr>
            <w:r>
              <w:rPr>
                <w:rFonts w:ascii="仿宋_GB2312" w:hAnsi="仿宋_GB2312" w:eastAsia="仿宋_GB2312" w:cs="仿宋_GB2312"/>
              </w:rPr>
              <w:t>明德路 起点：广兴路 终点：乌龙江中大道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36</w:t>
            </w:r>
          </w:p>
        </w:tc>
        <w:tc>
          <w:tcPr>
            <w:tcW w:w="2076" w:type="dxa"/>
          </w:tcPr>
          <w:p>
            <w:pPr>
              <w:pStyle w:val="6"/>
              <w:jc w:val="left"/>
            </w:pPr>
            <w:r>
              <w:rPr>
                <w:rFonts w:ascii="仿宋_GB2312" w:hAnsi="仿宋_GB2312" w:eastAsia="仿宋_GB2312" w:cs="仿宋_GB2312"/>
              </w:rPr>
              <w:t>明德东路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37</w:t>
            </w:r>
          </w:p>
        </w:tc>
        <w:tc>
          <w:tcPr>
            <w:tcW w:w="2076" w:type="dxa"/>
          </w:tcPr>
          <w:p>
            <w:pPr>
              <w:pStyle w:val="6"/>
              <w:jc w:val="left"/>
            </w:pPr>
            <w:r>
              <w:rPr>
                <w:rFonts w:ascii="仿宋_GB2312" w:hAnsi="仿宋_GB2312" w:eastAsia="仿宋_GB2312" w:cs="仿宋_GB2312"/>
              </w:rPr>
              <w:t>明德东路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38</w:t>
            </w:r>
          </w:p>
        </w:tc>
        <w:tc>
          <w:tcPr>
            <w:tcW w:w="2076" w:type="dxa"/>
          </w:tcPr>
          <w:p>
            <w:pPr>
              <w:pStyle w:val="6"/>
              <w:jc w:val="left"/>
            </w:pPr>
            <w:r>
              <w:rPr>
                <w:rFonts w:ascii="仿宋_GB2312" w:hAnsi="仿宋_GB2312" w:eastAsia="仿宋_GB2312" w:cs="仿宋_GB2312"/>
              </w:rPr>
              <w:t>创意路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39</w:t>
            </w:r>
          </w:p>
        </w:tc>
        <w:tc>
          <w:tcPr>
            <w:tcW w:w="2076" w:type="dxa"/>
          </w:tcPr>
          <w:p>
            <w:pPr>
              <w:pStyle w:val="6"/>
              <w:jc w:val="left"/>
            </w:pPr>
            <w:r>
              <w:rPr>
                <w:rFonts w:ascii="仿宋_GB2312" w:hAnsi="仿宋_GB2312" w:eastAsia="仿宋_GB2312" w:cs="仿宋_GB2312"/>
              </w:rPr>
              <w:t>创意路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40</w:t>
            </w:r>
          </w:p>
        </w:tc>
        <w:tc>
          <w:tcPr>
            <w:tcW w:w="2076" w:type="dxa"/>
          </w:tcPr>
          <w:p>
            <w:pPr>
              <w:pStyle w:val="6"/>
              <w:jc w:val="left"/>
            </w:pPr>
            <w:r>
              <w:rPr>
                <w:rFonts w:ascii="仿宋_GB2312" w:hAnsi="仿宋_GB2312" w:eastAsia="仿宋_GB2312" w:cs="仿宋_GB2312"/>
              </w:rPr>
              <w:t>建平路（小） 起点：高新大道 终点：创意路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41</w:t>
            </w:r>
          </w:p>
        </w:tc>
        <w:tc>
          <w:tcPr>
            <w:tcW w:w="2076" w:type="dxa"/>
          </w:tcPr>
          <w:p>
            <w:pPr>
              <w:pStyle w:val="6"/>
              <w:jc w:val="left"/>
            </w:pPr>
            <w:r>
              <w:rPr>
                <w:rFonts w:ascii="仿宋_GB2312" w:hAnsi="仿宋_GB2312" w:eastAsia="仿宋_GB2312" w:cs="仿宋_GB2312"/>
              </w:rPr>
              <w:t>建平路（小） 起点：高新大道 终点：创意路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42</w:t>
            </w:r>
          </w:p>
        </w:tc>
        <w:tc>
          <w:tcPr>
            <w:tcW w:w="2076" w:type="dxa"/>
          </w:tcPr>
          <w:p>
            <w:pPr>
              <w:pStyle w:val="6"/>
              <w:jc w:val="left"/>
            </w:pPr>
            <w:r>
              <w:rPr>
                <w:rFonts w:ascii="仿宋_GB2312" w:hAnsi="仿宋_GB2312" w:eastAsia="仿宋_GB2312" w:cs="仿宋_GB2312"/>
              </w:rPr>
              <w:t>科技一路 起点：高新一路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43</w:t>
            </w:r>
          </w:p>
        </w:tc>
        <w:tc>
          <w:tcPr>
            <w:tcW w:w="2076" w:type="dxa"/>
          </w:tcPr>
          <w:p>
            <w:pPr>
              <w:pStyle w:val="6"/>
              <w:jc w:val="left"/>
            </w:pPr>
            <w:r>
              <w:rPr>
                <w:rFonts w:ascii="仿宋_GB2312" w:hAnsi="仿宋_GB2312" w:eastAsia="仿宋_GB2312" w:cs="仿宋_GB2312"/>
              </w:rPr>
              <w:t>科技一路 起点：高新一路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44</w:t>
            </w:r>
          </w:p>
        </w:tc>
        <w:tc>
          <w:tcPr>
            <w:tcW w:w="2076" w:type="dxa"/>
          </w:tcPr>
          <w:p>
            <w:pPr>
              <w:pStyle w:val="6"/>
              <w:jc w:val="left"/>
            </w:pPr>
            <w:r>
              <w:rPr>
                <w:rFonts w:ascii="仿宋_GB2312" w:hAnsi="仿宋_GB2312" w:eastAsia="仿宋_GB2312" w:cs="仿宋_GB2312"/>
              </w:rPr>
              <w:t>创新路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45</w:t>
            </w:r>
          </w:p>
        </w:tc>
        <w:tc>
          <w:tcPr>
            <w:tcW w:w="2076" w:type="dxa"/>
          </w:tcPr>
          <w:p>
            <w:pPr>
              <w:pStyle w:val="6"/>
              <w:jc w:val="left"/>
            </w:pPr>
            <w:r>
              <w:rPr>
                <w:rFonts w:ascii="仿宋_GB2312" w:hAnsi="仿宋_GB2312" w:eastAsia="仿宋_GB2312" w:cs="仿宋_GB2312"/>
              </w:rPr>
              <w:t>创新路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46</w:t>
            </w:r>
          </w:p>
        </w:tc>
        <w:tc>
          <w:tcPr>
            <w:tcW w:w="2076" w:type="dxa"/>
          </w:tcPr>
          <w:p>
            <w:pPr>
              <w:pStyle w:val="6"/>
              <w:jc w:val="left"/>
            </w:pPr>
            <w:r>
              <w:rPr>
                <w:rFonts w:ascii="仿宋_GB2312" w:hAnsi="仿宋_GB2312" w:eastAsia="仿宋_GB2312" w:cs="仿宋_GB2312"/>
              </w:rPr>
              <w:t>知舟路 起点：旗山大道 终点：乌龙江大道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47</w:t>
            </w:r>
          </w:p>
        </w:tc>
        <w:tc>
          <w:tcPr>
            <w:tcW w:w="2076" w:type="dxa"/>
          </w:tcPr>
          <w:p>
            <w:pPr>
              <w:pStyle w:val="6"/>
              <w:jc w:val="left"/>
            </w:pPr>
            <w:r>
              <w:rPr>
                <w:rFonts w:ascii="仿宋_GB2312" w:hAnsi="仿宋_GB2312" w:eastAsia="仿宋_GB2312" w:cs="仿宋_GB2312"/>
              </w:rPr>
              <w:t>科技支路 起点：旗山大道 终点：乌龙江大道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48</w:t>
            </w:r>
          </w:p>
        </w:tc>
        <w:tc>
          <w:tcPr>
            <w:tcW w:w="2076" w:type="dxa"/>
          </w:tcPr>
          <w:p>
            <w:pPr>
              <w:pStyle w:val="6"/>
              <w:jc w:val="left"/>
            </w:pPr>
            <w:r>
              <w:rPr>
                <w:rFonts w:ascii="仿宋_GB2312" w:hAnsi="仿宋_GB2312" w:eastAsia="仿宋_GB2312" w:cs="仿宋_GB2312"/>
              </w:rPr>
              <w:t>龙凤路 起点：旗山大道 终点：乌龙江大道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49</w:t>
            </w:r>
          </w:p>
        </w:tc>
        <w:tc>
          <w:tcPr>
            <w:tcW w:w="2076" w:type="dxa"/>
          </w:tcPr>
          <w:p>
            <w:pPr>
              <w:pStyle w:val="6"/>
              <w:jc w:val="left"/>
            </w:pPr>
            <w:r>
              <w:rPr>
                <w:rFonts w:ascii="仿宋_GB2312" w:hAnsi="仿宋_GB2312" w:eastAsia="仿宋_GB2312" w:cs="仿宋_GB2312"/>
              </w:rPr>
              <w:t>马保路 起点：学府南路 终点：旗麓北大道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50</w:t>
            </w:r>
          </w:p>
        </w:tc>
        <w:tc>
          <w:tcPr>
            <w:tcW w:w="2076" w:type="dxa"/>
          </w:tcPr>
          <w:p>
            <w:pPr>
              <w:pStyle w:val="6"/>
              <w:jc w:val="left"/>
            </w:pPr>
            <w:r>
              <w:rPr>
                <w:rFonts w:ascii="仿宋_GB2312" w:hAnsi="仿宋_GB2312" w:eastAsia="仿宋_GB2312" w:cs="仿宋_GB2312"/>
              </w:rPr>
              <w:t>学府南路 起点：广贤路 终点：旗山大道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51</w:t>
            </w:r>
          </w:p>
        </w:tc>
        <w:tc>
          <w:tcPr>
            <w:tcW w:w="2076" w:type="dxa"/>
          </w:tcPr>
          <w:p>
            <w:pPr>
              <w:pStyle w:val="6"/>
              <w:jc w:val="left"/>
            </w:pPr>
            <w:r>
              <w:rPr>
                <w:rFonts w:ascii="仿宋_GB2312" w:hAnsi="仿宋_GB2312" w:eastAsia="仿宋_GB2312" w:cs="仿宋_GB2312"/>
              </w:rPr>
              <w:t>学府南路 起点：广贤路 终点：旗山大道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52</w:t>
            </w:r>
          </w:p>
        </w:tc>
        <w:tc>
          <w:tcPr>
            <w:tcW w:w="2076" w:type="dxa"/>
          </w:tcPr>
          <w:p>
            <w:pPr>
              <w:pStyle w:val="6"/>
              <w:jc w:val="left"/>
            </w:pPr>
            <w:r>
              <w:rPr>
                <w:rFonts w:ascii="仿宋_GB2312" w:hAnsi="仿宋_GB2312" w:eastAsia="仿宋_GB2312" w:cs="仿宋_GB2312"/>
              </w:rPr>
              <w:t>学园路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53</w:t>
            </w:r>
          </w:p>
        </w:tc>
        <w:tc>
          <w:tcPr>
            <w:tcW w:w="2076" w:type="dxa"/>
          </w:tcPr>
          <w:p>
            <w:pPr>
              <w:pStyle w:val="6"/>
              <w:jc w:val="left"/>
            </w:pPr>
            <w:r>
              <w:rPr>
                <w:rFonts w:ascii="仿宋_GB2312" w:hAnsi="仿宋_GB2312" w:eastAsia="仿宋_GB2312" w:cs="仿宋_GB2312"/>
              </w:rPr>
              <w:t>学园路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54</w:t>
            </w:r>
          </w:p>
        </w:tc>
        <w:tc>
          <w:tcPr>
            <w:tcW w:w="2076" w:type="dxa"/>
          </w:tcPr>
          <w:p>
            <w:pPr>
              <w:pStyle w:val="6"/>
              <w:jc w:val="left"/>
            </w:pPr>
            <w:r>
              <w:rPr>
                <w:rFonts w:ascii="仿宋_GB2312" w:hAnsi="仿宋_GB2312" w:eastAsia="仿宋_GB2312" w:cs="仿宋_GB2312"/>
              </w:rPr>
              <w:t>莉园洲路 起点：乌龙江中大道 终点：新港大道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55</w:t>
            </w:r>
          </w:p>
        </w:tc>
        <w:tc>
          <w:tcPr>
            <w:tcW w:w="2076" w:type="dxa"/>
          </w:tcPr>
          <w:p>
            <w:pPr>
              <w:pStyle w:val="6"/>
              <w:jc w:val="left"/>
            </w:pPr>
            <w:r>
              <w:rPr>
                <w:rFonts w:ascii="仿宋_GB2312" w:hAnsi="仿宋_GB2312" w:eastAsia="仿宋_GB2312" w:cs="仿宋_GB2312"/>
              </w:rPr>
              <w:t>莉园洲路 起点：乌龙江中大道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56</w:t>
            </w:r>
          </w:p>
        </w:tc>
        <w:tc>
          <w:tcPr>
            <w:tcW w:w="2076" w:type="dxa"/>
          </w:tcPr>
          <w:p>
            <w:pPr>
              <w:pStyle w:val="6"/>
              <w:jc w:val="left"/>
            </w:pPr>
            <w:r>
              <w:rPr>
                <w:rFonts w:ascii="仿宋_GB2312" w:hAnsi="仿宋_GB2312" w:eastAsia="仿宋_GB2312" w:cs="仿宋_GB2312"/>
              </w:rPr>
              <w:t>将军庙路 起点：乌龙江南大道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57</w:t>
            </w:r>
          </w:p>
        </w:tc>
        <w:tc>
          <w:tcPr>
            <w:tcW w:w="2076" w:type="dxa"/>
          </w:tcPr>
          <w:p>
            <w:pPr>
              <w:pStyle w:val="6"/>
              <w:jc w:val="left"/>
            </w:pPr>
            <w:r>
              <w:rPr>
                <w:rFonts w:ascii="仿宋_GB2312" w:hAnsi="仿宋_GB2312" w:eastAsia="仿宋_GB2312" w:cs="仿宋_GB2312"/>
              </w:rPr>
              <w:t>朝晖路 起点：马排路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58</w:t>
            </w:r>
          </w:p>
        </w:tc>
        <w:tc>
          <w:tcPr>
            <w:tcW w:w="2076" w:type="dxa"/>
          </w:tcPr>
          <w:p>
            <w:pPr>
              <w:pStyle w:val="6"/>
              <w:jc w:val="left"/>
            </w:pPr>
            <w:r>
              <w:rPr>
                <w:rFonts w:ascii="仿宋_GB2312" w:hAnsi="仿宋_GB2312" w:eastAsia="仿宋_GB2312" w:cs="仿宋_GB2312"/>
              </w:rPr>
              <w:t>马洲路 起点：高新大道 终点：湖滨路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59</w:t>
            </w:r>
          </w:p>
        </w:tc>
        <w:tc>
          <w:tcPr>
            <w:tcW w:w="2076" w:type="dxa"/>
          </w:tcPr>
          <w:p>
            <w:pPr>
              <w:pStyle w:val="6"/>
              <w:jc w:val="left"/>
            </w:pPr>
            <w:r>
              <w:rPr>
                <w:rFonts w:ascii="仿宋_GB2312" w:hAnsi="仿宋_GB2312" w:eastAsia="仿宋_GB2312" w:cs="仿宋_GB2312"/>
              </w:rPr>
              <w:t>湖滨路 起点：乌龙江南大道 终点：新港大道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60</w:t>
            </w:r>
          </w:p>
        </w:tc>
        <w:tc>
          <w:tcPr>
            <w:tcW w:w="2076" w:type="dxa"/>
          </w:tcPr>
          <w:p>
            <w:pPr>
              <w:pStyle w:val="6"/>
              <w:jc w:val="left"/>
            </w:pPr>
            <w:r>
              <w:rPr>
                <w:rFonts w:ascii="仿宋_GB2312" w:hAnsi="仿宋_GB2312" w:eastAsia="仿宋_GB2312" w:cs="仿宋_GB2312"/>
              </w:rPr>
              <w:t>董屿路 起点：明德东路 终点：建平路 (佛桥亭路 起点：董屿路 终点：董屿路)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61</w:t>
            </w:r>
          </w:p>
        </w:tc>
        <w:tc>
          <w:tcPr>
            <w:tcW w:w="2076" w:type="dxa"/>
          </w:tcPr>
          <w:p>
            <w:pPr>
              <w:pStyle w:val="6"/>
              <w:jc w:val="left"/>
            </w:pPr>
            <w:r>
              <w:rPr>
                <w:rFonts w:ascii="仿宋_GB2312" w:hAnsi="仿宋_GB2312" w:eastAsia="仿宋_GB2312" w:cs="仿宋_GB2312"/>
              </w:rPr>
              <w:t>董屿路 起点：明德东路 终点：建平路 (佛桥亭路 起点：董屿路 终点：董屿路)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62</w:t>
            </w:r>
          </w:p>
        </w:tc>
        <w:tc>
          <w:tcPr>
            <w:tcW w:w="2076" w:type="dxa"/>
          </w:tcPr>
          <w:p>
            <w:pPr>
              <w:pStyle w:val="6"/>
              <w:jc w:val="left"/>
            </w:pPr>
            <w:r>
              <w:rPr>
                <w:rFonts w:ascii="仿宋_GB2312" w:hAnsi="仿宋_GB2312" w:eastAsia="仿宋_GB2312" w:cs="仿宋_GB2312"/>
              </w:rPr>
              <w:t>轮船港公园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63</w:t>
            </w:r>
          </w:p>
        </w:tc>
        <w:tc>
          <w:tcPr>
            <w:tcW w:w="2076" w:type="dxa"/>
          </w:tcPr>
          <w:p>
            <w:pPr>
              <w:pStyle w:val="6"/>
              <w:jc w:val="left"/>
            </w:pPr>
            <w:r>
              <w:rPr>
                <w:rFonts w:ascii="仿宋_GB2312" w:hAnsi="仿宋_GB2312" w:eastAsia="仿宋_GB2312" w:cs="仿宋_GB2312"/>
              </w:rPr>
              <w:t>乌龙江南岸浦上桥下公园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64</w:t>
            </w:r>
          </w:p>
        </w:tc>
        <w:tc>
          <w:tcPr>
            <w:tcW w:w="2076" w:type="dxa"/>
          </w:tcPr>
          <w:p>
            <w:pPr>
              <w:pStyle w:val="6"/>
              <w:jc w:val="left"/>
            </w:pPr>
            <w:r>
              <w:rPr>
                <w:rFonts w:ascii="仿宋_GB2312" w:hAnsi="仿宋_GB2312" w:eastAsia="仿宋_GB2312" w:cs="仿宋_GB2312"/>
              </w:rPr>
              <w:t>马排体育运动公园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65</w:t>
            </w:r>
          </w:p>
        </w:tc>
        <w:tc>
          <w:tcPr>
            <w:tcW w:w="2076" w:type="dxa"/>
          </w:tcPr>
          <w:p>
            <w:pPr>
              <w:pStyle w:val="6"/>
              <w:jc w:val="left"/>
            </w:pPr>
            <w:r>
              <w:rPr>
                <w:rFonts w:ascii="仿宋_GB2312" w:hAnsi="仿宋_GB2312" w:eastAsia="仿宋_GB2312" w:cs="仿宋_GB2312"/>
              </w:rPr>
              <w:t>橘园洲桥下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66</w:t>
            </w:r>
          </w:p>
        </w:tc>
        <w:tc>
          <w:tcPr>
            <w:tcW w:w="2076" w:type="dxa"/>
          </w:tcPr>
          <w:p>
            <w:pPr>
              <w:pStyle w:val="6"/>
              <w:jc w:val="left"/>
            </w:pPr>
            <w:r>
              <w:rPr>
                <w:rFonts w:ascii="仿宋_GB2312" w:hAnsi="仿宋_GB2312" w:eastAsia="仿宋_GB2312" w:cs="仿宋_GB2312"/>
              </w:rPr>
              <w:t>（三角梅）建平路 起点：广兴路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67</w:t>
            </w:r>
          </w:p>
        </w:tc>
        <w:tc>
          <w:tcPr>
            <w:tcW w:w="2076" w:type="dxa"/>
          </w:tcPr>
          <w:p>
            <w:pPr>
              <w:pStyle w:val="6"/>
              <w:jc w:val="left"/>
            </w:pPr>
            <w:r>
              <w:rPr>
                <w:rFonts w:ascii="仿宋_GB2312" w:hAnsi="仿宋_GB2312" w:eastAsia="仿宋_GB2312" w:cs="仿宋_GB2312"/>
              </w:rPr>
              <w:t>（三角梅）乌龙江大道厚庭排涝站段/新港大道</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68</w:t>
            </w:r>
          </w:p>
        </w:tc>
        <w:tc>
          <w:tcPr>
            <w:tcW w:w="2076" w:type="dxa"/>
          </w:tcPr>
          <w:p>
            <w:pPr>
              <w:pStyle w:val="6"/>
              <w:jc w:val="left"/>
            </w:pPr>
            <w:r>
              <w:rPr>
                <w:rFonts w:ascii="仿宋_GB2312" w:hAnsi="仿宋_GB2312" w:eastAsia="仿宋_GB2312" w:cs="仿宋_GB2312"/>
              </w:rPr>
              <w:t>（三角梅）浦上西段/高新大道</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69</w:t>
            </w:r>
          </w:p>
        </w:tc>
        <w:tc>
          <w:tcPr>
            <w:tcW w:w="2076" w:type="dxa"/>
          </w:tcPr>
          <w:p>
            <w:pPr>
              <w:pStyle w:val="6"/>
              <w:jc w:val="left"/>
            </w:pPr>
            <w:r>
              <w:rPr>
                <w:rFonts w:ascii="仿宋_GB2312" w:hAnsi="仿宋_GB2312" w:eastAsia="仿宋_GB2312" w:cs="仿宋_GB2312"/>
              </w:rPr>
              <w:t>（三角梅）学府南路 起点：广贤路 终点：旗山大道</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70</w:t>
            </w:r>
          </w:p>
        </w:tc>
        <w:tc>
          <w:tcPr>
            <w:tcW w:w="2076" w:type="dxa"/>
          </w:tcPr>
          <w:p>
            <w:pPr>
              <w:pStyle w:val="6"/>
              <w:jc w:val="left"/>
            </w:pPr>
            <w:r>
              <w:rPr>
                <w:rFonts w:ascii="仿宋_GB2312" w:hAnsi="仿宋_GB2312" w:eastAsia="仿宋_GB2312" w:cs="仿宋_GB2312"/>
              </w:rPr>
              <w:t>（时花）科技东路与高新大道交叉口渠化岛</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71</w:t>
            </w:r>
          </w:p>
        </w:tc>
        <w:tc>
          <w:tcPr>
            <w:tcW w:w="2076" w:type="dxa"/>
          </w:tcPr>
          <w:p>
            <w:pPr>
              <w:pStyle w:val="6"/>
              <w:jc w:val="left"/>
            </w:pPr>
            <w:r>
              <w:rPr>
                <w:rFonts w:ascii="仿宋_GB2312" w:hAnsi="仿宋_GB2312" w:eastAsia="仿宋_GB2312" w:cs="仿宋_GB2312"/>
              </w:rPr>
              <w:t>（时花）科技东路与旗山大道交叉口渠化岛</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72</w:t>
            </w:r>
          </w:p>
        </w:tc>
        <w:tc>
          <w:tcPr>
            <w:tcW w:w="2076" w:type="dxa"/>
          </w:tcPr>
          <w:p>
            <w:pPr>
              <w:pStyle w:val="6"/>
              <w:jc w:val="left"/>
            </w:pPr>
            <w:r>
              <w:rPr>
                <w:rFonts w:ascii="仿宋_GB2312" w:hAnsi="仿宋_GB2312" w:eastAsia="仿宋_GB2312" w:cs="仿宋_GB2312"/>
              </w:rPr>
              <w:t>（时花）科技东路与乌龙江大道交叉口渠化岛</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73</w:t>
            </w:r>
          </w:p>
        </w:tc>
        <w:tc>
          <w:tcPr>
            <w:tcW w:w="2076" w:type="dxa"/>
          </w:tcPr>
          <w:p>
            <w:pPr>
              <w:pStyle w:val="6"/>
              <w:jc w:val="left"/>
            </w:pPr>
            <w:r>
              <w:rPr>
                <w:rFonts w:ascii="仿宋_GB2312" w:hAnsi="仿宋_GB2312" w:eastAsia="仿宋_GB2312" w:cs="仿宋_GB2312"/>
              </w:rPr>
              <w:t>（时花）乌龙江大道显示屏下花化</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74</w:t>
            </w:r>
          </w:p>
        </w:tc>
        <w:tc>
          <w:tcPr>
            <w:tcW w:w="2076" w:type="dxa"/>
          </w:tcPr>
          <w:p>
            <w:pPr>
              <w:pStyle w:val="6"/>
              <w:jc w:val="left"/>
            </w:pPr>
            <w:r>
              <w:rPr>
                <w:rFonts w:ascii="仿宋_GB2312" w:hAnsi="仿宋_GB2312" w:eastAsia="仿宋_GB2312" w:cs="仿宋_GB2312"/>
              </w:rPr>
              <w:t>（时花）董屿站门口草地</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75</w:t>
            </w:r>
          </w:p>
        </w:tc>
        <w:tc>
          <w:tcPr>
            <w:tcW w:w="2076" w:type="dxa"/>
          </w:tcPr>
          <w:p>
            <w:pPr>
              <w:pStyle w:val="6"/>
              <w:jc w:val="left"/>
            </w:pPr>
            <w:r>
              <w:rPr>
                <w:rFonts w:ascii="仿宋_GB2312" w:hAnsi="仿宋_GB2312" w:eastAsia="仿宋_GB2312" w:cs="仿宋_GB2312"/>
              </w:rPr>
              <w:t>乌龙江畔（十里江湾）项目南侧绿化工程 起点：高新大道 终点：乌龙江大道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76</w:t>
            </w:r>
          </w:p>
        </w:tc>
        <w:tc>
          <w:tcPr>
            <w:tcW w:w="2076" w:type="dxa"/>
          </w:tcPr>
          <w:p>
            <w:pPr>
              <w:pStyle w:val="6"/>
              <w:jc w:val="left"/>
            </w:pPr>
            <w:r>
              <w:rPr>
                <w:rFonts w:ascii="仿宋_GB2312" w:hAnsi="仿宋_GB2312" w:eastAsia="仿宋_GB2312" w:cs="仿宋_GB2312"/>
              </w:rPr>
              <w:t>科技西路整治工程 起点：117 县道 终点：学府南路 道路长度：800米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77</w:t>
            </w:r>
          </w:p>
        </w:tc>
        <w:tc>
          <w:tcPr>
            <w:tcW w:w="2076" w:type="dxa"/>
          </w:tcPr>
          <w:p>
            <w:pPr>
              <w:pStyle w:val="6"/>
              <w:jc w:val="left"/>
            </w:pPr>
            <w:r>
              <w:rPr>
                <w:rFonts w:ascii="仿宋_GB2312" w:hAnsi="仿宋_GB2312" w:eastAsia="仿宋_GB2312" w:cs="仿宋_GB2312"/>
              </w:rPr>
              <w:t>科技西路整治工程 起点：117 县道 终点：学府南路 道路长度：800米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78</w:t>
            </w:r>
          </w:p>
        </w:tc>
        <w:tc>
          <w:tcPr>
            <w:tcW w:w="2076" w:type="dxa"/>
          </w:tcPr>
          <w:p>
            <w:pPr>
              <w:pStyle w:val="6"/>
              <w:jc w:val="left"/>
            </w:pPr>
            <w:r>
              <w:rPr>
                <w:rFonts w:ascii="仿宋_GB2312" w:hAnsi="仿宋_GB2312" w:eastAsia="仿宋_GB2312" w:cs="仿宋_GB2312"/>
              </w:rPr>
              <w:t>高新三路 起点：科技三路，往南延伸，沿线与规划路、新洲路、新洲一路、新洲二路、新洲三路、新洲四路相交处 终点：学园路 道路长度：954.5米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79</w:t>
            </w:r>
          </w:p>
        </w:tc>
        <w:tc>
          <w:tcPr>
            <w:tcW w:w="2076" w:type="dxa"/>
          </w:tcPr>
          <w:p>
            <w:pPr>
              <w:pStyle w:val="6"/>
              <w:jc w:val="left"/>
            </w:pPr>
            <w:r>
              <w:rPr>
                <w:rFonts w:ascii="仿宋_GB2312" w:hAnsi="仿宋_GB2312" w:eastAsia="仿宋_GB2312" w:cs="仿宋_GB2312"/>
              </w:rPr>
              <w:t>高新三路 起点：科技三路，往南延伸，沿线与规划路、新洲路、新洲一路、新洲二路、新洲三路、新洲四路相交处 终点：学园路 道路长度：954.5米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80</w:t>
            </w:r>
          </w:p>
        </w:tc>
        <w:tc>
          <w:tcPr>
            <w:tcW w:w="2076" w:type="dxa"/>
          </w:tcPr>
          <w:p>
            <w:pPr>
              <w:pStyle w:val="6"/>
              <w:jc w:val="left"/>
            </w:pPr>
            <w:r>
              <w:rPr>
                <w:rFonts w:ascii="仿宋_GB2312" w:hAnsi="仿宋_GB2312" w:eastAsia="仿宋_GB2312" w:cs="仿宋_GB2312"/>
              </w:rPr>
              <w:t>新洲支路 起点：新洲一、二、四路起于高新三路 终点：终点止于高新大道；新洲三路起于旗山大道，终点止于高新大道 道路长度：新洲一路 274.5米 新洲二路 228.3米 新洲三路 345.7米 新洲四路 226. 1米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81</w:t>
            </w:r>
          </w:p>
        </w:tc>
        <w:tc>
          <w:tcPr>
            <w:tcW w:w="2076" w:type="dxa"/>
          </w:tcPr>
          <w:p>
            <w:pPr>
              <w:pStyle w:val="6"/>
              <w:jc w:val="left"/>
            </w:pPr>
            <w:r>
              <w:rPr>
                <w:rFonts w:ascii="仿宋_GB2312" w:hAnsi="仿宋_GB2312" w:eastAsia="仿宋_GB2312" w:cs="仿宋_GB2312"/>
              </w:rPr>
              <w:t>新洲支路 起点：新洲一、二、四路起于高新三路 终点：终点止于高新大道；新洲三路起于旗山大道，终点止于高新大道 道路长度：新洲一路 274.5米 新洲二路 228.3米 新洲三路 345.7米 新洲四路 226. 1米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82</w:t>
            </w:r>
          </w:p>
        </w:tc>
        <w:tc>
          <w:tcPr>
            <w:tcW w:w="2076" w:type="dxa"/>
          </w:tcPr>
          <w:p>
            <w:pPr>
              <w:pStyle w:val="6"/>
              <w:jc w:val="left"/>
            </w:pPr>
            <w:r>
              <w:rPr>
                <w:rFonts w:ascii="仿宋_GB2312" w:hAnsi="仿宋_GB2312" w:eastAsia="仿宋_GB2312" w:cs="仿宋_GB2312"/>
              </w:rPr>
              <w:t>新洲路 起点：旗山大道 终点：乌龙江大道 道路长度：821米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83</w:t>
            </w:r>
          </w:p>
        </w:tc>
        <w:tc>
          <w:tcPr>
            <w:tcW w:w="2076" w:type="dxa"/>
          </w:tcPr>
          <w:p>
            <w:pPr>
              <w:pStyle w:val="6"/>
              <w:jc w:val="left"/>
            </w:pPr>
            <w:r>
              <w:rPr>
                <w:rFonts w:ascii="仿宋_GB2312" w:hAnsi="仿宋_GB2312" w:eastAsia="仿宋_GB2312" w:cs="仿宋_GB2312"/>
              </w:rPr>
              <w:t>新洲路 起点：旗山大道 终点：乌龙江大道 道路长度：821米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84</w:t>
            </w:r>
          </w:p>
        </w:tc>
        <w:tc>
          <w:tcPr>
            <w:tcW w:w="2076" w:type="dxa"/>
          </w:tcPr>
          <w:p>
            <w:pPr>
              <w:pStyle w:val="6"/>
              <w:jc w:val="left"/>
            </w:pPr>
            <w:r>
              <w:rPr>
                <w:rFonts w:ascii="仿宋_GB2312" w:hAnsi="仿宋_GB2312" w:eastAsia="仿宋_GB2312" w:cs="仿宋_GB2312"/>
              </w:rPr>
              <w:t>新洲路段旗山大道东侧品质提升工程 师大东门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85</w:t>
            </w:r>
          </w:p>
        </w:tc>
        <w:tc>
          <w:tcPr>
            <w:tcW w:w="2076" w:type="dxa"/>
          </w:tcPr>
          <w:p>
            <w:pPr>
              <w:pStyle w:val="6"/>
              <w:jc w:val="left"/>
            </w:pPr>
            <w:r>
              <w:rPr>
                <w:rFonts w:ascii="仿宋_GB2312" w:hAnsi="仿宋_GB2312" w:eastAsia="仿宋_GB2312" w:cs="仿宋_GB2312"/>
              </w:rPr>
              <w:t>国贸学原北侧景观工程 起点：浦上路 终点：高新大道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86</w:t>
            </w:r>
          </w:p>
        </w:tc>
        <w:tc>
          <w:tcPr>
            <w:tcW w:w="2076" w:type="dxa"/>
          </w:tcPr>
          <w:p>
            <w:pPr>
              <w:pStyle w:val="6"/>
              <w:jc w:val="left"/>
            </w:pPr>
            <w:r>
              <w:rPr>
                <w:rFonts w:ascii="仿宋_GB2312" w:hAnsi="仿宋_GB2312" w:eastAsia="仿宋_GB2312" w:cs="仿宋_GB2312"/>
              </w:rPr>
              <w:t>国贸学原东侧绿地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87</w:t>
            </w:r>
          </w:p>
        </w:tc>
        <w:tc>
          <w:tcPr>
            <w:tcW w:w="2076" w:type="dxa"/>
          </w:tcPr>
          <w:p>
            <w:pPr>
              <w:pStyle w:val="6"/>
              <w:jc w:val="left"/>
            </w:pPr>
            <w:r>
              <w:rPr>
                <w:rFonts w:ascii="仿宋_GB2312" w:hAnsi="仿宋_GB2312" w:eastAsia="仿宋_GB2312" w:cs="仿宋_GB2312"/>
              </w:rPr>
              <w:t>葛岐桥 起点：葛岐排涝站北 终点：葛岐排涝站南 道路长度：100.0米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88</w:t>
            </w:r>
          </w:p>
        </w:tc>
        <w:tc>
          <w:tcPr>
            <w:tcW w:w="2076" w:type="dxa"/>
          </w:tcPr>
          <w:p>
            <w:pPr>
              <w:pStyle w:val="6"/>
              <w:jc w:val="left"/>
            </w:pPr>
            <w:r>
              <w:rPr>
                <w:rFonts w:ascii="仿宋_GB2312" w:hAnsi="仿宋_GB2312" w:eastAsia="仿宋_GB2312" w:cs="仿宋_GB2312"/>
              </w:rPr>
              <w:t>葛岐桥 起点：葛岐排涝站北 终点：葛岐排涝站南 道路长度：100.0米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89</w:t>
            </w:r>
          </w:p>
        </w:tc>
        <w:tc>
          <w:tcPr>
            <w:tcW w:w="2076" w:type="dxa"/>
          </w:tcPr>
          <w:p>
            <w:pPr>
              <w:pStyle w:val="6"/>
              <w:jc w:val="left"/>
            </w:pPr>
            <w:r>
              <w:rPr>
                <w:rFonts w:ascii="仿宋_GB2312" w:hAnsi="仿宋_GB2312" w:eastAsia="仿宋_GB2312" w:cs="仿宋_GB2312"/>
              </w:rPr>
              <w:t>橘园洲桥下生态休闲空间建设工程 橘园洲桥下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90</w:t>
            </w:r>
          </w:p>
        </w:tc>
        <w:tc>
          <w:tcPr>
            <w:tcW w:w="2076" w:type="dxa"/>
          </w:tcPr>
          <w:p>
            <w:pPr>
              <w:pStyle w:val="6"/>
              <w:jc w:val="left"/>
            </w:pPr>
            <w:r>
              <w:rPr>
                <w:rFonts w:ascii="仿宋_GB2312" w:hAnsi="仿宋_GB2312" w:eastAsia="仿宋_GB2312" w:cs="仿宋_GB2312"/>
              </w:rPr>
              <w:t>翔龙花园西侧景观绿化改造工程 翔龙花园商业体外侧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91</w:t>
            </w:r>
          </w:p>
        </w:tc>
        <w:tc>
          <w:tcPr>
            <w:tcW w:w="2076" w:type="dxa"/>
          </w:tcPr>
          <w:p>
            <w:pPr>
              <w:pStyle w:val="6"/>
              <w:jc w:val="left"/>
            </w:pPr>
            <w:r>
              <w:rPr>
                <w:rFonts w:ascii="仿宋_GB2312" w:hAnsi="仿宋_GB2312" w:eastAsia="仿宋_GB2312" w:cs="仿宋_GB2312"/>
              </w:rPr>
              <w:t>榕高新 2020-02 号地块东侧景观绿化改造工程 榕高新 2020-02 号地块东侧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92</w:t>
            </w:r>
          </w:p>
        </w:tc>
        <w:tc>
          <w:tcPr>
            <w:tcW w:w="2076" w:type="dxa"/>
          </w:tcPr>
          <w:p>
            <w:pPr>
              <w:pStyle w:val="6"/>
              <w:jc w:val="left"/>
            </w:pPr>
            <w:r>
              <w:rPr>
                <w:rFonts w:ascii="仿宋_GB2312" w:hAnsi="仿宋_GB2312" w:eastAsia="仿宋_GB2312" w:cs="仿宋_GB2312"/>
              </w:rPr>
              <w:t>中国东南（福建）科学城精神堡垒建设工程 橘园洲大桥西桥头北侧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93</w:t>
            </w:r>
          </w:p>
        </w:tc>
        <w:tc>
          <w:tcPr>
            <w:tcW w:w="2076" w:type="dxa"/>
          </w:tcPr>
          <w:p>
            <w:pPr>
              <w:pStyle w:val="6"/>
              <w:jc w:val="left"/>
            </w:pPr>
            <w:r>
              <w:rPr>
                <w:rFonts w:ascii="仿宋_GB2312" w:hAnsi="仿宋_GB2312" w:eastAsia="仿宋_GB2312" w:cs="仿宋_GB2312"/>
              </w:rPr>
              <w:t>马排三路 起点：接滨北一路 终点：接乌龙江大道 道路长度：151.3米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94</w:t>
            </w:r>
          </w:p>
        </w:tc>
        <w:tc>
          <w:tcPr>
            <w:tcW w:w="2076" w:type="dxa"/>
          </w:tcPr>
          <w:p>
            <w:pPr>
              <w:pStyle w:val="6"/>
              <w:jc w:val="left"/>
            </w:pPr>
            <w:r>
              <w:rPr>
                <w:rFonts w:ascii="仿宋_GB2312" w:hAnsi="仿宋_GB2312" w:eastAsia="仿宋_GB2312" w:cs="仿宋_GB2312"/>
              </w:rPr>
              <w:t>马排三路 起点：接滨北一路 终点：接乌龙江大道 道路长度：151.3米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95</w:t>
            </w:r>
          </w:p>
        </w:tc>
        <w:tc>
          <w:tcPr>
            <w:tcW w:w="2076" w:type="dxa"/>
          </w:tcPr>
          <w:p>
            <w:pPr>
              <w:pStyle w:val="6"/>
              <w:jc w:val="left"/>
            </w:pPr>
            <w:r>
              <w:rPr>
                <w:rFonts w:ascii="仿宋_GB2312" w:hAnsi="仿宋_GB2312" w:eastAsia="仿宋_GB2312" w:cs="仿宋_GB2312"/>
              </w:rPr>
              <w:t>新马花园配套道路 起点：高岐路 终点：新保路 道路长度：1070.0米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96</w:t>
            </w:r>
          </w:p>
        </w:tc>
        <w:tc>
          <w:tcPr>
            <w:tcW w:w="2076" w:type="dxa"/>
          </w:tcPr>
          <w:p>
            <w:pPr>
              <w:pStyle w:val="6"/>
              <w:jc w:val="left"/>
            </w:pPr>
            <w:r>
              <w:rPr>
                <w:rFonts w:ascii="仿宋_GB2312" w:hAnsi="仿宋_GB2312" w:eastAsia="仿宋_GB2312" w:cs="仿宋_GB2312"/>
              </w:rPr>
              <w:t>新马花园配套道路 起点：高岐路 终点：新保路 道路长度：1070.0米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97</w:t>
            </w:r>
          </w:p>
        </w:tc>
        <w:tc>
          <w:tcPr>
            <w:tcW w:w="2076" w:type="dxa"/>
          </w:tcPr>
          <w:p>
            <w:pPr>
              <w:pStyle w:val="6"/>
              <w:jc w:val="left"/>
            </w:pPr>
            <w:r>
              <w:rPr>
                <w:rFonts w:ascii="仿宋_GB2312" w:hAnsi="仿宋_GB2312" w:eastAsia="仿宋_GB2312" w:cs="仿宋_GB2312"/>
              </w:rPr>
              <w:t>高新一路延伸段（未施工段落） 起点：创新路 终点：科技三路 道路长度：90.0米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98</w:t>
            </w:r>
          </w:p>
        </w:tc>
        <w:tc>
          <w:tcPr>
            <w:tcW w:w="2076" w:type="dxa"/>
          </w:tcPr>
          <w:p>
            <w:pPr>
              <w:pStyle w:val="6"/>
              <w:jc w:val="left"/>
            </w:pPr>
            <w:r>
              <w:rPr>
                <w:rFonts w:ascii="仿宋_GB2312" w:hAnsi="仿宋_GB2312" w:eastAsia="仿宋_GB2312" w:cs="仿宋_GB2312"/>
              </w:rPr>
              <w:t>高新一路延伸段（未施工段落） 起点：创新路 终点：科技三路 道路长度：90.0米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99</w:t>
            </w:r>
          </w:p>
        </w:tc>
        <w:tc>
          <w:tcPr>
            <w:tcW w:w="2076" w:type="dxa"/>
          </w:tcPr>
          <w:p>
            <w:pPr>
              <w:pStyle w:val="6"/>
              <w:jc w:val="left"/>
            </w:pPr>
            <w:r>
              <w:rPr>
                <w:rFonts w:ascii="仿宋_GB2312" w:hAnsi="仿宋_GB2312" w:eastAsia="仿宋_GB2312" w:cs="仿宋_GB2312"/>
              </w:rPr>
              <w:t>湖滨二路 起点：相交于滨北二路 终点：湖滨北路 道路长度：415.4米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100</w:t>
            </w:r>
          </w:p>
        </w:tc>
        <w:tc>
          <w:tcPr>
            <w:tcW w:w="2076" w:type="dxa"/>
          </w:tcPr>
          <w:p>
            <w:pPr>
              <w:pStyle w:val="6"/>
              <w:jc w:val="left"/>
            </w:pPr>
            <w:r>
              <w:rPr>
                <w:rFonts w:ascii="仿宋_GB2312" w:hAnsi="仿宋_GB2312" w:eastAsia="仿宋_GB2312" w:cs="仿宋_GB2312"/>
              </w:rPr>
              <w:t>湖滨三路 起点：相交于滨北二路 终点：湖滨北路 道路长度：437.9米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101</w:t>
            </w:r>
          </w:p>
        </w:tc>
        <w:tc>
          <w:tcPr>
            <w:tcW w:w="2076" w:type="dxa"/>
          </w:tcPr>
          <w:p>
            <w:pPr>
              <w:pStyle w:val="6"/>
              <w:jc w:val="left"/>
            </w:pPr>
            <w:r>
              <w:rPr>
                <w:rFonts w:ascii="仿宋_GB2312" w:hAnsi="仿宋_GB2312" w:eastAsia="仿宋_GB2312" w:cs="仿宋_GB2312"/>
              </w:rPr>
              <w:t>滨北三路 起点：现状高新大道 终点：现状乌龙江大道 道路长度：658米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102</w:t>
            </w:r>
          </w:p>
        </w:tc>
        <w:tc>
          <w:tcPr>
            <w:tcW w:w="2076" w:type="dxa"/>
          </w:tcPr>
          <w:p>
            <w:pPr>
              <w:pStyle w:val="6"/>
              <w:jc w:val="left"/>
            </w:pPr>
            <w:r>
              <w:rPr>
                <w:rFonts w:ascii="仿宋_GB2312" w:hAnsi="仿宋_GB2312" w:eastAsia="仿宋_GB2312" w:cs="仿宋_GB2312"/>
              </w:rPr>
              <w:t>学园支路 起点：学园一路：高新大道 终点：学园一路：乌龙江大道 道路长度：351.8米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103</w:t>
            </w:r>
          </w:p>
        </w:tc>
        <w:tc>
          <w:tcPr>
            <w:tcW w:w="2076" w:type="dxa"/>
          </w:tcPr>
          <w:p>
            <w:pPr>
              <w:pStyle w:val="6"/>
              <w:jc w:val="left"/>
            </w:pPr>
            <w:r>
              <w:rPr>
                <w:rFonts w:ascii="仿宋_GB2312" w:hAnsi="仿宋_GB2312" w:eastAsia="仿宋_GB2312" w:cs="仿宋_GB2312"/>
              </w:rPr>
              <w:t>学园支路 起点：学园一路：高新大道 终点：学园一路：乌龙江大道 道路长度：351.8米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104</w:t>
            </w:r>
          </w:p>
        </w:tc>
        <w:tc>
          <w:tcPr>
            <w:tcW w:w="2076" w:type="dxa"/>
          </w:tcPr>
          <w:p>
            <w:pPr>
              <w:pStyle w:val="6"/>
              <w:jc w:val="left"/>
            </w:pPr>
            <w:r>
              <w:rPr>
                <w:rFonts w:ascii="仿宋_GB2312" w:hAnsi="仿宋_GB2312" w:eastAsia="仿宋_GB2312" w:cs="仿宋_GB2312"/>
              </w:rPr>
              <w:t>学园支路 起点：竹榄路：高新大道 终点：竹榄路：乌龙江大道 道路长度：403.4米 行道树 绿化面积</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平方米</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105</w:t>
            </w:r>
          </w:p>
        </w:tc>
        <w:tc>
          <w:tcPr>
            <w:tcW w:w="2076" w:type="dxa"/>
          </w:tcPr>
          <w:p>
            <w:pPr>
              <w:pStyle w:val="6"/>
              <w:jc w:val="left"/>
            </w:pPr>
            <w:r>
              <w:rPr>
                <w:rFonts w:ascii="仿宋_GB2312" w:hAnsi="仿宋_GB2312" w:eastAsia="仿宋_GB2312" w:cs="仿宋_GB2312"/>
              </w:rPr>
              <w:t>学园支路 起点：竹榄路：高新大道 终点：竹榄路：乌龙江大道 道路长度：403.4米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106</w:t>
            </w:r>
          </w:p>
        </w:tc>
        <w:tc>
          <w:tcPr>
            <w:tcW w:w="2076" w:type="dxa"/>
          </w:tcPr>
          <w:p>
            <w:pPr>
              <w:pStyle w:val="6"/>
              <w:jc w:val="left"/>
            </w:pPr>
            <w:r>
              <w:rPr>
                <w:rFonts w:ascii="仿宋_GB2312" w:hAnsi="仿宋_GB2312" w:eastAsia="仿宋_GB2312" w:cs="仿宋_GB2312"/>
              </w:rPr>
              <w:t>学园支路 起点：学园三路：接高新二路 终点：学园三路：接高岐支路 道路长度：537.58米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107</w:t>
            </w:r>
          </w:p>
        </w:tc>
        <w:tc>
          <w:tcPr>
            <w:tcW w:w="2076" w:type="dxa"/>
          </w:tcPr>
          <w:p>
            <w:pPr>
              <w:pStyle w:val="6"/>
              <w:jc w:val="left"/>
            </w:pPr>
            <w:r>
              <w:rPr>
                <w:rFonts w:ascii="仿宋_GB2312" w:hAnsi="仿宋_GB2312" w:eastAsia="仿宋_GB2312" w:cs="仿宋_GB2312"/>
              </w:rPr>
              <w:t>高新大道接线工程及高岐路接线工程 起点：接线一：相交于高新大道 终点：接线一：湖滨一路 道路长度：159米 起点：接线二：相交于高新大道 终点：接线二：高岐支路 道路长度：309米 起点：接线三：相交于高岐路 终点：接线三：马排路 道路长度：249.4米 行道树</w:t>
            </w:r>
          </w:p>
        </w:tc>
        <w:tc>
          <w:tcPr>
            <w:tcW w:w="2076" w:type="dxa"/>
          </w:tcPr>
          <w:p>
            <w:pPr>
              <w:pStyle w:val="6"/>
              <w:jc w:val="left"/>
            </w:pPr>
            <w:r>
              <w:rPr>
                <w:rFonts w:ascii="仿宋_GB2312" w:hAnsi="仿宋_GB2312" w:eastAsia="仿宋_GB2312" w:cs="仿宋_GB2312"/>
              </w:rPr>
              <w:t>不超过最高限价</w:t>
            </w:r>
          </w:p>
        </w:tc>
        <w:tc>
          <w:tcPr>
            <w:tcW w:w="415" w:type="dxa"/>
          </w:tcPr>
          <w:p>
            <w:pPr>
              <w:pStyle w:val="6"/>
              <w:jc w:val="left"/>
            </w:pPr>
            <w:r>
              <w:rPr>
                <w:rFonts w:ascii="仿宋_GB2312" w:hAnsi="仿宋_GB2312" w:eastAsia="仿宋_GB2312" w:cs="仿宋_GB2312"/>
              </w:rPr>
              <w:t>株</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养护等级三级</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投标人须知前附表</w:t>
      </w:r>
    </w:p>
    <w:p>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序号</w:t>
            </w:r>
          </w:p>
        </w:tc>
        <w:tc>
          <w:tcPr>
            <w:tcW w:w="2769" w:type="dxa"/>
          </w:tcPr>
          <w:p>
            <w:pPr>
              <w:pStyle w:val="6"/>
              <w:jc w:val="left"/>
            </w:pPr>
            <w:r>
              <w:rPr>
                <w:rFonts w:ascii="仿宋_GB2312" w:hAnsi="仿宋_GB2312" w:eastAsia="仿宋_GB2312" w:cs="仿宋_GB2312"/>
              </w:rPr>
              <w:t>招标文件</w:t>
            </w:r>
          </w:p>
          <w:p>
            <w:pPr>
              <w:pStyle w:val="6"/>
              <w:jc w:val="left"/>
            </w:pPr>
            <w:r>
              <w:rPr>
                <w:rFonts w:ascii="仿宋_GB2312" w:hAnsi="仿宋_GB2312" w:eastAsia="仿宋_GB2312" w:cs="仿宋_GB2312"/>
              </w:rPr>
              <w:t xml:space="preserve"> （第三章）</w:t>
            </w:r>
          </w:p>
        </w:tc>
        <w:tc>
          <w:tcPr>
            <w:tcW w:w="2769"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w:t>
            </w:r>
          </w:p>
        </w:tc>
        <w:tc>
          <w:tcPr>
            <w:tcW w:w="2769" w:type="dxa"/>
          </w:tcPr>
          <w:p>
            <w:pPr>
              <w:pStyle w:val="6"/>
              <w:jc w:val="left"/>
            </w:pPr>
            <w:r>
              <w:rPr>
                <w:rFonts w:ascii="仿宋_GB2312" w:hAnsi="仿宋_GB2312" w:eastAsia="仿宋_GB2312" w:cs="仿宋_GB2312"/>
              </w:rPr>
              <w:t>6.1</w:t>
            </w:r>
          </w:p>
        </w:tc>
        <w:tc>
          <w:tcPr>
            <w:tcW w:w="2769" w:type="dxa"/>
          </w:tcPr>
          <w:p>
            <w:pPr>
              <w:pStyle w:val="6"/>
              <w:jc w:val="left"/>
            </w:pPr>
            <w:r>
              <w:rPr>
                <w:rFonts w:ascii="仿宋_GB2312" w:hAnsi="仿宋_GB2312" w:eastAsia="仿宋_GB2312" w:cs="仿宋_GB2312"/>
              </w:rPr>
              <w:t>是否组织现场考察或召开开标前答疑会：</w:t>
            </w:r>
          </w:p>
          <w:p>
            <w:pPr>
              <w:pStyle w:val="6"/>
              <w:jc w:val="left"/>
            </w:pPr>
            <w:r>
              <w:rPr>
                <w:rFonts w:ascii="仿宋_GB2312" w:hAnsi="仿宋_GB2312" w:eastAsia="仿宋_GB2312" w:cs="仿宋_GB2312"/>
              </w:rPr>
              <w:t>采购包1：不组织</w:t>
            </w:r>
          </w:p>
          <w:p>
            <w:pPr>
              <w:pStyle w:val="6"/>
              <w:jc w:val="left"/>
            </w:pPr>
            <w:r>
              <w:rPr>
                <w:rFonts w:ascii="仿宋_GB2312" w:hAnsi="仿宋_GB2312" w:eastAsia="仿宋_GB2312" w:cs="仿宋_GB2312"/>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2</w:t>
            </w:r>
          </w:p>
        </w:tc>
        <w:tc>
          <w:tcPr>
            <w:tcW w:w="2769" w:type="dxa"/>
          </w:tcPr>
          <w:p>
            <w:pPr>
              <w:pStyle w:val="6"/>
              <w:jc w:val="left"/>
            </w:pPr>
            <w:r>
              <w:rPr>
                <w:rFonts w:ascii="仿宋_GB2312" w:hAnsi="仿宋_GB2312" w:eastAsia="仿宋_GB2312" w:cs="仿宋_GB2312"/>
              </w:rPr>
              <w:t>10.4</w:t>
            </w:r>
          </w:p>
        </w:tc>
        <w:tc>
          <w:tcPr>
            <w:tcW w:w="2769" w:type="dxa"/>
          </w:tcPr>
          <w:p>
            <w:pPr>
              <w:pStyle w:val="6"/>
              <w:jc w:val="left"/>
            </w:pPr>
            <w:r>
              <w:rPr>
                <w:rFonts w:ascii="仿宋_GB2312" w:hAnsi="仿宋_GB2312" w:eastAsia="仿宋_GB2312" w:cs="仿宋_GB2312"/>
              </w:rPr>
              <w:t>投标文件的份数：</w:t>
            </w:r>
          </w:p>
          <w:p>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3</w:t>
            </w:r>
          </w:p>
        </w:tc>
        <w:tc>
          <w:tcPr>
            <w:tcW w:w="2769" w:type="dxa"/>
          </w:tcPr>
          <w:p>
            <w:pPr>
              <w:pStyle w:val="6"/>
              <w:jc w:val="left"/>
            </w:pPr>
            <w:r>
              <w:rPr>
                <w:rFonts w:ascii="仿宋_GB2312" w:hAnsi="仿宋_GB2312" w:eastAsia="仿宋_GB2312" w:cs="仿宋_GB2312"/>
              </w:rPr>
              <w:t>10.7-（1）</w:t>
            </w:r>
          </w:p>
        </w:tc>
        <w:tc>
          <w:tcPr>
            <w:tcW w:w="2769" w:type="dxa"/>
          </w:tcPr>
          <w:p>
            <w:pPr>
              <w:pStyle w:val="6"/>
              <w:jc w:val="left"/>
            </w:pPr>
            <w:r>
              <w:rPr>
                <w:rFonts w:ascii="仿宋_GB2312" w:hAnsi="仿宋_GB2312" w:eastAsia="仿宋_GB2312" w:cs="仿宋_GB2312"/>
              </w:rPr>
              <w:t>是否允许中标人将本项目的非主体、非关键性工作进行分包：</w:t>
            </w:r>
          </w:p>
          <w:p>
            <w:pPr>
              <w:pStyle w:val="6"/>
              <w:jc w:val="left"/>
            </w:pPr>
            <w:r>
              <w:rPr>
                <w:rFonts w:ascii="仿宋_GB2312" w:hAnsi="仿宋_GB2312" w:eastAsia="仿宋_GB2312" w:cs="仿宋_GB2312"/>
              </w:rPr>
              <w:t>采购包1：不允许合同分包；</w:t>
            </w:r>
          </w:p>
          <w:p>
            <w:pPr>
              <w:pStyle w:val="6"/>
              <w:jc w:val="left"/>
            </w:pPr>
            <w:r>
              <w:rPr>
                <w:rFonts w:ascii="仿宋_GB2312" w:hAnsi="仿宋_GB2312" w:eastAsia="仿宋_GB2312" w:cs="仿宋_GB2312"/>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4</w:t>
            </w:r>
          </w:p>
        </w:tc>
        <w:tc>
          <w:tcPr>
            <w:tcW w:w="2769" w:type="dxa"/>
          </w:tcPr>
          <w:p>
            <w:pPr>
              <w:pStyle w:val="6"/>
              <w:jc w:val="left"/>
            </w:pPr>
            <w:r>
              <w:rPr>
                <w:rFonts w:ascii="仿宋_GB2312" w:hAnsi="仿宋_GB2312" w:eastAsia="仿宋_GB2312" w:cs="仿宋_GB2312"/>
              </w:rPr>
              <w:t>10.8-（1）</w:t>
            </w:r>
          </w:p>
        </w:tc>
        <w:tc>
          <w:tcPr>
            <w:tcW w:w="2769" w:type="dxa"/>
          </w:tcPr>
          <w:p>
            <w:pPr>
              <w:pStyle w:val="6"/>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5</w:t>
            </w:r>
          </w:p>
        </w:tc>
        <w:tc>
          <w:tcPr>
            <w:tcW w:w="2769" w:type="dxa"/>
          </w:tcPr>
          <w:p>
            <w:pPr>
              <w:pStyle w:val="6"/>
              <w:jc w:val="left"/>
            </w:pPr>
            <w:r>
              <w:rPr>
                <w:rFonts w:ascii="仿宋_GB2312" w:hAnsi="仿宋_GB2312" w:eastAsia="仿宋_GB2312" w:cs="仿宋_GB2312"/>
              </w:rPr>
              <w:t>12.1</w:t>
            </w:r>
          </w:p>
        </w:tc>
        <w:tc>
          <w:tcPr>
            <w:tcW w:w="2769" w:type="dxa"/>
          </w:tcPr>
          <w:p>
            <w:pPr>
              <w:pStyle w:val="6"/>
              <w:jc w:val="left"/>
            </w:pPr>
            <w:r>
              <w:rPr>
                <w:rFonts w:ascii="仿宋_GB2312" w:hAnsi="仿宋_GB2312" w:eastAsia="仿宋_GB2312" w:cs="仿宋_GB2312"/>
              </w:rPr>
              <w:t>确定中标候选人名单：</w:t>
            </w:r>
          </w:p>
          <w:p>
            <w:pPr>
              <w:pStyle w:val="6"/>
              <w:jc w:val="left"/>
            </w:pPr>
            <w:r>
              <w:rPr>
                <w:rFonts w:ascii="仿宋_GB2312" w:hAnsi="仿宋_GB2312" w:eastAsia="仿宋_GB2312" w:cs="仿宋_GB2312"/>
              </w:rPr>
              <w:t>采购包1：1名</w:t>
            </w:r>
          </w:p>
          <w:p>
            <w:pPr>
              <w:pStyle w:val="6"/>
              <w:jc w:val="left"/>
            </w:pPr>
            <w:r>
              <w:rPr>
                <w:rFonts w:ascii="仿宋_GB2312" w:hAnsi="仿宋_GB2312" w:eastAsia="仿宋_GB2312" w:cs="仿宋_GB2312"/>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6</w:t>
            </w:r>
          </w:p>
        </w:tc>
        <w:tc>
          <w:tcPr>
            <w:tcW w:w="2769" w:type="dxa"/>
          </w:tcPr>
          <w:p>
            <w:pPr>
              <w:pStyle w:val="6"/>
              <w:jc w:val="left"/>
            </w:pPr>
            <w:r>
              <w:rPr>
                <w:rFonts w:ascii="仿宋_GB2312" w:hAnsi="仿宋_GB2312" w:eastAsia="仿宋_GB2312" w:cs="仿宋_GB2312"/>
              </w:rPr>
              <w:t>12.2</w:t>
            </w:r>
          </w:p>
        </w:tc>
        <w:tc>
          <w:tcPr>
            <w:tcW w:w="2769" w:type="dxa"/>
          </w:tcPr>
          <w:p>
            <w:pPr>
              <w:pStyle w:val="6"/>
              <w:jc w:val="left"/>
            </w:pPr>
            <w:r>
              <w:rPr>
                <w:rFonts w:ascii="仿宋_GB2312" w:hAnsi="仿宋_GB2312" w:eastAsia="仿宋_GB2312" w:cs="仿宋_GB2312"/>
              </w:rPr>
              <w:t>本项目中标人的确定（以采购包为单位）：</w:t>
            </w:r>
          </w:p>
          <w:p>
            <w:pPr>
              <w:pStyle w:val="6"/>
              <w:jc w:val="left"/>
            </w:pPr>
            <w:r>
              <w:rPr>
                <w:rFonts w:ascii="仿宋_GB2312" w:hAnsi="仿宋_GB2312" w:eastAsia="仿宋_GB2312" w:cs="仿宋_GB2312"/>
              </w:rPr>
              <w:t>（1） 采购人应在政府采购招投标管理办法规定的时限内确定中标人。</w:t>
            </w:r>
          </w:p>
          <w:p>
            <w:pPr>
              <w:pStyle w:val="6"/>
              <w:jc w:val="left"/>
            </w:pPr>
            <w:r>
              <w:rPr>
                <w:rFonts w:ascii="仿宋_GB2312" w:hAnsi="仿宋_GB2312" w:eastAsia="仿宋_GB2312" w:cs="仿宋_GB2312"/>
              </w:rPr>
              <w:t>（2）若出现中标候选人并列情形，则按照下列方式确定中标人：</w:t>
            </w:r>
          </w:p>
          <w:p>
            <w:pPr>
              <w:pStyle w:val="6"/>
              <w:jc w:val="left"/>
            </w:pPr>
            <w:r>
              <w:rPr>
                <w:rFonts w:ascii="仿宋_GB2312" w:hAnsi="仿宋_GB2312" w:eastAsia="仿宋_GB2312" w:cs="仿宋_GB2312"/>
              </w:rPr>
              <w:t>①招标文件规定的方式：</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②若本款第①点规定方式为“无”，则按照下列方式确定：</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③若本款第①、②点规定方式均为“无”，则按照下列方式确定：随机抽取。</w:t>
            </w:r>
          </w:p>
          <w:p>
            <w:pPr>
              <w:pStyle w:val="6"/>
              <w:jc w:val="left"/>
            </w:pPr>
            <w:r>
              <w:rPr>
                <w:rFonts w:ascii="仿宋_GB2312" w:hAnsi="仿宋_GB2312" w:eastAsia="仿宋_GB2312" w:cs="仿宋_GB2312"/>
              </w:rPr>
              <w:t>（3）本项目确定的中标人家数：</w:t>
            </w:r>
          </w:p>
          <w:p>
            <w:pPr>
              <w:pStyle w:val="6"/>
              <w:jc w:val="left"/>
            </w:pPr>
            <w:r>
              <w:rPr>
                <w:rFonts w:ascii="仿宋_GB2312" w:hAnsi="仿宋_GB2312" w:eastAsia="仿宋_GB2312" w:cs="仿宋_GB2312"/>
              </w:rPr>
              <w:t>采购包1：1名</w:t>
            </w:r>
          </w:p>
          <w:p>
            <w:pPr>
              <w:pStyle w:val="6"/>
              <w:jc w:val="left"/>
            </w:pPr>
            <w:r>
              <w:rPr>
                <w:rFonts w:ascii="仿宋_GB2312" w:hAnsi="仿宋_GB2312" w:eastAsia="仿宋_GB2312" w:cs="仿宋_GB2312"/>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7</w:t>
            </w:r>
          </w:p>
        </w:tc>
        <w:tc>
          <w:tcPr>
            <w:tcW w:w="2769" w:type="dxa"/>
          </w:tcPr>
          <w:p>
            <w:pPr>
              <w:pStyle w:val="6"/>
              <w:jc w:val="left"/>
            </w:pPr>
            <w:r>
              <w:rPr>
                <w:rFonts w:ascii="仿宋_GB2312" w:hAnsi="仿宋_GB2312" w:eastAsia="仿宋_GB2312" w:cs="仿宋_GB2312"/>
              </w:rPr>
              <w:t>13.2</w:t>
            </w:r>
          </w:p>
        </w:tc>
        <w:tc>
          <w:tcPr>
            <w:tcW w:w="2769" w:type="dxa"/>
          </w:tcPr>
          <w:p>
            <w:pPr>
              <w:pStyle w:val="6"/>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8</w:t>
            </w:r>
          </w:p>
        </w:tc>
        <w:tc>
          <w:tcPr>
            <w:tcW w:w="2769" w:type="dxa"/>
          </w:tcPr>
          <w:p>
            <w:pPr>
              <w:pStyle w:val="6"/>
              <w:jc w:val="left"/>
            </w:pPr>
            <w:r>
              <w:rPr>
                <w:rFonts w:ascii="仿宋_GB2312" w:hAnsi="仿宋_GB2312" w:eastAsia="仿宋_GB2312" w:cs="仿宋_GB2312"/>
              </w:rPr>
              <w:t>15.1-（2）</w:t>
            </w:r>
          </w:p>
        </w:tc>
        <w:tc>
          <w:tcPr>
            <w:tcW w:w="2769" w:type="dxa"/>
          </w:tcPr>
          <w:p>
            <w:pPr>
              <w:pStyle w:val="6"/>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9</w:t>
            </w:r>
          </w:p>
        </w:tc>
        <w:tc>
          <w:tcPr>
            <w:tcW w:w="2769" w:type="dxa"/>
          </w:tcPr>
          <w:p>
            <w:pPr>
              <w:pStyle w:val="6"/>
              <w:jc w:val="left"/>
            </w:pPr>
            <w:r>
              <w:rPr>
                <w:rFonts w:ascii="仿宋_GB2312" w:hAnsi="仿宋_GB2312" w:eastAsia="仿宋_GB2312" w:cs="仿宋_GB2312"/>
              </w:rPr>
              <w:t>15.4</w:t>
            </w:r>
          </w:p>
        </w:tc>
        <w:tc>
          <w:tcPr>
            <w:tcW w:w="2769" w:type="dxa"/>
          </w:tcPr>
          <w:p>
            <w:pPr>
              <w:pStyle w:val="6"/>
              <w:jc w:val="left"/>
            </w:pPr>
            <w:r>
              <w:rPr>
                <w:rFonts w:ascii="仿宋_GB2312" w:hAnsi="仿宋_GB2312" w:eastAsia="仿宋_GB2312" w:cs="仿宋_GB2312"/>
              </w:rPr>
              <w:t>招标文件的质疑</w:t>
            </w:r>
          </w:p>
          <w:p>
            <w:pPr>
              <w:pStyle w:val="6"/>
              <w:jc w:val="left"/>
            </w:pPr>
            <w:r>
              <w:rPr>
                <w:rFonts w:ascii="仿宋_GB2312" w:hAnsi="仿宋_GB2312" w:eastAsia="仿宋_GB2312" w:cs="仿宋_GB2312"/>
              </w:rPr>
              <w:t>（1）潜在投标人可在质疑时效期间内对招标文件以书面形式提出质疑。</w:t>
            </w:r>
          </w:p>
          <w:p>
            <w:pPr>
              <w:pStyle w:val="6"/>
              <w:jc w:val="left"/>
            </w:pPr>
            <w:r>
              <w:rPr>
                <w:rFonts w:ascii="仿宋_GB2312" w:hAnsi="仿宋_GB2312" w:eastAsia="仿宋_GB2312" w:cs="仿宋_GB2312"/>
              </w:rPr>
              <w:t>（2）质疑时效期间：应在依法获取招标文件之日起7个工作日内向 福建省营造项目管理有限公司 提出，依法获取招标文件的时间以福建省政府采购网上公开信息系统记载的为准。</w:t>
            </w:r>
          </w:p>
          <w:p>
            <w:pPr>
              <w:pStyle w:val="6"/>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10</w:t>
            </w:r>
          </w:p>
        </w:tc>
        <w:tc>
          <w:tcPr>
            <w:tcW w:w="2769" w:type="dxa"/>
          </w:tcPr>
          <w:p>
            <w:pPr>
              <w:pStyle w:val="6"/>
              <w:jc w:val="left"/>
            </w:pPr>
            <w:r>
              <w:rPr>
                <w:rFonts w:ascii="仿宋_GB2312" w:hAnsi="仿宋_GB2312" w:eastAsia="仿宋_GB2312" w:cs="仿宋_GB2312"/>
              </w:rPr>
              <w:t>16.1</w:t>
            </w:r>
          </w:p>
        </w:tc>
        <w:tc>
          <w:tcPr>
            <w:tcW w:w="2769" w:type="dxa"/>
          </w:tcPr>
          <w:p>
            <w:pPr>
              <w:pStyle w:val="6"/>
              <w:jc w:val="left"/>
            </w:pPr>
            <w:r>
              <w:rPr>
                <w:rFonts w:ascii="仿宋_GB2312" w:hAnsi="仿宋_GB2312" w:eastAsia="仿宋_GB2312" w:cs="仿宋_GB2312"/>
              </w:rPr>
              <w:t>监督管理部门： 闽侯县财政局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11</w:t>
            </w:r>
          </w:p>
        </w:tc>
        <w:tc>
          <w:tcPr>
            <w:tcW w:w="2769" w:type="dxa"/>
          </w:tcPr>
          <w:p>
            <w:pPr>
              <w:pStyle w:val="6"/>
              <w:jc w:val="left"/>
            </w:pPr>
            <w:r>
              <w:rPr>
                <w:rFonts w:ascii="仿宋_GB2312" w:hAnsi="仿宋_GB2312" w:eastAsia="仿宋_GB2312" w:cs="仿宋_GB2312"/>
              </w:rPr>
              <w:t>18.1</w:t>
            </w:r>
          </w:p>
        </w:tc>
        <w:tc>
          <w:tcPr>
            <w:tcW w:w="2769" w:type="dxa"/>
          </w:tcPr>
          <w:p>
            <w:pPr>
              <w:pStyle w:val="6"/>
              <w:jc w:val="left"/>
            </w:pPr>
            <w:r>
              <w:rPr>
                <w:rFonts w:ascii="仿宋_GB2312" w:hAnsi="仿宋_GB2312" w:eastAsia="仿宋_GB2312" w:cs="仿宋_GB2312"/>
              </w:rPr>
              <w:t>财政部和福建省财政厅指定的政府采购信息发布媒体（以下简称：“指定媒体”）：</w:t>
            </w:r>
          </w:p>
          <w:p>
            <w:pPr>
              <w:pStyle w:val="6"/>
              <w:jc w:val="left"/>
            </w:pPr>
            <w:r>
              <w:rPr>
                <w:rFonts w:ascii="仿宋_GB2312" w:hAnsi="仿宋_GB2312" w:eastAsia="仿宋_GB2312" w:cs="仿宋_GB2312"/>
              </w:rPr>
              <w:t xml:space="preserve"> （1）中国政府采购网，网址www.ccgp.gov.cn。</w:t>
            </w:r>
          </w:p>
          <w:p>
            <w:pPr>
              <w:pStyle w:val="6"/>
              <w:jc w:val="left"/>
            </w:pPr>
            <w:r>
              <w:rPr>
                <w:rFonts w:ascii="仿宋_GB2312" w:hAnsi="仿宋_GB2312" w:eastAsia="仿宋_GB2312" w:cs="仿宋_GB2312"/>
              </w:rPr>
              <w:t xml:space="preserve"> （2）中国政府采购网福建分网（福建省政府采购网），网址zfcg.czt.fujian.gov.cn。</w:t>
            </w:r>
          </w:p>
          <w:p>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12</w:t>
            </w:r>
          </w:p>
        </w:tc>
        <w:tc>
          <w:tcPr>
            <w:tcW w:w="2769" w:type="dxa"/>
          </w:tcPr>
          <w:p>
            <w:pPr>
              <w:pStyle w:val="6"/>
              <w:jc w:val="left"/>
            </w:pPr>
            <w:r>
              <w:rPr>
                <w:rFonts w:ascii="仿宋_GB2312" w:hAnsi="仿宋_GB2312" w:eastAsia="仿宋_GB2312" w:cs="仿宋_GB2312"/>
              </w:rPr>
              <w:t>19</w:t>
            </w:r>
          </w:p>
        </w:tc>
        <w:tc>
          <w:tcPr>
            <w:tcW w:w="2769" w:type="dxa"/>
          </w:tcPr>
          <w:p>
            <w:pPr>
              <w:pStyle w:val="6"/>
              <w:jc w:val="left"/>
            </w:pPr>
            <w:r>
              <w:rPr>
                <w:rFonts w:ascii="仿宋_GB2312" w:hAnsi="仿宋_GB2312" w:eastAsia="仿宋_GB2312" w:cs="仿宋_GB2312"/>
              </w:rPr>
              <w:t>其他事项：</w:t>
            </w:r>
          </w:p>
          <w:p>
            <w:pPr>
              <w:pStyle w:val="6"/>
              <w:jc w:val="left"/>
            </w:pPr>
            <w:r>
              <w:rPr>
                <w:rFonts w:ascii="仿宋_GB2312" w:hAnsi="仿宋_GB2312" w:eastAsia="仿宋_GB2312" w:cs="仿宋_GB2312"/>
              </w:rPr>
              <w:t xml:space="preserve"> (1)本项目代理服务费：</w:t>
            </w:r>
          </w:p>
          <w:p>
            <w:pPr>
              <w:pStyle w:val="6"/>
              <w:jc w:val="left"/>
            </w:pPr>
            <w:r>
              <w:rPr>
                <w:rFonts w:ascii="仿宋_GB2312" w:hAnsi="仿宋_GB2312" w:eastAsia="仿宋_GB2312" w:cs="仿宋_GB2312"/>
              </w:rPr>
              <w:t>本项目收取代理服务费</w:t>
            </w:r>
          </w:p>
          <w:p>
            <w:pPr>
              <w:pStyle w:val="6"/>
              <w:jc w:val="left"/>
            </w:pPr>
            <w:r>
              <w:rPr>
                <w:rFonts w:ascii="仿宋_GB2312" w:hAnsi="仿宋_GB2312" w:eastAsia="仿宋_GB2312" w:cs="仿宋_GB2312"/>
              </w:rPr>
              <w:t>代理服务费用收取对象：中标/成交供应商</w:t>
            </w:r>
          </w:p>
          <w:p>
            <w:pPr>
              <w:pStyle w:val="6"/>
              <w:jc w:val="left"/>
            </w:pPr>
            <w:r>
              <w:rPr>
                <w:rFonts w:ascii="仿宋_GB2312" w:hAnsi="仿宋_GB2312" w:eastAsia="仿宋_GB2312" w:cs="仿宋_GB2312"/>
              </w:rPr>
              <w:t>代理服务费收费标准：①以各采购包的中标金额为计费基数，采用差额定率累进法计算;②招标代理服务收费的费率标准（服务类）：100(万元)以下收费费率标准：1.5%；100(万元)-500（万元）收费费率标准：0.8%；500(万元)-1000(万元)收费费率标准：0.45%。③中标人应在领取中标通知书的同时，按规定的标准一次性以现金、转账或电汇方式向采购代理机构缴纳招标代理服务费。以下账户仅用于交纳代理服务费：开户名：福建省营造项目管理有限公司 开户行：中国建设银行福州杨桥支行 账 号：3500 1877 6070 5250 2968 (本项目其他有关代理服务费(成交服务费)的收费情况与此处不一致的，以此处为准)。</w:t>
            </w:r>
          </w:p>
          <w:p>
            <w:pPr>
              <w:pStyle w:val="6"/>
              <w:jc w:val="left"/>
            </w:pPr>
            <w:r>
              <w:rPr>
                <w:rFonts w:ascii="仿宋_GB2312" w:hAnsi="仿宋_GB2312" w:eastAsia="仿宋_GB2312" w:cs="仿宋_GB2312"/>
              </w:rPr>
              <w:t xml:space="preserve"> (2)其他：</w:t>
            </w:r>
          </w:p>
          <w:p>
            <w:pPr>
              <w:pStyle w:val="6"/>
              <w:jc w:val="left"/>
            </w:pPr>
            <w:r>
              <w:rPr>
                <w:rFonts w:ascii="仿宋_GB2312" w:hAnsi="仿宋_GB2312" w:eastAsia="仿宋_GB2312" w:cs="仿宋_GB2312"/>
              </w:rPr>
              <w:t>2.1.以下为可能导致无效投标或废标的条款，具体内容详见招标文件各章节，请各投标人认真查看对照。①出现投标人须知前附表1、附表2中投标无效规定的；②出现第三章投标人须知投标无效规定的；③出现第四章资格审查与评标投标无效规定的；④出现第五章招标内容及要求投标无效规定的；⑤出现第七章电子投标文件格式投标无效规定的；⑥符合专业条件的投标人或者对招标文件作实质响应的投标人不足三家的；⑦出现影响采购公正的违法、违规行为的；⑧投标人的报价均超过了采购预算，采购人不能支付的；⑨因重大变故，采购任务取消的。(2.2)质疑受理的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接收方式：书面方式；接收地点：梅峰路5号梅亭中华技校沿街综合楼八层西侧，福建省营造项目管理有限公司④收到质疑函的时间以我公司签收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6"/>
              <w:jc w:val="left"/>
            </w:pPr>
            <w:r>
              <w:rPr>
                <w:rFonts w:ascii="仿宋_GB2312" w:hAnsi="仿宋_GB2312" w:eastAsia="仿宋_GB2312" w:cs="仿宋_GB2312"/>
              </w:rPr>
              <w:t>备注</w:t>
            </w:r>
          </w:p>
        </w:tc>
        <w:tc>
          <w:tcPr>
            <w:tcW w:w="2769" w:type="dxa"/>
          </w:tcPr>
          <w:p>
            <w:pPr>
              <w:pStyle w:val="6"/>
              <w:jc w:val="left"/>
            </w:pPr>
            <w:r>
              <w:rPr>
                <w:rFonts w:ascii="仿宋_GB2312" w:hAnsi="仿宋_GB2312" w:eastAsia="仿宋_GB2312" w:cs="仿宋_GB2312"/>
              </w:rPr>
              <w:t>后有投标人须知前附表2，请勿遗漏。</w:t>
            </w:r>
          </w:p>
        </w:tc>
      </w:tr>
    </w:tbl>
    <w:p>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序号</w:t>
            </w:r>
          </w:p>
        </w:tc>
        <w:tc>
          <w:tcPr>
            <w:tcW w:w="4153"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1</w:t>
            </w:r>
          </w:p>
        </w:tc>
        <w:tc>
          <w:tcPr>
            <w:tcW w:w="4153" w:type="dxa"/>
          </w:tcPr>
          <w:p>
            <w:pPr>
              <w:pStyle w:val="6"/>
              <w:jc w:val="left"/>
            </w:pPr>
            <w:r>
              <w:rPr>
                <w:rFonts w:ascii="仿宋_GB2312" w:hAnsi="仿宋_GB2312" w:eastAsia="仿宋_GB2312" w:cs="仿宋_GB2312"/>
              </w:rPr>
              <w:t>（1）电子招标投标活动的专门规定适用本项目电子招标投标活动。</w:t>
            </w:r>
          </w:p>
          <w:p>
            <w:pPr>
              <w:pStyle w:val="6"/>
              <w:jc w:val="left"/>
            </w:pPr>
            <w:r>
              <w:rPr>
                <w:rFonts w:ascii="仿宋_GB2312" w:hAnsi="仿宋_GB2312" w:eastAsia="仿宋_GB2312" w:cs="仿宋_GB2312"/>
              </w:rPr>
              <w:t>（2）将招标文件</w:t>
            </w:r>
          </w:p>
          <w:p>
            <w:pPr>
              <w:pStyle w:val="6"/>
              <w:jc w:val="left"/>
            </w:pPr>
            <w:r>
              <w:rPr>
                <w:rFonts w:ascii="仿宋_GB2312" w:hAnsi="仿宋_GB2312" w:eastAsia="仿宋_GB2312" w:cs="仿宋_GB2312"/>
              </w:rPr>
              <w:t>无 的内容修正为下列内容：</w:t>
            </w:r>
          </w:p>
          <w:p>
            <w:pPr>
              <w:pStyle w:val="6"/>
              <w:jc w:val="left"/>
            </w:pPr>
            <w:r>
              <w:rPr>
                <w:rFonts w:ascii="仿宋_GB2312" w:hAnsi="仿宋_GB2312" w:eastAsia="仿宋_GB2312" w:cs="仿宋_GB2312"/>
              </w:rPr>
              <w:t>无 后适用本项目的电子招标投标活动。</w:t>
            </w:r>
          </w:p>
          <w:p>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jc w:val="left"/>
            </w:pPr>
            <w:r>
              <w:rPr>
                <w:rFonts w:ascii="仿宋_GB2312" w:hAnsi="仿宋_GB2312" w:eastAsia="仿宋_GB2312" w:cs="仿宋_GB2312"/>
              </w:rPr>
              <w:t>①电子招标投标活动的具体操作流程以福建省政府采购网上公开信息系统设定的为准。</w:t>
            </w:r>
          </w:p>
          <w:p>
            <w:pPr>
              <w:pStyle w:val="6"/>
              <w:jc w:val="left"/>
            </w:pPr>
            <w:r>
              <w:rPr>
                <w:rFonts w:ascii="仿宋_GB2312" w:hAnsi="仿宋_GB2312" w:eastAsia="仿宋_GB2312" w:cs="仿宋_GB2312"/>
              </w:rPr>
              <w:t>②关于电子投标文件：</w:t>
            </w:r>
          </w:p>
          <w:p>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pPr>
            <w:r>
              <w:rPr>
                <w:rFonts w:ascii="仿宋_GB2312" w:hAnsi="仿宋_GB2312" w:eastAsia="仿宋_GB2312" w:cs="仿宋_GB2312"/>
              </w:rPr>
              <w:t>③关于证明材料或资料：</w:t>
            </w:r>
          </w:p>
          <w:p>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pPr>
            <w:r>
              <w:rPr>
                <w:rFonts w:ascii="仿宋_GB2312" w:hAnsi="仿宋_GB2312" w:eastAsia="仿宋_GB2312" w:cs="仿宋_GB2312"/>
              </w:rPr>
              <w:t>④关于“全称”、“投标人代表签字”及“加盖单位公章”：</w:t>
            </w:r>
          </w:p>
          <w:p>
            <w:pPr>
              <w:pStyle w:val="6"/>
              <w:jc w:val="left"/>
            </w:pPr>
            <w:r>
              <w:rPr>
                <w:rFonts w:ascii="仿宋_GB2312" w:hAnsi="仿宋_GB2312" w:eastAsia="仿宋_GB2312" w:cs="仿宋_GB2312"/>
              </w:rPr>
              <w:t>a.在电子投标文件中，涉及“全称”和“投标人代表签字”的内容可使用打字录入方式完成。</w:t>
            </w:r>
          </w:p>
          <w:p>
            <w:pPr>
              <w:pStyle w:val="6"/>
              <w:jc w:val="left"/>
            </w:pPr>
            <w:r>
              <w:rPr>
                <w:rFonts w:ascii="仿宋_GB2312" w:hAnsi="仿宋_GB2312" w:eastAsia="仿宋_GB2312" w:cs="仿宋_GB2312"/>
              </w:rPr>
              <w:t>b.在电子投标文件中，涉及“加盖单位公章”的内容应使用投标人的CA证书完成，否则投标无效。</w:t>
            </w:r>
          </w:p>
          <w:p>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jc w:val="left"/>
            </w:pPr>
            <w:r>
              <w:rPr>
                <w:rFonts w:ascii="仿宋_GB2312" w:hAnsi="仿宋_GB2312" w:eastAsia="仿宋_GB2312" w:cs="仿宋_GB2312"/>
              </w:rPr>
              <w:t>⑤关于投标人的CA证书：</w:t>
            </w:r>
          </w:p>
          <w:p>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jc w:val="left"/>
            </w:pPr>
            <w:r>
              <w:rPr>
                <w:rFonts w:ascii="仿宋_GB2312" w:hAnsi="仿宋_GB2312" w:eastAsia="仿宋_GB2312" w:cs="仿宋_GB2312"/>
              </w:rPr>
              <w:t>c.投标人的CA证书或外包装应标记“项目名称、项目编号、投标人的全称”等内容，以方便识别、使用。</w:t>
            </w:r>
          </w:p>
          <w:p>
            <w:pPr>
              <w:pStyle w:val="6"/>
              <w:jc w:val="left"/>
            </w:pPr>
            <w:r>
              <w:rPr>
                <w:rFonts w:ascii="仿宋_GB2312" w:hAnsi="仿宋_GB2312" w:eastAsia="仿宋_GB2312" w:cs="仿宋_GB2312"/>
              </w:rPr>
              <w:t>d.投标人的CA证书应能正常、有效使用，否则产生不利后果由投标人承担责任。</w:t>
            </w:r>
          </w:p>
          <w:p>
            <w:pPr>
              <w:pStyle w:val="6"/>
              <w:jc w:val="left"/>
            </w:pPr>
            <w:r>
              <w:rPr>
                <w:rFonts w:ascii="仿宋_GB2312" w:hAnsi="仿宋_GB2312" w:eastAsia="仿宋_GB2312" w:cs="仿宋_GB2312"/>
              </w:rPr>
              <w:t>⑥关于投标截止时间过后</w:t>
            </w:r>
          </w:p>
          <w:p>
            <w:pPr>
              <w:pStyle w:val="6"/>
              <w:jc w:val="left"/>
            </w:pPr>
            <w:r>
              <w:rPr>
                <w:rFonts w:ascii="仿宋_GB2312" w:hAnsi="仿宋_GB2312" w:eastAsia="仿宋_GB2312" w:cs="仿宋_GB2312"/>
              </w:rPr>
              <w:t>a.未按招标文件规定提交投标保证金的，其投标将按无效投标处理。</w:t>
            </w:r>
          </w:p>
          <w:p>
            <w:pPr>
              <w:pStyle w:val="6"/>
              <w:jc w:val="left"/>
            </w:pPr>
            <w:r>
              <w:rPr>
                <w:rFonts w:ascii="仿宋_GB2312" w:hAnsi="仿宋_GB2312" w:eastAsia="仿宋_GB2312" w:cs="仿宋_GB2312"/>
              </w:rPr>
              <w:t>b.有下列情形之一的，其投标无效,其保证金不予退还或通过投标保函进行索赔：</w:t>
            </w:r>
          </w:p>
          <w:p>
            <w:pPr>
              <w:pStyle w:val="6"/>
              <w:jc w:val="left"/>
            </w:pPr>
            <w:r>
              <w:rPr>
                <w:rFonts w:ascii="仿宋_GB2312" w:hAnsi="仿宋_GB2312" w:eastAsia="仿宋_GB2312" w:cs="仿宋_GB2312"/>
              </w:rPr>
              <w:t>b1不同投标人的电子投标文件具有相同内部识别码；</w:t>
            </w:r>
          </w:p>
          <w:p>
            <w:pPr>
              <w:pStyle w:val="6"/>
              <w:jc w:val="left"/>
            </w:pPr>
            <w:r>
              <w:rPr>
                <w:rFonts w:ascii="仿宋_GB2312" w:hAnsi="仿宋_GB2312" w:eastAsia="仿宋_GB2312" w:cs="仿宋_GB2312"/>
              </w:rPr>
              <w:t>b2不同投标人的投标保证金从同一单位或个人的账户转出；</w:t>
            </w:r>
          </w:p>
          <w:p>
            <w:pPr>
              <w:pStyle w:val="6"/>
              <w:jc w:val="left"/>
            </w:pPr>
            <w:r>
              <w:rPr>
                <w:rFonts w:ascii="仿宋_GB2312" w:hAnsi="仿宋_GB2312" w:eastAsia="仿宋_GB2312" w:cs="仿宋_GB2312"/>
              </w:rPr>
              <w:t>b3投标人的投标保证金同一采购包下有其他投标人提交的投标保证金；</w:t>
            </w:r>
          </w:p>
          <w:p>
            <w:pPr>
              <w:pStyle w:val="6"/>
              <w:jc w:val="left"/>
            </w:pPr>
            <w:r>
              <w:rPr>
                <w:rFonts w:ascii="仿宋_GB2312" w:hAnsi="仿宋_GB2312" w:eastAsia="仿宋_GB2312" w:cs="仿宋_GB2312"/>
              </w:rPr>
              <w:t>b4不同投标人存在串通投标的其他情形。</w:t>
            </w:r>
          </w:p>
          <w:p>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pPr>
            <w:r>
              <w:rPr>
                <w:rFonts w:ascii="仿宋_GB2312" w:hAnsi="仿宋_GB2312" w:eastAsia="仿宋_GB2312" w:cs="仿宋_GB2312"/>
              </w:rPr>
              <w:t>⑧其他：</w:t>
            </w:r>
          </w:p>
          <w:p>
            <w:pPr>
              <w:pStyle w:val="6"/>
              <w:jc w:val="left"/>
            </w:pPr>
            <w:r>
              <w:rPr>
                <w:rFonts w:ascii="仿宋_GB2312" w:hAnsi="仿宋_GB2312" w:eastAsia="仿宋_GB2312" w:cs="仿宋_GB2312"/>
              </w:rPr>
              <w:t>a.根据《福建省财政厅关于电子化政府采购项目中视为串标情形认定与处理的指导意见》的规定,电子化招标项目有下列情形之一的，视为串通投标，其投标无效，保证金不予退还：（一）保证金验核阶段不同投标人的投标保证金转出账户的银行账户名称相同的，属于《政府采购货物和服务招标投标管理办法》（财政部令第 87 号）第三十七条第（六）项“不同投标人的投标保证金从同一单位或者个人的账户转出”的情形。 （二）电子响应文件解密阶段电子响应文件 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 物和服务招标投标管理办法》（财政部令第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 3.投标人上传的电子投标文件若出现使用本项目 其他投标人的数字证书加密的或加盖本项目的其他投标人的电子印章的，属于《政府采购货物和服务招标投标管理办法》（财政部令第 87 号）第三十七条第（五）项“不同投标人的投标文件相互混装”的情形。b.远程开标的规定：①本项目支持远程开标，投标人可通过远程线上参与开标，具体系统操作指南详见福建省政府采购网首页上相关操作手册。现场参与开标流程的投标人可以携带CA证书到开标现场进行解密。②本项目开标过程中解密的操作时限为30分钟，远程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outlineLvl w:val="2"/>
      </w:pPr>
      <w:r>
        <w:rPr>
          <w:rFonts w:ascii="仿宋_GB2312" w:hAnsi="仿宋_GB2312" w:eastAsia="仿宋_GB2312" w:cs="仿宋_GB2312"/>
          <w:b/>
          <w:sz w:val="28"/>
        </w:rPr>
        <w:t>一、总则</w:t>
      </w:r>
    </w:p>
    <w:p>
      <w:pPr>
        <w:pStyle w:val="6"/>
        <w:ind w:firstLine="480"/>
        <w:jc w:val="both"/>
      </w:pPr>
      <w:r>
        <w:rPr>
          <w:rFonts w:ascii="仿宋_GB2312" w:hAnsi="仿宋_GB2312" w:eastAsia="仿宋_GB2312" w:cs="仿宋_GB2312"/>
        </w:rPr>
        <w:t>1、适用范围</w:t>
      </w:r>
    </w:p>
    <w:p>
      <w:pPr>
        <w:pStyle w:val="6"/>
        <w:ind w:firstLine="480"/>
        <w:jc w:val="both"/>
      </w:pPr>
      <w:r>
        <w:rPr>
          <w:rFonts w:ascii="仿宋_GB2312" w:hAnsi="仿宋_GB2312" w:eastAsia="仿宋_GB2312" w:cs="仿宋_GB2312"/>
        </w:rPr>
        <w:t>1.1适用于招标文件载明项目的政府采购活动（以下简称：“本次采购活动”）。</w:t>
      </w:r>
    </w:p>
    <w:p>
      <w:pPr>
        <w:pStyle w:val="6"/>
        <w:ind w:firstLine="480"/>
        <w:jc w:val="both"/>
      </w:pPr>
      <w:r>
        <w:rPr>
          <w:rFonts w:ascii="仿宋_GB2312" w:hAnsi="仿宋_GB2312" w:eastAsia="仿宋_GB2312" w:cs="仿宋_GB2312"/>
        </w:rPr>
        <w:t>2、定义</w:t>
      </w:r>
    </w:p>
    <w:p>
      <w:pPr>
        <w:pStyle w:val="6"/>
        <w:ind w:firstLine="480"/>
        <w:jc w:val="both"/>
      </w:pPr>
      <w:r>
        <w:rPr>
          <w:rFonts w:ascii="仿宋_GB2312" w:hAnsi="仿宋_GB2312" w:eastAsia="仿宋_GB2312" w:cs="仿宋_GB2312"/>
        </w:rPr>
        <w:t>2.1“采购标的”指招标文件载明的需要采购的货物或服务。</w:t>
      </w:r>
    </w:p>
    <w:p>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pPr>
      <w:r>
        <w:rPr>
          <w:rFonts w:ascii="仿宋_GB2312" w:hAnsi="仿宋_GB2312" w:eastAsia="仿宋_GB2312" w:cs="仿宋_GB2312"/>
        </w:rPr>
        <w:t>2.4“单位负责人”指单位法定代表人或法律、法规规定代表单位行使职权的主要负责人。</w:t>
      </w:r>
    </w:p>
    <w:p>
      <w:pPr>
        <w:pStyle w:val="6"/>
        <w:ind w:firstLine="480"/>
        <w:jc w:val="both"/>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pPr>
      <w:r>
        <w:rPr>
          <w:rFonts w:ascii="仿宋_GB2312" w:hAnsi="仿宋_GB2312" w:eastAsia="仿宋_GB2312" w:cs="仿宋_GB2312"/>
          <w:b/>
          <w:sz w:val="28"/>
        </w:rPr>
        <w:t>二、投标人</w:t>
      </w:r>
    </w:p>
    <w:p>
      <w:pPr>
        <w:pStyle w:val="6"/>
        <w:ind w:firstLine="480"/>
        <w:jc w:val="both"/>
      </w:pPr>
      <w:r>
        <w:rPr>
          <w:rFonts w:ascii="仿宋_GB2312" w:hAnsi="仿宋_GB2312" w:eastAsia="仿宋_GB2312" w:cs="仿宋_GB2312"/>
        </w:rPr>
        <w:t>3、合格投标人</w:t>
      </w:r>
    </w:p>
    <w:p>
      <w:pPr>
        <w:pStyle w:val="6"/>
        <w:ind w:firstLine="480"/>
        <w:jc w:val="both"/>
      </w:pPr>
      <w:r>
        <w:rPr>
          <w:rFonts w:ascii="仿宋_GB2312" w:hAnsi="仿宋_GB2312" w:eastAsia="仿宋_GB2312" w:cs="仿宋_GB2312"/>
        </w:rPr>
        <w:t>3.1一般规定</w:t>
      </w:r>
    </w:p>
    <w:p>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pPr>
      <w:r>
        <w:rPr>
          <w:rFonts w:ascii="仿宋_GB2312" w:hAnsi="仿宋_GB2312" w:eastAsia="仿宋_GB2312" w:cs="仿宋_GB2312"/>
        </w:rPr>
        <w:t>（2）投标人的资格要求：详见招标文件第一章。</w:t>
      </w:r>
    </w:p>
    <w:p>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pPr>
      <w:r>
        <w:rPr>
          <w:rFonts w:ascii="仿宋_GB2312" w:hAnsi="仿宋_GB2312" w:eastAsia="仿宋_GB2312" w:cs="仿宋_GB2312"/>
        </w:rPr>
        <w:t>（1）联合体各方应提交联合体协议，联合体协议应符合招标文件规定。</w:t>
      </w:r>
    </w:p>
    <w:p>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（5）联合体一方放弃中标的，视为联合体整体放弃中标，联合体各方承担连带责任。</w:t>
      </w:r>
    </w:p>
    <w:p>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pPr>
      <w:r>
        <w:rPr>
          <w:rFonts w:ascii="仿宋_GB2312" w:hAnsi="仿宋_GB2312" w:eastAsia="仿宋_GB2312" w:cs="仿宋_GB2312"/>
        </w:rPr>
        <w:t>4、投标费用</w:t>
      </w:r>
    </w:p>
    <w:p>
      <w:pPr>
        <w:pStyle w:val="6"/>
        <w:ind w:firstLine="480"/>
        <w:jc w:val="both"/>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pPr>
      <w:r>
        <w:rPr>
          <w:rFonts w:ascii="仿宋_GB2312" w:hAnsi="仿宋_GB2312" w:eastAsia="仿宋_GB2312" w:cs="仿宋_GB2312"/>
          <w:b/>
          <w:sz w:val="28"/>
        </w:rPr>
        <w:t>三、招标</w:t>
      </w:r>
    </w:p>
    <w:p>
      <w:pPr>
        <w:pStyle w:val="6"/>
        <w:ind w:firstLine="480"/>
        <w:jc w:val="both"/>
      </w:pPr>
      <w:r>
        <w:rPr>
          <w:rFonts w:ascii="仿宋_GB2312" w:hAnsi="仿宋_GB2312" w:eastAsia="仿宋_GB2312" w:cs="仿宋_GB2312"/>
        </w:rPr>
        <w:t>5、招标文件</w:t>
      </w:r>
    </w:p>
    <w:p>
      <w:pPr>
        <w:pStyle w:val="6"/>
        <w:ind w:firstLine="480"/>
        <w:jc w:val="both"/>
      </w:pPr>
      <w:r>
        <w:rPr>
          <w:rFonts w:ascii="仿宋_GB2312" w:hAnsi="仿宋_GB2312" w:eastAsia="仿宋_GB2312" w:cs="仿宋_GB2312"/>
        </w:rPr>
        <w:t>5.1招标文件由下述部分组成：</w:t>
      </w:r>
    </w:p>
    <w:p>
      <w:pPr>
        <w:pStyle w:val="6"/>
        <w:ind w:firstLine="480"/>
        <w:jc w:val="both"/>
      </w:pPr>
      <w:r>
        <w:rPr>
          <w:rFonts w:ascii="仿宋_GB2312" w:hAnsi="仿宋_GB2312" w:eastAsia="仿宋_GB2312" w:cs="仿宋_GB2312"/>
        </w:rPr>
        <w:t>（1）投标邀请</w:t>
      </w:r>
    </w:p>
    <w:p>
      <w:pPr>
        <w:pStyle w:val="6"/>
        <w:ind w:firstLine="480"/>
        <w:jc w:val="both"/>
      </w:pPr>
      <w:r>
        <w:rPr>
          <w:rFonts w:ascii="仿宋_GB2312" w:hAnsi="仿宋_GB2312" w:eastAsia="仿宋_GB2312" w:cs="仿宋_GB2312"/>
        </w:rPr>
        <w:t>（2）投标人须知前附表（表1、2）</w:t>
      </w:r>
    </w:p>
    <w:p>
      <w:pPr>
        <w:pStyle w:val="6"/>
        <w:ind w:firstLine="480"/>
        <w:jc w:val="both"/>
      </w:pPr>
      <w:r>
        <w:rPr>
          <w:rFonts w:ascii="仿宋_GB2312" w:hAnsi="仿宋_GB2312" w:eastAsia="仿宋_GB2312" w:cs="仿宋_GB2312"/>
        </w:rPr>
        <w:t>（3）投标人须知</w:t>
      </w:r>
    </w:p>
    <w:p>
      <w:pPr>
        <w:pStyle w:val="6"/>
        <w:ind w:firstLine="480"/>
        <w:jc w:val="both"/>
      </w:pPr>
      <w:r>
        <w:rPr>
          <w:rFonts w:ascii="仿宋_GB2312" w:hAnsi="仿宋_GB2312" w:eastAsia="仿宋_GB2312" w:cs="仿宋_GB2312"/>
        </w:rPr>
        <w:t>（4）资格审查与评标</w:t>
      </w:r>
    </w:p>
    <w:p>
      <w:pPr>
        <w:pStyle w:val="6"/>
        <w:ind w:firstLine="480"/>
        <w:jc w:val="both"/>
      </w:pPr>
      <w:r>
        <w:rPr>
          <w:rFonts w:ascii="仿宋_GB2312" w:hAnsi="仿宋_GB2312" w:eastAsia="仿宋_GB2312" w:cs="仿宋_GB2312"/>
        </w:rPr>
        <w:t>（5）招标内容及要求</w:t>
      </w:r>
    </w:p>
    <w:p>
      <w:pPr>
        <w:pStyle w:val="6"/>
        <w:ind w:firstLine="480"/>
        <w:jc w:val="both"/>
      </w:pPr>
      <w:r>
        <w:rPr>
          <w:rFonts w:ascii="仿宋_GB2312" w:hAnsi="仿宋_GB2312" w:eastAsia="仿宋_GB2312" w:cs="仿宋_GB2312"/>
        </w:rPr>
        <w:t>（6）政府采购合同（参考文本）</w:t>
      </w:r>
    </w:p>
    <w:p>
      <w:pPr>
        <w:pStyle w:val="6"/>
        <w:ind w:firstLine="480"/>
        <w:jc w:val="both"/>
      </w:pPr>
      <w:r>
        <w:rPr>
          <w:rFonts w:ascii="仿宋_GB2312" w:hAnsi="仿宋_GB2312" w:eastAsia="仿宋_GB2312" w:cs="仿宋_GB2312"/>
        </w:rPr>
        <w:t>（7）电子投标文件格式</w:t>
      </w:r>
    </w:p>
    <w:p>
      <w:pPr>
        <w:pStyle w:val="6"/>
        <w:ind w:firstLine="480"/>
        <w:jc w:val="both"/>
      </w:pPr>
      <w:r>
        <w:rPr>
          <w:rFonts w:ascii="仿宋_GB2312" w:hAnsi="仿宋_GB2312" w:eastAsia="仿宋_GB2312" w:cs="仿宋_GB2312"/>
        </w:rPr>
        <w:t>（8）按照招标文件规定作为招标文件组成部分的其他内容（若有）</w:t>
      </w:r>
    </w:p>
    <w:p>
      <w:pPr>
        <w:pStyle w:val="6"/>
        <w:ind w:firstLine="480"/>
        <w:jc w:val="both"/>
      </w:pPr>
      <w:r>
        <w:rPr>
          <w:rFonts w:ascii="仿宋_GB2312" w:hAnsi="仿宋_GB2312" w:eastAsia="仿宋_GB2312" w:cs="仿宋_GB2312"/>
        </w:rPr>
        <w:t>5.2招标文件的澄清或修改</w:t>
      </w:r>
    </w:p>
    <w:p>
      <w:pPr>
        <w:pStyle w:val="6"/>
        <w:ind w:firstLine="480"/>
        <w:jc w:val="both"/>
      </w:pPr>
      <w:r>
        <w:rPr>
          <w:rFonts w:ascii="仿宋_GB2312" w:hAnsi="仿宋_GB2312" w:eastAsia="仿宋_GB2312" w:cs="仿宋_GB2312"/>
        </w:rPr>
        <w:t>（1） 福建省营造项目管理有限公司 可对已发出的招标文件进行必要的澄清或修改，但不得对招标文件载明的采购标的和投标人的资格要求进行改变。</w:t>
      </w:r>
    </w:p>
    <w:p>
      <w:pPr>
        <w:pStyle w:val="6"/>
        <w:ind w:firstLine="480"/>
        <w:jc w:val="both"/>
      </w:pPr>
      <w:r>
        <w:rPr>
          <w:rFonts w:ascii="仿宋_GB2312" w:hAnsi="仿宋_GB2312" w:eastAsia="仿宋_GB2312" w:cs="仿宋_GB2312"/>
        </w:rPr>
        <w:t>（2）除本章第5.2条第（3）款规定情形外，澄清或修改的内容可能影响电子投标文件编制的， 福建省营造项目管理有限公司 将在投标截止时间至少15个日历日前，在招标文件载明的指定媒体以更正公告的形式发布澄清或修改的内容。不足15个日历日的， 福建省营造项目管理有限公司 将顺延投标截止时间及开标时间， 福建省营造项目管理有限公司 和投标人受原投标截止时间及开标时间制约的所有权利和义务均延长至新的投标截止时间及开标时间。</w:t>
      </w:r>
    </w:p>
    <w:p>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福建省营造项目管理有限公司 将依法组织后续采购活动（包括但不限于：重新招标、采用其他方式采购等）。</w:t>
      </w:r>
    </w:p>
    <w:p>
      <w:pPr>
        <w:pStyle w:val="6"/>
        <w:ind w:firstLine="480"/>
        <w:jc w:val="both"/>
      </w:pPr>
      <w:r>
        <w:rPr>
          <w:rFonts w:ascii="仿宋_GB2312" w:hAnsi="仿宋_GB2312" w:eastAsia="仿宋_GB2312" w:cs="仿宋_GB2312"/>
        </w:rPr>
        <w:t>6、现场考察或开标前答疑会</w:t>
      </w:r>
    </w:p>
    <w:p>
      <w:pPr>
        <w:pStyle w:val="6"/>
        <w:ind w:firstLine="480"/>
        <w:jc w:val="both"/>
      </w:pPr>
      <w:r>
        <w:rPr>
          <w:rFonts w:ascii="仿宋_GB2312" w:hAnsi="仿宋_GB2312" w:eastAsia="仿宋_GB2312" w:cs="仿宋_GB2312"/>
        </w:rPr>
        <w:t>6.1是否组织现场考察或召开开标前答疑会：详见招标文件第二章。</w:t>
      </w:r>
    </w:p>
    <w:p>
      <w:pPr>
        <w:pStyle w:val="6"/>
        <w:ind w:firstLine="480"/>
        <w:jc w:val="both"/>
      </w:pPr>
      <w:r>
        <w:rPr>
          <w:rFonts w:ascii="仿宋_GB2312" w:hAnsi="仿宋_GB2312" w:eastAsia="仿宋_GB2312" w:cs="仿宋_GB2312"/>
        </w:rPr>
        <w:t>7、更正公告</w:t>
      </w:r>
    </w:p>
    <w:p>
      <w:pPr>
        <w:pStyle w:val="6"/>
        <w:ind w:firstLine="480"/>
        <w:jc w:val="both"/>
      </w:pPr>
      <w:r>
        <w:rPr>
          <w:rFonts w:ascii="仿宋_GB2312" w:hAnsi="仿宋_GB2312" w:eastAsia="仿宋_GB2312" w:cs="仿宋_GB2312"/>
        </w:rPr>
        <w:t>7.1若 福建省营造项目管理有限公司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rPr>
          <w:rFonts w:ascii="仿宋_GB2312" w:hAnsi="仿宋_GB2312" w:eastAsia="仿宋_GB2312" w:cs="仿宋_GB2312"/>
        </w:rPr>
        <w:t>7.2更正公告作为 福建省营造项目管理有限公司 通知所有潜在投标人的书面形式。</w:t>
      </w:r>
    </w:p>
    <w:p>
      <w:pPr>
        <w:pStyle w:val="6"/>
        <w:ind w:firstLine="480"/>
        <w:jc w:val="both"/>
      </w:pPr>
      <w:r>
        <w:rPr>
          <w:rFonts w:ascii="仿宋_GB2312" w:hAnsi="仿宋_GB2312" w:eastAsia="仿宋_GB2312" w:cs="仿宋_GB2312"/>
        </w:rPr>
        <w:t>8、终止公告</w:t>
      </w:r>
    </w:p>
    <w:p>
      <w:pPr>
        <w:pStyle w:val="6"/>
        <w:ind w:firstLine="480"/>
        <w:jc w:val="both"/>
      </w:pPr>
      <w:r>
        <w:rPr>
          <w:rFonts w:ascii="仿宋_GB2312" w:hAnsi="仿宋_GB2312" w:eastAsia="仿宋_GB2312" w:cs="仿宋_GB2312"/>
        </w:rPr>
        <w:t>8.1若出现因重大变故导致采购任务取消情形， 福建省营造项目管理有限公司 可终止招标并发布终止公告。</w:t>
      </w:r>
    </w:p>
    <w:p>
      <w:pPr>
        <w:pStyle w:val="6"/>
        <w:ind w:firstLine="480"/>
        <w:jc w:val="both"/>
      </w:pPr>
      <w:r>
        <w:rPr>
          <w:rFonts w:ascii="仿宋_GB2312" w:hAnsi="仿宋_GB2312" w:eastAsia="仿宋_GB2312" w:cs="仿宋_GB2312"/>
        </w:rPr>
        <w:t>8.2终止公告作为 福建省营造项目管理有限公司 通知所有潜在投标人的书面形式。</w:t>
      </w:r>
    </w:p>
    <w:p>
      <w:pPr>
        <w:pStyle w:val="6"/>
        <w:ind w:firstLine="480"/>
        <w:jc w:val="both"/>
        <w:outlineLvl w:val="2"/>
      </w:pPr>
      <w:r>
        <w:rPr>
          <w:rFonts w:ascii="仿宋_GB2312" w:hAnsi="仿宋_GB2312" w:eastAsia="仿宋_GB2312" w:cs="仿宋_GB2312"/>
          <w:b/>
          <w:sz w:val="28"/>
        </w:rPr>
        <w:t>四、投标</w:t>
      </w:r>
    </w:p>
    <w:p>
      <w:pPr>
        <w:pStyle w:val="6"/>
        <w:ind w:firstLine="480"/>
        <w:jc w:val="both"/>
      </w:pPr>
      <w:r>
        <w:rPr>
          <w:rFonts w:ascii="仿宋_GB2312" w:hAnsi="仿宋_GB2312" w:eastAsia="仿宋_GB2312" w:cs="仿宋_GB2312"/>
        </w:rPr>
        <w:t>9、投标</w:t>
      </w:r>
    </w:p>
    <w:p>
      <w:pPr>
        <w:pStyle w:val="6"/>
        <w:ind w:firstLine="480"/>
        <w:jc w:val="both"/>
      </w:pPr>
      <w:r>
        <w:rPr>
          <w:rFonts w:ascii="仿宋_GB2312" w:hAnsi="仿宋_GB2312" w:eastAsia="仿宋_GB2312" w:cs="仿宋_GB2312"/>
        </w:rPr>
        <w:t>9.1投标人可对招标文件载明的全部或部分采购包进行投标。</w:t>
      </w:r>
    </w:p>
    <w:p>
      <w:pPr>
        <w:pStyle w:val="6"/>
        <w:ind w:firstLine="480"/>
        <w:jc w:val="both"/>
      </w:pPr>
      <w:r>
        <w:rPr>
          <w:rFonts w:ascii="仿宋_GB2312" w:hAnsi="仿宋_GB2312" w:eastAsia="仿宋_GB2312" w:cs="仿宋_GB2312"/>
        </w:rPr>
        <w:t>9.2投标人应对同一个采购包内的所有内容进行完整投标，否则投标无效。</w:t>
      </w:r>
    </w:p>
    <w:p>
      <w:pPr>
        <w:pStyle w:val="6"/>
        <w:ind w:firstLine="480"/>
        <w:jc w:val="both"/>
      </w:pPr>
      <w:r>
        <w:rPr>
          <w:rFonts w:ascii="仿宋_GB2312" w:hAnsi="仿宋_GB2312" w:eastAsia="仿宋_GB2312" w:cs="仿宋_GB2312"/>
        </w:rPr>
        <w:t>9.3投标人代表只能接受一个投标人的授权参加投标，否则投标无效。</w:t>
      </w:r>
    </w:p>
    <w:p>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rPr>
          <w:rFonts w:ascii="仿宋_GB2312" w:hAnsi="仿宋_GB2312" w:eastAsia="仿宋_GB2312" w:cs="仿宋_GB2312"/>
        </w:rPr>
        <w:t>9.7有下列情形之一的，视为投标人串通投标，其投标无效：</w:t>
      </w:r>
    </w:p>
    <w:p>
      <w:pPr>
        <w:pStyle w:val="6"/>
        <w:ind w:firstLine="480"/>
        <w:jc w:val="both"/>
      </w:pPr>
      <w:r>
        <w:rPr>
          <w:rFonts w:ascii="仿宋_GB2312" w:hAnsi="仿宋_GB2312" w:eastAsia="仿宋_GB2312" w:cs="仿宋_GB2312"/>
        </w:rPr>
        <w:t>（1）不同投标人的电子投标文件由同一单位或个人编制；</w:t>
      </w:r>
    </w:p>
    <w:p>
      <w:pPr>
        <w:pStyle w:val="6"/>
        <w:ind w:firstLine="480"/>
        <w:jc w:val="both"/>
      </w:pPr>
      <w:r>
        <w:rPr>
          <w:rFonts w:ascii="仿宋_GB2312" w:hAnsi="仿宋_GB2312" w:eastAsia="仿宋_GB2312" w:cs="仿宋_GB2312"/>
        </w:rPr>
        <w:t>（2）不同投标人委托同一单位或个人办理投标事宜；</w:t>
      </w:r>
    </w:p>
    <w:p>
      <w:pPr>
        <w:pStyle w:val="6"/>
        <w:ind w:firstLine="480"/>
        <w:jc w:val="both"/>
      </w:pPr>
      <w:r>
        <w:rPr>
          <w:rFonts w:ascii="仿宋_GB2312" w:hAnsi="仿宋_GB2312" w:eastAsia="仿宋_GB2312" w:cs="仿宋_GB2312"/>
        </w:rPr>
        <w:t>（3）不同投标人的电子投标文件载明的项目管理成员或联系人员为同一人；</w:t>
      </w:r>
    </w:p>
    <w:p>
      <w:pPr>
        <w:pStyle w:val="6"/>
        <w:ind w:firstLine="480"/>
        <w:jc w:val="both"/>
      </w:pPr>
      <w:r>
        <w:rPr>
          <w:rFonts w:ascii="仿宋_GB2312" w:hAnsi="仿宋_GB2312" w:eastAsia="仿宋_GB2312" w:cs="仿宋_GB2312"/>
        </w:rPr>
        <w:t>（4）不同投标人的电子投标文件异常一致或投标报价呈规律性差异；</w:t>
      </w:r>
    </w:p>
    <w:p>
      <w:pPr>
        <w:pStyle w:val="6"/>
        <w:ind w:firstLine="480"/>
        <w:jc w:val="both"/>
      </w:pPr>
      <w:r>
        <w:rPr>
          <w:rFonts w:ascii="仿宋_GB2312" w:hAnsi="仿宋_GB2312" w:eastAsia="仿宋_GB2312" w:cs="仿宋_GB2312"/>
        </w:rPr>
        <w:t>（5）不同投标人的电子投标文件相互混装；</w:t>
      </w:r>
    </w:p>
    <w:p>
      <w:pPr>
        <w:pStyle w:val="6"/>
        <w:ind w:firstLine="480"/>
        <w:jc w:val="both"/>
      </w:pPr>
      <w:r>
        <w:rPr>
          <w:rFonts w:ascii="仿宋_GB2312" w:hAnsi="仿宋_GB2312" w:eastAsia="仿宋_GB2312" w:cs="仿宋_GB2312"/>
        </w:rPr>
        <w:t>（6）不同投标人的投标保证金从同一单位或个人的账户转出；</w:t>
      </w:r>
    </w:p>
    <w:p>
      <w:pPr>
        <w:pStyle w:val="6"/>
        <w:ind w:firstLine="480"/>
        <w:jc w:val="both"/>
      </w:pPr>
      <w:r>
        <w:rPr>
          <w:rFonts w:ascii="仿宋_GB2312" w:hAnsi="仿宋_GB2312" w:eastAsia="仿宋_GB2312" w:cs="仿宋_GB2312"/>
        </w:rPr>
        <w:t>（7）有关法律、法规和规章及招标文件规定的其他串通投标情形。</w:t>
      </w:r>
    </w:p>
    <w:p>
      <w:pPr>
        <w:pStyle w:val="6"/>
        <w:ind w:firstLine="480"/>
        <w:jc w:val="both"/>
      </w:pPr>
      <w:r>
        <w:rPr>
          <w:rFonts w:ascii="仿宋_GB2312" w:hAnsi="仿宋_GB2312" w:eastAsia="仿宋_GB2312" w:cs="仿宋_GB2312"/>
        </w:rPr>
        <w:t>10、电子投标文件</w:t>
      </w:r>
    </w:p>
    <w:p>
      <w:pPr>
        <w:pStyle w:val="6"/>
        <w:ind w:firstLine="480"/>
        <w:jc w:val="both"/>
      </w:pPr>
      <w:r>
        <w:rPr>
          <w:rFonts w:ascii="仿宋_GB2312" w:hAnsi="仿宋_GB2312" w:eastAsia="仿宋_GB2312" w:cs="仿宋_GB2312"/>
        </w:rPr>
        <w:t>10.1电子投标文件的编制</w:t>
      </w:r>
    </w:p>
    <w:p>
      <w:pPr>
        <w:pStyle w:val="6"/>
        <w:ind w:firstLine="480"/>
        <w:jc w:val="both"/>
      </w:pPr>
      <w:r>
        <w:rPr>
          <w:rFonts w:ascii="仿宋_GB2312" w:hAnsi="仿宋_GB2312" w:eastAsia="仿宋_GB2312" w:cs="仿宋_GB2312"/>
        </w:rPr>
        <w:t>（1）投标人应先仔细阅读招标文件的全部内容后，再进行电子投标文件的编制。</w:t>
      </w:r>
    </w:p>
    <w:p>
      <w:pPr>
        <w:pStyle w:val="6"/>
        <w:ind w:firstLine="480"/>
        <w:jc w:val="both"/>
      </w:pPr>
      <w:r>
        <w:rPr>
          <w:rFonts w:ascii="仿宋_GB2312" w:hAnsi="仿宋_GB2312" w:eastAsia="仿宋_GB2312" w:cs="仿宋_GB2312"/>
        </w:rPr>
        <w:t>（2）电子投标文件应按照本章第10.2条规定编制其组成部分。</w:t>
      </w:r>
    </w:p>
    <w:p>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rPr>
          <w:rFonts w:ascii="仿宋_GB2312" w:hAnsi="仿宋_GB2312" w:eastAsia="仿宋_GB2312" w:cs="仿宋_GB2312"/>
        </w:rPr>
        <w:t>10.2电子投标文件由下述部分组成：</w:t>
      </w:r>
    </w:p>
    <w:p>
      <w:pPr>
        <w:pStyle w:val="6"/>
        <w:ind w:firstLine="480"/>
        <w:jc w:val="both"/>
      </w:pPr>
      <w:r>
        <w:rPr>
          <w:rFonts w:ascii="仿宋_GB2312" w:hAnsi="仿宋_GB2312" w:eastAsia="仿宋_GB2312" w:cs="仿宋_GB2312"/>
        </w:rPr>
        <w:t>（1）资格及资信证明部分</w:t>
      </w:r>
    </w:p>
    <w:p>
      <w:pPr>
        <w:pStyle w:val="6"/>
        <w:ind w:firstLine="480"/>
        <w:jc w:val="both"/>
      </w:pPr>
      <w:r>
        <w:rPr>
          <w:rFonts w:ascii="仿宋_GB2312" w:hAnsi="仿宋_GB2312" w:eastAsia="仿宋_GB2312" w:cs="仿宋_GB2312"/>
        </w:rPr>
        <w:t>①投标函</w:t>
      </w:r>
    </w:p>
    <w:p>
      <w:pPr>
        <w:pStyle w:val="6"/>
        <w:ind w:firstLine="480"/>
        <w:jc w:val="both"/>
      </w:pPr>
      <w:r>
        <w:rPr>
          <w:rFonts w:ascii="仿宋_GB2312" w:hAnsi="仿宋_GB2312" w:eastAsia="仿宋_GB2312" w:cs="仿宋_GB2312"/>
        </w:rPr>
        <w:t>②投标人的资格及资信证明文件</w:t>
      </w:r>
    </w:p>
    <w:p>
      <w:pPr>
        <w:pStyle w:val="6"/>
        <w:ind w:firstLine="480"/>
        <w:jc w:val="both"/>
      </w:pPr>
      <w:r>
        <w:rPr>
          <w:rFonts w:ascii="仿宋_GB2312" w:hAnsi="仿宋_GB2312" w:eastAsia="仿宋_GB2312" w:cs="仿宋_GB2312"/>
        </w:rPr>
        <w:t>③投标保证金</w:t>
      </w:r>
    </w:p>
    <w:p>
      <w:pPr>
        <w:pStyle w:val="6"/>
        <w:ind w:firstLine="480"/>
        <w:jc w:val="both"/>
      </w:pPr>
      <w:r>
        <w:rPr>
          <w:rFonts w:ascii="仿宋_GB2312" w:hAnsi="仿宋_GB2312" w:eastAsia="仿宋_GB2312" w:cs="仿宋_GB2312"/>
        </w:rPr>
        <w:t>（2）报价部分</w:t>
      </w:r>
    </w:p>
    <w:p>
      <w:pPr>
        <w:pStyle w:val="6"/>
        <w:ind w:firstLine="480"/>
        <w:jc w:val="both"/>
      </w:pPr>
      <w:r>
        <w:rPr>
          <w:rFonts w:ascii="仿宋_GB2312" w:hAnsi="仿宋_GB2312" w:eastAsia="仿宋_GB2312" w:cs="仿宋_GB2312"/>
        </w:rPr>
        <w:t>①开标（报价）一览表</w:t>
      </w:r>
    </w:p>
    <w:p>
      <w:pPr>
        <w:pStyle w:val="6"/>
        <w:ind w:firstLine="480"/>
        <w:jc w:val="both"/>
      </w:pPr>
      <w:r>
        <w:rPr>
          <w:rFonts w:ascii="仿宋_GB2312" w:hAnsi="仿宋_GB2312" w:eastAsia="仿宋_GB2312" w:cs="仿宋_GB2312"/>
        </w:rPr>
        <w:t>②投标（响应）报价明细表</w:t>
      </w:r>
    </w:p>
    <w:p>
      <w:pPr>
        <w:pStyle w:val="6"/>
        <w:ind w:firstLine="480"/>
        <w:jc w:val="both"/>
      </w:pPr>
      <w:r>
        <w:rPr>
          <w:rFonts w:ascii="仿宋_GB2312" w:hAnsi="仿宋_GB2312" w:eastAsia="仿宋_GB2312" w:cs="仿宋_GB2312"/>
        </w:rPr>
        <w:t>③招标文件规定的价格扣除证明材料（若有）</w:t>
      </w:r>
    </w:p>
    <w:p>
      <w:pPr>
        <w:pStyle w:val="6"/>
        <w:ind w:firstLine="480"/>
        <w:jc w:val="both"/>
      </w:pPr>
      <w:r>
        <w:rPr>
          <w:rFonts w:ascii="仿宋_GB2312" w:hAnsi="仿宋_GB2312" w:eastAsia="仿宋_GB2312" w:cs="仿宋_GB2312"/>
        </w:rPr>
        <w:t>④招标文件规定的加分证明材料（若有）</w:t>
      </w:r>
    </w:p>
    <w:p>
      <w:pPr>
        <w:pStyle w:val="6"/>
        <w:ind w:firstLine="480"/>
        <w:jc w:val="both"/>
      </w:pPr>
      <w:r>
        <w:rPr>
          <w:rFonts w:ascii="仿宋_GB2312" w:hAnsi="仿宋_GB2312" w:eastAsia="仿宋_GB2312" w:cs="仿宋_GB2312"/>
        </w:rPr>
        <w:t>（3）技术商务部分</w:t>
      </w:r>
    </w:p>
    <w:p>
      <w:pPr>
        <w:pStyle w:val="6"/>
        <w:ind w:firstLine="480"/>
        <w:jc w:val="both"/>
      </w:pPr>
      <w:r>
        <w:rPr>
          <w:rFonts w:ascii="仿宋_GB2312" w:hAnsi="仿宋_GB2312" w:eastAsia="仿宋_GB2312" w:cs="仿宋_GB2312"/>
        </w:rPr>
        <w:t>①标的说明一览表</w:t>
      </w:r>
    </w:p>
    <w:p>
      <w:pPr>
        <w:pStyle w:val="6"/>
        <w:ind w:firstLine="480"/>
        <w:jc w:val="both"/>
      </w:pPr>
      <w:r>
        <w:rPr>
          <w:rFonts w:ascii="仿宋_GB2312" w:hAnsi="仿宋_GB2312" w:eastAsia="仿宋_GB2312" w:cs="仿宋_GB2312"/>
        </w:rPr>
        <w:t>②技术和服务要求响应表</w:t>
      </w:r>
    </w:p>
    <w:p>
      <w:pPr>
        <w:pStyle w:val="6"/>
        <w:ind w:firstLine="480"/>
        <w:jc w:val="both"/>
      </w:pPr>
      <w:r>
        <w:rPr>
          <w:rFonts w:ascii="仿宋_GB2312" w:hAnsi="仿宋_GB2312" w:eastAsia="仿宋_GB2312" w:cs="仿宋_GB2312"/>
        </w:rPr>
        <w:t>③商务条件响应表</w:t>
      </w:r>
    </w:p>
    <w:p>
      <w:pPr>
        <w:pStyle w:val="6"/>
        <w:ind w:firstLine="480"/>
        <w:jc w:val="both"/>
      </w:pPr>
      <w:r>
        <w:rPr>
          <w:rFonts w:ascii="仿宋_GB2312" w:hAnsi="仿宋_GB2312" w:eastAsia="仿宋_GB2312" w:cs="仿宋_GB2312"/>
        </w:rPr>
        <w:t>④投标人提交的其他资料（若有）</w:t>
      </w:r>
    </w:p>
    <w:p>
      <w:pPr>
        <w:pStyle w:val="6"/>
        <w:ind w:firstLine="480"/>
        <w:jc w:val="both"/>
      </w:pPr>
      <w:r>
        <w:rPr>
          <w:rFonts w:ascii="仿宋_GB2312" w:hAnsi="仿宋_GB2312" w:eastAsia="仿宋_GB2312" w:cs="仿宋_GB2312"/>
        </w:rPr>
        <w:t>⑤招标文件规定作为电子投标文件组成部分的其他内容（若有）</w:t>
      </w:r>
    </w:p>
    <w:p>
      <w:pPr>
        <w:pStyle w:val="6"/>
        <w:ind w:firstLine="480"/>
        <w:jc w:val="both"/>
      </w:pPr>
      <w:r>
        <w:rPr>
          <w:rFonts w:ascii="仿宋_GB2312" w:hAnsi="仿宋_GB2312" w:eastAsia="仿宋_GB2312" w:cs="仿宋_GB2312"/>
        </w:rPr>
        <w:t>10.3电子投标文件的语言</w:t>
      </w:r>
    </w:p>
    <w:p>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10.4投标文件的份数：详见招标文件第二章。</w:t>
      </w:r>
    </w:p>
    <w:p>
      <w:pPr>
        <w:pStyle w:val="6"/>
        <w:ind w:firstLine="480"/>
        <w:jc w:val="both"/>
      </w:pPr>
      <w:r>
        <w:rPr>
          <w:rFonts w:ascii="仿宋_GB2312" w:hAnsi="仿宋_GB2312" w:eastAsia="仿宋_GB2312" w:cs="仿宋_GB2312"/>
        </w:rPr>
        <w:t>10.5电子投标文件的格式</w:t>
      </w:r>
    </w:p>
    <w:p>
      <w:pPr>
        <w:pStyle w:val="6"/>
        <w:ind w:firstLine="480"/>
        <w:jc w:val="both"/>
      </w:pPr>
      <w:r>
        <w:rPr>
          <w:rFonts w:ascii="仿宋_GB2312" w:hAnsi="仿宋_GB2312" w:eastAsia="仿宋_GB2312" w:cs="仿宋_GB2312"/>
        </w:rPr>
        <w:t>（1）除招标文件另有规定外，电子投标文件应使用招标文件第七章规定的格式。</w:t>
      </w:r>
    </w:p>
    <w:p>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pPr>
      <w:r>
        <w:rPr>
          <w:rFonts w:ascii="仿宋_GB2312" w:hAnsi="仿宋_GB2312" w:eastAsia="仿宋_GB2312" w:cs="仿宋_GB2312"/>
        </w:rPr>
        <w:t>（3）除招标文件另有规定外，电子投标文件应使用人民币作为计量货币。</w:t>
      </w:r>
    </w:p>
    <w:p>
      <w:pPr>
        <w:pStyle w:val="6"/>
        <w:ind w:firstLine="480"/>
        <w:jc w:val="both"/>
      </w:pPr>
      <w:r>
        <w:rPr>
          <w:rFonts w:ascii="仿宋_GB2312" w:hAnsi="仿宋_GB2312" w:eastAsia="仿宋_GB2312" w:cs="仿宋_GB2312"/>
        </w:rPr>
        <w:t>（4）除招标文件另有规定外，签署、盖章应遵守下列规定：</w:t>
      </w:r>
    </w:p>
    <w:p>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pPr>
      <w:r>
        <w:rPr>
          <w:rFonts w:ascii="仿宋_GB2312" w:hAnsi="仿宋_GB2312" w:eastAsia="仿宋_GB2312" w:cs="仿宋_GB2312"/>
        </w:rPr>
        <w:t>②电子投标文件应没有涂改或行间插字，除非这些改动是根据 福建省营造项目管理有限公司 的指示进行的，或是为改正投标人造成的应修改的错误而进行的。若有前述改动，应按照下列规定之一对改动处进行处理：</w:t>
      </w:r>
    </w:p>
    <w:p>
      <w:pPr>
        <w:pStyle w:val="6"/>
        <w:ind w:firstLine="480"/>
        <w:jc w:val="both"/>
      </w:pPr>
      <w:r>
        <w:rPr>
          <w:rFonts w:ascii="仿宋_GB2312" w:hAnsi="仿宋_GB2312" w:eastAsia="仿宋_GB2312" w:cs="仿宋_GB2312"/>
        </w:rPr>
        <w:t>a.投标人代表签字确认；</w:t>
      </w:r>
    </w:p>
    <w:p>
      <w:pPr>
        <w:pStyle w:val="6"/>
        <w:ind w:firstLine="480"/>
        <w:jc w:val="both"/>
      </w:pPr>
      <w:r>
        <w:rPr>
          <w:rFonts w:ascii="仿宋_GB2312" w:hAnsi="仿宋_GB2312" w:eastAsia="仿宋_GB2312" w:cs="仿宋_GB2312"/>
        </w:rPr>
        <w:t>b.加盖投标人的单位公章或校正章。</w:t>
      </w:r>
    </w:p>
    <w:p>
      <w:pPr>
        <w:pStyle w:val="6"/>
        <w:ind w:firstLine="480"/>
        <w:jc w:val="both"/>
      </w:pPr>
      <w:r>
        <w:rPr>
          <w:rFonts w:ascii="仿宋_GB2312" w:hAnsi="仿宋_GB2312" w:eastAsia="仿宋_GB2312" w:cs="仿宋_GB2312"/>
        </w:rPr>
        <w:t>10.6投标报价</w:t>
      </w:r>
    </w:p>
    <w:p>
      <w:pPr>
        <w:pStyle w:val="6"/>
        <w:ind w:firstLine="480"/>
        <w:jc w:val="both"/>
      </w:pPr>
      <w:r>
        <w:rPr>
          <w:rFonts w:ascii="仿宋_GB2312" w:hAnsi="仿宋_GB2312" w:eastAsia="仿宋_GB2312" w:cs="仿宋_GB2312"/>
        </w:rPr>
        <w:t>（1）投标报价超出最高限价将导致投标无效。</w:t>
      </w:r>
    </w:p>
    <w:p>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rPr>
          <w:rFonts w:ascii="仿宋_GB2312" w:hAnsi="仿宋_GB2312" w:eastAsia="仿宋_GB2312" w:cs="仿宋_GB2312"/>
        </w:rPr>
        <w:t>10.7分包</w:t>
      </w:r>
    </w:p>
    <w:p>
      <w:pPr>
        <w:pStyle w:val="6"/>
        <w:ind w:firstLine="480"/>
        <w:jc w:val="both"/>
      </w:pPr>
      <w:r>
        <w:rPr>
          <w:rFonts w:ascii="仿宋_GB2312" w:hAnsi="仿宋_GB2312" w:eastAsia="仿宋_GB2312" w:cs="仿宋_GB2312"/>
        </w:rPr>
        <w:t>（1）是否允许中标人将本项目的非主体、非关键性工作进行分包：详见招标文件第二章。</w:t>
      </w:r>
    </w:p>
    <w:p>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pPr>
      <w:r>
        <w:rPr>
          <w:rFonts w:ascii="仿宋_GB2312" w:hAnsi="仿宋_GB2312" w:eastAsia="仿宋_GB2312" w:cs="仿宋_GB2312"/>
        </w:rPr>
        <w:t>①电子投标文件中未载明分包承担主体；</w:t>
      </w:r>
    </w:p>
    <w:p>
      <w:pPr>
        <w:pStyle w:val="6"/>
        <w:ind w:firstLine="480"/>
        <w:jc w:val="both"/>
      </w:pPr>
      <w:r>
        <w:rPr>
          <w:rFonts w:ascii="仿宋_GB2312" w:hAnsi="仿宋_GB2312" w:eastAsia="仿宋_GB2312" w:cs="仿宋_GB2312"/>
        </w:rPr>
        <w:t>②电子投标文件载明的分包承担主体不具备相应资质条件；</w:t>
      </w:r>
    </w:p>
    <w:p>
      <w:pPr>
        <w:pStyle w:val="6"/>
        <w:ind w:firstLine="480"/>
        <w:jc w:val="both"/>
      </w:pPr>
      <w:r>
        <w:rPr>
          <w:rFonts w:ascii="仿宋_GB2312" w:hAnsi="仿宋_GB2312" w:eastAsia="仿宋_GB2312" w:cs="仿宋_GB2312"/>
        </w:rPr>
        <w:t>③电子投标文件载明的分包承担主体拟再次分包；</w:t>
      </w:r>
    </w:p>
    <w:p>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pPr>
      <w:r>
        <w:rPr>
          <w:rFonts w:ascii="仿宋_GB2312" w:hAnsi="仿宋_GB2312" w:eastAsia="仿宋_GB2312" w:cs="仿宋_GB2312"/>
        </w:rPr>
        <w:t>10.8投标有效期</w:t>
      </w:r>
    </w:p>
    <w:p>
      <w:pPr>
        <w:pStyle w:val="6"/>
        <w:ind w:firstLine="480"/>
        <w:jc w:val="both"/>
      </w:pPr>
      <w:r>
        <w:rPr>
          <w:rFonts w:ascii="仿宋_GB2312" w:hAnsi="仿宋_GB2312" w:eastAsia="仿宋_GB2312" w:cs="仿宋_GB2312"/>
        </w:rPr>
        <w:t>（1）招标文件载明的投标有效期：详见招标文件第二章。</w:t>
      </w:r>
    </w:p>
    <w:p>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pPr>
      <w:r>
        <w:rPr>
          <w:rFonts w:ascii="仿宋_GB2312" w:hAnsi="仿宋_GB2312" w:eastAsia="仿宋_GB2312" w:cs="仿宋_GB2312"/>
        </w:rPr>
        <w:t>（3）根据本次采购活动的需要， 福建省营造项目管理有限公司 可于投标有效期届满之前书面要求投标人延长投标有效期，投标人应在 福建省营造项目管理有限公司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rPr>
          <w:rFonts w:ascii="仿宋_GB2312" w:hAnsi="仿宋_GB2312" w:eastAsia="仿宋_GB2312" w:cs="仿宋_GB2312"/>
        </w:rPr>
        <w:t>10.9投标保证金</w:t>
      </w:r>
    </w:p>
    <w:p>
      <w:pPr>
        <w:pStyle w:val="6"/>
        <w:ind w:firstLine="480"/>
        <w:jc w:val="both"/>
      </w:pPr>
      <w:r>
        <w:rPr>
          <w:rFonts w:ascii="仿宋_GB2312" w:hAnsi="仿宋_GB2312" w:eastAsia="仿宋_GB2312" w:cs="仿宋_GB2312"/>
        </w:rPr>
        <w:t>（1）投标保证金作为投标人按照招标文件规定履行相应投标责任、义务的约束及担保。</w:t>
      </w:r>
    </w:p>
    <w:p>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pPr>
      <w:r>
        <w:rPr>
          <w:rFonts w:ascii="仿宋_GB2312" w:hAnsi="仿宋_GB2312" w:eastAsia="仿宋_GB2312" w:cs="仿宋_GB2312"/>
        </w:rPr>
        <w:t>（3）提交</w:t>
      </w:r>
    </w:p>
    <w:p>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rPr>
          <w:rFonts w:ascii="仿宋_GB2312" w:hAnsi="仿宋_GB2312" w:eastAsia="仿宋_GB2312" w:cs="仿宋_GB2312"/>
        </w:rPr>
        <w:t>③其他形式：</w:t>
      </w:r>
    </w:p>
    <w:p>
      <w:pPr>
        <w:pStyle w:val="6"/>
        <w:jc w:val="left"/>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pPr>
      <w:r>
        <w:rPr>
          <w:rFonts w:ascii="仿宋_GB2312" w:hAnsi="仿宋_GB2312" w:eastAsia="仿宋_GB2312" w:cs="仿宋_GB2312"/>
        </w:rPr>
        <w:t>※除招标文件另有规定外，未按照上述规定提交投标保证金将导致资格审查不合格。</w:t>
      </w:r>
    </w:p>
    <w:p>
      <w:pPr>
        <w:pStyle w:val="6"/>
        <w:ind w:firstLine="480"/>
        <w:jc w:val="both"/>
      </w:pPr>
      <w:r>
        <w:rPr>
          <w:rFonts w:ascii="仿宋_GB2312" w:hAnsi="仿宋_GB2312" w:eastAsia="仿宋_GB2312" w:cs="仿宋_GB2312"/>
        </w:rPr>
        <w:t>（4）退还</w:t>
      </w:r>
    </w:p>
    <w:p>
      <w:pPr>
        <w:pStyle w:val="6"/>
        <w:ind w:firstLine="480"/>
        <w:jc w:val="both"/>
      </w:pPr>
      <w:r>
        <w:rPr>
          <w:rFonts w:ascii="仿宋_GB2312" w:hAnsi="仿宋_GB2312" w:eastAsia="仿宋_GB2312" w:cs="仿宋_GB2312"/>
        </w:rPr>
        <w:t>①在投标截止时间前撤回已提交的电子投标文件的投标人，其投标保证金将在 福建省营造项目管理有限公司 收到投标人书面撤回通知之日起5个工作日内退回原账户。</w:t>
      </w:r>
    </w:p>
    <w:p>
      <w:pPr>
        <w:pStyle w:val="6"/>
        <w:ind w:firstLine="480"/>
        <w:jc w:val="both"/>
      </w:pPr>
      <w:r>
        <w:rPr>
          <w:rFonts w:ascii="仿宋_GB2312" w:hAnsi="仿宋_GB2312" w:eastAsia="仿宋_GB2312" w:cs="仿宋_GB2312"/>
        </w:rPr>
        <w:t>②未中标人的投标保证金将在中标通知书发出之日起5个工作日内退回原账户。</w:t>
      </w:r>
    </w:p>
    <w:p>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pPr>
      <w:r>
        <w:rPr>
          <w:rFonts w:ascii="仿宋_GB2312" w:hAnsi="仿宋_GB2312" w:eastAsia="仿宋_GB2312" w:cs="仿宋_GB2312"/>
        </w:rPr>
        <w:t>④终止招标的， 福建省营造项目管理有限公司 将在终止公告发布之日起5个工作日内退回已收取的投标保证金及其在银行产生的孳息。</w:t>
      </w:r>
    </w:p>
    <w:p>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rPr>
          <w:rFonts w:ascii="仿宋_GB2312" w:hAnsi="仿宋_GB2312" w:eastAsia="仿宋_GB2312" w:cs="仿宋_GB2312"/>
        </w:rPr>
        <w:t>（6）有下列情形之一的，投标保证金将不予退还或通过投标保函进行索赔：</w:t>
      </w:r>
    </w:p>
    <w:p>
      <w:pPr>
        <w:pStyle w:val="6"/>
        <w:ind w:firstLine="480"/>
        <w:jc w:val="both"/>
      </w:pPr>
      <w:r>
        <w:rPr>
          <w:rFonts w:ascii="仿宋_GB2312" w:hAnsi="仿宋_GB2312" w:eastAsia="仿宋_GB2312" w:cs="仿宋_GB2312"/>
        </w:rPr>
        <w:t>①投标人串通投标；</w:t>
      </w:r>
    </w:p>
    <w:p>
      <w:pPr>
        <w:pStyle w:val="6"/>
        <w:ind w:firstLine="480"/>
        <w:jc w:val="both"/>
      </w:pPr>
      <w:r>
        <w:rPr>
          <w:rFonts w:ascii="仿宋_GB2312" w:hAnsi="仿宋_GB2312" w:eastAsia="仿宋_GB2312" w:cs="仿宋_GB2312"/>
        </w:rPr>
        <w:t>②投标人提供虚假材料；</w:t>
      </w:r>
    </w:p>
    <w:p>
      <w:pPr>
        <w:pStyle w:val="6"/>
        <w:ind w:firstLine="480"/>
        <w:jc w:val="both"/>
      </w:pPr>
      <w:r>
        <w:rPr>
          <w:rFonts w:ascii="仿宋_GB2312" w:hAnsi="仿宋_GB2312" w:eastAsia="仿宋_GB2312" w:cs="仿宋_GB2312"/>
        </w:rPr>
        <w:t>③投标人采取不正当手段诋毁、排挤其他投标人；</w:t>
      </w:r>
    </w:p>
    <w:p>
      <w:pPr>
        <w:pStyle w:val="6"/>
        <w:ind w:firstLine="480"/>
        <w:jc w:val="both"/>
      </w:pPr>
      <w:r>
        <w:rPr>
          <w:rFonts w:ascii="仿宋_GB2312" w:hAnsi="仿宋_GB2312" w:eastAsia="仿宋_GB2312" w:cs="仿宋_GB2312"/>
        </w:rPr>
        <w:t>④投标截止时间后，投标人在投标有效期内撤销电子投标文件；</w:t>
      </w:r>
    </w:p>
    <w:p>
      <w:pPr>
        <w:pStyle w:val="6"/>
        <w:ind w:firstLine="480"/>
        <w:jc w:val="both"/>
      </w:pPr>
      <w:r>
        <w:rPr>
          <w:rFonts w:ascii="仿宋_GB2312" w:hAnsi="仿宋_GB2312" w:eastAsia="仿宋_GB2312" w:cs="仿宋_GB2312"/>
        </w:rPr>
        <w:t>⑤招标文件规定的其他不予退还情形；</w:t>
      </w:r>
    </w:p>
    <w:p>
      <w:pPr>
        <w:pStyle w:val="6"/>
        <w:ind w:firstLine="480"/>
        <w:jc w:val="both"/>
      </w:pPr>
      <w:r>
        <w:rPr>
          <w:rFonts w:ascii="仿宋_GB2312" w:hAnsi="仿宋_GB2312" w:eastAsia="仿宋_GB2312" w:cs="仿宋_GB2312"/>
        </w:rPr>
        <w:t>⑥中标人有下列情形之一的：</w:t>
      </w:r>
    </w:p>
    <w:p>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pPr>
      <w:r>
        <w:rPr>
          <w:rFonts w:ascii="仿宋_GB2312" w:hAnsi="仿宋_GB2312" w:eastAsia="仿宋_GB2312" w:cs="仿宋_GB2312"/>
        </w:rPr>
        <w:t>b.未按照招标文件、投标文件的约定签订政府采购合同或提交履约保证金。</w:t>
      </w:r>
    </w:p>
    <w:p>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pPr>
      <w:r>
        <w:rPr>
          <w:rFonts w:ascii="仿宋_GB2312" w:hAnsi="仿宋_GB2312" w:eastAsia="仿宋_GB2312" w:cs="仿宋_GB2312"/>
        </w:rPr>
        <w:t>10.10电子投标文件的提交</w:t>
      </w:r>
    </w:p>
    <w:p>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pPr>
      <w:r>
        <w:rPr>
          <w:rFonts w:ascii="仿宋_GB2312" w:hAnsi="仿宋_GB2312" w:eastAsia="仿宋_GB2312" w:cs="仿宋_GB2312"/>
        </w:rPr>
        <w:t>10.11电子投标文件的补充、修改或撤回</w:t>
      </w:r>
    </w:p>
    <w:p>
      <w:pPr>
        <w:pStyle w:val="6"/>
        <w:ind w:firstLine="480"/>
        <w:jc w:val="both"/>
      </w:pPr>
      <w:r>
        <w:rPr>
          <w:rFonts w:ascii="仿宋_GB2312" w:hAnsi="仿宋_GB2312" w:eastAsia="仿宋_GB2312" w:cs="仿宋_GB2312"/>
        </w:rPr>
        <w:t>（1）投标截止时间前，投标人可对所提交的电子投标文件进行补充、修改或撤回，并书面通知 福建省营造项目管理有限公司 。</w:t>
      </w:r>
    </w:p>
    <w:p>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pPr>
      <w:r>
        <w:rPr>
          <w:rFonts w:ascii="仿宋_GB2312" w:hAnsi="仿宋_GB2312" w:eastAsia="仿宋_GB2312" w:cs="仿宋_GB2312"/>
        </w:rPr>
        <w:t>※按照上述规定提交的补充、修改内容作为电子投标文件组成部分。</w:t>
      </w:r>
    </w:p>
    <w:p>
      <w:pPr>
        <w:pStyle w:val="6"/>
        <w:ind w:firstLine="480"/>
        <w:jc w:val="both"/>
      </w:pPr>
      <w:r>
        <w:rPr>
          <w:rFonts w:ascii="仿宋_GB2312" w:hAnsi="仿宋_GB2312" w:eastAsia="仿宋_GB2312" w:cs="仿宋_GB2312"/>
        </w:rPr>
        <w:t>10.12除招标文件另有规定外，有下列情形之一的，投标无效：</w:t>
      </w:r>
    </w:p>
    <w:p>
      <w:pPr>
        <w:pStyle w:val="6"/>
        <w:ind w:firstLine="480"/>
        <w:jc w:val="both"/>
      </w:pPr>
      <w:r>
        <w:rPr>
          <w:rFonts w:ascii="仿宋_GB2312" w:hAnsi="仿宋_GB2312" w:eastAsia="仿宋_GB2312" w:cs="仿宋_GB2312"/>
        </w:rPr>
        <w:t>（1）电子投标文件未按照招标文件要求签署、盖章；</w:t>
      </w:r>
    </w:p>
    <w:p>
      <w:pPr>
        <w:pStyle w:val="6"/>
        <w:ind w:firstLine="480"/>
        <w:jc w:val="both"/>
      </w:pPr>
      <w:r>
        <w:rPr>
          <w:rFonts w:ascii="仿宋_GB2312" w:hAnsi="仿宋_GB2312" w:eastAsia="仿宋_GB2312" w:cs="仿宋_GB2312"/>
        </w:rPr>
        <w:t>（2）不符合招标文件中规定的资格要求；</w:t>
      </w:r>
    </w:p>
    <w:p>
      <w:pPr>
        <w:pStyle w:val="6"/>
        <w:ind w:firstLine="480"/>
        <w:jc w:val="both"/>
      </w:pPr>
      <w:r>
        <w:rPr>
          <w:rFonts w:ascii="仿宋_GB2312" w:hAnsi="仿宋_GB2312" w:eastAsia="仿宋_GB2312" w:cs="仿宋_GB2312"/>
        </w:rPr>
        <w:t>（3）投标报价超过招标文件中规定的预算金额或最高限价；</w:t>
      </w:r>
    </w:p>
    <w:p>
      <w:pPr>
        <w:pStyle w:val="6"/>
        <w:ind w:firstLine="480"/>
        <w:jc w:val="both"/>
      </w:pPr>
      <w:r>
        <w:rPr>
          <w:rFonts w:ascii="仿宋_GB2312" w:hAnsi="仿宋_GB2312" w:eastAsia="仿宋_GB2312" w:cs="仿宋_GB2312"/>
        </w:rPr>
        <w:t>（4）电子投标文件含有采购人不能接受的附加条件；</w:t>
      </w:r>
    </w:p>
    <w:p>
      <w:pPr>
        <w:pStyle w:val="6"/>
        <w:ind w:firstLine="480"/>
        <w:jc w:val="both"/>
      </w:pPr>
      <w:r>
        <w:rPr>
          <w:rFonts w:ascii="仿宋_GB2312" w:hAnsi="仿宋_GB2312" w:eastAsia="仿宋_GB2312" w:cs="仿宋_GB2312"/>
        </w:rPr>
        <w:t>（5）有关法律、法规和规章及招标文件规定的其他无效情形。</w:t>
      </w:r>
    </w:p>
    <w:p>
      <w:pPr>
        <w:pStyle w:val="6"/>
        <w:jc w:val="both"/>
        <w:outlineLvl w:val="2"/>
      </w:pPr>
      <w:r>
        <w:rPr>
          <w:rFonts w:ascii="仿宋_GB2312" w:hAnsi="仿宋_GB2312" w:eastAsia="仿宋_GB2312" w:cs="仿宋_GB2312"/>
          <w:b/>
          <w:sz w:val="28"/>
        </w:rPr>
        <w:t>五、开标</w:t>
      </w:r>
    </w:p>
    <w:p>
      <w:pPr>
        <w:pStyle w:val="6"/>
        <w:ind w:firstLine="480"/>
        <w:jc w:val="both"/>
      </w:pPr>
      <w:r>
        <w:rPr>
          <w:rFonts w:ascii="仿宋_GB2312" w:hAnsi="仿宋_GB2312" w:eastAsia="仿宋_GB2312" w:cs="仿宋_GB2312"/>
        </w:rPr>
        <w:t>11、开标</w:t>
      </w:r>
    </w:p>
    <w:p>
      <w:pPr>
        <w:pStyle w:val="6"/>
        <w:ind w:firstLine="480"/>
        <w:jc w:val="both"/>
      </w:pPr>
      <w:r>
        <w:rPr>
          <w:rFonts w:ascii="仿宋_GB2312" w:hAnsi="仿宋_GB2312" w:eastAsia="仿宋_GB2312" w:cs="仿宋_GB2312"/>
        </w:rPr>
        <w:t>11.1 福建省营造项目管理有限公司 将在招标文件载明的开标时间及地点主持召开开标会，并邀请投标人参加。</w:t>
      </w:r>
    </w:p>
    <w:p>
      <w:pPr>
        <w:pStyle w:val="6"/>
        <w:ind w:firstLine="480"/>
        <w:jc w:val="both"/>
      </w:pPr>
      <w:r>
        <w:rPr>
          <w:rFonts w:ascii="仿宋_GB2312" w:hAnsi="仿宋_GB2312" w:eastAsia="仿宋_GB2312" w:cs="仿宋_GB2312"/>
        </w:rPr>
        <w:t>11.2开标会的主持人、唱标人、记录人及其他工作人员（若有）均由 福建省营造项目管理有限公司 派出，现场监督人员（若有）可由有关方面派出。</w:t>
      </w:r>
    </w:p>
    <w:p>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rPr>
          <w:rFonts w:ascii="仿宋_GB2312" w:hAnsi="仿宋_GB2312" w:eastAsia="仿宋_GB2312" w:cs="仿宋_GB2312"/>
        </w:rPr>
        <w:t>11.4开标会应遵守下列规定：</w:t>
      </w:r>
    </w:p>
    <w:p>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rPr>
          <w:rFonts w:ascii="仿宋_GB2312" w:hAnsi="仿宋_GB2312" w:eastAsia="仿宋_GB2312" w:cs="仿宋_GB2312"/>
        </w:rPr>
        <w:t>（5）若投标人未到开标现场参加开标会，也未通过远程参加开标会的，视同认可开标结果。</w:t>
      </w:r>
    </w:p>
    <w:p>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福建省营造项目管理有限公司 提出任何疑义或要求（包括质疑）。</w:t>
      </w:r>
    </w:p>
    <w:p>
      <w:pPr>
        <w:pStyle w:val="6"/>
        <w:ind w:firstLine="480"/>
        <w:jc w:val="both"/>
      </w:pPr>
      <w:r>
        <w:rPr>
          <w:rFonts w:ascii="仿宋_GB2312" w:hAnsi="仿宋_GB2312" w:eastAsia="仿宋_GB2312" w:cs="仿宋_GB2312"/>
        </w:rPr>
        <w:t>11.5投标截止时间后，参加投标的投标人不足三家的，不进行开标。同时，本次采购活动结束， 福建省营造项目管理有限公司 将依法组织后续采购活动（包括但不限于：重新招标、采用其他方式采购等）。</w:t>
      </w:r>
    </w:p>
    <w:p>
      <w:pPr>
        <w:pStyle w:val="6"/>
        <w:ind w:firstLine="480"/>
        <w:jc w:val="both"/>
      </w:pPr>
      <w:r>
        <w:rPr>
          <w:rFonts w:ascii="仿宋_GB2312" w:hAnsi="仿宋_GB2312" w:eastAsia="仿宋_GB2312" w:cs="仿宋_GB2312"/>
        </w:rPr>
        <w:t>11.6投标截止时间后撤销投标的处理</w:t>
      </w:r>
    </w:p>
    <w:p>
      <w:pPr>
        <w:pStyle w:val="6"/>
        <w:ind w:firstLine="480"/>
        <w:jc w:val="both"/>
      </w:pPr>
      <w:r>
        <w:rPr>
          <w:rFonts w:ascii="仿宋_GB2312" w:hAnsi="仿宋_GB2312" w:eastAsia="仿宋_GB2312" w:cs="仿宋_GB2312"/>
        </w:rPr>
        <w:t>投标截止时间后，投标人在投标有效期内撤销投标的，其撤销投标的行为无效。</w:t>
      </w:r>
    </w:p>
    <w:p>
      <w:pPr>
        <w:pStyle w:val="6"/>
        <w:jc w:val="both"/>
        <w:outlineLvl w:val="2"/>
      </w:pPr>
      <w:r>
        <w:rPr>
          <w:rFonts w:ascii="仿宋_GB2312" w:hAnsi="仿宋_GB2312" w:eastAsia="仿宋_GB2312" w:cs="仿宋_GB2312"/>
          <w:b/>
          <w:sz w:val="28"/>
        </w:rPr>
        <w:t>六、中标与政府采购合同</w:t>
      </w:r>
    </w:p>
    <w:p>
      <w:pPr>
        <w:pStyle w:val="6"/>
        <w:ind w:firstLine="480"/>
        <w:jc w:val="both"/>
      </w:pPr>
      <w:r>
        <w:rPr>
          <w:rFonts w:ascii="仿宋_GB2312" w:hAnsi="仿宋_GB2312" w:eastAsia="仿宋_GB2312" w:cs="仿宋_GB2312"/>
        </w:rPr>
        <w:t>12、中标</w:t>
      </w:r>
    </w:p>
    <w:p>
      <w:pPr>
        <w:pStyle w:val="6"/>
        <w:ind w:firstLine="480"/>
        <w:jc w:val="both"/>
      </w:pPr>
      <w:r>
        <w:rPr>
          <w:rFonts w:ascii="仿宋_GB2312" w:hAnsi="仿宋_GB2312" w:eastAsia="仿宋_GB2312" w:cs="仿宋_GB2312"/>
        </w:rPr>
        <w:t>12.1本项目推荐的中标候选人家数：详见招标文件第二章。</w:t>
      </w:r>
    </w:p>
    <w:p>
      <w:pPr>
        <w:pStyle w:val="6"/>
        <w:ind w:firstLine="480"/>
        <w:jc w:val="both"/>
      </w:pPr>
      <w:r>
        <w:rPr>
          <w:rFonts w:ascii="仿宋_GB2312" w:hAnsi="仿宋_GB2312" w:eastAsia="仿宋_GB2312" w:cs="仿宋_GB2312"/>
        </w:rPr>
        <w:t>12.2本项目中标人的确定：详见招标文件第二章。</w:t>
      </w:r>
    </w:p>
    <w:p>
      <w:pPr>
        <w:pStyle w:val="6"/>
        <w:ind w:firstLine="480"/>
        <w:jc w:val="both"/>
      </w:pPr>
      <w:r>
        <w:rPr>
          <w:rFonts w:ascii="仿宋_GB2312" w:hAnsi="仿宋_GB2312" w:eastAsia="仿宋_GB2312" w:cs="仿宋_GB2312"/>
        </w:rPr>
        <w:t>12.3中标公告</w:t>
      </w:r>
    </w:p>
    <w:p>
      <w:pPr>
        <w:pStyle w:val="6"/>
        <w:ind w:firstLine="480"/>
        <w:jc w:val="both"/>
      </w:pPr>
      <w:r>
        <w:rPr>
          <w:rFonts w:ascii="仿宋_GB2312" w:hAnsi="仿宋_GB2312" w:eastAsia="仿宋_GB2312" w:cs="仿宋_GB2312"/>
        </w:rPr>
        <w:t>（1）中标人确定之日起2个工作日内， 福建省营造项目管理有限公司 将在招标文件载明的指定媒体以中标公告的形式发布中标结果。</w:t>
      </w:r>
    </w:p>
    <w:p>
      <w:pPr>
        <w:pStyle w:val="6"/>
        <w:ind w:firstLine="480"/>
        <w:jc w:val="both"/>
      </w:pPr>
      <w:r>
        <w:rPr>
          <w:rFonts w:ascii="仿宋_GB2312" w:hAnsi="仿宋_GB2312" w:eastAsia="仿宋_GB2312" w:cs="仿宋_GB2312"/>
        </w:rPr>
        <w:t>（2）中标公告的公告期限为1个工作日。</w:t>
      </w:r>
    </w:p>
    <w:p>
      <w:pPr>
        <w:pStyle w:val="6"/>
        <w:ind w:firstLine="480"/>
        <w:jc w:val="both"/>
      </w:pPr>
      <w:r>
        <w:rPr>
          <w:rFonts w:ascii="仿宋_GB2312" w:hAnsi="仿宋_GB2312" w:eastAsia="仿宋_GB2312" w:cs="仿宋_GB2312"/>
        </w:rPr>
        <w:t>12.4中标通知书</w:t>
      </w:r>
    </w:p>
    <w:p>
      <w:pPr>
        <w:pStyle w:val="6"/>
        <w:ind w:firstLine="480"/>
        <w:jc w:val="both"/>
      </w:pPr>
      <w:r>
        <w:rPr>
          <w:rFonts w:ascii="仿宋_GB2312" w:hAnsi="仿宋_GB2312" w:eastAsia="仿宋_GB2312" w:cs="仿宋_GB2312"/>
        </w:rPr>
        <w:t>（1）中标公告发布的同时， 福建省营造项目管理有限公司 将向中标人发出中标通知书。</w:t>
      </w:r>
    </w:p>
    <w:p>
      <w:pPr>
        <w:pStyle w:val="6"/>
        <w:ind w:firstLine="480"/>
        <w:jc w:val="both"/>
      </w:pPr>
      <w:r>
        <w:rPr>
          <w:rFonts w:ascii="仿宋_GB2312" w:hAnsi="仿宋_GB2312" w:eastAsia="仿宋_GB2312" w:cs="仿宋_GB2312"/>
        </w:rPr>
        <w:t>（2）中标通知书发出后，采购人不得违法改变中标结果，中标人无正当理由不得放弃中标。</w:t>
      </w:r>
    </w:p>
    <w:p>
      <w:pPr>
        <w:pStyle w:val="6"/>
        <w:ind w:firstLine="480"/>
        <w:jc w:val="both"/>
      </w:pPr>
      <w:r>
        <w:rPr>
          <w:rFonts w:ascii="仿宋_GB2312" w:hAnsi="仿宋_GB2312" w:eastAsia="仿宋_GB2312" w:cs="仿宋_GB2312"/>
        </w:rPr>
        <w:t>13、政府采购合同</w:t>
      </w:r>
    </w:p>
    <w:p>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rPr>
          <w:rFonts w:ascii="仿宋_GB2312" w:hAnsi="仿宋_GB2312" w:eastAsia="仿宋_GB2312" w:cs="仿宋_GB2312"/>
        </w:rPr>
        <w:t>13.2签订时限：详见须知前附表1的13.2。</w:t>
      </w:r>
    </w:p>
    <w:p>
      <w:pPr>
        <w:pStyle w:val="6"/>
        <w:ind w:firstLine="480"/>
        <w:jc w:val="both"/>
      </w:pPr>
      <w:r>
        <w:rPr>
          <w:rFonts w:ascii="仿宋_GB2312" w:hAnsi="仿宋_GB2312" w:eastAsia="仿宋_GB2312" w:cs="仿宋_GB2312"/>
        </w:rPr>
        <w:t>13.3政府采购合同的履行、违约责任和解决争议的方法等适用民法典。</w:t>
      </w:r>
    </w:p>
    <w:p>
      <w:pPr>
        <w:pStyle w:val="6"/>
        <w:ind w:firstLine="480"/>
        <w:jc w:val="both"/>
      </w:pPr>
      <w:r>
        <w:rPr>
          <w:rFonts w:ascii="仿宋_GB2312" w:hAnsi="仿宋_GB2312" w:eastAsia="仿宋_GB2312" w:cs="仿宋_GB2312"/>
        </w:rPr>
        <w:t>13.4采购人与中标人应根据政府采购合同的约定依法履行合同义务。</w:t>
      </w:r>
    </w:p>
    <w:p>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pPr>
      <w:r>
        <w:rPr>
          <w:rFonts w:ascii="仿宋_GB2312" w:hAnsi="仿宋_GB2312" w:eastAsia="仿宋_GB2312" w:cs="仿宋_GB2312"/>
          <w:b/>
          <w:sz w:val="28"/>
        </w:rPr>
        <w:t>七、询问、质疑与投诉</w:t>
      </w:r>
    </w:p>
    <w:p>
      <w:pPr>
        <w:pStyle w:val="6"/>
        <w:ind w:firstLine="480"/>
        <w:jc w:val="both"/>
      </w:pPr>
      <w:r>
        <w:rPr>
          <w:rFonts w:ascii="仿宋_GB2312" w:hAnsi="仿宋_GB2312" w:eastAsia="仿宋_GB2312" w:cs="仿宋_GB2312"/>
        </w:rPr>
        <w:t>14、询问</w:t>
      </w:r>
    </w:p>
    <w:p>
      <w:pPr>
        <w:pStyle w:val="6"/>
        <w:ind w:firstLine="480"/>
        <w:jc w:val="both"/>
      </w:pPr>
      <w:r>
        <w:rPr>
          <w:rFonts w:ascii="仿宋_GB2312" w:hAnsi="仿宋_GB2312" w:eastAsia="仿宋_GB2312" w:cs="仿宋_GB2312"/>
        </w:rPr>
        <w:t>14.1潜在投标人或投标人对本次采购活动的有关事项若有疑问，可向 福建省营造项目管理有限公司 提出询问， 福建省营造项目管理有限公司 将按照政府采购法及实施条例的有关规定进行答复。</w:t>
      </w:r>
    </w:p>
    <w:p>
      <w:pPr>
        <w:pStyle w:val="6"/>
        <w:ind w:firstLine="480"/>
        <w:jc w:val="both"/>
      </w:pPr>
      <w:r>
        <w:rPr>
          <w:rFonts w:ascii="仿宋_GB2312" w:hAnsi="仿宋_GB2312" w:eastAsia="仿宋_GB2312" w:cs="仿宋_GB2312"/>
        </w:rPr>
        <w:t>15、质疑</w:t>
      </w:r>
    </w:p>
    <w:p>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rPr>
          <w:rFonts w:ascii="仿宋_GB2312" w:hAnsi="仿宋_GB2312" w:eastAsia="仿宋_GB2312" w:cs="仿宋_GB2312"/>
        </w:rPr>
        <w:t>（2）质疑人应按照招标文件第二章规定方式提交质疑函。</w:t>
      </w:r>
    </w:p>
    <w:p>
      <w:pPr>
        <w:pStyle w:val="6"/>
        <w:ind w:firstLine="480"/>
        <w:jc w:val="both"/>
      </w:pPr>
      <w:r>
        <w:rPr>
          <w:rFonts w:ascii="仿宋_GB2312" w:hAnsi="仿宋_GB2312" w:eastAsia="仿宋_GB2312" w:cs="仿宋_GB2312"/>
        </w:rPr>
        <w:t>（3）质疑函应包括下列主要内容：</w:t>
      </w:r>
    </w:p>
    <w:p>
      <w:pPr>
        <w:pStyle w:val="6"/>
        <w:ind w:firstLine="480"/>
        <w:jc w:val="both"/>
      </w:pPr>
      <w:r>
        <w:rPr>
          <w:rFonts w:ascii="仿宋_GB2312" w:hAnsi="仿宋_GB2312" w:eastAsia="仿宋_GB2312" w:cs="仿宋_GB2312"/>
        </w:rPr>
        <w:t>①质疑人的基本信息，至少包括：全称、地址、邮政编码等；</w:t>
      </w:r>
    </w:p>
    <w:p>
      <w:pPr>
        <w:pStyle w:val="6"/>
        <w:ind w:firstLine="480"/>
        <w:jc w:val="both"/>
      </w:pPr>
      <w:r>
        <w:rPr>
          <w:rFonts w:ascii="仿宋_GB2312" w:hAnsi="仿宋_GB2312" w:eastAsia="仿宋_GB2312" w:cs="仿宋_GB2312"/>
        </w:rPr>
        <w:t>②所质疑项目的基本信息，至少包括：项目编号、项目名称等；</w:t>
      </w:r>
    </w:p>
    <w:p>
      <w:pPr>
        <w:pStyle w:val="6"/>
        <w:ind w:firstLine="480"/>
        <w:jc w:val="both"/>
      </w:pPr>
      <w:r>
        <w:rPr>
          <w:rFonts w:ascii="仿宋_GB2312" w:hAnsi="仿宋_GB2312" w:eastAsia="仿宋_GB2312" w:cs="仿宋_GB2312"/>
        </w:rPr>
        <w:t>③所质疑的具体事项（以下简称：“质疑事项”）；</w:t>
      </w:r>
    </w:p>
    <w:p>
      <w:pPr>
        <w:pStyle w:val="6"/>
        <w:ind w:firstLine="480"/>
        <w:jc w:val="both"/>
      </w:pPr>
      <w:r>
        <w:rPr>
          <w:rFonts w:ascii="仿宋_GB2312" w:hAnsi="仿宋_GB2312" w:eastAsia="仿宋_GB2312" w:cs="仿宋_GB2312"/>
        </w:rPr>
        <w:t>④针对质疑事项提出的明确请求，前述明确请求指质疑人提出质疑的目的以及希望 福建省营造项目管理有限公司 对其质疑作出的处理结果，如：暂停招标投标活动、修改招标文件、停止或纠正违法违规行为、中标结果无效、废标、重新招标等；</w:t>
      </w:r>
    </w:p>
    <w:p>
      <w:pPr>
        <w:pStyle w:val="6"/>
        <w:ind w:firstLine="480"/>
        <w:jc w:val="both"/>
      </w:pPr>
      <w:r>
        <w:rPr>
          <w:rFonts w:ascii="仿宋_GB2312" w:hAnsi="仿宋_GB2312" w:eastAsia="仿宋_GB2312" w:cs="仿宋_GB2312"/>
        </w:rPr>
        <w:t>⑤针对质疑事项导致质疑人自身权益受到损害的必要证明材料，至少包括：</w:t>
      </w:r>
    </w:p>
    <w:p>
      <w:pPr>
        <w:pStyle w:val="6"/>
        <w:ind w:firstLine="480"/>
        <w:jc w:val="both"/>
      </w:pPr>
      <w:r>
        <w:rPr>
          <w:rFonts w:ascii="仿宋_GB2312" w:hAnsi="仿宋_GB2312" w:eastAsia="仿宋_GB2312" w:cs="仿宋_GB2312"/>
        </w:rPr>
        <w:t>a.质疑人代表的身份证明材料：</w:t>
      </w:r>
    </w:p>
    <w:p>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rPr>
          <w:rFonts w:ascii="仿宋_GB2312" w:hAnsi="仿宋_GB2312" w:eastAsia="仿宋_GB2312" w:cs="仿宋_GB2312"/>
        </w:rPr>
        <w:t>a2若本项目接受自然人投标且质疑人为自然人的，提供本人的身份证复印件。</w:t>
      </w:r>
    </w:p>
    <w:p>
      <w:pPr>
        <w:pStyle w:val="6"/>
        <w:ind w:firstLine="480"/>
        <w:jc w:val="both"/>
      </w:pPr>
      <w:r>
        <w:rPr>
          <w:rFonts w:ascii="仿宋_GB2312" w:hAnsi="仿宋_GB2312" w:eastAsia="仿宋_GB2312" w:cs="仿宋_GB2312"/>
        </w:rPr>
        <w:t>b.其他证明材料（即事实依据和必要的法律依据）包括但不限于下列材料：</w:t>
      </w:r>
    </w:p>
    <w:p>
      <w:pPr>
        <w:pStyle w:val="6"/>
        <w:ind w:firstLine="480"/>
        <w:jc w:val="both"/>
      </w:pPr>
      <w:r>
        <w:rPr>
          <w:rFonts w:ascii="仿宋_GB2312" w:hAnsi="仿宋_GB2312" w:eastAsia="仿宋_GB2312" w:cs="仿宋_GB2312"/>
        </w:rPr>
        <w:t>b1所质疑的具体事项是与自己有利害关系的证明材料；</w:t>
      </w:r>
    </w:p>
    <w:p>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pPr>
      <w:r>
        <w:rPr>
          <w:rFonts w:ascii="仿宋_GB2312" w:hAnsi="仿宋_GB2312" w:eastAsia="仿宋_GB2312" w:cs="仿宋_GB2312"/>
        </w:rPr>
        <w:t>b3依法应终止采购程序的证明材料；</w:t>
      </w:r>
    </w:p>
    <w:p>
      <w:pPr>
        <w:pStyle w:val="6"/>
        <w:ind w:firstLine="480"/>
        <w:jc w:val="both"/>
      </w:pPr>
      <w:r>
        <w:rPr>
          <w:rFonts w:ascii="仿宋_GB2312" w:hAnsi="仿宋_GB2312" w:eastAsia="仿宋_GB2312" w:cs="仿宋_GB2312"/>
        </w:rPr>
        <w:t>b4应重新采购的证明材料；</w:t>
      </w:r>
    </w:p>
    <w:p>
      <w:pPr>
        <w:pStyle w:val="6"/>
        <w:ind w:firstLine="480"/>
        <w:jc w:val="both"/>
      </w:pPr>
      <w:r>
        <w:rPr>
          <w:rFonts w:ascii="仿宋_GB2312" w:hAnsi="仿宋_GB2312" w:eastAsia="仿宋_GB2312" w:cs="仿宋_GB2312"/>
        </w:rPr>
        <w:t>b5采购文件、采购过程或中标、成交结果损害自己合法权益的证明材料等；</w:t>
      </w:r>
    </w:p>
    <w:p>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rPr>
          <w:rFonts w:ascii="仿宋_GB2312" w:hAnsi="仿宋_GB2312" w:eastAsia="仿宋_GB2312" w:cs="仿宋_GB2312"/>
        </w:rPr>
        <w:t>⑥质疑人代表及其联系方法的信息，至少包括：姓名、手机、电子信箱、邮寄地址等。</w:t>
      </w:r>
    </w:p>
    <w:p>
      <w:pPr>
        <w:pStyle w:val="6"/>
        <w:ind w:firstLine="480"/>
        <w:jc w:val="both"/>
      </w:pPr>
      <w:r>
        <w:rPr>
          <w:rFonts w:ascii="仿宋_GB2312" w:hAnsi="仿宋_GB2312" w:eastAsia="仿宋_GB2312" w:cs="仿宋_GB2312"/>
        </w:rPr>
        <w:t>⑦提出质疑的日期。</w:t>
      </w:r>
    </w:p>
    <w:p>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pPr>
      <w:r>
        <w:rPr>
          <w:rFonts w:ascii="仿宋_GB2312" w:hAnsi="仿宋_GB2312" w:eastAsia="仿宋_GB2312" w:cs="仿宋_GB2312"/>
        </w:rPr>
        <w:t>15.2对不符合本章第15.1条规定的质疑，将按照下列规定进行处理：</w:t>
      </w:r>
    </w:p>
    <w:p>
      <w:pPr>
        <w:pStyle w:val="6"/>
        <w:ind w:firstLine="480"/>
        <w:jc w:val="both"/>
      </w:pPr>
      <w:r>
        <w:rPr>
          <w:rFonts w:ascii="仿宋_GB2312" w:hAnsi="仿宋_GB2312" w:eastAsia="仿宋_GB2312" w:cs="仿宋_GB2312"/>
        </w:rPr>
        <w:t>（1）不符合其中第（1）、（2）条规定的，书面告知质疑人不予受理及其理由。</w:t>
      </w:r>
    </w:p>
    <w:p>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pPr>
      <w:r>
        <w:rPr>
          <w:rFonts w:ascii="仿宋_GB2312" w:hAnsi="仿宋_GB2312" w:eastAsia="仿宋_GB2312" w:cs="仿宋_GB2312"/>
        </w:rPr>
        <w:t>15.4招标文件的质疑：详见招标文件第二章。</w:t>
      </w:r>
    </w:p>
    <w:p>
      <w:pPr>
        <w:pStyle w:val="6"/>
        <w:ind w:firstLine="480"/>
        <w:jc w:val="both"/>
      </w:pPr>
      <w:r>
        <w:rPr>
          <w:rFonts w:ascii="仿宋_GB2312" w:hAnsi="仿宋_GB2312" w:eastAsia="仿宋_GB2312" w:cs="仿宋_GB2312"/>
        </w:rPr>
        <w:t>16、投诉</w:t>
      </w:r>
    </w:p>
    <w:p>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rPr>
          <w:rFonts w:ascii="仿宋_GB2312" w:hAnsi="仿宋_GB2312" w:eastAsia="仿宋_GB2312" w:cs="仿宋_GB2312"/>
        </w:rPr>
        <w:t>16.2投诉应有明确的请求和必要的证明材料，投诉的事项不得超出已质疑事项的范围。</w:t>
      </w:r>
    </w:p>
    <w:p>
      <w:pPr>
        <w:pStyle w:val="6"/>
        <w:jc w:val="both"/>
        <w:outlineLvl w:val="2"/>
      </w:pPr>
      <w:r>
        <w:rPr>
          <w:rFonts w:ascii="仿宋_GB2312" w:hAnsi="仿宋_GB2312" w:eastAsia="仿宋_GB2312" w:cs="仿宋_GB2312"/>
          <w:b/>
          <w:sz w:val="28"/>
        </w:rPr>
        <w:t>八、政府采购政策</w:t>
      </w:r>
    </w:p>
    <w:p>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left"/>
      </w:pPr>
      <w:r>
        <w:rPr>
          <w:rFonts w:ascii="仿宋_GB2312" w:hAnsi="仿宋_GB2312" w:eastAsia="仿宋_GB2312" w:cs="仿宋_GB2312"/>
        </w:rPr>
        <w:t>17.1本国产品与非本国产品相关约定</w:t>
      </w:r>
    </w:p>
    <w:p>
      <w:pPr>
        <w:pStyle w:val="6"/>
        <w:ind w:firstLine="480"/>
        <w:jc w:val="left"/>
      </w:pPr>
      <w:r>
        <w:rPr>
          <w:rFonts w:ascii="仿宋_GB2312" w:hAnsi="仿宋_GB2312" w:eastAsia="仿宋_GB2312" w:cs="仿宋_GB2312"/>
        </w:rPr>
        <w:t>17.1.1本国产品</w:t>
      </w:r>
    </w:p>
    <w:p>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6"/>
        <w:ind w:firstLine="480"/>
        <w:jc w:val="left"/>
      </w:pPr>
      <w:r>
        <w:rPr>
          <w:rFonts w:ascii="仿宋_GB2312" w:hAnsi="仿宋_GB2312" w:eastAsia="仿宋_GB2312" w:cs="仿宋_GB2312"/>
        </w:rPr>
        <w:t>17.1.2 非本国产品</w:t>
      </w:r>
    </w:p>
    <w:p>
      <w:pPr>
        <w:pStyle w:val="6"/>
        <w:ind w:firstLine="480"/>
        <w:jc w:val="left"/>
      </w:pPr>
      <w:r>
        <w:rPr>
          <w:rFonts w:ascii="仿宋_GB2312" w:hAnsi="仿宋_GB2312" w:eastAsia="仿宋_GB2312" w:cs="仿宋_GB2312"/>
        </w:rPr>
        <w:t>17.1.2.1 进口产品：指通过中国海关报关验放进入中国境内且产自关境外的产品，其中：</w:t>
      </w:r>
    </w:p>
    <w:p>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6"/>
        <w:ind w:firstLine="480"/>
        <w:jc w:val="left"/>
      </w:pPr>
      <w:r>
        <w:rPr>
          <w:rFonts w:ascii="仿宋_GB2312" w:hAnsi="仿宋_GB2312" w:eastAsia="仿宋_GB2312" w:cs="仿宋_GB2312"/>
        </w:rPr>
        <w:t>17.1.2.2 其它非本国产品：指非进口产品且不符合本国产品标准的产品。</w:t>
      </w:r>
    </w:p>
    <w:p>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rPr>
          <w:rFonts w:ascii="仿宋_GB2312" w:hAnsi="仿宋_GB2312" w:eastAsia="仿宋_GB2312" w:cs="仿宋_GB2312"/>
        </w:rPr>
        <w:t>（1）中小企业指符合下列条件的中型、小型、微型企业：</w:t>
      </w:r>
    </w:p>
    <w:p>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rPr>
          <w:rFonts w:ascii="仿宋_GB2312" w:hAnsi="仿宋_GB2312" w:eastAsia="仿宋_GB2312" w:cs="仿宋_GB2312"/>
        </w:rPr>
        <w:t>②符合中小企业划分标准的个体工商户，在政府采购活动中视同中小企业。</w:t>
      </w:r>
    </w:p>
    <w:p>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pPr>
      <w:r>
        <w:rPr>
          <w:rFonts w:ascii="仿宋_GB2312" w:hAnsi="仿宋_GB2312" w:eastAsia="仿宋_GB2312" w:cs="仿宋_GB2312"/>
        </w:rPr>
        <w:t>②在工程采购项目中，工程由中小企业承建，即工程施工单位为中小企业；</w:t>
      </w:r>
    </w:p>
    <w:p>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pPr>
      <w:r>
        <w:rPr>
          <w:rFonts w:ascii="仿宋_GB2312" w:hAnsi="仿宋_GB2312" w:eastAsia="仿宋_GB2312" w:cs="仿宋_GB2312"/>
        </w:rPr>
        <w:t>②监狱企业视同小型、微型企业。</w:t>
      </w:r>
    </w:p>
    <w:p>
      <w:pPr>
        <w:pStyle w:val="6"/>
        <w:ind w:firstLine="480"/>
        <w:jc w:val="both"/>
      </w:pPr>
      <w:r>
        <w:rPr>
          <w:rFonts w:ascii="仿宋_GB2312" w:hAnsi="仿宋_GB2312" w:eastAsia="仿宋_GB2312" w:cs="仿宋_GB2312"/>
        </w:rPr>
        <w:t>（5）残疾人福利性单位指同时符合下列条件的单位：</w:t>
      </w:r>
    </w:p>
    <w:p>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pPr>
      <w:r>
        <w:rPr>
          <w:rFonts w:ascii="仿宋_GB2312" w:hAnsi="仿宋_GB2312" w:eastAsia="仿宋_GB2312" w:cs="仿宋_GB2312"/>
        </w:rPr>
        <w:t>②依法与安置的每位残疾人签订了一年以上（含一年）的劳动合同或服务协议；</w:t>
      </w:r>
    </w:p>
    <w:p>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pPr>
      <w:r>
        <w:rPr>
          <w:rFonts w:ascii="仿宋_GB2312" w:hAnsi="仿宋_GB2312" w:eastAsia="仿宋_GB2312" w:cs="仿宋_GB2312"/>
        </w:rPr>
        <w:t>17.5为落实政府采购政策需满足的要求：详见招标文件第一章。</w:t>
      </w:r>
    </w:p>
    <w:p>
      <w:pPr>
        <w:pStyle w:val="6"/>
        <w:jc w:val="both"/>
        <w:outlineLvl w:val="2"/>
      </w:pPr>
      <w:r>
        <w:rPr>
          <w:rFonts w:ascii="仿宋_GB2312" w:hAnsi="仿宋_GB2312" w:eastAsia="仿宋_GB2312" w:cs="仿宋_GB2312"/>
          <w:b/>
          <w:sz w:val="28"/>
        </w:rPr>
        <w:t>九、本项目的有关信息</w:t>
      </w:r>
    </w:p>
    <w:p>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rPr>
          <w:rFonts w:ascii="仿宋_GB2312" w:hAnsi="仿宋_GB2312" w:eastAsia="仿宋_GB2312" w:cs="仿宋_GB2312"/>
        </w:rPr>
        <w:t>18.1指定媒体：详见招标文件第二章。</w:t>
      </w:r>
    </w:p>
    <w:p>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pPr>
      <w:r>
        <w:rPr>
          <w:rFonts w:ascii="仿宋_GB2312" w:hAnsi="仿宋_GB2312" w:eastAsia="仿宋_GB2312" w:cs="仿宋_GB2312"/>
          <w:b/>
          <w:sz w:val="28"/>
        </w:rPr>
        <w:t>十、其他事项</w:t>
      </w:r>
    </w:p>
    <w:p>
      <w:pPr>
        <w:pStyle w:val="6"/>
        <w:ind w:firstLine="480"/>
        <w:jc w:val="both"/>
      </w:pPr>
      <w:r>
        <w:rPr>
          <w:rFonts w:ascii="仿宋_GB2312" w:hAnsi="仿宋_GB2312" w:eastAsia="仿宋_GB2312" w:cs="仿宋_GB2312"/>
        </w:rPr>
        <w:t>19、其他事项：</w:t>
      </w:r>
    </w:p>
    <w:p>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rPr>
          <w:rFonts w:ascii="仿宋_GB2312" w:hAnsi="仿宋_GB2312" w:eastAsia="仿宋_GB2312" w:cs="仿宋_GB2312"/>
        </w:rPr>
        <w:t>19.2其他：详见招标文件第二章。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资格审查与评标</w:t>
      </w:r>
    </w:p>
    <w:p>
      <w:pPr>
        <w:pStyle w:val="6"/>
        <w:jc w:val="both"/>
        <w:outlineLvl w:val="2"/>
      </w:pPr>
      <w:r>
        <w:rPr>
          <w:rFonts w:ascii="仿宋_GB2312" w:hAnsi="仿宋_GB2312" w:eastAsia="仿宋_GB2312" w:cs="仿宋_GB2312"/>
          <w:b/>
          <w:sz w:val="28"/>
        </w:rPr>
        <w:t>一、资格审查</w:t>
      </w:r>
    </w:p>
    <w:p>
      <w:pPr>
        <w:pStyle w:val="6"/>
        <w:ind w:firstLine="480"/>
        <w:jc w:val="both"/>
      </w:pPr>
      <w:r>
        <w:rPr>
          <w:rFonts w:ascii="仿宋_GB2312" w:hAnsi="仿宋_GB2312" w:eastAsia="仿宋_GB2312" w:cs="仿宋_GB2312"/>
        </w:rPr>
        <w:t>1、开标结束后，由 福建省营造项目管理有限公司 负责资格审查小组的组建及资格审查工作的组织。</w:t>
      </w:r>
    </w:p>
    <w:p>
      <w:pPr>
        <w:pStyle w:val="6"/>
        <w:ind w:firstLine="480"/>
        <w:jc w:val="both"/>
      </w:pPr>
      <w:r>
        <w:rPr>
          <w:rFonts w:ascii="仿宋_GB2312" w:hAnsi="仿宋_GB2312" w:eastAsia="仿宋_GB2312" w:cs="仿宋_GB2312"/>
        </w:rPr>
        <w:t>1.1资格审查小组</w:t>
      </w:r>
    </w:p>
    <w:p>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营造项目管理有限公司派出的工作人员至少1人，其余1人可为采购人代表或福建省营造项目管理有限公司的工作人员。</w:t>
      </w:r>
    </w:p>
    <w:p>
      <w:pPr>
        <w:pStyle w:val="6"/>
        <w:ind w:firstLine="480"/>
        <w:jc w:val="both"/>
      </w:pPr>
      <w:r>
        <w:rPr>
          <w:rFonts w:ascii="仿宋_GB2312" w:hAnsi="仿宋_GB2312" w:eastAsia="仿宋_GB2312" w:cs="仿宋_GB2312"/>
        </w:rPr>
        <w:t>1.2资格审查的依据是招标文件和电子投标文件。</w:t>
      </w:r>
    </w:p>
    <w:p>
      <w:pPr>
        <w:pStyle w:val="6"/>
        <w:ind w:firstLine="480"/>
        <w:jc w:val="both"/>
      </w:pPr>
      <w:r>
        <w:rPr>
          <w:rFonts w:ascii="仿宋_GB2312" w:hAnsi="仿宋_GB2312" w:eastAsia="仿宋_GB2312" w:cs="仿宋_GB2312"/>
        </w:rPr>
        <w:t>1.3资格审查的范围及内容：电子投标文件（资格及资信证明部分），具体如下：</w:t>
      </w:r>
    </w:p>
    <w:p>
      <w:pPr>
        <w:pStyle w:val="6"/>
        <w:ind w:firstLine="480"/>
        <w:jc w:val="both"/>
      </w:pPr>
      <w:r>
        <w:rPr>
          <w:rFonts w:ascii="仿宋_GB2312" w:hAnsi="仿宋_GB2312" w:eastAsia="仿宋_GB2312" w:cs="仿宋_GB2312"/>
        </w:rPr>
        <w:t>（1）“投标函”；</w:t>
      </w:r>
    </w:p>
    <w:p>
      <w:pPr>
        <w:pStyle w:val="6"/>
        <w:ind w:firstLine="480"/>
        <w:jc w:val="both"/>
      </w:pPr>
      <w:r>
        <w:rPr>
          <w:rFonts w:ascii="仿宋_GB2312" w:hAnsi="仿宋_GB2312" w:eastAsia="仿宋_GB2312" w:cs="仿宋_GB2312"/>
        </w:rPr>
        <w:t>（2）“投标人的资格及资信证明文件”</w:t>
      </w:r>
    </w:p>
    <w:p>
      <w:pPr>
        <w:pStyle w:val="6"/>
        <w:ind w:firstLine="480"/>
        <w:jc w:val="both"/>
      </w:pPr>
      <w:r>
        <w:rPr>
          <w:rFonts w:ascii="仿宋_GB2312" w:hAnsi="仿宋_GB2312" w:eastAsia="仿宋_GB2312" w:cs="仿宋_GB2312"/>
        </w:rPr>
        <w:t>①一般资格证明文件：</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rPr>
          <w:rFonts w:ascii="仿宋_GB2312" w:hAnsi="仿宋_GB2312" w:eastAsia="仿宋_GB2312" w:cs="仿宋_GB2312"/>
        </w:rPr>
        <w:t>※备注说明</w:t>
      </w:r>
    </w:p>
    <w:p>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pPr>
      <w:r>
        <w:rPr>
          <w:rFonts w:ascii="仿宋_GB2312" w:hAnsi="仿宋_GB2312" w:eastAsia="仿宋_GB2312" w:cs="仿宋_GB2312"/>
        </w:rPr>
        <w:t>④.其他资格证明文件：</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480"/>
        <w:jc w:val="both"/>
      </w:pPr>
      <w:r>
        <w:rPr>
          <w:rFonts w:ascii="仿宋_GB2312" w:hAnsi="仿宋_GB2312" w:eastAsia="仿宋_GB2312" w:cs="仿宋_GB2312"/>
        </w:rPr>
        <w:t>（3）投标保证金。</w:t>
      </w:r>
    </w:p>
    <w:p>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未按照招标文件规定提交投标保证金</w:t>
            </w:r>
          </w:p>
        </w:tc>
      </w:tr>
    </w:tbl>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资格及资信证明部分中不得出现报价部分的全部或部分的投标报价信息（或组成资料），否则资格审查不合格。</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资格及资信证明部分中不得出现报价部分的全部或部分的投标报价信息（或组成资料），否则资格审查不合格。</w:t>
            </w:r>
          </w:p>
        </w:tc>
      </w:tr>
    </w:tbl>
    <w:p>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rPr>
          <w:rFonts w:ascii="仿宋_GB2312" w:hAnsi="仿宋_GB2312" w:eastAsia="仿宋_GB2312" w:cs="仿宋_GB2312"/>
        </w:rPr>
        <w:t>2、资格审查情况不得私自外泄，有关信息由 福建省营造项目管理有限公司 统一对外发布。</w:t>
      </w:r>
    </w:p>
    <w:p>
      <w:pPr>
        <w:pStyle w:val="6"/>
        <w:ind w:firstLine="480"/>
        <w:jc w:val="both"/>
      </w:pPr>
      <w:r>
        <w:rPr>
          <w:rFonts w:ascii="仿宋_GB2312" w:hAnsi="仿宋_GB2312" w:eastAsia="仿宋_GB2312" w:cs="仿宋_GB2312"/>
        </w:rPr>
        <w:t>3、资格审查合格的投标人不足三家的，不进行评标。同时，本次采购活动结束， 福建省营造项目管理有限公司 将依法组织后续采购活动（包括但不限于：重新招标、采用其他方式采购等）。</w:t>
      </w:r>
    </w:p>
    <w:p>
      <w:pPr>
        <w:pStyle w:val="6"/>
        <w:jc w:val="both"/>
        <w:outlineLvl w:val="2"/>
      </w:pPr>
      <w:r>
        <w:rPr>
          <w:rFonts w:ascii="仿宋_GB2312" w:hAnsi="仿宋_GB2312" w:eastAsia="仿宋_GB2312" w:cs="仿宋_GB2312"/>
          <w:b/>
          <w:sz w:val="28"/>
        </w:rPr>
        <w:t>二、评标</w:t>
      </w:r>
    </w:p>
    <w:p>
      <w:pPr>
        <w:pStyle w:val="6"/>
        <w:ind w:firstLine="480"/>
        <w:jc w:val="both"/>
      </w:pPr>
      <w:r>
        <w:rPr>
          <w:rFonts w:ascii="仿宋_GB2312" w:hAnsi="仿宋_GB2312" w:eastAsia="仿宋_GB2312" w:cs="仿宋_GB2312"/>
        </w:rPr>
        <w:t>4、资格审查结束后，由 福建省营造项目管理有限公司 负责评标委员会的组建及评标工作的组织。</w:t>
      </w:r>
    </w:p>
    <w:p>
      <w:pPr>
        <w:pStyle w:val="6"/>
        <w:ind w:firstLine="480"/>
        <w:jc w:val="both"/>
      </w:pPr>
      <w:r>
        <w:rPr>
          <w:rFonts w:ascii="仿宋_GB2312" w:hAnsi="仿宋_GB2312" w:eastAsia="仿宋_GB2312" w:cs="仿宋_GB2312"/>
        </w:rPr>
        <w:t>5、评标委员会</w:t>
      </w:r>
    </w:p>
    <w:p>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6"/>
        <w:ind w:firstLine="480"/>
        <w:jc w:val="both"/>
      </w:pPr>
      <w:r>
        <w:rPr>
          <w:rFonts w:ascii="仿宋_GB2312" w:hAnsi="仿宋_GB2312" w:eastAsia="仿宋_GB2312" w:cs="仿宋_GB2312"/>
        </w:rPr>
        <w:t>5.2评标委员会负责具体评标事务，并按照下列原则依法独立履行有关职责：</w:t>
      </w:r>
    </w:p>
    <w:p>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pPr>
      <w:r>
        <w:rPr>
          <w:rFonts w:ascii="仿宋_GB2312" w:hAnsi="仿宋_GB2312" w:eastAsia="仿宋_GB2312" w:cs="仿宋_GB2312"/>
        </w:rPr>
        <w:t>（2）评标应遵循公平、公正、科学、严谨和择优原则。</w:t>
      </w:r>
    </w:p>
    <w:p>
      <w:pPr>
        <w:pStyle w:val="6"/>
        <w:ind w:firstLine="480"/>
        <w:jc w:val="both"/>
      </w:pPr>
      <w:r>
        <w:rPr>
          <w:rFonts w:ascii="仿宋_GB2312" w:hAnsi="仿宋_GB2312" w:eastAsia="仿宋_GB2312" w:cs="仿宋_GB2312"/>
        </w:rPr>
        <w:t>（3）评标的依据是招标文件和电子投标文件。</w:t>
      </w:r>
    </w:p>
    <w:p>
      <w:pPr>
        <w:pStyle w:val="6"/>
        <w:ind w:firstLine="480"/>
        <w:jc w:val="both"/>
      </w:pPr>
      <w:r>
        <w:rPr>
          <w:rFonts w:ascii="仿宋_GB2312" w:hAnsi="仿宋_GB2312" w:eastAsia="仿宋_GB2312" w:cs="仿宋_GB2312"/>
        </w:rPr>
        <w:t>（4）应按照招标文件规定推荐中标候选人或确定中标人。</w:t>
      </w:r>
    </w:p>
    <w:p>
      <w:pPr>
        <w:pStyle w:val="6"/>
        <w:ind w:firstLine="480"/>
        <w:jc w:val="both"/>
      </w:pPr>
      <w:r>
        <w:rPr>
          <w:rFonts w:ascii="仿宋_GB2312" w:hAnsi="仿宋_GB2312" w:eastAsia="仿宋_GB2312" w:cs="仿宋_GB2312"/>
        </w:rPr>
        <w:t>（5）评标应遵守下列评标纪律：</w:t>
      </w:r>
    </w:p>
    <w:p>
      <w:pPr>
        <w:pStyle w:val="6"/>
        <w:ind w:firstLine="480"/>
        <w:jc w:val="both"/>
      </w:pPr>
      <w:r>
        <w:rPr>
          <w:rFonts w:ascii="仿宋_GB2312" w:hAnsi="仿宋_GB2312" w:eastAsia="仿宋_GB2312" w:cs="仿宋_GB2312"/>
        </w:rPr>
        <w:t>①评标情况不得私自外泄，有关信息由 福建省营造项目管理有限公司 统一对外发布。</w:t>
      </w:r>
    </w:p>
    <w:p>
      <w:pPr>
        <w:pStyle w:val="6"/>
        <w:ind w:firstLine="480"/>
        <w:jc w:val="both"/>
      </w:pPr>
      <w:r>
        <w:rPr>
          <w:rFonts w:ascii="仿宋_GB2312" w:hAnsi="仿宋_GB2312" w:eastAsia="仿宋_GB2312" w:cs="仿宋_GB2312"/>
        </w:rPr>
        <w:t>②对 福建省营造项目管理有限公司 或投标人提供的要求保密的资料，不得摘记翻印和外传。</w:t>
      </w:r>
    </w:p>
    <w:p>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pPr>
      <w:r>
        <w:rPr>
          <w:rFonts w:ascii="仿宋_GB2312" w:hAnsi="仿宋_GB2312" w:eastAsia="仿宋_GB2312" w:cs="仿宋_GB2312"/>
        </w:rPr>
        <w:t>⑤评标中应充分发扬民主，推荐中标候选人或确定中标人后要服从评标报告。</w:t>
      </w:r>
    </w:p>
    <w:p>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pPr>
      <w:r>
        <w:rPr>
          <w:rFonts w:ascii="仿宋_GB2312" w:hAnsi="仿宋_GB2312" w:eastAsia="仿宋_GB2312" w:cs="仿宋_GB2312"/>
        </w:rPr>
        <w:t>6、评标程序</w:t>
      </w:r>
    </w:p>
    <w:p>
      <w:pPr>
        <w:pStyle w:val="6"/>
        <w:ind w:firstLine="480"/>
        <w:jc w:val="both"/>
      </w:pPr>
      <w:r>
        <w:rPr>
          <w:rFonts w:ascii="仿宋_GB2312" w:hAnsi="仿宋_GB2312" w:eastAsia="仿宋_GB2312" w:cs="仿宋_GB2312"/>
        </w:rPr>
        <w:t>6.1评标前的准备工作</w:t>
      </w:r>
    </w:p>
    <w:p>
      <w:pPr>
        <w:pStyle w:val="6"/>
        <w:ind w:firstLine="480"/>
        <w:jc w:val="both"/>
      </w:pPr>
      <w:r>
        <w:rPr>
          <w:rFonts w:ascii="仿宋_GB2312" w:hAnsi="仿宋_GB2312" w:eastAsia="仿宋_GB2312" w:cs="仿宋_GB2312"/>
        </w:rPr>
        <w:t>（1）全体评委应认真审阅招标文件，了解评委应履行或遵守的职责、义务和评标纪律。</w:t>
      </w:r>
    </w:p>
    <w:p>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rPr>
          <w:rFonts w:ascii="仿宋_GB2312" w:hAnsi="仿宋_GB2312" w:eastAsia="仿宋_GB2312" w:cs="仿宋_GB2312"/>
        </w:rPr>
        <w:t>6.2符合性审查</w:t>
      </w:r>
    </w:p>
    <w:p>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rPr>
          <w:rFonts w:ascii="仿宋_GB2312" w:hAnsi="仿宋_GB2312" w:eastAsia="仿宋_GB2312" w:cs="仿宋_GB2312"/>
        </w:rPr>
        <w:t>（5）评标委员会对所有投标人都执行相同的程序和标准。</w:t>
      </w:r>
    </w:p>
    <w:p>
      <w:pPr>
        <w:pStyle w:val="6"/>
        <w:ind w:firstLine="480"/>
        <w:jc w:val="both"/>
      </w:pPr>
      <w:r>
        <w:rPr>
          <w:rFonts w:ascii="仿宋_GB2312" w:hAnsi="仿宋_GB2312" w:eastAsia="仿宋_GB2312" w:cs="仿宋_GB2312"/>
        </w:rPr>
        <w:t>（6）有下列情形之一的，符合性审查不合格：</w:t>
      </w:r>
    </w:p>
    <w:p>
      <w:pPr>
        <w:pStyle w:val="6"/>
        <w:ind w:firstLine="480"/>
        <w:jc w:val="both"/>
      </w:pPr>
      <w:r>
        <w:rPr>
          <w:rFonts w:ascii="仿宋_GB2312" w:hAnsi="仿宋_GB2312" w:eastAsia="仿宋_GB2312" w:cs="仿宋_GB2312"/>
        </w:rPr>
        <w:t>①项目一般情形：</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ind w:firstLine="480"/>
        <w:jc w:val="both"/>
      </w:pPr>
      <w:r>
        <w:rPr>
          <w:rFonts w:ascii="仿宋_GB2312" w:hAnsi="仿宋_GB2312" w:eastAsia="仿宋_GB2312" w:cs="仿宋_GB2312"/>
        </w:rPr>
        <w:t>②本项目规定的其他情形：</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技术部分文件存在招标文件规定的其他无效标情形的，符合性审查不合格。</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商务部分文件存在招标文件规定的其他无效标情形的，符合性审查不合格。</w:t>
            </w:r>
          </w:p>
        </w:tc>
      </w:tr>
    </w:tbl>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情形</w:t>
            </w:r>
          </w:p>
        </w:tc>
        <w:tc>
          <w:tcPr>
            <w:tcW w:w="4614"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其他情形</w:t>
            </w:r>
          </w:p>
        </w:tc>
        <w:tc>
          <w:tcPr>
            <w:tcW w:w="4614" w:type="dxa"/>
          </w:tcPr>
          <w:p>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其他情形</w:t>
            </w:r>
          </w:p>
        </w:tc>
        <w:tc>
          <w:tcPr>
            <w:tcW w:w="4614" w:type="dxa"/>
          </w:tcPr>
          <w:p>
            <w:pPr>
              <w:pStyle w:val="6"/>
              <w:jc w:val="left"/>
            </w:pPr>
            <w:r>
              <w:rPr>
                <w:rFonts w:ascii="仿宋_GB2312" w:hAnsi="仿宋_GB2312" w:eastAsia="仿宋_GB2312" w:cs="仿宋_GB2312"/>
              </w:rPr>
              <w:t>投标报价超出最高限价或预算金额或不符合招标文件报价要求的，符合性审查不合格。</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招标文件第五章“二、技术和服务要求”中所有内容为不允许负偏离的实质性要求，若出现负偏离，则按未实质性响应招标文件要求处理，其投标无效。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技术部分文件存在招标文件规定的其他无效标情形的，符合性审查不合格。</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投标人未在电子投标文件中完全响应招标文件第五章“三、商务要求”全部内容的，按无效标处理。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其他情形</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商务部分文件存在招标文件规定的其他无效标情形的，符合性审查不合格。</w:t>
            </w:r>
          </w:p>
        </w:tc>
      </w:tr>
    </w:tbl>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情形</w:t>
            </w:r>
          </w:p>
        </w:tc>
        <w:tc>
          <w:tcPr>
            <w:tcW w:w="4614"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其他情形</w:t>
            </w:r>
          </w:p>
        </w:tc>
        <w:tc>
          <w:tcPr>
            <w:tcW w:w="4614" w:type="dxa"/>
          </w:tcPr>
          <w:p>
            <w:pPr>
              <w:pStyle w:val="6"/>
              <w:jc w:val="left"/>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其他情形</w:t>
            </w:r>
          </w:p>
        </w:tc>
        <w:tc>
          <w:tcPr>
            <w:tcW w:w="4614" w:type="dxa"/>
          </w:tcPr>
          <w:p>
            <w:pPr>
              <w:pStyle w:val="6"/>
              <w:jc w:val="left"/>
            </w:pPr>
            <w:r>
              <w:rPr>
                <w:rFonts w:ascii="仿宋_GB2312" w:hAnsi="仿宋_GB2312" w:eastAsia="仿宋_GB2312" w:cs="仿宋_GB2312"/>
              </w:rPr>
              <w:t>投标报价超出最高限价或预算金额或不符合招标文件报价要求的，符合性审查不合格。</w:t>
            </w:r>
          </w:p>
        </w:tc>
      </w:tr>
    </w:tbl>
    <w:p>
      <w:pPr>
        <w:pStyle w:val="6"/>
        <w:ind w:firstLine="480"/>
        <w:jc w:val="both"/>
      </w:pPr>
      <w:r>
        <w:rPr>
          <w:rFonts w:ascii="仿宋_GB2312" w:hAnsi="仿宋_GB2312" w:eastAsia="仿宋_GB2312" w:cs="仿宋_GB2312"/>
        </w:rPr>
        <w:t>6.3澄清有关问题</w:t>
      </w:r>
    </w:p>
    <w:p>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rPr>
          <w:rFonts w:ascii="仿宋_GB2312" w:hAnsi="仿宋_GB2312" w:eastAsia="仿宋_GB2312" w:cs="仿宋_GB2312"/>
        </w:rPr>
        <w:t>（3）电子投标文件报价出现前后不一致的，除招标文件另有规定外，按照下列规定修正：</w:t>
      </w:r>
    </w:p>
    <w:p>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pPr>
      <w:r>
        <w:rPr>
          <w:rFonts w:ascii="仿宋_GB2312" w:hAnsi="仿宋_GB2312" w:eastAsia="仿宋_GB2312" w:cs="仿宋_GB2312"/>
        </w:rPr>
        <w:t>②大写金额和小写金额不一致的，以大写金额为准；</w:t>
      </w:r>
    </w:p>
    <w:p>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pPr>
      <w:r>
        <w:rPr>
          <w:rFonts w:ascii="仿宋_GB2312" w:hAnsi="仿宋_GB2312" w:eastAsia="仿宋_GB2312" w:cs="仿宋_GB2312"/>
        </w:rPr>
        <w:t>④总价金额与按照单价汇总金额不一致的，以单价金额计算结果为准。</w:t>
      </w:r>
    </w:p>
    <w:p>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pPr>
      <w:r>
        <w:rPr>
          <w:rFonts w:ascii="仿宋_GB2312" w:hAnsi="仿宋_GB2312" w:eastAsia="仿宋_GB2312" w:cs="仿宋_GB2312"/>
        </w:rPr>
        <w:t>（4）关于细微偏差</w:t>
      </w:r>
    </w:p>
    <w:p>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pPr>
      <w:r>
        <w:rPr>
          <w:rFonts w:ascii="仿宋_GB2312" w:hAnsi="仿宋_GB2312" w:eastAsia="仿宋_GB2312" w:cs="仿宋_GB2312"/>
        </w:rPr>
        <w:t>（5）关于投标描述（即电子投标文件中描述的内容）</w:t>
      </w:r>
    </w:p>
    <w:p>
      <w:pPr>
        <w:pStyle w:val="6"/>
        <w:ind w:firstLine="480"/>
        <w:jc w:val="both"/>
      </w:pPr>
      <w:r>
        <w:rPr>
          <w:rFonts w:ascii="仿宋_GB2312" w:hAnsi="仿宋_GB2312" w:eastAsia="仿宋_GB2312" w:cs="仿宋_GB2312"/>
        </w:rPr>
        <w:t>①投标描述前后不一致且不涉及证明材料的：按照本章第6.3条第（1）、（2）款规定执行。</w:t>
      </w:r>
    </w:p>
    <w:p>
      <w:pPr>
        <w:pStyle w:val="6"/>
        <w:ind w:firstLine="480"/>
        <w:jc w:val="both"/>
      </w:pPr>
      <w:r>
        <w:rPr>
          <w:rFonts w:ascii="仿宋_GB2312" w:hAnsi="仿宋_GB2312" w:eastAsia="仿宋_GB2312" w:cs="仿宋_GB2312"/>
        </w:rPr>
        <w:t>②投标描述与证明材料不一致或多份证明材料之间不一致的：</w:t>
      </w:r>
    </w:p>
    <w:p>
      <w:pPr>
        <w:pStyle w:val="6"/>
        <w:ind w:firstLine="480"/>
        <w:jc w:val="both"/>
      </w:pPr>
      <w:r>
        <w:rPr>
          <w:rFonts w:ascii="仿宋_GB2312" w:hAnsi="仿宋_GB2312" w:eastAsia="仿宋_GB2312" w:cs="仿宋_GB2312"/>
        </w:rPr>
        <w:t>a.评标委员会将要求投标人进行书面澄清，并按照不利于投标人的内容进行评标。</w:t>
      </w:r>
    </w:p>
    <w:p>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rPr>
          <w:rFonts w:ascii="仿宋_GB2312" w:hAnsi="仿宋_GB2312" w:eastAsia="仿宋_GB2312" w:cs="仿宋_GB2312"/>
        </w:rPr>
        <w:t>6.4比较与评价</w:t>
      </w:r>
    </w:p>
    <w:p>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pPr>
      <w:r>
        <w:rPr>
          <w:rFonts w:ascii="仿宋_GB2312" w:hAnsi="仿宋_GB2312" w:eastAsia="仿宋_GB2312" w:cs="仿宋_GB2312"/>
        </w:rPr>
        <w:t>（2）关于相同品牌产品（政府采购服务类项目不适用本条款规定）</w:t>
      </w:r>
    </w:p>
    <w:p>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b.招标文件未规定的，采取随机抽取方式确定，其他投标无效。</w:t>
      </w:r>
    </w:p>
    <w:p>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b.招标文件未规定的，采取随机抽取方式确定，其他同品牌投标人不作为中标候选人。</w:t>
      </w:r>
    </w:p>
    <w:p>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pPr>
      <w:r>
        <w:rPr>
          <w:rFonts w:ascii="仿宋_GB2312" w:hAnsi="仿宋_GB2312" w:eastAsia="仿宋_GB2312" w:cs="仿宋_GB2312"/>
        </w:rPr>
        <w:t>（3）漏（缺）项</w:t>
      </w:r>
    </w:p>
    <w:p>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pPr>
      <w:r>
        <w:rPr>
          <w:rFonts w:ascii="仿宋_GB2312" w:hAnsi="仿宋_GB2312" w:eastAsia="仿宋_GB2312" w:cs="仿宋_GB2312"/>
        </w:rPr>
        <w:t>②对多报项及赠送项的价格评标时不予核减，全部进入评标价评议。</w:t>
      </w:r>
    </w:p>
    <w:p>
      <w:pPr>
        <w:pStyle w:val="6"/>
        <w:ind w:firstLine="480"/>
        <w:jc w:val="both"/>
      </w:pPr>
      <w:r>
        <w:rPr>
          <w:rFonts w:ascii="仿宋_GB2312" w:hAnsi="仿宋_GB2312" w:eastAsia="仿宋_GB2312" w:cs="仿宋_GB2312"/>
        </w:rPr>
        <w:t>6.5推荐中标候选人：详见本章第7.2条规定。</w:t>
      </w:r>
    </w:p>
    <w:p>
      <w:pPr>
        <w:pStyle w:val="6"/>
        <w:ind w:firstLine="480"/>
        <w:jc w:val="both"/>
      </w:pPr>
      <w:r>
        <w:rPr>
          <w:rFonts w:ascii="仿宋_GB2312" w:hAnsi="仿宋_GB2312" w:eastAsia="仿宋_GB2312" w:cs="仿宋_GB2312"/>
        </w:rPr>
        <w:t>6.6编写评标报告</w:t>
      </w:r>
    </w:p>
    <w:p>
      <w:pPr>
        <w:pStyle w:val="6"/>
        <w:ind w:firstLine="480"/>
        <w:jc w:val="both"/>
      </w:pPr>
      <w:r>
        <w:rPr>
          <w:rFonts w:ascii="仿宋_GB2312" w:hAnsi="仿宋_GB2312" w:eastAsia="仿宋_GB2312" w:cs="仿宋_GB2312"/>
        </w:rPr>
        <w:t>（1）评标报告由评标委员会负责编写。</w:t>
      </w:r>
    </w:p>
    <w:p>
      <w:pPr>
        <w:pStyle w:val="6"/>
        <w:ind w:firstLine="480"/>
        <w:jc w:val="both"/>
      </w:pPr>
      <w:r>
        <w:rPr>
          <w:rFonts w:ascii="仿宋_GB2312" w:hAnsi="仿宋_GB2312" w:eastAsia="仿宋_GB2312" w:cs="仿宋_GB2312"/>
        </w:rPr>
        <w:t>（2）评标报告应包括下列内容：</w:t>
      </w:r>
    </w:p>
    <w:p>
      <w:pPr>
        <w:pStyle w:val="6"/>
        <w:ind w:firstLine="480"/>
        <w:jc w:val="both"/>
      </w:pPr>
      <w:r>
        <w:rPr>
          <w:rFonts w:ascii="仿宋_GB2312" w:hAnsi="仿宋_GB2312" w:eastAsia="仿宋_GB2312" w:cs="仿宋_GB2312"/>
        </w:rPr>
        <w:t>①招标公告刊登的媒体名称、开标日期和地点；</w:t>
      </w:r>
    </w:p>
    <w:p>
      <w:pPr>
        <w:pStyle w:val="6"/>
        <w:ind w:firstLine="480"/>
        <w:jc w:val="both"/>
      </w:pPr>
      <w:r>
        <w:rPr>
          <w:rFonts w:ascii="仿宋_GB2312" w:hAnsi="仿宋_GB2312" w:eastAsia="仿宋_GB2312" w:cs="仿宋_GB2312"/>
        </w:rPr>
        <w:t>②投标人名单和评标委员会成员名单；</w:t>
      </w:r>
    </w:p>
    <w:p>
      <w:pPr>
        <w:pStyle w:val="6"/>
        <w:ind w:firstLine="480"/>
        <w:jc w:val="both"/>
      </w:pPr>
      <w:r>
        <w:rPr>
          <w:rFonts w:ascii="仿宋_GB2312" w:hAnsi="仿宋_GB2312" w:eastAsia="仿宋_GB2312" w:cs="仿宋_GB2312"/>
        </w:rPr>
        <w:t>③评标方法和标准；</w:t>
      </w:r>
    </w:p>
    <w:p>
      <w:pPr>
        <w:pStyle w:val="6"/>
        <w:ind w:firstLine="480"/>
        <w:jc w:val="both"/>
      </w:pPr>
      <w:r>
        <w:rPr>
          <w:rFonts w:ascii="仿宋_GB2312" w:hAnsi="仿宋_GB2312" w:eastAsia="仿宋_GB2312" w:cs="仿宋_GB2312"/>
        </w:rPr>
        <w:t>④开标记录和评标情况及说明，包括无效投标人名单及原因；</w:t>
      </w:r>
    </w:p>
    <w:p>
      <w:pPr>
        <w:pStyle w:val="6"/>
        <w:ind w:firstLine="480"/>
        <w:jc w:val="both"/>
      </w:pPr>
      <w:r>
        <w:rPr>
          <w:rFonts w:ascii="仿宋_GB2312" w:hAnsi="仿宋_GB2312" w:eastAsia="仿宋_GB2312" w:cs="仿宋_GB2312"/>
        </w:rPr>
        <w:t>⑤评标结果，包括中标候选人名单或确定的中标人；</w:t>
      </w:r>
    </w:p>
    <w:p>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pPr>
      <w:r>
        <w:rPr>
          <w:rFonts w:ascii="仿宋_GB2312" w:hAnsi="仿宋_GB2312" w:eastAsia="仿宋_GB2312" w:cs="仿宋_GB2312"/>
        </w:rPr>
        <w:t>（1）恶意串通（包括但不限于招标文件第三章第9.7条规定情形）；</w:t>
      </w:r>
    </w:p>
    <w:p>
      <w:pPr>
        <w:pStyle w:val="6"/>
        <w:ind w:firstLine="480"/>
        <w:jc w:val="both"/>
      </w:pPr>
      <w:r>
        <w:rPr>
          <w:rFonts w:ascii="仿宋_GB2312" w:hAnsi="仿宋_GB2312" w:eastAsia="仿宋_GB2312" w:cs="仿宋_GB2312"/>
        </w:rPr>
        <w:t>（2）妨碍其他投标人的竞争行为；</w:t>
      </w:r>
    </w:p>
    <w:p>
      <w:pPr>
        <w:pStyle w:val="6"/>
        <w:ind w:firstLine="480"/>
        <w:jc w:val="both"/>
      </w:pPr>
      <w:r>
        <w:rPr>
          <w:rFonts w:ascii="仿宋_GB2312" w:hAnsi="仿宋_GB2312" w:eastAsia="仿宋_GB2312" w:cs="仿宋_GB2312"/>
        </w:rPr>
        <w:t>（3）损害采购人或其他投标人的合法权益。</w:t>
      </w:r>
    </w:p>
    <w:p>
      <w:pPr>
        <w:pStyle w:val="6"/>
        <w:ind w:firstLine="480"/>
        <w:jc w:val="both"/>
      </w:pPr>
      <w:r>
        <w:rPr>
          <w:rFonts w:ascii="仿宋_GB2312" w:hAnsi="仿宋_GB2312" w:eastAsia="仿宋_GB2312" w:cs="仿宋_GB2312"/>
        </w:rPr>
        <w:t>6.10评标过程中，有下列情形之一的，应予废标：</w:t>
      </w:r>
    </w:p>
    <w:p>
      <w:pPr>
        <w:pStyle w:val="6"/>
        <w:ind w:firstLine="480"/>
        <w:jc w:val="both"/>
      </w:pPr>
      <w:r>
        <w:rPr>
          <w:rFonts w:ascii="仿宋_GB2312" w:hAnsi="仿宋_GB2312" w:eastAsia="仿宋_GB2312" w:cs="仿宋_GB2312"/>
        </w:rPr>
        <w:t>（1）符合性审查合格的投标人不足三家的；</w:t>
      </w:r>
    </w:p>
    <w:p>
      <w:pPr>
        <w:pStyle w:val="6"/>
        <w:ind w:firstLine="480"/>
        <w:jc w:val="both"/>
      </w:pPr>
      <w:r>
        <w:rPr>
          <w:rFonts w:ascii="仿宋_GB2312" w:hAnsi="仿宋_GB2312" w:eastAsia="仿宋_GB2312" w:cs="仿宋_GB2312"/>
        </w:rPr>
        <w:t>（2）有关法律、法规和规章规定废标的情形。</w:t>
      </w:r>
    </w:p>
    <w:p>
      <w:pPr>
        <w:pStyle w:val="6"/>
        <w:ind w:firstLine="480"/>
        <w:jc w:val="both"/>
      </w:pPr>
      <w:r>
        <w:rPr>
          <w:rFonts w:ascii="仿宋_GB2312" w:hAnsi="仿宋_GB2312" w:eastAsia="仿宋_GB2312" w:cs="仿宋_GB2312"/>
        </w:rPr>
        <w:t>※若废标，则本次采购活动结束， 福建省营造项目管理有限公司 将依法组织后续采购活动（包括但不限于：重新招标、采用其他方式采购等）。</w:t>
      </w:r>
    </w:p>
    <w:p>
      <w:pPr>
        <w:pStyle w:val="6"/>
        <w:ind w:firstLine="480"/>
        <w:jc w:val="both"/>
      </w:pPr>
      <w:r>
        <w:rPr>
          <w:rFonts w:ascii="仿宋_GB2312" w:hAnsi="仿宋_GB2312" w:eastAsia="仿宋_GB2312" w:cs="仿宋_GB2312"/>
        </w:rPr>
        <w:t>7、评标方法和标准</w:t>
      </w:r>
    </w:p>
    <w:p>
      <w:pPr>
        <w:pStyle w:val="6"/>
        <w:ind w:firstLine="480"/>
        <w:jc w:val="both"/>
      </w:pPr>
      <w:r>
        <w:rPr>
          <w:rFonts w:ascii="仿宋_GB2312" w:hAnsi="仿宋_GB2312" w:eastAsia="仿宋_GB2312" w:cs="仿宋_GB2312"/>
        </w:rPr>
        <w:t>7.1评标方法：</w:t>
      </w:r>
    </w:p>
    <w:p>
      <w:pPr>
        <w:pStyle w:val="6"/>
        <w:ind w:firstLine="480"/>
        <w:jc w:val="both"/>
      </w:pPr>
      <w:r>
        <w:rPr>
          <w:rFonts w:ascii="仿宋_GB2312" w:hAnsi="仿宋_GB2312" w:eastAsia="仿宋_GB2312" w:cs="仿宋_GB2312"/>
        </w:rPr>
        <w:t>采购包1：最低评标价法</w:t>
      </w:r>
    </w:p>
    <w:p>
      <w:pPr>
        <w:pStyle w:val="6"/>
        <w:jc w:val="both"/>
      </w:pPr>
      <w:r>
        <w:rPr>
          <w:rFonts w:ascii="仿宋_GB2312" w:hAnsi="仿宋_GB2312" w:eastAsia="仿宋_GB2312" w:cs="仿宋_GB2312"/>
        </w:rPr>
        <w:t>采购包2：最低评标价法</w:t>
      </w:r>
    </w:p>
    <w:p>
      <w:pPr>
        <w:pStyle w:val="6"/>
        <w:ind w:firstLine="480"/>
        <w:jc w:val="both"/>
      </w:pPr>
      <w:r>
        <w:rPr>
          <w:rFonts w:ascii="仿宋_GB2312" w:hAnsi="仿宋_GB2312" w:eastAsia="仿宋_GB2312" w:cs="仿宋_GB2312"/>
        </w:rPr>
        <w:t>7.2评标标准</w:t>
      </w:r>
    </w:p>
    <w:p>
      <w:pPr>
        <w:pStyle w:val="6"/>
        <w:ind w:firstLine="480"/>
        <w:jc w:val="both"/>
      </w:pPr>
      <w:r>
        <w:rPr>
          <w:rFonts w:ascii="仿宋_GB2312" w:hAnsi="仿宋_GB2312" w:eastAsia="仿宋_GB2312" w:cs="仿宋_GB2312"/>
        </w:rPr>
        <w:t>采购包1：最低评标价法</w:t>
      </w:r>
    </w:p>
    <w:p>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both"/>
            </w:pPr>
            <w:r>
              <w:rPr>
                <w:rFonts w:ascii="仿宋_GB2312" w:hAnsi="仿宋_GB2312" w:eastAsia="仿宋_GB2312" w:cs="仿宋_GB2312"/>
              </w:rPr>
              <w:t>项目</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异常低价审查</w:t>
            </w:r>
          </w:p>
        </w:tc>
        <w:tc>
          <w:tcPr>
            <w:tcW w:w="4153" w:type="dxa"/>
          </w:tcPr>
          <w:p>
            <w:pPr>
              <w:pStyle w:val="6"/>
              <w:jc w:val="left"/>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 （1）南屿镇和上街镇（7个村居）市政园林绿化社会化养护项目南屿镇片区（标段一）响应报价低于全部通过符合性审查供应商响应报价平均值50%的，即南屿镇和上街镇（7个村居）市政园林绿化社会化养护项目南屿镇片区（标段一）响应报价&lt;全部通过符合性审查供应商响应报价平均值×50%。 （2）南屿镇和上街镇（7个村居）市政园林绿化社会化养护项目南屿镇片区（标段一）响应报价低于通过符合性审查且报价次低供应商响应报价50%的，即南屿镇和上街镇（7个村居）市政园林绿化社会化养护项目南屿镇片区（标段一）响应报价&lt;通过符合性审查且报价次低供应商响应报价×50%。 （3）南屿镇和上街镇（7个村居）市政园林绿化社会化养护项目南屿镇片区（标段一）响应报价低于最高限价45%的，即南屿镇和上街镇（7个村居）市政园林绿化社会化养护项目南屿镇片区（标段一）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6"/>
        <w:jc w:val="both"/>
      </w:pPr>
      <w:r>
        <w:rPr>
          <w:rFonts w:ascii="仿宋_GB2312" w:hAnsi="仿宋_GB2312" w:eastAsia="仿宋_GB2312" w:cs="仿宋_GB2312"/>
        </w:rPr>
        <w:t>投标文件满足招标文件全部实质性要求，且投标报价最低的投标人为中标候选人。</w:t>
      </w:r>
    </w:p>
    <w:p>
      <w:pPr>
        <w:pStyle w:val="6"/>
        <w:jc w:val="both"/>
      </w:pPr>
      <w:r>
        <w:rPr>
          <w:rFonts w:ascii="仿宋_GB2312" w:hAnsi="仿宋_GB2312" w:eastAsia="仿宋_GB2312" w:cs="仿宋_GB2312"/>
        </w:rPr>
        <w:t>价格扣除的规则如下：</w:t>
      </w:r>
    </w:p>
    <w:p>
      <w:pPr>
        <w:pStyle w:val="6"/>
        <w:jc w:val="both"/>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项目</w:t>
            </w:r>
          </w:p>
        </w:tc>
        <w:tc>
          <w:tcPr>
            <w:tcW w:w="1661" w:type="dxa"/>
          </w:tcPr>
          <w:p>
            <w:pPr>
              <w:pStyle w:val="6"/>
              <w:jc w:val="both"/>
            </w:pPr>
            <w:r>
              <w:rPr>
                <w:rFonts w:ascii="仿宋_GB2312" w:hAnsi="仿宋_GB2312" w:eastAsia="仿宋_GB2312" w:cs="仿宋_GB2312"/>
              </w:rPr>
              <w:t>适用对象</w:t>
            </w:r>
          </w:p>
        </w:tc>
        <w:tc>
          <w:tcPr>
            <w:tcW w:w="831" w:type="dxa"/>
          </w:tcPr>
          <w:p>
            <w:pPr>
              <w:pStyle w:val="6"/>
              <w:jc w:val="both"/>
            </w:pPr>
            <w:r>
              <w:rPr>
                <w:rFonts w:ascii="仿宋_GB2312" w:hAnsi="仿宋_GB2312" w:eastAsia="仿宋_GB2312" w:cs="仿宋_GB2312"/>
              </w:rPr>
              <w:t>比例</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小型、微型企业，监狱企业，残疾人福利性单位</w:t>
            </w:r>
          </w:p>
        </w:tc>
        <w:tc>
          <w:tcPr>
            <w:tcW w:w="1661" w:type="dxa"/>
          </w:tcPr>
          <w:p>
            <w:pPr>
              <w:pStyle w:val="6"/>
              <w:jc w:val="both"/>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both"/>
            </w:pPr>
            <w:r>
              <w:rPr>
                <w:rFonts w:ascii="仿宋_GB2312" w:hAnsi="仿宋_GB2312" w:eastAsia="仿宋_GB2312" w:cs="仿宋_GB2312"/>
              </w:rPr>
              <w:t>本项目为非专门面向中小企业项目。根据《政府采购促进中小企业发展管理办法》（财库〔2020〕46号）和福建省财政厅关于进一步加大政府采购支持中小企业力度的通知（闽财规〔2022〕13号）的规定，对符合《政府采购促进中小企业发展管理办法》的小微企业给予15%的报价扣除，用扣除后的价格参与评审。中小微企业应按《政府采购促进中小企业发展管理办法》（财库〔2020〕46号）的规定提供《中小企业声明函》（工程、服务类)(见第七章电子投标文件格式)，否则不予价格扣除。监狱企业视同小型和微型企业，享受评审中15％价格扣除的政府采购政策。监狱企业参加政府采购活动时，可不提供《中小企业声明函》，但应当提供由省级以上监狱管理局、戒毒管理局(含新疆生产建设兵团)出具的属于监狱企业的证明文件，否则不予价格扣除。残疾人福利性单位提供本单位制造的货物、承担的工程或服务，或提供其他残疾人福利性单位制造的货物（不包括使用非残疾人福利性单位注册商标的货物）的，对相应货物、工程或服务的价格给予15%的扣除。符合条件的残疾人福利性单位参加采购活动时，应提供《残疾人福利性单位声明函》，并对声明的真实性负责。残疾人福利性单位属于小型、微型企业的，不重复享受政策。本项目为服务类采购项目，采购标的对应的中小企业划分标准所属行业为其他未列明行业。</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a.按照评标价（即价格扣除后的投标报价）由低到高顺序排列。</w:t>
      </w:r>
    </w:p>
    <w:p>
      <w:pPr>
        <w:pStyle w:val="6"/>
        <w:jc w:val="both"/>
      </w:pPr>
      <w:r>
        <w:rPr>
          <w:rFonts w:ascii="仿宋_GB2312" w:hAnsi="仿宋_GB2312" w:eastAsia="仿宋_GB2312" w:cs="仿宋_GB2312"/>
        </w:rPr>
        <w:t>b.评标价相同的并列。</w:t>
      </w:r>
    </w:p>
    <w:p>
      <w:pPr>
        <w:pStyle w:val="6"/>
        <w:jc w:val="both"/>
      </w:pPr>
      <w:r>
        <w:rPr>
          <w:rFonts w:ascii="仿宋_GB2312" w:hAnsi="仿宋_GB2312" w:eastAsia="仿宋_GB2312" w:cs="仿宋_GB2312"/>
        </w:rPr>
        <w:t>采购包2：最低评标价法</w:t>
      </w:r>
    </w:p>
    <w:p>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both"/>
            </w:pPr>
            <w:r>
              <w:rPr>
                <w:rFonts w:ascii="仿宋_GB2312" w:hAnsi="仿宋_GB2312" w:eastAsia="仿宋_GB2312" w:cs="仿宋_GB2312"/>
              </w:rPr>
              <w:t>项目</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异常低价审查</w:t>
            </w:r>
          </w:p>
        </w:tc>
        <w:tc>
          <w:tcPr>
            <w:tcW w:w="4153" w:type="dxa"/>
          </w:tcPr>
          <w:p>
            <w:pPr>
              <w:pStyle w:val="6"/>
              <w:jc w:val="left"/>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 （1） 南屿镇和上街镇（7个村居）市政园林绿化社会化养护项目上街镇（7个村居）片区（标段二）响应报价低于全部通过符合性审查供应商响应报价平均值50%的，即 南屿镇和上街镇（7个村居）市政园林绿化社会化养护项目上街镇（7个村居）片区（标段二）响应报价&lt;全部通过符合性审查供应商响应报价平均值×50%。 （2） 南屿镇和上街镇（7个村居）市政园林绿化社会化养护项目上街镇（7个村居）片区（标段二）响应报价低于通过符合性审查且报价次低供应商响应报价50%的，即 南屿镇和上街镇（7个村居）市政园林绿化社会化养护项目上街镇（7个村居）片区（标段二）响应报价&lt;通过符合性审查且报价次低供应商响应报价×50%。 （3） 南屿镇和上街镇（7个村居）市政园林绿化社会化养护项目上街镇（7个村居）片区（标段二）响应报价低于最高限价45%的，即 南屿镇和上街镇（7个村居）市政园林绿化社会化养护项目上街镇（7个村居）片区（标段二）响应报价&lt;最高限价×45%。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6"/>
        <w:jc w:val="both"/>
      </w:pPr>
      <w:r>
        <w:rPr>
          <w:rFonts w:ascii="仿宋_GB2312" w:hAnsi="仿宋_GB2312" w:eastAsia="仿宋_GB2312" w:cs="仿宋_GB2312"/>
        </w:rPr>
        <w:t>投标文件满足招标文件全部实质性要求，且投标报价最低的投标人为中标候选人。</w:t>
      </w:r>
    </w:p>
    <w:p>
      <w:pPr>
        <w:pStyle w:val="6"/>
        <w:jc w:val="both"/>
      </w:pPr>
      <w:r>
        <w:rPr>
          <w:rFonts w:ascii="仿宋_GB2312" w:hAnsi="仿宋_GB2312" w:eastAsia="仿宋_GB2312" w:cs="仿宋_GB2312"/>
        </w:rPr>
        <w:t>价格扣除的规则如下：</w:t>
      </w:r>
    </w:p>
    <w:p>
      <w:pPr>
        <w:pStyle w:val="6"/>
        <w:jc w:val="both"/>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项目</w:t>
            </w:r>
          </w:p>
        </w:tc>
        <w:tc>
          <w:tcPr>
            <w:tcW w:w="1661" w:type="dxa"/>
          </w:tcPr>
          <w:p>
            <w:pPr>
              <w:pStyle w:val="6"/>
              <w:jc w:val="both"/>
            </w:pPr>
            <w:r>
              <w:rPr>
                <w:rFonts w:ascii="仿宋_GB2312" w:hAnsi="仿宋_GB2312" w:eastAsia="仿宋_GB2312" w:cs="仿宋_GB2312"/>
              </w:rPr>
              <w:t>适用对象</w:t>
            </w:r>
          </w:p>
        </w:tc>
        <w:tc>
          <w:tcPr>
            <w:tcW w:w="831" w:type="dxa"/>
          </w:tcPr>
          <w:p>
            <w:pPr>
              <w:pStyle w:val="6"/>
              <w:jc w:val="both"/>
            </w:pPr>
            <w:r>
              <w:rPr>
                <w:rFonts w:ascii="仿宋_GB2312" w:hAnsi="仿宋_GB2312" w:eastAsia="仿宋_GB2312" w:cs="仿宋_GB2312"/>
              </w:rPr>
              <w:t>比例</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小型、微型企业，监狱企业，残疾人福利性单位</w:t>
            </w:r>
          </w:p>
        </w:tc>
        <w:tc>
          <w:tcPr>
            <w:tcW w:w="1661" w:type="dxa"/>
          </w:tcPr>
          <w:p>
            <w:pPr>
              <w:pStyle w:val="6"/>
              <w:jc w:val="both"/>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both"/>
            </w:pPr>
            <w:r>
              <w:rPr>
                <w:rFonts w:ascii="仿宋_GB2312" w:hAnsi="仿宋_GB2312" w:eastAsia="仿宋_GB2312" w:cs="仿宋_GB2312"/>
              </w:rPr>
              <w:t>本项目为非专门面向中小企业项目。根据《政府采购促进中小企业发展管理办法》（财库〔2020〕46号）和福建省财政厅关于进一步加大政府采购支持中小企业力度的通知（闽财规〔2022〕13号）的规定，对符合《政府采购促进中小企业发展管理办法》的小微企业给予15%的报价扣除，用扣除后的价格参与评审。中小微企业应按《政府采购促进中小企业发展管理办法》（财库〔2020〕46号）的规定提供《中小企业声明函》（工程、服务类)(见第七章电子投标文件格式)，否则不予价格扣除。监狱企业视同小型和微型企业，享受评审中15％价格扣除的政府采购政策。监狱企业参加政府采购活动时，可不提供《中小企业声明函》，但应当提供由省级以上监狱管理局、戒毒管理局(含新疆生产建设兵团)出具的属于监狱企业的证明文件，否则不予价格扣除。残疾人福利性单位提供本单位制造的货物、承担的工程或服务，或提供其他残疾人福利性单位制造的货物（不包括使用非残疾人福利性单位注册商标的货物）的，对相应货物、工程或服务的价格给予15%的扣除。符合条件的残疾人福利性单位参加采购活动时，应提供《残疾人福利性单位声明函》，并对声明的真实性负责。残疾人福利性单位属于小型、微型企业的，不重复享受政策。本项目为服务类采购项目，采购标的对应的中小企业划分标准所属行业为其他未列明行业。</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a.按照评标价（即价格扣除后的投标报价）由低到高顺序排列。</w:t>
      </w:r>
    </w:p>
    <w:p>
      <w:pPr>
        <w:pStyle w:val="6"/>
        <w:jc w:val="both"/>
      </w:pPr>
      <w:r>
        <w:rPr>
          <w:rFonts w:ascii="仿宋_GB2312" w:hAnsi="仿宋_GB2312" w:eastAsia="仿宋_GB2312" w:cs="仿宋_GB2312"/>
        </w:rPr>
        <w:t>b.评标价相同的并列。</w:t>
      </w:r>
    </w:p>
    <w:p>
      <w:pPr>
        <w:pStyle w:val="6"/>
        <w:ind w:firstLine="480"/>
        <w:jc w:val="both"/>
      </w:pPr>
      <w:r>
        <w:rPr>
          <w:rFonts w:ascii="仿宋_GB2312" w:hAnsi="仿宋_GB2312" w:eastAsia="仿宋_GB2312" w:cs="仿宋_GB2312"/>
        </w:rPr>
        <w:t>8、其他规定</w:t>
      </w:r>
    </w:p>
    <w:p>
      <w:pPr>
        <w:pStyle w:val="6"/>
        <w:ind w:firstLine="480"/>
        <w:jc w:val="both"/>
      </w:pPr>
      <w:r>
        <w:rPr>
          <w:rFonts w:ascii="仿宋_GB2312" w:hAnsi="仿宋_GB2312" w:eastAsia="仿宋_GB2312" w:cs="仿宋_GB2312"/>
        </w:rPr>
        <w:t>8.1评标应全程保密且不得透露给任一投标人或与评标工作无关的人员。</w:t>
      </w:r>
    </w:p>
    <w:p>
      <w:pPr>
        <w:pStyle w:val="6"/>
        <w:ind w:firstLine="480"/>
        <w:jc w:val="both"/>
      </w:pPr>
      <w:r>
        <w:rPr>
          <w:rFonts w:ascii="仿宋_GB2312" w:hAnsi="仿宋_GB2312" w:eastAsia="仿宋_GB2312" w:cs="仿宋_GB2312"/>
        </w:rPr>
        <w:t>8.2评标将进行全程实时录音录像，录音录像资料随采购文件一并存档。</w:t>
      </w:r>
    </w:p>
    <w:p>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rPr>
          <w:rFonts w:ascii="仿宋_GB2312" w:hAnsi="仿宋_GB2312" w:eastAsia="仿宋_GB2312" w:cs="仿宋_GB2312"/>
        </w:rPr>
        <w:t>8.4其他：</w:t>
      </w:r>
    </w:p>
    <w:p>
      <w:pPr>
        <w:pStyle w:val="6"/>
        <w:ind w:firstLine="480"/>
        <w:jc w:val="both"/>
      </w:pPr>
      <w:r>
        <w:rPr>
          <w:rFonts w:ascii="仿宋_GB2312" w:hAnsi="仿宋_GB2312" w:eastAsia="仿宋_GB2312" w:cs="仿宋_GB2312"/>
        </w:rPr>
        <w:t>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招标内容及要求</w:t>
      </w:r>
    </w:p>
    <w:p>
      <w:pPr>
        <w:pStyle w:val="6"/>
        <w:jc w:val="both"/>
        <w:outlineLvl w:val="2"/>
      </w:pPr>
      <w:r>
        <w:rPr>
          <w:rFonts w:ascii="仿宋_GB2312" w:hAnsi="仿宋_GB2312" w:eastAsia="仿宋_GB2312" w:cs="仿宋_GB2312"/>
          <w:b/>
          <w:sz w:val="28"/>
        </w:rPr>
        <w:t>一、项目概况（采购标的）</w:t>
      </w:r>
    </w:p>
    <w:p>
      <w:pPr>
        <w:pStyle w:val="6"/>
        <w:ind w:firstLine="480"/>
        <w:jc w:val="both"/>
      </w:pPr>
      <w:r>
        <w:rPr>
          <w:rFonts w:ascii="仿宋_GB2312" w:hAnsi="仿宋_GB2312" w:eastAsia="仿宋_GB2312" w:cs="仿宋_GB2312"/>
          <w:sz w:val="20"/>
          <w:shd w:val="clear" w:fill="FFFFFF"/>
        </w:rPr>
        <w:t>（一）2026-2027年度南屿镇和上街镇（7个村居）市政园林绿化养护项目），包含</w:t>
      </w:r>
      <w:r>
        <w:rPr>
          <w:rFonts w:ascii="仿宋_GB2312" w:hAnsi="仿宋_GB2312" w:eastAsia="仿宋_GB2312" w:cs="仿宋_GB2312"/>
        </w:rPr>
        <w:t>南屿镇和上街镇（7个村居）市政园林绿化社会化养护项目南屿镇片区（标段一）</w:t>
      </w:r>
      <w:r>
        <w:rPr>
          <w:rFonts w:ascii="仿宋_GB2312" w:hAnsi="仿宋_GB2312" w:eastAsia="仿宋_GB2312" w:cs="仿宋_GB2312"/>
          <w:sz w:val="20"/>
          <w:shd w:val="clear" w:fill="FFFFFF"/>
        </w:rPr>
        <w:t>、</w:t>
      </w:r>
      <w:r>
        <w:rPr>
          <w:rFonts w:ascii="仿宋_GB2312" w:hAnsi="仿宋_GB2312" w:eastAsia="仿宋_GB2312" w:cs="仿宋_GB2312"/>
        </w:rPr>
        <w:t>南屿镇和上街镇（7个村居）市政园林绿化社会化养护项目上街镇（7个村居）片区（标段二）。</w:t>
      </w:r>
    </w:p>
    <w:p>
      <w:pPr>
        <w:pStyle w:val="6"/>
        <w:ind w:firstLine="400"/>
        <w:jc w:val="both"/>
      </w:pPr>
      <w:r>
        <w:rPr>
          <w:rFonts w:ascii="仿宋_GB2312" w:hAnsi="仿宋_GB2312" w:eastAsia="仿宋_GB2312" w:cs="仿宋_GB2312"/>
          <w:sz w:val="20"/>
          <w:shd w:val="clear" w:fill="FFFFFF"/>
        </w:rPr>
        <w:t>（二）招标服务范围</w:t>
      </w:r>
    </w:p>
    <w:p>
      <w:pPr>
        <w:pStyle w:val="6"/>
        <w:ind w:firstLine="480"/>
        <w:jc w:val="both"/>
      </w:pPr>
      <w:r>
        <w:rPr>
          <w:rFonts w:ascii="仿宋_GB2312" w:hAnsi="仿宋_GB2312" w:eastAsia="仿宋_GB2312" w:cs="仿宋_GB2312"/>
          <w:sz w:val="20"/>
        </w:rPr>
        <w:t>1、采购包1：南屿镇和上街镇（7个村居）市政园林绿化社会化养护项目南屿镇片区（标段一）道路绿化养护：养护总面积822832.99平方米，行道树9411株。其中二级绿化养护等级面积约278098.25平方米，含行道树3775株；三级绿化养护等级面积约374181.04平方米，含行道树5636株。公园绿地养护：总面积共146863.28平方米。计划移交绿化养护：南屿镇分批次移交的在建绿化工程总计23690.42平方米，共1261株行道树。第一批将于2026年内纳入养护项目，共14345.42平方米绿化，含195株行道树；第二批将于2027年内全部纳入养护项目，共计9345.00平方米绿化，含1066株行道树，具体时间以移交确认清单为准。</w:t>
      </w:r>
    </w:p>
    <w:p>
      <w:pPr>
        <w:pStyle w:val="6"/>
        <w:ind w:firstLine="480"/>
        <w:jc w:val="both"/>
      </w:pPr>
      <w:r>
        <w:rPr>
          <w:rFonts w:ascii="仿宋_GB2312" w:hAnsi="仿宋_GB2312" w:eastAsia="仿宋_GB2312" w:cs="仿宋_GB2312"/>
          <w:sz w:val="20"/>
        </w:rPr>
        <w:t>2、采购包2：南屿镇和上街镇（7个村居）市政园林绿化社会化养护项目上街镇（7个村居）片（标段二）道路绿化养护现阶段项目养护范围包含：养护总面积716160.22平方米，行道树10546株。时花种植养护面积共1132.91平方米（每年更换四次）。三角梅专项养护长度共2438.09米。其中二级绿化养护等级面积约468917.19平方米，含行道树4303株；三级绿化养护等级面积约39984.19平方米，含行道树6243株。公园绿地养护：总面积共145432.92平方米。开花植被养护：时花专项养护：其中董屿地铁口260.00平方米，旗山大道交叉口渠化岛184.67平方米，高新大道交叉口渠化岛323.69平方米，乌龙江大道交叉口渠化岛209.58平方米；乌龙江大道显示屏下154.97平方米。其中建平路1200米，厚庭排涝站段（新港大道）157.92米，浦上西段（高新大道）781.17米，学府南路299米。计划移交绿化养护：上街镇含分批次移交的在建绿化工程面积61825.92平方米，含2278株行道树。第一批将于2026年内纳入养护项目，共计61079.92平方米绿化，含1181株行道树；第二批将于2027年内全部纳入养护项目，共计746.00平方米绿化，含1097株行道树，具体时间以移交确认清单为准。</w:t>
      </w:r>
    </w:p>
    <w:p>
      <w:pPr>
        <w:pStyle w:val="6"/>
        <w:ind w:firstLine="480"/>
        <w:jc w:val="both"/>
      </w:pPr>
      <w:r>
        <w:rPr>
          <w:rFonts w:ascii="仿宋_GB2312" w:hAnsi="仿宋_GB2312" w:eastAsia="仿宋_GB2312" w:cs="仿宋_GB2312"/>
          <w:sz w:val="20"/>
          <w:shd w:val="clear" w:fill="FFFFFF"/>
        </w:rPr>
        <w:t>（三）服务标准</w:t>
      </w:r>
    </w:p>
    <w:p>
      <w:pPr>
        <w:pStyle w:val="6"/>
        <w:ind w:firstLine="200"/>
        <w:jc w:val="both"/>
      </w:pPr>
      <w:r>
        <w:rPr>
          <w:rFonts w:ascii="仿宋_GB2312" w:hAnsi="仿宋_GB2312" w:eastAsia="仿宋_GB2312" w:cs="仿宋_GB2312"/>
          <w:sz w:val="20"/>
          <w:shd w:val="clear" w:fill="FFFFFF"/>
        </w:rPr>
        <w:t>《福州市城市道路绿地养护管理质量标准》；</w:t>
      </w:r>
    </w:p>
    <w:p>
      <w:pPr>
        <w:pStyle w:val="6"/>
        <w:ind w:firstLine="200"/>
        <w:jc w:val="both"/>
      </w:pPr>
      <w:r>
        <w:rPr>
          <w:rFonts w:ascii="仿宋_GB2312" w:hAnsi="仿宋_GB2312" w:eastAsia="仿宋_GB2312" w:cs="仿宋_GB2312"/>
          <w:sz w:val="20"/>
          <w:shd w:val="clear" w:fill="FFFFFF"/>
        </w:rPr>
        <w:t>《道路绿地养护检查考核办法》；</w:t>
      </w:r>
    </w:p>
    <w:p>
      <w:pPr>
        <w:pStyle w:val="6"/>
        <w:ind w:firstLine="200"/>
        <w:jc w:val="both"/>
      </w:pPr>
      <w:r>
        <w:rPr>
          <w:rFonts w:ascii="仿宋_GB2312" w:hAnsi="仿宋_GB2312" w:eastAsia="仿宋_GB2312" w:cs="仿宋_GB2312"/>
          <w:sz w:val="20"/>
          <w:shd w:val="clear" w:fill="FFFFFF"/>
        </w:rPr>
        <w:t>《福建省城市环境卫生作业管理办法》；</w:t>
      </w:r>
    </w:p>
    <w:p>
      <w:pPr>
        <w:pStyle w:val="6"/>
        <w:ind w:firstLine="200"/>
        <w:jc w:val="both"/>
      </w:pPr>
      <w:r>
        <w:rPr>
          <w:rFonts w:ascii="仿宋_GB2312" w:hAnsi="仿宋_GB2312" w:eastAsia="仿宋_GB2312" w:cs="仿宋_GB2312"/>
          <w:sz w:val="20"/>
          <w:shd w:val="clear" w:fill="FFFFFF"/>
        </w:rPr>
        <w:t>《城市园林绿地养护质量标准》DBJT13-154-2012；</w:t>
      </w:r>
    </w:p>
    <w:p>
      <w:pPr>
        <w:pStyle w:val="6"/>
        <w:ind w:firstLine="200"/>
        <w:jc w:val="both"/>
      </w:pPr>
      <w:r>
        <w:rPr>
          <w:rFonts w:ascii="仿宋_GB2312" w:hAnsi="仿宋_GB2312" w:eastAsia="仿宋_GB2312" w:cs="仿宋_GB2312"/>
          <w:sz w:val="20"/>
          <w:shd w:val="clear" w:fill="FFFFFF"/>
        </w:rPr>
        <w:t>《园林绿化工程项目规范》GB 55014-2021；</w:t>
      </w:r>
    </w:p>
    <w:p>
      <w:pPr>
        <w:pStyle w:val="6"/>
        <w:ind w:firstLine="200"/>
        <w:jc w:val="both"/>
      </w:pPr>
      <w:r>
        <w:rPr>
          <w:rFonts w:ascii="仿宋_GB2312" w:hAnsi="仿宋_GB2312" w:eastAsia="仿宋_GB2312" w:cs="仿宋_GB2312"/>
          <w:sz w:val="20"/>
          <w:shd w:val="clear" w:fill="FFFFFF"/>
        </w:rPr>
        <w:t>《城镇市容环境卫生劳动定额》HLD47-101-2008；</w:t>
      </w:r>
    </w:p>
    <w:p>
      <w:pPr>
        <w:pStyle w:val="6"/>
        <w:ind w:firstLine="200"/>
        <w:jc w:val="both"/>
      </w:pPr>
      <w:r>
        <w:rPr>
          <w:rFonts w:ascii="仿宋_GB2312" w:hAnsi="仿宋_GB2312" w:eastAsia="仿宋_GB2312" w:cs="仿宋_GB2312"/>
          <w:sz w:val="20"/>
          <w:shd w:val="clear" w:fill="FFFFFF"/>
        </w:rPr>
        <w:t>《园林绿化养护标准》DGTJ08-19-2023；</w:t>
      </w:r>
    </w:p>
    <w:p>
      <w:pPr>
        <w:pStyle w:val="6"/>
        <w:ind w:firstLine="200"/>
        <w:jc w:val="both"/>
      </w:pPr>
      <w:r>
        <w:rPr>
          <w:rFonts w:ascii="仿宋_GB2312" w:hAnsi="仿宋_GB2312" w:eastAsia="仿宋_GB2312" w:cs="仿宋_GB2312"/>
          <w:sz w:val="20"/>
          <w:shd w:val="clear" w:fill="FFFFFF"/>
        </w:rPr>
        <w:t>《园林绿地养护管理技术规范》DB4401T 6-2018；</w:t>
      </w:r>
    </w:p>
    <w:p>
      <w:pPr>
        <w:pStyle w:val="6"/>
        <w:ind w:firstLine="200"/>
        <w:jc w:val="both"/>
      </w:pPr>
      <w:r>
        <w:rPr>
          <w:rFonts w:ascii="仿宋_GB2312" w:hAnsi="仿宋_GB2312" w:eastAsia="仿宋_GB2312" w:cs="仿宋_GB2312"/>
          <w:sz w:val="20"/>
          <w:shd w:val="clear" w:fill="FFFFFF"/>
        </w:rPr>
        <w:t>《机关事务绿化养护运行及评价》DB3303T 026-2020；</w:t>
      </w:r>
    </w:p>
    <w:p>
      <w:pPr>
        <w:pStyle w:val="6"/>
        <w:ind w:firstLine="200"/>
        <w:jc w:val="both"/>
      </w:pPr>
      <w:r>
        <w:rPr>
          <w:rFonts w:ascii="仿宋_GB2312" w:hAnsi="仿宋_GB2312" w:eastAsia="仿宋_GB2312" w:cs="仿宋_GB2312"/>
          <w:sz w:val="20"/>
          <w:shd w:val="clear" w:fill="FFFFFF"/>
        </w:rPr>
        <w:t>《物业绿化养护管理规范》SZDBZ 173-2016。</w:t>
      </w:r>
    </w:p>
    <w:p>
      <w:pPr>
        <w:pStyle w:val="6"/>
        <w:ind w:firstLine="405"/>
        <w:jc w:val="both"/>
      </w:pPr>
      <w:r>
        <w:rPr>
          <w:rFonts w:ascii="仿宋_GB2312" w:hAnsi="仿宋_GB2312" w:eastAsia="仿宋_GB2312" w:cs="仿宋_GB2312"/>
          <w:b/>
          <w:sz w:val="20"/>
          <w:u w:val="single"/>
          <w:shd w:val="clear" w:fill="FFFFFF"/>
        </w:rPr>
        <w:t>（四）本项目投标保证金为各采购包预算价（最高限价）的1%。收取的理由：对供应商虚假应标等扰乱招标秩序的行为予以约束。</w:t>
      </w:r>
    </w:p>
    <w:p>
      <w:pPr>
        <w:pStyle w:val="6"/>
        <w:ind w:firstLine="405"/>
        <w:jc w:val="both"/>
      </w:pPr>
      <w:r>
        <w:rPr>
          <w:rFonts w:ascii="仿宋_GB2312" w:hAnsi="仿宋_GB2312" w:eastAsia="仿宋_GB2312" w:cs="仿宋_GB2312"/>
          <w:b/>
          <w:sz w:val="20"/>
          <w:u w:val="single"/>
        </w:rPr>
        <w:t>★</w:t>
      </w:r>
      <w:r>
        <w:rPr>
          <w:rFonts w:ascii="仿宋_GB2312" w:hAnsi="仿宋_GB2312" w:eastAsia="仿宋_GB2312" w:cs="仿宋_GB2312"/>
          <w:b/>
          <w:sz w:val="20"/>
          <w:u w:val="single"/>
          <w:shd w:val="clear" w:fill="FFFFFF"/>
        </w:rPr>
        <w:t>（五）可能影响报价的因素：本项目所列的服务项目及数量系初步测算，与实际可能存在一定差异，投标人的总报价仅作为评标使用，不作为合同执行及费用结算的依据，最终结算按照中标单价以及实际完成的工程量，按实结算。投标人在报价中须充分考虑此因素，采购人不对投标人据此作出的判断和决策负责。投标人需按清单对清单项目和总价进行报价，投标报价超出最高限价或预算金额或不符合招标文件报价要求的，符合性审查不合格。</w:t>
      </w:r>
    </w:p>
    <w:p>
      <w:pPr>
        <w:pStyle w:val="6"/>
        <w:ind w:firstLine="405"/>
        <w:jc w:val="both"/>
      </w:pPr>
      <w:r>
        <w:rPr>
          <w:rFonts w:ascii="仿宋_GB2312" w:hAnsi="仿宋_GB2312" w:eastAsia="仿宋_GB2312" w:cs="仿宋_GB2312"/>
          <w:b/>
          <w:sz w:val="20"/>
          <w:u w:val="single"/>
        </w:rPr>
        <w:t>★</w:t>
      </w:r>
      <w:r>
        <w:rPr>
          <w:rFonts w:ascii="仿宋_GB2312" w:hAnsi="仿宋_GB2312" w:eastAsia="仿宋_GB2312" w:cs="仿宋_GB2312"/>
          <w:b/>
          <w:sz w:val="20"/>
          <w:u w:val="single"/>
          <w:shd w:val="clear" w:fill="FFFFFF"/>
        </w:rPr>
        <w:t>（六）投标人在投标时必须在电子投标文件报价部分附上主要材料选购方式及主要材料的价格分析、人员费用、设备损耗折旧（设备租赁费用）、公司利润、税费等各项费用组成和承诺保证质量和服务的说明函（格式自拟）。</w:t>
      </w:r>
    </w:p>
    <w:p>
      <w:pPr>
        <w:pStyle w:val="6"/>
        <w:ind w:firstLine="405"/>
        <w:jc w:val="both"/>
      </w:pPr>
      <w:r>
        <w:rPr>
          <w:rFonts w:ascii="仿宋_GB2312" w:hAnsi="仿宋_GB2312" w:eastAsia="仿宋_GB2312" w:cs="仿宋_GB2312"/>
          <w:b/>
          <w:sz w:val="20"/>
          <w:u w:val="single"/>
        </w:rPr>
        <w:t>★</w:t>
      </w:r>
      <w:r>
        <w:rPr>
          <w:rFonts w:ascii="仿宋_GB2312" w:hAnsi="仿宋_GB2312" w:eastAsia="仿宋_GB2312" w:cs="仿宋_GB2312"/>
          <w:b/>
          <w:sz w:val="20"/>
          <w:u w:val="single"/>
          <w:shd w:val="clear" w:fill="FFFFFF"/>
        </w:rPr>
        <w:t>（七）因本项目实施范围较广且呈点状分布，为了保证中标人保质保量的履行合同以及本项目的实际需求，每个投标人只允许中一个采购包。评标委员会按照先采购包1、后采购包2的顺序进行评审，并按采购包顺序推荐中标候选人，若投标人同时对采购包1、采购包2进行投标，且已作为采购包1的第一中标候选人，则其不能被推荐为采购包2的第一中标候选人。</w:t>
      </w:r>
    </w:p>
    <w:p>
      <w:pPr>
        <w:pStyle w:val="6"/>
        <w:jc w:val="both"/>
        <w:outlineLvl w:val="2"/>
      </w:pPr>
      <w:r>
        <w:rPr>
          <w:rFonts w:ascii="仿宋_GB2312" w:hAnsi="仿宋_GB2312" w:eastAsia="仿宋_GB2312" w:cs="仿宋_GB2312"/>
          <w:b/>
          <w:sz w:val="28"/>
        </w:rPr>
        <w:t>二、技术和服务要求（以“★”标示的内容为不允许负偏离的实质性要求）</w:t>
      </w:r>
    </w:p>
    <w:p>
      <w:pPr>
        <w:pStyle w:val="6"/>
        <w:jc w:val="left"/>
      </w:pPr>
      <w:r>
        <w:rPr>
          <w:rFonts w:ascii="仿宋_GB2312" w:hAnsi="仿宋_GB2312" w:eastAsia="仿宋_GB2312" w:cs="仿宋_GB2312"/>
          <w:b/>
          <w:sz w:val="20"/>
          <w:u w:val="single"/>
        </w:rPr>
        <w:t>★以下技术和服务要求未标明采购包编号的，均适用于采购包1和采购包2。全部技术和服务要求均为不允许负偏离的实质性要求。</w:t>
      </w:r>
    </w:p>
    <w:p>
      <w:pPr>
        <w:pStyle w:val="6"/>
      </w:pPr>
      <w:r>
        <w:rPr>
          <w:rFonts w:ascii="仿宋_GB2312" w:hAnsi="仿宋_GB2312" w:eastAsia="仿宋_GB2312" w:cs="仿宋_GB2312"/>
          <w:b/>
          <w:sz w:val="20"/>
        </w:rPr>
        <w:t>（一）服务内容及范围</w:t>
      </w:r>
    </w:p>
    <w:p>
      <w:pPr>
        <w:pStyle w:val="6"/>
      </w:pPr>
      <w:r>
        <w:rPr>
          <w:rFonts w:ascii="仿宋_GB2312" w:hAnsi="仿宋_GB2312" w:eastAsia="仿宋_GB2312" w:cs="仿宋_GB2312"/>
          <w:b/>
          <w:sz w:val="20"/>
        </w:rPr>
        <w:t>1、服务内容</w:t>
      </w:r>
    </w:p>
    <w:p>
      <w:pPr>
        <w:pStyle w:val="6"/>
        <w:jc w:val="left"/>
      </w:pPr>
      <w:r>
        <w:rPr>
          <w:rFonts w:ascii="仿宋_GB2312" w:hAnsi="仿宋_GB2312" w:eastAsia="仿宋_GB2312" w:cs="仿宋_GB2312"/>
          <w:sz w:val="20"/>
          <w:shd w:val="clear" w:fill="FFFFFF"/>
        </w:rPr>
        <w:t>1.1园林绿化养护主要工作：即浇水、排涝、防止病虫害、修剪、施肥、中耕地除草、防寒、防风和环境工作（绿地保洁工作不包含白色垃圾）。园林绿化养护管理主要包括道路、绿地、广场绿化地内乔木、花灌木、草坪等植物材料养护管理及园林设施维护管理、商业繁华地段特殊管理等。养护管理工作要顺应植物材料的生长规律和生物学特性以及当地的气候条件而进行。</w:t>
      </w:r>
    </w:p>
    <w:p>
      <w:pPr>
        <w:pStyle w:val="6"/>
        <w:jc w:val="left"/>
      </w:pPr>
      <w:r>
        <w:rPr>
          <w:rFonts w:ascii="仿宋_GB2312" w:hAnsi="仿宋_GB2312" w:eastAsia="仿宋_GB2312" w:cs="仿宋_GB2312"/>
          <w:sz w:val="20"/>
          <w:shd w:val="clear" w:fill="FFFFFF"/>
        </w:rPr>
        <w:t>1.2分批次移交的在建项目，移交过渡期内按对应养护等级标准的1.1倍执行养护作业，包含强化浇水、施肥、病虫害预防及苗木支撑加固，过渡期结束后统一纳入原养护等级管理。</w:t>
      </w:r>
    </w:p>
    <w:p>
      <w:pPr>
        <w:pStyle w:val="6"/>
        <w:jc w:val="left"/>
      </w:pPr>
      <w:r>
        <w:rPr>
          <w:rFonts w:ascii="仿宋_GB2312" w:hAnsi="仿宋_GB2312" w:eastAsia="仿宋_GB2312" w:cs="仿宋_GB2312"/>
          <w:sz w:val="20"/>
          <w:shd w:val="clear" w:fill="FFFFFF"/>
        </w:rPr>
        <w:t>2、服务范围</w:t>
      </w:r>
    </w:p>
    <w:p>
      <w:pPr>
        <w:pStyle w:val="6"/>
        <w:jc w:val="left"/>
      </w:pPr>
      <w:r>
        <w:rPr>
          <w:rFonts w:ascii="仿宋_GB2312" w:hAnsi="仿宋_GB2312" w:eastAsia="仿宋_GB2312" w:cs="仿宋_GB2312"/>
          <w:sz w:val="20"/>
          <w:shd w:val="clear" w:fill="FFFFFF"/>
        </w:rPr>
        <w:t>2.1南屿镇和上街镇(7个村居)市政园林绿化养护项目范围具体内容如下：</w:t>
      </w:r>
    </w:p>
    <w:p>
      <w:pPr>
        <w:pStyle w:val="6"/>
        <w:jc w:val="left"/>
      </w:pPr>
      <w:r>
        <w:rPr>
          <w:rFonts w:ascii="仿宋_GB2312" w:hAnsi="仿宋_GB2312" w:eastAsia="仿宋_GB2312" w:cs="仿宋_GB2312"/>
          <w:sz w:val="20"/>
          <w:shd w:val="clear" w:fill="FFFFFF"/>
        </w:rPr>
        <w:t>项目绿化养护作业范围涵盖南屿镇和上街镇(5个村+2个社区)，合计养护面积1538993.21平方米，行道树19957株。其中:道路绿地养护总面积1161180.67平方米，行道树19957株。二级绿化养护等级面积约747015.44平方米，含行道树8078株；三级绿化养护等级面积约414165.23平方米，含行道树11879株。公园绿地总面积共292296.20平方米，均为三级养护。时花种植养护面积共1132.91平方米；三角梅养护长度共2438.09米。在建项目需移交总面积85516.34平方米，均为三级养护。第一批将于2026年内纳入养护项目，共计75425.34平方米绿化，含1376株行道树；第二批将于2027年内全部纳入养护项目，共计10091.00平方米绿化，含2163株行道树，具体时间以移交确认清单为准。</w:t>
      </w:r>
    </w:p>
    <w:p>
      <w:pPr>
        <w:pStyle w:val="6"/>
        <w:jc w:val="both"/>
      </w:pPr>
      <w:r>
        <w:rPr>
          <w:rFonts w:ascii="仿宋_GB2312" w:hAnsi="仿宋_GB2312" w:eastAsia="仿宋_GB2312" w:cs="仿宋_GB2312"/>
          <w:sz w:val="20"/>
          <w:shd w:val="clear" w:fill="FFFFFF"/>
        </w:rPr>
        <w:t>2.1.1采购包1：</w:t>
      </w:r>
      <w:r>
        <w:rPr>
          <w:rFonts w:ascii="仿宋_GB2312" w:hAnsi="仿宋_GB2312" w:eastAsia="仿宋_GB2312" w:cs="仿宋_GB2312"/>
          <w:sz w:val="20"/>
        </w:rPr>
        <w:t>南屿镇和上街镇（7个村居）市政园林绿化社会化养护项目南屿镇片区（标段一）道路绿化养护：养护总面积822832.99平方米，行道树9411株。其中二级绿化养护等级面积约278098.25平方米，含行道树3775株；三级绿化养护等级面积约374181.04平方米，含行道树5636株。公园绿地养护：总面积共146863.28平方米。计划移交绿化养护：南屿镇分批次移交的在建绿化工程总计23690.42平方米，共1261株行道树。第一批将于2026年内纳入养护项目，共14345.42平方米绿化，含195株行道树；第二批将于2027年内全部纳入养护项目，共计9345.00平方米绿化，含1066株行道树，具体时间以移交确认清单为准。</w:t>
      </w:r>
    </w:p>
    <w:p>
      <w:pPr>
        <w:pStyle w:val="6"/>
        <w:ind w:firstLine="480"/>
        <w:jc w:val="both"/>
      </w:pPr>
      <w:r>
        <w:rPr>
          <w:rFonts w:ascii="仿宋_GB2312" w:hAnsi="仿宋_GB2312" w:eastAsia="仿宋_GB2312" w:cs="仿宋_GB2312"/>
          <w:sz w:val="20"/>
          <w:shd w:val="clear" w:fill="FFFFFF"/>
        </w:rPr>
        <w:t>2.1.2</w:t>
      </w:r>
      <w:r>
        <w:rPr>
          <w:rFonts w:ascii="仿宋_GB2312" w:hAnsi="仿宋_GB2312" w:eastAsia="仿宋_GB2312" w:cs="仿宋_GB2312"/>
          <w:sz w:val="20"/>
        </w:rPr>
        <w:t>采购包2：南屿镇和上街镇（7个村居）市政园林绿化社会化养护项目上街镇（7个村居）片（标段二）道路绿化养护现阶段项目养护范围包含：养护总面积716160.22平方米，行道树10546株。时花种植养护面积共1132.91平方米（每年更换四次）。三角梅专项养护长度共2438.09米。其中二级绿化养护等级面积约468917.19平方米，含行道树4303株；三级绿化养护等级面积约39984.19平方米，含行道树6243株。公园绿地养护：总面积共145432.92平方米。开花植被养护：时花专项养护：其中董屿地铁口260.00平方米，旗山大道交叉口渠化岛184.67平方米，高新大道交叉口渠化岛323.69平方米，乌龙江大道交叉口渠化岛209.58平方米；乌龙江大道显示屏下154.97平方米。其中建平路1200米，厚庭排涝站段（新港大道）157.92米，浦上西段（高新大道）781.17米，学府南路299米。计划移交绿化养护：上街镇含分批次移交的在建绿化工程面积61825.92平方米，含2278株行道树。第一批将于2026年内纳入养护项目，共计61079.92平方米绿化，含1181株行道树；第二批将于2027年内全部纳入养护项目，共计746.00平方米绿化，含1097株行道树，具体时间以移交确认清单为准。</w:t>
      </w:r>
    </w:p>
    <w:p>
      <w:pPr>
        <w:pStyle w:val="6"/>
        <w:jc w:val="both"/>
      </w:pPr>
      <w:r>
        <w:rPr>
          <w:rFonts w:ascii="仿宋_GB2312" w:hAnsi="仿宋_GB2312" w:eastAsia="仿宋_GB2312" w:cs="仿宋_GB2312"/>
          <w:sz w:val="20"/>
          <w:shd w:val="clear" w:fill="FFFFFF"/>
        </w:rPr>
        <w:t>3、实施方案</w:t>
      </w:r>
    </w:p>
    <w:p>
      <w:pPr>
        <w:pStyle w:val="6"/>
        <w:ind w:right="645"/>
        <w:jc w:val="left"/>
      </w:pPr>
      <w:r>
        <w:rPr>
          <w:rFonts w:ascii="仿宋_GB2312" w:hAnsi="仿宋_GB2312" w:eastAsia="仿宋_GB2312" w:cs="仿宋_GB2312"/>
          <w:sz w:val="20"/>
          <w:shd w:val="clear" w:fill="FFFFFF"/>
        </w:rPr>
        <w:t>采购包1：南屿镇和上街镇（7个村居）市政园林绿化社会化养护项目南屿镇片区（标段一）闽侯县南屿镇片区市政园林绿化养护项目明细表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1614"/>
        <w:gridCol w:w="1081"/>
        <w:gridCol w:w="1517"/>
        <w:gridCol w:w="1016"/>
        <w:gridCol w:w="1125"/>
        <w:gridCol w:w="76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道路绿化养护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1858"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路名</w:t>
            </w:r>
          </w:p>
        </w:tc>
        <w:tc>
          <w:tcPr>
            <w:tcW w:w="2839"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起止点</w:t>
            </w:r>
          </w:p>
        </w:tc>
        <w:tc>
          <w:tcPr>
            <w:tcW w:w="1087"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行道树（株）</w:t>
            </w:r>
          </w:p>
        </w:tc>
        <w:tc>
          <w:tcPr>
            <w:tcW w:w="1163"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绿化面积（㎡）</w:t>
            </w:r>
          </w:p>
        </w:tc>
        <w:tc>
          <w:tcPr>
            <w:tcW w:w="861"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养护等级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tc>
        <w:tc>
          <w:tcPr>
            <w:tcW w:w="1858" w:type="dxa"/>
            <w:vMerge w:val="continue"/>
            <w:tcBorders>
              <w:top w:val="single" w:color="000000" w:sz="4" w:space="0"/>
              <w:left w:val="nil"/>
              <w:bottom w:val="single" w:color="000000" w:sz="4" w:space="0"/>
              <w:right w:val="single" w:color="000000" w:sz="4" w:space="0"/>
            </w:tcBorders>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道路起点</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道路终点</w:t>
            </w:r>
          </w:p>
        </w:tc>
        <w:tc>
          <w:tcPr>
            <w:tcW w:w="1087" w:type="dxa"/>
            <w:vMerge w:val="continue"/>
            <w:tcBorders>
              <w:top w:val="single" w:color="000000" w:sz="4" w:space="0"/>
              <w:left w:val="nil"/>
              <w:bottom w:val="single" w:color="000000" w:sz="4" w:space="0"/>
              <w:right w:val="single" w:color="000000" w:sz="4" w:space="0"/>
            </w:tcBorders>
          </w:tcPr>
          <w:p/>
        </w:tc>
        <w:tc>
          <w:tcPr>
            <w:tcW w:w="1163" w:type="dxa"/>
            <w:vMerge w:val="continue"/>
            <w:tcBorders>
              <w:top w:val="single" w:color="000000" w:sz="4" w:space="0"/>
              <w:left w:val="nil"/>
              <w:bottom w:val="single" w:color="000000" w:sz="4" w:space="0"/>
              <w:right w:val="single" w:color="000000" w:sz="4" w:space="0"/>
            </w:tcBorders>
          </w:tcPr>
          <w:p/>
        </w:tc>
        <w:tc>
          <w:tcPr>
            <w:tcW w:w="861"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智慧大道</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庐隐路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1334</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69787.74</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南港大桥</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1093</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52029.28</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湾边</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1348</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156281.23</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二级养护小计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 xml:space="preserve">  3775                  278098.25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旗麓北大道</w:t>
            </w:r>
          </w:p>
        </w:tc>
        <w:tc>
          <w:tcPr>
            <w:tcW w:w="116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科技西路</w:t>
            </w:r>
          </w:p>
        </w:tc>
        <w:tc>
          <w:tcPr>
            <w:tcW w:w="16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08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7392.00</w:t>
            </w:r>
          </w:p>
        </w:tc>
        <w:tc>
          <w:tcPr>
            <w:tcW w:w="86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858"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湾边连接线</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湾边互通</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112</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20281.55</w:t>
            </w:r>
          </w:p>
        </w:tc>
        <w:tc>
          <w:tcPr>
            <w:tcW w:w="861"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tc>
        <w:tc>
          <w:tcPr>
            <w:tcW w:w="1858" w:type="dxa"/>
            <w:vMerge w:val="continue"/>
            <w:tcBorders>
              <w:top w:val="nil"/>
              <w:left w:val="nil"/>
              <w:bottom w:val="single" w:color="000000" w:sz="4" w:space="0"/>
              <w:right w:val="single" w:color="000000" w:sz="4" w:space="0"/>
            </w:tcBorders>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湾边互通</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六十份村路口</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171078.45</w:t>
            </w:r>
          </w:p>
        </w:tc>
        <w:tc>
          <w:tcPr>
            <w:tcW w:w="86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群升路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257</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23999.16</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兴业支路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117 县道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137</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308.00</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缸窑路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64</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岐源路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139</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高岐路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227</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999.78</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8</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三岐东路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55</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9</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育秀路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17</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高晓路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851.39</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晓岐路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129</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1582.97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元峰路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226</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南元路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环湖路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202</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环湖路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南元路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133</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15</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忠观路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万佛寺</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764.60</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16</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仁义路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南前路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12436.67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17</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侠客谷</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087"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314</w:t>
            </w:r>
          </w:p>
        </w:tc>
        <w:tc>
          <w:tcPr>
            <w:tcW w:w="1163"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36235.95</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18</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五都路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vMerge w:val="continue"/>
            <w:tcBorders>
              <w:top w:val="nil"/>
              <w:left w:val="nil"/>
              <w:bottom w:val="single" w:color="000000" w:sz="4" w:space="0"/>
              <w:right w:val="single" w:color="000000" w:sz="4" w:space="0"/>
            </w:tcBorders>
          </w:tcPr>
          <w:p/>
        </w:tc>
        <w:tc>
          <w:tcPr>
            <w:tcW w:w="1163" w:type="dxa"/>
            <w:vMerge w:val="continue"/>
            <w:tcBorders>
              <w:top w:val="nil"/>
              <w:left w:val="nil"/>
              <w:bottom w:val="single" w:color="000000" w:sz="4" w:space="0"/>
              <w:right w:val="single" w:color="000000" w:sz="4" w:space="0"/>
            </w:tcBorders>
          </w:tc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19</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文城路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五都支路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断头路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1241.32</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山前路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143</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1572.55</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21</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上井路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智慧大道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断头路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74</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五都支路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五都路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139</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23</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忠孝路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3285.20</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24</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南前路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忠观路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第一中心小学校门口</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134</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816.64</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25</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五都路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断头路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1095</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13958.87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26</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鑫兴路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K1+123</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K1+497</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101</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27</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龙好路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规划口</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135</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1199.13</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28</w:t>
            </w:r>
          </w:p>
        </w:tc>
        <w:tc>
          <w:tcPr>
            <w:tcW w:w="1858"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新南大道</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13 号路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大樟溪东大道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395</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3171.83</w:t>
            </w:r>
          </w:p>
        </w:tc>
        <w:tc>
          <w:tcPr>
            <w:tcW w:w="861"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tc>
        <w:tc>
          <w:tcPr>
            <w:tcW w:w="1858" w:type="dxa"/>
            <w:vMerge w:val="continue"/>
            <w:tcBorders>
              <w:top w:val="nil"/>
              <w:left w:val="nil"/>
              <w:bottom w:val="single" w:color="000000" w:sz="4" w:space="0"/>
              <w:right w:val="single" w:color="000000" w:sz="4" w:space="0"/>
            </w:tcBorders>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 号路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S203</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20026.72</w:t>
            </w:r>
          </w:p>
        </w:tc>
        <w:tc>
          <w:tcPr>
            <w:tcW w:w="86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29</w:t>
            </w:r>
          </w:p>
        </w:tc>
        <w:tc>
          <w:tcPr>
            <w:tcW w:w="1858"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尧溪路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大樟溪东大道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864</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4580.26</w:t>
            </w:r>
          </w:p>
        </w:tc>
        <w:tc>
          <w:tcPr>
            <w:tcW w:w="861"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vMerge w:val="continue"/>
            <w:tcBorders>
              <w:top w:val="nil"/>
              <w:left w:val="single" w:color="000000" w:sz="4" w:space="0"/>
              <w:bottom w:val="single" w:color="000000" w:sz="4" w:space="0"/>
              <w:right w:val="single" w:color="000000" w:sz="4" w:space="0"/>
            </w:tcBorders>
          </w:tcPr>
          <w:p/>
        </w:tc>
        <w:tc>
          <w:tcPr>
            <w:tcW w:w="1858" w:type="dxa"/>
            <w:vMerge w:val="continue"/>
            <w:tcBorders>
              <w:top w:val="nil"/>
              <w:left w:val="nil"/>
              <w:bottom w:val="single" w:color="000000" w:sz="4" w:space="0"/>
              <w:right w:val="single" w:color="000000" w:sz="4" w:space="0"/>
            </w:tcBorders>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 号路</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S203</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40329.53</w:t>
            </w:r>
          </w:p>
        </w:tc>
        <w:tc>
          <w:tcPr>
            <w:tcW w:w="861"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30</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芯园路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智慧大道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大樟溪东大道</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393</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庐隐路</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智慧大道</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 号路 B 段</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139</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32</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江滨路华威物流园便道</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8068.47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33</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高岐河智慧体育公园</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46151.52</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34</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元峰河公园</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后山溪</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环湖路</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69073.87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35</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水西林</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后山溪</w:t>
            </w: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8524.33</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36</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锦溪公园</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5583.04</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37</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登山道公园</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2650.18</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38</w:t>
            </w:r>
          </w:p>
        </w:tc>
        <w:tc>
          <w:tcPr>
            <w:tcW w:w="185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南港桥下</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67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14880.34</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195"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both"/>
            </w:pPr>
            <w:r>
              <w:rPr>
                <w:rFonts w:ascii="仿宋_GB2312" w:hAnsi="仿宋_GB2312" w:eastAsia="仿宋_GB2312" w:cs="仿宋_GB2312"/>
                <w:sz w:val="20"/>
                <w:shd w:val="clear" w:fill="FFFFFF"/>
              </w:rPr>
              <w:t>三级养护小计</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5636</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521044.32</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95"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both"/>
            </w:pPr>
            <w:r>
              <w:rPr>
                <w:rFonts w:ascii="仿宋_GB2312" w:hAnsi="仿宋_GB2312" w:eastAsia="仿宋_GB2312" w:cs="仿宋_GB2312"/>
                <w:sz w:val="20"/>
                <w:shd w:val="clear" w:fill="FFFFFF"/>
              </w:rPr>
              <w:t>合计</w:t>
            </w:r>
          </w:p>
        </w:tc>
        <w:tc>
          <w:tcPr>
            <w:tcW w:w="108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9411</w:t>
            </w:r>
          </w:p>
        </w:tc>
        <w:tc>
          <w:tcPr>
            <w:tcW w:w="116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799142.57</w:t>
            </w:r>
          </w:p>
        </w:tc>
        <w:tc>
          <w:tcPr>
            <w:tcW w:w="86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bl>
    <w:p>
      <w:pPr>
        <w:pStyle w:val="6"/>
        <w:jc w:val="left"/>
      </w:pPr>
      <w:r>
        <w:rPr>
          <w:rFonts w:ascii="仿宋_GB2312" w:hAnsi="仿宋_GB2312" w:eastAsia="仿宋_GB2312" w:cs="仿宋_GB2312"/>
          <w:sz w:val="20"/>
          <w:shd w:val="clear" w:fill="FFFFFF"/>
        </w:rPr>
        <w:t>采购包1：南屿镇和上街镇（7个村居）市政园林绿化社会化养护项目南屿镇片区（标段一）2025-2026闽侯县南屿镇片区计划移交市政绿化项目明细表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7"/>
        <w:gridCol w:w="1810"/>
        <w:gridCol w:w="798"/>
        <w:gridCol w:w="749"/>
        <w:gridCol w:w="628"/>
        <w:gridCol w:w="410"/>
        <w:gridCol w:w="610"/>
        <w:gridCol w:w="848"/>
        <w:gridCol w:w="480"/>
        <w:gridCol w:w="610"/>
        <w:gridCol w:w="41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179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项目名称</w:t>
            </w:r>
          </w:p>
        </w:tc>
        <w:tc>
          <w:tcPr>
            <w:tcW w:w="123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起点</w:t>
            </w:r>
          </w:p>
        </w:tc>
        <w:tc>
          <w:tcPr>
            <w:tcW w:w="9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终点</w:t>
            </w:r>
          </w:p>
        </w:tc>
        <w:tc>
          <w:tcPr>
            <w:tcW w:w="64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道路长度（m）</w:t>
            </w:r>
          </w:p>
        </w:tc>
        <w:tc>
          <w:tcPr>
            <w:tcW w:w="40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行道树种类</w:t>
            </w: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行道树（株）</w:t>
            </w:r>
          </w:p>
        </w:tc>
        <w:tc>
          <w:tcPr>
            <w:tcW w:w="89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绿化面积（㎡）</w:t>
            </w:r>
          </w:p>
        </w:tc>
        <w:tc>
          <w:tcPr>
            <w:tcW w:w="5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苗木种类</w:t>
            </w: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苗木数量（株）</w:t>
            </w:r>
          </w:p>
        </w:tc>
        <w:tc>
          <w:tcPr>
            <w:tcW w:w="42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预计移交时间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湾边互通</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25</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1445.36</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高新区南元路提升改造工程</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环湖路</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792.1</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台湾栾树</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26</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39.00</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福州市生物医药和机电产业园17 号路道路工程</w:t>
            </w:r>
          </w:p>
          <w:p>
            <w:pPr>
              <w:pStyle w:val="6"/>
              <w:jc w:val="left"/>
            </w:pPr>
            <w:r>
              <w:rPr>
                <w:rFonts w:ascii="仿宋_GB2312" w:hAnsi="仿宋_GB2312" w:eastAsia="仿宋_GB2312" w:cs="仿宋_GB2312"/>
                <w:sz w:val="20"/>
                <w:shd w:val="clear" w:fill="FFFFFF"/>
              </w:rPr>
              <w:t>（一期K0+331.61~K0+850）</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 号路</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K0+850</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518.4</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香樟、秋枫</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144</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1354.83</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马尼拉草</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福州高新区117县道（南港大桥－新保路）段道路两侧环境整治工程</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南港大桥</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11506.23</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香樟、红枫、金桂、福建山樱花等</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168</w:t>
            </w: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11"/>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ind w:firstLine="600"/>
              <w:jc w:val="left"/>
            </w:pPr>
            <w:r>
              <w:rPr>
                <w:rFonts w:ascii="仿宋_GB2312" w:hAnsi="仿宋_GB2312" w:eastAsia="仿宋_GB2312" w:cs="仿宋_GB2312"/>
                <w:sz w:val="20"/>
                <w:shd w:val="clear" w:fill="FFFFFF"/>
              </w:rPr>
              <w:t>2026 年移交小计                                195   14345.42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79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南港路</w:t>
            </w:r>
          </w:p>
        </w:tc>
        <w:tc>
          <w:tcPr>
            <w:tcW w:w="123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南港路连接线接线一</w:t>
            </w:r>
          </w:p>
        </w:tc>
        <w:tc>
          <w:tcPr>
            <w:tcW w:w="90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六十份洲互通</w:t>
            </w:r>
          </w:p>
        </w:tc>
        <w:tc>
          <w:tcPr>
            <w:tcW w:w="64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627.0</w:t>
            </w:r>
          </w:p>
        </w:tc>
        <w:tc>
          <w:tcPr>
            <w:tcW w:w="40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秋枫</w:t>
            </w: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200</w:t>
            </w:r>
          </w:p>
        </w:tc>
        <w:tc>
          <w:tcPr>
            <w:tcW w:w="89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450.00</w:t>
            </w:r>
          </w:p>
        </w:tc>
        <w:tc>
          <w:tcPr>
            <w:tcW w:w="5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tc>
        <w:tc>
          <w:tcPr>
            <w:tcW w:w="42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南港路连接线</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接线一：旗山大道；</w:t>
            </w:r>
          </w:p>
          <w:p>
            <w:pPr>
              <w:pStyle w:val="6"/>
              <w:jc w:val="left"/>
            </w:pPr>
            <w:r>
              <w:rPr>
                <w:rFonts w:ascii="仿宋_GB2312" w:hAnsi="仿宋_GB2312" w:eastAsia="仿宋_GB2312" w:cs="仿宋_GB2312"/>
                <w:sz w:val="20"/>
                <w:shd w:val="clear" w:fill="FFFFFF"/>
              </w:rPr>
              <w:t>接线二：南港路；</w:t>
            </w:r>
          </w:p>
          <w:p>
            <w:pPr>
              <w:pStyle w:val="6"/>
              <w:jc w:val="left"/>
            </w:pPr>
            <w:r>
              <w:rPr>
                <w:rFonts w:ascii="仿宋_GB2312" w:hAnsi="仿宋_GB2312" w:eastAsia="仿宋_GB2312" w:cs="仿宋_GB2312"/>
                <w:sz w:val="20"/>
                <w:shd w:val="clear" w:fill="FFFFFF"/>
              </w:rPr>
              <w:t>接线三：南港路</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接线一：南港路；</w:t>
            </w:r>
          </w:p>
          <w:p>
            <w:pPr>
              <w:pStyle w:val="6"/>
              <w:jc w:val="left"/>
            </w:pPr>
            <w:r>
              <w:rPr>
                <w:rFonts w:ascii="仿宋_GB2312" w:hAnsi="仿宋_GB2312" w:eastAsia="仿宋_GB2312" w:cs="仿宋_GB2312"/>
                <w:sz w:val="20"/>
                <w:shd w:val="clear" w:fill="FFFFFF"/>
              </w:rPr>
              <w:t>接线二：六十份洲互通；</w:t>
            </w:r>
          </w:p>
          <w:p>
            <w:pPr>
              <w:pStyle w:val="6"/>
              <w:jc w:val="left"/>
            </w:pPr>
            <w:r>
              <w:rPr>
                <w:rFonts w:ascii="仿宋_GB2312" w:hAnsi="仿宋_GB2312" w:eastAsia="仿宋_GB2312" w:cs="仿宋_GB2312"/>
                <w:sz w:val="20"/>
                <w:shd w:val="clear" w:fill="FFFFFF"/>
              </w:rPr>
              <w:t>接线三：接线二</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接线一：200 （桥梁）</w:t>
            </w:r>
          </w:p>
          <w:p>
            <w:pPr>
              <w:pStyle w:val="6"/>
              <w:jc w:val="left"/>
            </w:pPr>
            <w:r>
              <w:rPr>
                <w:rFonts w:ascii="仿宋_GB2312" w:hAnsi="仿宋_GB2312" w:eastAsia="仿宋_GB2312" w:cs="仿宋_GB2312"/>
                <w:sz w:val="20"/>
                <w:shd w:val="clear" w:fill="FFFFFF"/>
              </w:rPr>
              <w:t>接线二：518</w:t>
            </w:r>
          </w:p>
          <w:p>
            <w:pPr>
              <w:pStyle w:val="6"/>
              <w:jc w:val="left"/>
            </w:pPr>
            <w:r>
              <w:rPr>
                <w:rFonts w:ascii="仿宋_GB2312" w:hAnsi="仿宋_GB2312" w:eastAsia="仿宋_GB2312" w:cs="仿宋_GB2312"/>
                <w:sz w:val="20"/>
                <w:shd w:val="clear" w:fill="FFFFFF"/>
              </w:rPr>
              <w:t>接线三：261</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黄花风铃木</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260</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585.00</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新建桐南桥及配套道路</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福建省莲花服装实业有限责任公司附近现状村道</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尧溪路与新南大道交叉口附近</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1292.5</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麻楝</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128</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4945.00</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朴树、黄山</w:t>
            </w:r>
          </w:p>
          <w:p>
            <w:pPr>
              <w:pStyle w:val="6"/>
              <w:jc w:val="left"/>
            </w:pPr>
            <w:r>
              <w:rPr>
                <w:rFonts w:ascii="仿宋_GB2312" w:hAnsi="仿宋_GB2312" w:eastAsia="仿宋_GB2312" w:cs="仿宋_GB2312"/>
                <w:sz w:val="20"/>
                <w:shd w:val="clear" w:fill="FFFFFF"/>
              </w:rPr>
              <w:t>栾树、小叶榄仁等</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215</w:t>
            </w: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五后溪上游段河道建设工程（桥梁工程）</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117 县道</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117 县道</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88.0</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香樟、小叶榄仁</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52</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577.00</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非洲茉莉</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164</w:t>
            </w: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797"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两园5 号路道路工程</w:t>
            </w:r>
          </w:p>
        </w:tc>
        <w:tc>
          <w:tcPr>
            <w:tcW w:w="123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虎秀路</w:t>
            </w:r>
          </w:p>
        </w:tc>
        <w:tc>
          <w:tcPr>
            <w:tcW w:w="90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智慧大道</w:t>
            </w:r>
          </w:p>
        </w:tc>
        <w:tc>
          <w:tcPr>
            <w:tcW w:w="64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1600.0</w:t>
            </w:r>
          </w:p>
        </w:tc>
        <w:tc>
          <w:tcPr>
            <w:tcW w:w="408"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秋枫</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426</w:t>
            </w:r>
          </w:p>
        </w:tc>
        <w:tc>
          <w:tcPr>
            <w:tcW w:w="891"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2788.00</w:t>
            </w:r>
          </w:p>
        </w:tc>
        <w:tc>
          <w:tcPr>
            <w:tcW w:w="5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马尼拉草</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42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11"/>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 年移交小计                                      1066   9345.00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11"/>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合计                                                 1261   23690.42</w:t>
            </w:r>
          </w:p>
        </w:tc>
      </w:tr>
    </w:tbl>
    <w:p>
      <w:pPr>
        <w:pStyle w:val="6"/>
        <w:ind w:right="645"/>
        <w:jc w:val="left"/>
      </w:pPr>
      <w:r>
        <w:rPr>
          <w:rFonts w:ascii="仿宋_GB2312" w:hAnsi="仿宋_GB2312" w:eastAsia="仿宋_GB2312" w:cs="仿宋_GB2312"/>
          <w:sz w:val="20"/>
          <w:shd w:val="clear" w:fill="FFFFFF"/>
        </w:rPr>
        <w:t>采购包2：南屿镇和上街镇（7个村居）市政园林绿化社会化养护项目上街镇（7个村居）片区（标段二）闽侯县上街镇（7个村居）市政园林绿化养护项目明细表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8"/>
        <w:gridCol w:w="1425"/>
        <w:gridCol w:w="1267"/>
        <w:gridCol w:w="1214"/>
        <w:gridCol w:w="1256"/>
        <w:gridCol w:w="1154"/>
        <w:gridCol w:w="5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5" w:type="dxa"/>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道路绿化养护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1555"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路名</w:t>
            </w:r>
          </w:p>
        </w:tc>
        <w:tc>
          <w:tcPr>
            <w:tcW w:w="2809"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起止点</w:t>
            </w:r>
          </w:p>
        </w:tc>
        <w:tc>
          <w:tcPr>
            <w:tcW w:w="1359"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行道树（株）</w:t>
            </w:r>
          </w:p>
        </w:tc>
        <w:tc>
          <w:tcPr>
            <w:tcW w:w="1193"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绿化面积（㎡）</w:t>
            </w:r>
          </w:p>
        </w:tc>
        <w:tc>
          <w:tcPr>
            <w:tcW w:w="604"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养护等级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single" w:color="000000" w:sz="4" w:space="0"/>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道路起点</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道路终点</w:t>
            </w:r>
          </w:p>
        </w:tc>
        <w:tc>
          <w:tcPr>
            <w:tcW w:w="1359" w:type="dxa"/>
            <w:vMerge w:val="continue"/>
            <w:tcBorders>
              <w:top w:val="single" w:color="000000" w:sz="4" w:space="0"/>
              <w:left w:val="nil"/>
              <w:bottom w:val="single" w:color="000000" w:sz="4" w:space="0"/>
              <w:right w:val="single" w:color="000000" w:sz="4" w:space="0"/>
            </w:tcBorders>
          </w:tcPr>
          <w:p/>
        </w:tc>
        <w:tc>
          <w:tcPr>
            <w:tcW w:w="1193" w:type="dxa"/>
            <w:vMerge w:val="continue"/>
            <w:tcBorders>
              <w:top w:val="single" w:color="000000" w:sz="4" w:space="0"/>
              <w:left w:val="nil"/>
              <w:bottom w:val="single" w:color="000000" w:sz="4" w:space="0"/>
              <w:right w:val="single" w:color="000000" w:sz="4" w:space="0"/>
            </w:tcBorders>
          </w:tcPr>
          <w:p/>
        </w:tc>
        <w:tc>
          <w:tcPr>
            <w:tcW w:w="604"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1105</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172668.54</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555"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断头路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1209</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46309.04</w:t>
            </w:r>
          </w:p>
        </w:tc>
        <w:tc>
          <w:tcPr>
            <w:tcW w:w="604"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科技东路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10847.21</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555"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规划路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1362</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89155.41</w:t>
            </w:r>
          </w:p>
        </w:tc>
        <w:tc>
          <w:tcPr>
            <w:tcW w:w="604"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厚庭排涝站</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葛岐排涝站</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34732.39</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建平路匝道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明德东路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nil"/>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5557.48</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2809"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其他绿地</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44307. 12</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555"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橘园洲桥头</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广兴路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nil"/>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18960.27</w:t>
            </w:r>
          </w:p>
        </w:tc>
        <w:tc>
          <w:tcPr>
            <w:tcW w:w="604"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2809"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数字峰会场地</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4724.39</w:t>
            </w:r>
          </w:p>
        </w:tc>
        <w:tc>
          <w:tcPr>
            <w:tcW w:w="604"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科技东路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206</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9665.48</w:t>
            </w: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1555"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旗麓南大道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311</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12826.36</w:t>
            </w:r>
          </w:p>
        </w:tc>
        <w:tc>
          <w:tcPr>
            <w:tcW w:w="604"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浦上大桥西桥头</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旗麓北大道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110</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1208.36</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vMerge w:val="continue"/>
            <w:tcBorders>
              <w:top w:val="nil"/>
              <w:left w:val="single" w:color="000000" w:sz="4" w:space="0"/>
              <w:bottom w:val="single" w:color="000000" w:sz="4" w:space="0"/>
              <w:right w:val="single" w:color="000000" w:sz="4" w:space="0"/>
            </w:tcBorders>
          </w:tcPr>
          <w:p/>
        </w:tc>
        <w:tc>
          <w:tcPr>
            <w:tcW w:w="1555" w:type="dxa"/>
            <w:vMerge w:val="continue"/>
            <w:tcBorders>
              <w:top w:val="nil"/>
              <w:left w:val="nil"/>
              <w:bottom w:val="single" w:color="000000" w:sz="4" w:space="0"/>
              <w:right w:val="single" w:color="000000" w:sz="4" w:space="0"/>
            </w:tcBorders>
          </w:tcP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其他绿地</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17955. 14</w:t>
            </w:r>
          </w:p>
        </w:tc>
        <w:tc>
          <w:tcPr>
            <w:tcW w:w="60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二级养护小计                                         4303        468917.19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55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广兴路</w:t>
            </w:r>
          </w:p>
        </w:tc>
        <w:tc>
          <w:tcPr>
            <w:tcW w:w="14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37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明德路</w:t>
            </w:r>
          </w:p>
        </w:tc>
        <w:tc>
          <w:tcPr>
            <w:tcW w:w="135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99</w:t>
            </w:r>
          </w:p>
        </w:tc>
        <w:tc>
          <w:tcPr>
            <w:tcW w:w="119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1306.92</w:t>
            </w:r>
          </w:p>
        </w:tc>
        <w:tc>
          <w:tcPr>
            <w:tcW w:w="60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贤林路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广兴路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163</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高新一路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268</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80.06</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金瑛路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龙凤路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75</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履丰北路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知舟路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履丰南路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523</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履丰南路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履丰北路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将军庙路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27</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创业路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236</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369.57</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8</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创业南路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龙凤路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67</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9</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柴排路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竹缆路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湖滨北路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320</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双庙路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江景路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马洲路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59</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广兴路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144</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7847.39</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明德东路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357</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4231.80</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334</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586.43</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15</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建平路（小）</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创意路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175</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331.72</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16</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科技一路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高新一路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200</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1087.51</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17</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222</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2868.56</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18</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知舟路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208</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19</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科技支路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101</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20</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龙凤路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169</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21</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马保路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学府南路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旗麓北大道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108</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学府南路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广贤路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446</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10323.66</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23</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142</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7708.44</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24</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莉园洲路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乌龙江中大道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223</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1878.13</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25</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将军庙路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214</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26</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朝晖路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马排路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187</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27</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马洲路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湖滨路</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289</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28</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乌龙江南大道</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新港大道</w:t>
            </w: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441</w:t>
            </w: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29</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董屿路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明德东路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359"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415</w:t>
            </w:r>
          </w:p>
        </w:tc>
        <w:tc>
          <w:tcPr>
            <w:tcW w:w="1193"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1364.00</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30</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佛桥亭路</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董屿路</w:t>
            </w: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董屿路</w:t>
            </w:r>
          </w:p>
        </w:tc>
        <w:tc>
          <w:tcPr>
            <w:tcW w:w="1359" w:type="dxa"/>
            <w:vMerge w:val="continue"/>
            <w:tcBorders>
              <w:top w:val="nil"/>
              <w:left w:val="nil"/>
              <w:bottom w:val="single" w:color="000000" w:sz="4" w:space="0"/>
              <w:right w:val="single" w:color="000000" w:sz="4" w:space="0"/>
            </w:tcBorders>
          </w:tcPr>
          <w:p/>
        </w:tc>
        <w:tc>
          <w:tcPr>
            <w:tcW w:w="1193" w:type="dxa"/>
            <w:vMerge w:val="continue"/>
            <w:tcBorders>
              <w:top w:val="nil"/>
              <w:left w:val="nil"/>
              <w:bottom w:val="single" w:color="000000" w:sz="4" w:space="0"/>
              <w:right w:val="single" w:color="000000" w:sz="4" w:space="0"/>
            </w:tcBorders>
          </w:tcP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轮船港公园</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67506.27</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32</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乌龙江南岸浦上桥下公园</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9408.93</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33</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马排体育运动公园</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8562.89</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34</w:t>
            </w:r>
          </w:p>
        </w:tc>
        <w:tc>
          <w:tcPr>
            <w:tcW w:w="155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橘园洲桥下</w:t>
            </w:r>
          </w:p>
        </w:tc>
        <w:tc>
          <w:tcPr>
            <w:tcW w:w="14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74"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19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59954.83</w:t>
            </w:r>
          </w:p>
        </w:tc>
        <w:tc>
          <w:tcPr>
            <w:tcW w:w="60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5" w:type="dxa"/>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三级养护小计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 xml:space="preserve">6243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 xml:space="preserve"> 185417.11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7"/>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合计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10546       654334.30</w:t>
            </w:r>
          </w:p>
        </w:tc>
      </w:tr>
    </w:tbl>
    <w:p>
      <w:pPr>
        <w:pStyle w:val="6"/>
        <w:ind w:right="645"/>
        <w:jc w:val="both"/>
      </w:pPr>
      <w:r>
        <w:rPr>
          <w:rFonts w:ascii="仿宋_GB2312" w:hAnsi="仿宋_GB2312" w:eastAsia="仿宋_GB2312" w:cs="仿宋_GB2312"/>
          <w:sz w:val="20"/>
          <w:shd w:val="clear" w:fill="FFFFFF"/>
        </w:rPr>
        <w:t>采购包2：南屿镇和上街镇（7个村居）市政园林绿化社会化养护项目上街镇（7个村居）片区（标段二）闽侯县上街镇（7个村居）开花草本养护项目明细表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3405"/>
        <w:gridCol w:w="1110"/>
        <w:gridCol w:w="1110"/>
        <w:gridCol w:w="12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三角梅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3792"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路名</w:t>
            </w:r>
          </w:p>
        </w:tc>
        <w:tc>
          <w:tcPr>
            <w:tcW w:w="243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起止点</w:t>
            </w:r>
          </w:p>
        </w:tc>
        <w:tc>
          <w:tcPr>
            <w:tcW w:w="1354" w:type="dxa"/>
            <w:vMerge w:val="restart"/>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长度（m/㎡）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vMerge w:val="continue"/>
            <w:tcBorders>
              <w:top w:val="nil"/>
              <w:left w:val="single" w:color="000000" w:sz="4" w:space="0"/>
              <w:bottom w:val="single" w:color="000000" w:sz="4" w:space="0"/>
              <w:right w:val="single" w:color="000000" w:sz="4" w:space="0"/>
            </w:tcBorders>
          </w:tcPr>
          <w:p/>
        </w:tc>
        <w:tc>
          <w:tcPr>
            <w:tcW w:w="3792" w:type="dxa"/>
            <w:vMerge w:val="continue"/>
            <w:tcBorders>
              <w:top w:val="single" w:color="000000" w:sz="4" w:space="0"/>
              <w:left w:val="nil"/>
              <w:bottom w:val="single" w:color="000000" w:sz="4" w:space="0"/>
              <w:right w:val="single" w:color="000000" w:sz="4" w:space="0"/>
            </w:tcBorders>
          </w:tc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道路起点</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道路终点</w:t>
            </w:r>
          </w:p>
        </w:tc>
        <w:tc>
          <w:tcPr>
            <w:tcW w:w="1354"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建平路</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广兴路</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乌龙江大道厚庭排涝站段/新港大道</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157.92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浦上西段/高新大道</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781.17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学府南路</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广贤路</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299.00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三角梅长度合计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 xml:space="preserve">          2438.09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时花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79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科技东路与高新大道交叉口渠化岛</w:t>
            </w:r>
          </w:p>
        </w:tc>
        <w:tc>
          <w:tcPr>
            <w:tcW w:w="12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323.69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科技东路与旗山大道交叉口渠化岛</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184.67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科技东路与乌龙江大道交叉口渠化岛</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209.58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乌龙江大道显示屏下花化</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154.97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3792"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董屿站门口草地</w:t>
            </w: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1219"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1354"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时花面积合计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 xml:space="preserve">           1132.91</w:t>
            </w:r>
          </w:p>
        </w:tc>
      </w:tr>
    </w:tbl>
    <w:p>
      <w:pPr>
        <w:pStyle w:val="6"/>
        <w:ind w:right="645"/>
        <w:jc w:val="both"/>
      </w:pPr>
      <w:r>
        <w:rPr>
          <w:rFonts w:ascii="仿宋_GB2312" w:hAnsi="仿宋_GB2312" w:eastAsia="仿宋_GB2312" w:cs="仿宋_GB2312"/>
          <w:sz w:val="20"/>
          <w:shd w:val="clear" w:fill="FFFFFF"/>
        </w:rPr>
        <w:t>采购包2：南屿镇和上街镇（7个村居）市政园林绿化社会化养护项目上街镇（7个村居）片区（标段二）2025-2026闽侯县上街镇（7个村居）计划移交市政绿化项目明细表</w:t>
      </w:r>
    </w:p>
    <w:tbl>
      <w:tblPr>
        <w:tblStyle w:val="4"/>
        <w:tblW w:w="0" w:type="auto"/>
        <w:tblInd w:w="6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2"/>
        <w:gridCol w:w="1087"/>
        <w:gridCol w:w="915"/>
        <w:gridCol w:w="71"/>
        <w:gridCol w:w="660"/>
        <w:gridCol w:w="610"/>
        <w:gridCol w:w="494"/>
        <w:gridCol w:w="610"/>
        <w:gridCol w:w="937"/>
        <w:gridCol w:w="646"/>
        <w:gridCol w:w="610"/>
        <w:gridCol w:w="68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11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项目名称</w:t>
            </w: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起点</w:t>
            </w:r>
          </w:p>
        </w:tc>
        <w:tc>
          <w:tcPr>
            <w:tcW w:w="750"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终点</w:t>
            </w:r>
          </w:p>
        </w:tc>
        <w:tc>
          <w:tcPr>
            <w:tcW w:w="6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道路长度</w:t>
            </w:r>
          </w:p>
          <w:p>
            <w:pPr>
              <w:pStyle w:val="6"/>
              <w:jc w:val="left"/>
            </w:pPr>
            <w:r>
              <w:rPr>
                <w:rFonts w:ascii="仿宋_GB2312" w:hAnsi="仿宋_GB2312" w:eastAsia="仿宋_GB2312" w:cs="仿宋_GB2312"/>
                <w:sz w:val="20"/>
                <w:shd w:val="clear" w:fill="FFFFFF"/>
              </w:rPr>
              <w:t>(m)</w:t>
            </w:r>
          </w:p>
        </w:tc>
        <w:tc>
          <w:tcPr>
            <w:tcW w:w="5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行道树种类</w:t>
            </w:r>
          </w:p>
        </w:tc>
        <w:tc>
          <w:tcPr>
            <w:tcW w:w="6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w:t>
            </w:r>
          </w:p>
          <w:p>
            <w:pPr>
              <w:pStyle w:val="6"/>
              <w:jc w:val="left"/>
            </w:pPr>
            <w:r>
              <w:rPr>
                <w:rFonts w:ascii="仿宋_GB2312" w:hAnsi="仿宋_GB2312" w:eastAsia="仿宋_GB2312" w:cs="仿宋_GB2312"/>
                <w:sz w:val="20"/>
                <w:shd w:val="clear" w:fill="FFFFFF"/>
              </w:rPr>
              <w:t>（株）</w:t>
            </w: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绿化面积（㎡）</w:t>
            </w:r>
          </w:p>
        </w:tc>
        <w:tc>
          <w:tcPr>
            <w:tcW w:w="66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苗木种类</w:t>
            </w:r>
          </w:p>
        </w:tc>
        <w:tc>
          <w:tcPr>
            <w:tcW w:w="5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苗木数量（株）</w:t>
            </w:r>
          </w:p>
        </w:tc>
        <w:tc>
          <w:tcPr>
            <w:tcW w:w="7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预计移</w:t>
            </w:r>
          </w:p>
          <w:p>
            <w:pPr>
              <w:pStyle w:val="6"/>
              <w:jc w:val="left"/>
            </w:pPr>
            <w:r>
              <w:rPr>
                <w:rFonts w:ascii="仿宋_GB2312" w:hAnsi="仿宋_GB2312" w:eastAsia="仿宋_GB2312" w:cs="仿宋_GB2312"/>
                <w:sz w:val="20"/>
                <w:shd w:val="clear" w:fill="FFFFFF"/>
              </w:rPr>
              <w:t>交时间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乌龙江畔（十里江湾）项目南侧绿化工程</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6000.00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香樟、小叶榄仁、黄槿、丛生香泡等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314</w:t>
            </w: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科技西路整治工程</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117 县道</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学府南路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800.0</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特选朴树香樟黄花风铃木</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317</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3200.00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红叶石楠、三角梅</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330</w:t>
            </w: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高新三路</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科技三路，往南延伸，沿线与规划路、新洲路、新洲一路、新洲二路、新洲三路、新洲四路相交处</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954.5</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秋枫</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235</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715.00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新洲支路</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新洲一、二、四路起于高新三路</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终点止于高新大道；新洲三路起于旗山大道，终点止于高新大道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新洲一路</w:t>
            </w:r>
          </w:p>
          <w:p>
            <w:pPr>
              <w:pStyle w:val="6"/>
              <w:jc w:val="left"/>
            </w:pPr>
            <w:r>
              <w:rPr>
                <w:rFonts w:ascii="仿宋_GB2312" w:hAnsi="仿宋_GB2312" w:eastAsia="仿宋_GB2312" w:cs="仿宋_GB2312"/>
                <w:sz w:val="20"/>
                <w:shd w:val="clear" w:fill="FFFFFF"/>
              </w:rPr>
              <w:t>274.5</w:t>
            </w:r>
          </w:p>
          <w:p>
            <w:pPr>
              <w:pStyle w:val="6"/>
              <w:jc w:val="left"/>
            </w:pPr>
            <w:r>
              <w:rPr>
                <w:rFonts w:ascii="仿宋_GB2312" w:hAnsi="仿宋_GB2312" w:eastAsia="仿宋_GB2312" w:cs="仿宋_GB2312"/>
                <w:sz w:val="20"/>
                <w:shd w:val="clear" w:fill="FFFFFF"/>
              </w:rPr>
              <w:t>新洲二路</w:t>
            </w:r>
          </w:p>
          <w:p>
            <w:pPr>
              <w:pStyle w:val="6"/>
              <w:jc w:val="left"/>
            </w:pPr>
            <w:r>
              <w:rPr>
                <w:rFonts w:ascii="仿宋_GB2312" w:hAnsi="仿宋_GB2312" w:eastAsia="仿宋_GB2312" w:cs="仿宋_GB2312"/>
                <w:sz w:val="20"/>
                <w:shd w:val="clear" w:fill="FFFFFF"/>
              </w:rPr>
              <w:t>228.3</w:t>
            </w:r>
          </w:p>
          <w:p>
            <w:pPr>
              <w:pStyle w:val="6"/>
              <w:jc w:val="left"/>
            </w:pPr>
            <w:r>
              <w:rPr>
                <w:rFonts w:ascii="仿宋_GB2312" w:hAnsi="仿宋_GB2312" w:eastAsia="仿宋_GB2312" w:cs="仿宋_GB2312"/>
                <w:sz w:val="20"/>
                <w:shd w:val="clear" w:fill="FFFFFF"/>
              </w:rPr>
              <w:t>新洲三路</w:t>
            </w:r>
          </w:p>
          <w:p>
            <w:pPr>
              <w:pStyle w:val="6"/>
              <w:jc w:val="left"/>
            </w:pPr>
            <w:r>
              <w:rPr>
                <w:rFonts w:ascii="仿宋_GB2312" w:hAnsi="仿宋_GB2312" w:eastAsia="仿宋_GB2312" w:cs="仿宋_GB2312"/>
                <w:sz w:val="20"/>
                <w:shd w:val="clear" w:fill="FFFFFF"/>
              </w:rPr>
              <w:t>345.7</w:t>
            </w:r>
          </w:p>
          <w:p>
            <w:pPr>
              <w:pStyle w:val="6"/>
              <w:jc w:val="left"/>
            </w:pPr>
            <w:r>
              <w:rPr>
                <w:rFonts w:ascii="仿宋_GB2312" w:hAnsi="仿宋_GB2312" w:eastAsia="仿宋_GB2312" w:cs="仿宋_GB2312"/>
                <w:sz w:val="20"/>
                <w:shd w:val="clear" w:fill="FFFFFF"/>
              </w:rPr>
              <w:t>新洲四路</w:t>
            </w:r>
          </w:p>
          <w:p>
            <w:pPr>
              <w:pStyle w:val="6"/>
              <w:jc w:val="left"/>
            </w:pPr>
            <w:r>
              <w:rPr>
                <w:rFonts w:ascii="仿宋_GB2312" w:hAnsi="仿宋_GB2312" w:eastAsia="仿宋_GB2312" w:cs="仿宋_GB2312"/>
                <w:sz w:val="20"/>
                <w:shd w:val="clear" w:fill="FFFFFF"/>
              </w:rPr>
              <w:t>226. 1</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蓝花楹</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296</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666.00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新洲路</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旗山大道</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821</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秋枫</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229</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5498.00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秋枫</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新洲路段旗山大道东侧品质提升工程</w:t>
            </w:r>
          </w:p>
        </w:tc>
        <w:tc>
          <w:tcPr>
            <w:tcW w:w="1695" w:type="dxa"/>
            <w:gridSpan w:val="3"/>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师大东门</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3000.00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紫花风铃木</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国贸学原北侧景观工程</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浦上路</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11000.00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蓝花楹、黄花风铃木、福橘</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141</w:t>
            </w:r>
          </w:p>
        </w:tc>
        <w:tc>
          <w:tcPr>
            <w:tcW w:w="7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vMerge w:val="continue"/>
            <w:tcBorders>
              <w:top w:val="nil"/>
              <w:left w:val="single" w:color="000000" w:sz="4" w:space="0"/>
              <w:bottom w:val="single" w:color="000000" w:sz="4" w:space="0"/>
              <w:right w:val="single" w:color="000000" w:sz="4" w:space="0"/>
            </w:tcBorders>
          </w:tcP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国贸学原东侧绿地</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3948.92</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8</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葛岐桥</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葛岐排涝站北</w:t>
            </w:r>
          </w:p>
        </w:tc>
        <w:tc>
          <w:tcPr>
            <w:tcW w:w="75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葛岐排涝站南</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100.0</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澳洲火焰木</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51</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3715.00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桃花芯木、台湾栾树、喜树等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233</w:t>
            </w: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9</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橘园洲桥下生态休闲空间建设工程</w:t>
            </w:r>
          </w:p>
        </w:tc>
        <w:tc>
          <w:tcPr>
            <w:tcW w:w="1695" w:type="dxa"/>
            <w:gridSpan w:val="3"/>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橘园洲桥下</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20000.00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草皮</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翔龙花园西侧景观绿化改造工程</w:t>
            </w:r>
          </w:p>
        </w:tc>
        <w:tc>
          <w:tcPr>
            <w:tcW w:w="1695" w:type="dxa"/>
            <w:gridSpan w:val="3"/>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翔龙花园商业体外侧</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1830.00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无患子、鸡蛋花、秋枫等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11</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榕高新2020-02 号地块东侧景观绿化改造工程</w:t>
            </w:r>
          </w:p>
        </w:tc>
        <w:tc>
          <w:tcPr>
            <w:tcW w:w="1695" w:type="dxa"/>
            <w:gridSpan w:val="3"/>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榕高新2020-02 号地块东侧</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1120.00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12</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中国东南（福建）科学城精神堡垒建设工程</w:t>
            </w:r>
          </w:p>
        </w:tc>
        <w:tc>
          <w:tcPr>
            <w:tcW w:w="1695" w:type="dxa"/>
            <w:gridSpan w:val="3"/>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橘园洲大桥西桥头北侧</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275.00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红花继木等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13</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马排三路</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接滨北一路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151.3</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53</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112.00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马尼拉草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5" w:type="dxa"/>
            <w:gridSpan w:val="1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 年移交小计                                    1181  61079.92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11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新马花园配套道路</w:t>
            </w:r>
          </w:p>
        </w:tc>
        <w:tc>
          <w:tcPr>
            <w:tcW w:w="1020"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高岐路</w:t>
            </w:r>
          </w:p>
        </w:tc>
        <w:tc>
          <w:tcPr>
            <w:tcW w:w="67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新保路</w:t>
            </w:r>
          </w:p>
        </w:tc>
        <w:tc>
          <w:tcPr>
            <w:tcW w:w="6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1070.0</w:t>
            </w:r>
          </w:p>
        </w:tc>
        <w:tc>
          <w:tcPr>
            <w:tcW w:w="5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黄山栾树</w:t>
            </w:r>
          </w:p>
        </w:tc>
        <w:tc>
          <w:tcPr>
            <w:tcW w:w="6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216</w:t>
            </w: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432.00</w:t>
            </w:r>
          </w:p>
        </w:tc>
        <w:tc>
          <w:tcPr>
            <w:tcW w:w="66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高新一路延伸段（未施工段落）</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创新路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科技三路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90.0</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黄花风铃木</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31</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70.00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湖滨二路</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相交于滨北二路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湖滨北路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415.4</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108</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湖滨三路</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相交于滨北二路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湖滨北路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437.9</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111</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11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滨北三路</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现状高新大道</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现状乌龙江大道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658.0</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182</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111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学园支路</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学园一路：高新大道</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学园一路：乌龙江大道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351.8</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81</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126.00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马尼拉草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705" w:type="dxa"/>
            <w:vMerge w:val="restart"/>
            <w:tcBorders>
              <w:top w:val="nil"/>
              <w:left w:val="nil"/>
              <w:bottom w:val="nil"/>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p>
            <w:pPr>
              <w:pStyle w:val="6"/>
            </w:pPr>
            <w:r>
              <w:rPr>
                <w:rFonts w:ascii="仿宋_GB2312" w:hAnsi="仿宋_GB2312" w:eastAsia="仿宋_GB2312" w:cs="仿宋_GB2312"/>
                <w:sz w:val="19"/>
              </w:rPr>
              <w:t xml:space="preserve"> </w:t>
            </w:r>
          </w:p>
          <w:p>
            <w:pPr>
              <w:pStyle w:val="6"/>
            </w:pPr>
            <w:r>
              <w:rPr>
                <w:rFonts w:ascii="仿宋_GB2312" w:hAnsi="仿宋_GB2312" w:eastAsia="仿宋_GB2312" w:cs="仿宋_GB2312"/>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89" w:type="dxa"/>
        </w:trPr>
        <w:tc>
          <w:tcPr>
            <w:tcW w:w="360" w:type="dxa"/>
            <w:vMerge w:val="continue"/>
            <w:tcBorders>
              <w:top w:val="nil"/>
              <w:left w:val="single" w:color="000000" w:sz="4" w:space="0"/>
              <w:bottom w:val="single" w:color="000000" w:sz="4" w:space="0"/>
              <w:right w:val="single" w:color="000000" w:sz="4" w:space="0"/>
            </w:tcBorders>
          </w:tcPr>
          <w:p/>
        </w:tc>
        <w:tc>
          <w:tcPr>
            <w:tcW w:w="1110" w:type="dxa"/>
            <w:vMerge w:val="continue"/>
            <w:tcBorders>
              <w:top w:val="nil"/>
              <w:left w:val="nil"/>
              <w:bottom w:val="single" w:color="000000" w:sz="4" w:space="0"/>
              <w:right w:val="single" w:color="000000" w:sz="4" w:space="0"/>
            </w:tcBorders>
          </w:tcP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竹榄路：高新大道</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竹榄路：乌龙江大道</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403.4</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104</w:t>
            </w: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118.00</w:t>
            </w: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马尼拉草</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689" w:type="dxa"/>
        </w:trPr>
        <w:tc>
          <w:tcPr>
            <w:tcW w:w="360" w:type="dxa"/>
            <w:vMerge w:val="continue"/>
            <w:tcBorders>
              <w:top w:val="nil"/>
              <w:left w:val="single" w:color="000000" w:sz="4" w:space="0"/>
              <w:bottom w:val="single" w:color="000000" w:sz="4" w:space="0"/>
              <w:right w:val="single" w:color="000000" w:sz="4" w:space="0"/>
            </w:tcBorders>
          </w:tcPr>
          <w:p/>
        </w:tc>
        <w:tc>
          <w:tcPr>
            <w:tcW w:w="1110" w:type="dxa"/>
            <w:vMerge w:val="continue"/>
            <w:tcBorders>
              <w:top w:val="nil"/>
              <w:left w:val="nil"/>
              <w:bottom w:val="single" w:color="000000" w:sz="4" w:space="0"/>
              <w:right w:val="single" w:color="000000" w:sz="4" w:space="0"/>
            </w:tcBorders>
          </w:tcP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学园三路：接高新二路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学园三路：接高岐支路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537.58</w:t>
            </w: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660" w:type="dxa"/>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tcBorders>
              <w:top w:val="nil"/>
              <w:left w:val="nil"/>
              <w:bottom w:val="single" w:color="000000" w:sz="4" w:space="0"/>
              <w:right w:val="single" w:color="000000" w:sz="4" w:space="0"/>
            </w:tcBorders>
            <w:tcMar>
              <w:top w:w="0" w:type="dxa"/>
              <w:left w:w="0" w:type="dxa"/>
              <w:bottom w:w="0" w:type="dxa"/>
              <w:right w:w="0"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7</w:t>
            </w:r>
          </w:p>
        </w:tc>
        <w:tc>
          <w:tcPr>
            <w:tcW w:w="111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高新大道接线工程及高岐路接线工程</w:t>
            </w: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接线一：相交于高新大道</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接线一：湖滨一路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159.0</w:t>
            </w:r>
          </w:p>
        </w:tc>
        <w:tc>
          <w:tcPr>
            <w:tcW w:w="51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香樟</w:t>
            </w:r>
          </w:p>
        </w:tc>
        <w:tc>
          <w:tcPr>
            <w:tcW w:w="60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143</w:t>
            </w:r>
          </w:p>
        </w:tc>
        <w:tc>
          <w:tcPr>
            <w:tcW w:w="945"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c>
          <w:tcPr>
            <w:tcW w:w="66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tc>
        <w:tc>
          <w:tcPr>
            <w:tcW w:w="510" w:type="dxa"/>
            <w:vMerge w:val="restart"/>
            <w:tcBorders>
              <w:top w:val="nil"/>
              <w:left w:val="nil"/>
              <w:bottom w:val="single" w:color="000000" w:sz="4" w:space="0"/>
              <w:right w:val="single" w:color="000000" w:sz="4" w:space="0"/>
            </w:tcBorders>
            <w:tcMar>
              <w:top w:w="0" w:type="dxa"/>
              <w:left w:w="0" w:type="dxa"/>
              <w:bottom w:w="0" w:type="dxa"/>
              <w:right w:w="0" w:type="dxa"/>
            </w:tcMar>
            <w:vAlign w:val="top"/>
          </w:tcPr>
          <w:p/>
        </w:tc>
        <w:tc>
          <w:tcPr>
            <w:tcW w:w="705" w:type="dxa"/>
            <w:vMerge w:val="restart"/>
            <w:tcBorders>
              <w:top w:val="nil"/>
              <w:left w:val="nil"/>
              <w:bottom w:val="nil"/>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w:t>
            </w:r>
          </w:p>
          <w:p>
            <w:pPr>
              <w:pStyle w:val="6"/>
            </w:pPr>
            <w:r>
              <w:rPr>
                <w:rFonts w:ascii="仿宋_GB2312" w:hAnsi="仿宋_GB2312" w:eastAsia="仿宋_GB2312" w:cs="仿宋_GB2312"/>
                <w:sz w:val="19"/>
              </w:rPr>
              <w:t xml:space="preserve"> </w:t>
            </w:r>
          </w:p>
          <w:p>
            <w:pPr>
              <w:pStyle w:val="6"/>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gridAfter w:val="1"/>
          <w:wAfter w:w="689" w:type="dxa"/>
        </w:trPr>
        <w:tc>
          <w:tcPr>
            <w:tcW w:w="360" w:type="dxa"/>
            <w:vMerge w:val="continue"/>
            <w:tcBorders>
              <w:top w:val="nil"/>
              <w:left w:val="single" w:color="000000" w:sz="4" w:space="0"/>
              <w:bottom w:val="single" w:color="000000" w:sz="4" w:space="0"/>
              <w:right w:val="single" w:color="000000" w:sz="4" w:space="0"/>
            </w:tcBorders>
          </w:tcPr>
          <w:p/>
        </w:tc>
        <w:tc>
          <w:tcPr>
            <w:tcW w:w="1110" w:type="dxa"/>
            <w:vMerge w:val="continue"/>
            <w:tcBorders>
              <w:top w:val="nil"/>
              <w:left w:val="nil"/>
              <w:bottom w:val="single" w:color="000000" w:sz="4" w:space="0"/>
              <w:right w:val="single" w:color="000000" w:sz="4" w:space="0"/>
            </w:tcBorders>
          </w:tcP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接线二：相交于高新大道</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接线二：高岐支路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309.0</w:t>
            </w:r>
          </w:p>
        </w:tc>
        <w:tc>
          <w:tcPr>
            <w:tcW w:w="510" w:type="dxa"/>
            <w:vMerge w:val="continue"/>
            <w:tcBorders>
              <w:top w:val="nil"/>
              <w:left w:val="nil"/>
              <w:bottom w:val="single" w:color="000000" w:sz="4" w:space="0"/>
              <w:right w:val="single" w:color="000000" w:sz="4" w:space="0"/>
            </w:tcBorders>
          </w:tcPr>
          <w:p/>
        </w:tc>
        <w:tc>
          <w:tcPr>
            <w:tcW w:w="600" w:type="dxa"/>
            <w:vMerge w:val="continue"/>
            <w:tcBorders>
              <w:top w:val="nil"/>
              <w:left w:val="nil"/>
              <w:bottom w:val="single" w:color="000000" w:sz="4" w:space="0"/>
              <w:right w:val="single" w:color="000000" w:sz="4" w:space="0"/>
            </w:tcBorders>
          </w:tcPr>
          <w:p/>
        </w:tc>
        <w:tc>
          <w:tcPr>
            <w:tcW w:w="945" w:type="dxa"/>
            <w:vMerge w:val="continue"/>
            <w:tcBorders>
              <w:top w:val="nil"/>
              <w:left w:val="nil"/>
              <w:bottom w:val="single" w:color="000000" w:sz="4" w:space="0"/>
              <w:right w:val="single" w:color="000000" w:sz="4" w:space="0"/>
            </w:tcBorders>
          </w:tcPr>
          <w:p/>
        </w:tc>
        <w:tc>
          <w:tcPr>
            <w:tcW w:w="660" w:type="dxa"/>
            <w:vMerge w:val="continue"/>
            <w:tcBorders>
              <w:top w:val="nil"/>
              <w:left w:val="nil"/>
              <w:bottom w:val="single" w:color="000000" w:sz="4" w:space="0"/>
              <w:right w:val="single" w:color="000000" w:sz="4" w:space="0"/>
            </w:tcBorders>
          </w:tcPr>
          <w:p/>
        </w:tc>
        <w:tc>
          <w:tcPr>
            <w:tcW w:w="51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gridAfter w:val="1"/>
          <w:wAfter w:w="689" w:type="dxa"/>
        </w:trPr>
        <w:tc>
          <w:tcPr>
            <w:tcW w:w="360" w:type="dxa"/>
            <w:vMerge w:val="continue"/>
            <w:tcBorders>
              <w:top w:val="nil"/>
              <w:left w:val="single" w:color="000000" w:sz="4" w:space="0"/>
              <w:bottom w:val="single" w:color="000000" w:sz="4" w:space="0"/>
              <w:right w:val="single" w:color="000000" w:sz="4" w:space="0"/>
            </w:tcBorders>
          </w:tcPr>
          <w:p/>
        </w:tc>
        <w:tc>
          <w:tcPr>
            <w:tcW w:w="1110" w:type="dxa"/>
            <w:vMerge w:val="continue"/>
            <w:tcBorders>
              <w:top w:val="nil"/>
              <w:left w:val="nil"/>
              <w:bottom w:val="single" w:color="000000" w:sz="4" w:space="0"/>
              <w:right w:val="single" w:color="000000" w:sz="4" w:space="0"/>
            </w:tcBorders>
          </w:tcPr>
          <w:p/>
        </w:tc>
        <w:tc>
          <w:tcPr>
            <w:tcW w:w="1020"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接线三：相交于高岐路</w:t>
            </w:r>
          </w:p>
        </w:tc>
        <w:tc>
          <w:tcPr>
            <w:tcW w:w="67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接线三：马排路</w:t>
            </w:r>
          </w:p>
        </w:tc>
        <w:tc>
          <w:tcPr>
            <w:tcW w:w="6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249.4</w:t>
            </w:r>
          </w:p>
        </w:tc>
        <w:tc>
          <w:tcPr>
            <w:tcW w:w="510" w:type="dxa"/>
            <w:vMerge w:val="continue"/>
            <w:tcBorders>
              <w:top w:val="nil"/>
              <w:left w:val="nil"/>
              <w:bottom w:val="single" w:color="000000" w:sz="4" w:space="0"/>
              <w:right w:val="single" w:color="000000" w:sz="4" w:space="0"/>
            </w:tcBorders>
          </w:tcPr>
          <w:p/>
        </w:tc>
        <w:tc>
          <w:tcPr>
            <w:tcW w:w="600" w:type="dxa"/>
            <w:vMerge w:val="continue"/>
            <w:tcBorders>
              <w:top w:val="nil"/>
              <w:left w:val="nil"/>
              <w:bottom w:val="single" w:color="000000" w:sz="4" w:space="0"/>
              <w:right w:val="single" w:color="000000" w:sz="4" w:space="0"/>
            </w:tcBorders>
          </w:tcPr>
          <w:p/>
        </w:tc>
        <w:tc>
          <w:tcPr>
            <w:tcW w:w="945" w:type="dxa"/>
            <w:vMerge w:val="continue"/>
            <w:tcBorders>
              <w:top w:val="nil"/>
              <w:left w:val="nil"/>
              <w:bottom w:val="single" w:color="000000" w:sz="4" w:space="0"/>
              <w:right w:val="single" w:color="000000" w:sz="4" w:space="0"/>
            </w:tcBorders>
          </w:tcPr>
          <w:p/>
        </w:tc>
        <w:tc>
          <w:tcPr>
            <w:tcW w:w="660" w:type="dxa"/>
            <w:vMerge w:val="continue"/>
            <w:tcBorders>
              <w:top w:val="nil"/>
              <w:left w:val="nil"/>
              <w:bottom w:val="single" w:color="000000" w:sz="4" w:space="0"/>
              <w:right w:val="single" w:color="000000" w:sz="4" w:space="0"/>
            </w:tcBorders>
          </w:tcPr>
          <w:p/>
        </w:tc>
        <w:tc>
          <w:tcPr>
            <w:tcW w:w="51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695" w:type="dxa"/>
            <w:gridSpan w:val="1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2026 年移交小计                                   1097    746.00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5" w:type="dxa"/>
            <w:gridSpan w:val="1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合计                                              2278    61825.92</w:t>
            </w:r>
          </w:p>
        </w:tc>
      </w:tr>
    </w:tbl>
    <w:p>
      <w:pPr>
        <w:pStyle w:val="6"/>
        <w:ind w:right="645"/>
        <w:jc w:val="left"/>
      </w:pPr>
      <w:r>
        <w:rPr>
          <w:rFonts w:ascii="仿宋_GB2312" w:hAnsi="仿宋_GB2312" w:eastAsia="仿宋_GB2312" w:cs="仿宋_GB2312"/>
          <w:sz w:val="20"/>
          <w:shd w:val="clear" w:fill="FFFFFF"/>
        </w:rPr>
        <w:t>全年参考时花品种</w:t>
      </w:r>
    </w:p>
    <w:p>
      <w:pPr>
        <w:pStyle w:val="6"/>
        <w:jc w:val="left"/>
      </w:pPr>
      <w:r>
        <w:rPr>
          <w:rFonts w:ascii="仿宋_GB2312" w:hAnsi="仿宋_GB2312" w:eastAsia="仿宋_GB2312" w:cs="仿宋_GB2312"/>
          <w:sz w:val="20"/>
          <w:shd w:val="clear" w:fill="FFFFFF"/>
        </w:rPr>
        <w:t>（1）参考时花品种:</w:t>
      </w:r>
    </w:p>
    <w:p>
      <w:pPr>
        <w:pStyle w:val="6"/>
        <w:jc w:val="left"/>
      </w:pPr>
      <w:r>
        <w:rPr>
          <w:rFonts w:ascii="仿宋_GB2312" w:hAnsi="仿宋_GB2312" w:eastAsia="仿宋_GB2312" w:cs="仿宋_GB2312"/>
          <w:sz w:val="20"/>
          <w:shd w:val="clear" w:fill="FFFFFF"/>
        </w:rPr>
        <w:t>1-3月：大花海棠、孔雀草、矮牵牛、四季海棠、一串红、金鱼草、凤仙、石竹、三色堇、美女樱、飞燕草、毛地黄、玛格丽特、天竺葵、花毛茛、矮种多花向日葵、报春花、一品红、鲁冰花。</w:t>
      </w:r>
    </w:p>
    <w:p>
      <w:pPr>
        <w:pStyle w:val="6"/>
        <w:jc w:val="left"/>
      </w:pPr>
      <w:r>
        <w:rPr>
          <w:rFonts w:ascii="仿宋_GB2312" w:hAnsi="仿宋_GB2312" w:eastAsia="仿宋_GB2312" w:cs="仿宋_GB2312"/>
          <w:sz w:val="20"/>
          <w:shd w:val="clear" w:fill="FFFFFF"/>
        </w:rPr>
        <w:t>4-6月：大花海棠、孔雀草、长春花、鸡冠花、夏堇、小花百日草、大花百日草、凤尾、大小波斯、万寿菊、鼠尾草、五星花、一品红、鲁冰花、八仙花。</w:t>
      </w:r>
    </w:p>
    <w:p>
      <w:pPr>
        <w:pStyle w:val="6"/>
        <w:jc w:val="left"/>
      </w:pPr>
      <w:r>
        <w:rPr>
          <w:rFonts w:ascii="仿宋_GB2312" w:hAnsi="仿宋_GB2312" w:eastAsia="仿宋_GB2312" w:cs="仿宋_GB2312"/>
          <w:sz w:val="20"/>
          <w:shd w:val="clear" w:fill="FFFFFF"/>
        </w:rPr>
        <w:t>7-10月：大花海棠、孔雀草、一串红、长春花、鸡冠花、大花百日草、小花百日草、凤尾、夏堇、桑贝斯凤仙、一品红、八仙花、蓝雪花。</w:t>
      </w:r>
    </w:p>
    <w:p>
      <w:pPr>
        <w:pStyle w:val="6"/>
        <w:jc w:val="left"/>
      </w:pPr>
      <w:r>
        <w:rPr>
          <w:rFonts w:ascii="仿宋_GB2312" w:hAnsi="仿宋_GB2312" w:eastAsia="仿宋_GB2312" w:cs="仿宋_GB2312"/>
          <w:sz w:val="20"/>
          <w:shd w:val="clear" w:fill="FFFFFF"/>
        </w:rPr>
        <w:t>11-12月：大花海棠、孔雀草、矮牵牛、四季海棠、一串红、金鱼草、凤仙、石竹、天竺葵、飞燕草、毛地黄、玛格丽特、天竺葵、花毛茛、矮种多花向日葵、报春花、一品红。</w:t>
      </w:r>
    </w:p>
    <w:p>
      <w:pPr>
        <w:pStyle w:val="6"/>
        <w:jc w:val="left"/>
      </w:pPr>
      <w:r>
        <w:rPr>
          <w:rFonts w:ascii="仿宋_GB2312" w:hAnsi="仿宋_GB2312" w:eastAsia="仿宋_GB2312" w:cs="仿宋_GB2312"/>
          <w:sz w:val="20"/>
          <w:shd w:val="clear" w:fill="FFFFFF"/>
        </w:rPr>
        <w:t>（2）中标人要根据季节变换及时更换应季时花，确保良好的道路花化、美化效果。</w:t>
      </w:r>
    </w:p>
    <w:p>
      <w:pPr>
        <w:pStyle w:val="6"/>
        <w:jc w:val="left"/>
      </w:pPr>
      <w:r>
        <w:rPr>
          <w:rFonts w:ascii="仿宋_GB2312" w:hAnsi="仿宋_GB2312" w:eastAsia="仿宋_GB2312" w:cs="仿宋_GB2312"/>
          <w:sz w:val="20"/>
          <w:shd w:val="clear" w:fill="FFFFFF"/>
        </w:rPr>
        <w:t>（3）如遇特殊情况，中标人应根据采购人需求提供相应的时花品种。</w:t>
      </w:r>
    </w:p>
    <w:p>
      <w:pPr>
        <w:pStyle w:val="6"/>
        <w:jc w:val="left"/>
      </w:pPr>
      <w:r>
        <w:rPr>
          <w:rFonts w:ascii="仿宋_GB2312" w:hAnsi="仿宋_GB2312" w:eastAsia="仿宋_GB2312" w:cs="仿宋_GB2312"/>
          <w:sz w:val="20"/>
          <w:shd w:val="clear" w:fill="FFFFFF"/>
        </w:rPr>
        <w:t>4、人员车辆汇总表</w:t>
      </w:r>
    </w:p>
    <w:p>
      <w:pPr>
        <w:pStyle w:val="6"/>
        <w:jc w:val="left"/>
      </w:pPr>
      <w:r>
        <w:rPr>
          <w:rFonts w:ascii="仿宋_GB2312" w:hAnsi="仿宋_GB2312" w:eastAsia="仿宋_GB2312" w:cs="仿宋_GB2312"/>
          <w:sz w:val="20"/>
          <w:shd w:val="clear" w:fill="FFFFFF"/>
        </w:rPr>
        <w:t>采购包1：南屿镇和上街镇（7个村居）市政园林绿化社会化养护项目南屿镇片区（标段一）南屿镇片区市政绿化人员车辆配置一览表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4"/>
        <w:gridCol w:w="2295"/>
        <w:gridCol w:w="1652"/>
        <w:gridCol w:w="29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工种</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人员配置（人）</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16</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绿地保洁人员</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驾驶员</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每辆车配备一名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18</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绿地保洁人员</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驾驶员</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每辆车配备一名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在建计划移交项目对接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技术负责人1 名现场核验人员1 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行道树养护</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5</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含：二级和三级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人员合计                                            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车辆类型</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数量（辆）</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用途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 吨洒水车</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洒水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高空作业车</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高空作业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垃圾运输车</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巡逻皮卡车</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巡逻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4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垃圾运输车</w:t>
            </w:r>
          </w:p>
        </w:tc>
        <w:tc>
          <w:tcPr>
            <w:tcW w:w="177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43"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 吨洒水车</w:t>
            </w:r>
          </w:p>
        </w:tc>
        <w:tc>
          <w:tcPr>
            <w:tcW w:w="1776"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3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洒水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车辆合计                                              6</w:t>
            </w:r>
          </w:p>
        </w:tc>
      </w:tr>
    </w:tbl>
    <w:p>
      <w:pPr>
        <w:pStyle w:val="6"/>
        <w:jc w:val="left"/>
      </w:pPr>
      <w:r>
        <w:rPr>
          <w:rFonts w:ascii="仿宋_GB2312" w:hAnsi="仿宋_GB2312" w:eastAsia="仿宋_GB2312" w:cs="仿宋_GB2312"/>
          <w:sz w:val="20"/>
          <w:shd w:val="clear" w:fill="FFFFFF"/>
        </w:rPr>
        <w:t>采购包2：南屿镇和上街镇（7个村居）市政园林绿化社会化养护项目上街镇（7个村居）片区（标段二）上街镇（7个村居）市政绿化人员车辆配置一览表</w:t>
      </w:r>
    </w:p>
    <w:tbl>
      <w:tblPr>
        <w:tblStyle w:val="4"/>
        <w:tblW w:w="0" w:type="auto"/>
        <w:tblInd w:w="7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4"/>
        <w:gridCol w:w="2309"/>
        <w:gridCol w:w="27"/>
        <w:gridCol w:w="1584"/>
        <w:gridCol w:w="13"/>
        <w:gridCol w:w="29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工种</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人员配置（人）</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31</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绿地保洁人员</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10</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驾驶员</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每辆车配备一名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绿地保洁人员</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驾驶员</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每辆车配备一名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在建计划移交项目对接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技术负责人1 名现场核验人员1 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行道树养护</w:t>
            </w:r>
          </w:p>
        </w:tc>
        <w:tc>
          <w:tcPr>
            <w:tcW w:w="1745" w:type="dxa"/>
            <w:gridSpan w:val="3"/>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6</w:t>
            </w:r>
          </w:p>
        </w:tc>
        <w:tc>
          <w:tcPr>
            <w:tcW w:w="325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含：二级和三级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三角梅养护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时花种植及养护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绿化养护人员</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人员合计                                           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序号</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车辆类型</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数量（辆）</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用途</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二级标准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 吨洒水车</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洒水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高空作业车</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高空作业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3</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垃圾运输车</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4</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巡逻皮卡车</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巡逻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三级标准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2588"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垃圾运输车</w:t>
            </w:r>
          </w:p>
        </w:tc>
        <w:tc>
          <w:tcPr>
            <w:tcW w:w="170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垃圾运输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2</w:t>
            </w:r>
          </w:p>
        </w:tc>
        <w:tc>
          <w:tcPr>
            <w:tcW w:w="2588"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16 吨洒水车</w:t>
            </w:r>
          </w:p>
        </w:tc>
        <w:tc>
          <w:tcPr>
            <w:tcW w:w="1700"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center"/>
            </w:pPr>
            <w:r>
              <w:rPr>
                <w:rFonts w:ascii="仿宋_GB2312" w:hAnsi="仿宋_GB2312" w:eastAsia="仿宋_GB2312" w:cs="仿宋_GB2312"/>
                <w:sz w:val="20"/>
                <w:shd w:val="clear" w:fill="FFFFFF"/>
              </w:rPr>
              <w:t>1</w:t>
            </w:r>
          </w:p>
        </w:tc>
        <w:tc>
          <w:tcPr>
            <w:tcW w:w="3265"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洒水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6"/>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6"/>
              <w:jc w:val="left"/>
            </w:pPr>
            <w:r>
              <w:rPr>
                <w:rFonts w:ascii="仿宋_GB2312" w:hAnsi="仿宋_GB2312" w:eastAsia="仿宋_GB2312" w:cs="仿宋_GB2312"/>
                <w:sz w:val="20"/>
                <w:shd w:val="clear" w:fill="FFFFFF"/>
              </w:rPr>
              <w:t xml:space="preserve">车辆合计                                        </w:t>
            </w:r>
            <w:r>
              <w:rPr>
                <w:rFonts w:ascii="仿宋_GB2312" w:hAnsi="仿宋_GB2312" w:eastAsia="仿宋_GB2312" w:cs="仿宋_GB2312"/>
                <w:sz w:val="19"/>
              </w:rPr>
              <w:t xml:space="preserve">      </w:t>
            </w:r>
            <w:r>
              <w:rPr>
                <w:rFonts w:ascii="仿宋_GB2312" w:hAnsi="仿宋_GB2312" w:eastAsia="仿宋_GB2312" w:cs="仿宋_GB2312"/>
                <w:sz w:val="20"/>
                <w:shd w:val="clear" w:fill="FFFFFF"/>
              </w:rPr>
              <w:t>6</w:t>
            </w:r>
          </w:p>
        </w:tc>
      </w:tr>
    </w:tbl>
    <w:p>
      <w:pPr>
        <w:pStyle w:val="6"/>
        <w:jc w:val="left"/>
      </w:pPr>
      <w:r>
        <w:rPr>
          <w:rFonts w:ascii="仿宋_GB2312" w:hAnsi="仿宋_GB2312" w:eastAsia="仿宋_GB2312" w:cs="仿宋_GB2312"/>
          <w:b/>
          <w:sz w:val="20"/>
        </w:rPr>
        <w:t>（二）绿化养护作业标准及要求</w:t>
      </w:r>
    </w:p>
    <w:p>
      <w:pPr>
        <w:pStyle w:val="6"/>
        <w:jc w:val="left"/>
      </w:pPr>
      <w:r>
        <w:rPr>
          <w:rFonts w:ascii="仿宋_GB2312" w:hAnsi="仿宋_GB2312" w:eastAsia="仿宋_GB2312" w:cs="仿宋_GB2312"/>
          <w:sz w:val="20"/>
          <w:shd w:val="clear" w:fill="FFFFFF"/>
        </w:rPr>
        <w:t>1、行道树养护质量要求</w:t>
      </w:r>
    </w:p>
    <w:p>
      <w:pPr>
        <w:pStyle w:val="6"/>
        <w:jc w:val="left"/>
      </w:pPr>
      <w:r>
        <w:rPr>
          <w:rFonts w:ascii="仿宋_GB2312" w:hAnsi="仿宋_GB2312" w:eastAsia="仿宋_GB2312" w:cs="仿宋_GB2312"/>
          <w:sz w:val="20"/>
          <w:shd w:val="clear" w:fill="FFFFFF"/>
        </w:rPr>
        <w:t>1.1作业时间：日常园林绿化养护需服从指挥，避开交通高峰期以免造交通拥堵。</w:t>
      </w:r>
    </w:p>
    <w:p>
      <w:pPr>
        <w:pStyle w:val="6"/>
        <w:jc w:val="left"/>
      </w:pPr>
      <w:r>
        <w:rPr>
          <w:rFonts w:ascii="仿宋_GB2312" w:hAnsi="仿宋_GB2312" w:eastAsia="仿宋_GB2312" w:cs="仿宋_GB2312"/>
          <w:sz w:val="20"/>
          <w:shd w:val="clear" w:fill="FFFFFF"/>
        </w:rPr>
        <w:t>1.2道路整体景观效果良好，无缺株断档。同一路段树形和枝下高基本一致，下缘线整齐，枝下高2.8-3.0米，树高控制在合理范围，注意不得影响高压线、路灯、交通信号灯和交通指示牌。</w:t>
      </w:r>
    </w:p>
    <w:p>
      <w:pPr>
        <w:pStyle w:val="6"/>
        <w:jc w:val="left"/>
      </w:pPr>
      <w:r>
        <w:rPr>
          <w:rFonts w:ascii="仿宋_GB2312" w:hAnsi="仿宋_GB2312" w:eastAsia="仿宋_GB2312" w:cs="仿宋_GB2312"/>
          <w:sz w:val="20"/>
          <w:shd w:val="clear" w:fill="FFFFFF"/>
        </w:rPr>
        <w:t>1.3植株生长健壮，枝叶繁茂，树形美观，树冠丰满、完整、具有一定的遮荫及观赏效果，叶片正常，植株无枯枝，伤损枝、病虫枝，无明显的人为破坏。层性植物要有明显的顶端优势，层次明显。</w:t>
      </w:r>
    </w:p>
    <w:p>
      <w:pPr>
        <w:pStyle w:val="6"/>
        <w:jc w:val="left"/>
      </w:pPr>
      <w:r>
        <w:rPr>
          <w:rFonts w:ascii="仿宋_GB2312" w:hAnsi="仿宋_GB2312" w:eastAsia="仿宋_GB2312" w:cs="仿宋_GB2312"/>
          <w:sz w:val="20"/>
          <w:shd w:val="clear" w:fill="FFFFFF"/>
        </w:rPr>
        <w:t>1.4行道树要有群体特色效果，选用的品种、规格相对统一，补植树的品种、规格也应保持一致，树冠必须保留骨架。</w:t>
      </w:r>
    </w:p>
    <w:p>
      <w:pPr>
        <w:pStyle w:val="6"/>
        <w:jc w:val="left"/>
      </w:pPr>
      <w:r>
        <w:rPr>
          <w:rFonts w:ascii="仿宋_GB2312" w:hAnsi="仿宋_GB2312" w:eastAsia="仿宋_GB2312" w:cs="仿宋_GB2312"/>
          <w:sz w:val="20"/>
          <w:shd w:val="clear" w:fill="FFFFFF"/>
        </w:rPr>
        <w:t>1.5树木成活率：新栽行道树成活率98%以上，行道树保存率100%，无死株、无缺株。若有死株要及时清理，并在出现缺株5天内进行补植，补植按招标人的要求执行。</w:t>
      </w:r>
    </w:p>
    <w:p>
      <w:pPr>
        <w:pStyle w:val="6"/>
        <w:jc w:val="left"/>
      </w:pPr>
      <w:r>
        <w:rPr>
          <w:rFonts w:ascii="仿宋_GB2312" w:hAnsi="仿宋_GB2312" w:eastAsia="仿宋_GB2312" w:cs="仿宋_GB2312"/>
          <w:sz w:val="20"/>
          <w:shd w:val="clear" w:fill="FFFFFF"/>
        </w:rPr>
        <w:t>1.6移交在建项目行道树，过渡期内每月开展1次苗木长势监测（含根系活力、枝叶健康度），补植苗木成活率需达到98%以上，支撑加固设施留存时间不低于6个月，确保苗木缓苗存活。</w:t>
      </w:r>
    </w:p>
    <w:p>
      <w:pPr>
        <w:pStyle w:val="6"/>
        <w:jc w:val="left"/>
      </w:pPr>
      <w:r>
        <w:rPr>
          <w:rFonts w:ascii="仿宋_GB2312" w:hAnsi="仿宋_GB2312" w:eastAsia="仿宋_GB2312" w:cs="仿宋_GB2312"/>
          <w:sz w:val="20"/>
          <w:shd w:val="clear" w:fill="FFFFFF"/>
        </w:rPr>
        <w:t>1.7水肥管理：适地适树进行水肥管理，达到相应养护等级标准。</w:t>
      </w:r>
    </w:p>
    <w:p>
      <w:pPr>
        <w:pStyle w:val="6"/>
        <w:jc w:val="left"/>
      </w:pPr>
      <w:r>
        <w:rPr>
          <w:rFonts w:ascii="仿宋_GB2312" w:hAnsi="仿宋_GB2312" w:eastAsia="仿宋_GB2312" w:cs="仿宋_GB2312"/>
          <w:sz w:val="20"/>
          <w:shd w:val="clear" w:fill="FFFFFF"/>
        </w:rPr>
        <w:t>（1）施肥基准：二级养护0.75公斤/m2/年，三级养护0.5公斤/m2/年，由中标方提供肥料，需严格按照施肥计划进行施肥。</w:t>
      </w:r>
    </w:p>
    <w:p>
      <w:pPr>
        <w:pStyle w:val="6"/>
        <w:jc w:val="left"/>
      </w:pPr>
      <w:r>
        <w:rPr>
          <w:rFonts w:ascii="仿宋_GB2312" w:hAnsi="仿宋_GB2312" w:eastAsia="仿宋_GB2312" w:cs="仿宋_GB2312"/>
          <w:sz w:val="20"/>
          <w:shd w:val="clear" w:fill="FFFFFF"/>
        </w:rPr>
        <w:t>（2）浇水基准：0.8吨/m2年，需根据土壤状况、绿地位置、植物品种、降雨情况合理安排浇水，确保植物正常生长。</w:t>
      </w:r>
    </w:p>
    <w:p>
      <w:pPr>
        <w:pStyle w:val="6"/>
        <w:jc w:val="left"/>
      </w:pPr>
      <w:r>
        <w:rPr>
          <w:rFonts w:ascii="仿宋_GB2312" w:hAnsi="仿宋_GB2312" w:eastAsia="仿宋_GB2312" w:cs="仿宋_GB2312"/>
          <w:sz w:val="20"/>
          <w:shd w:val="clear" w:fill="FFFFFF"/>
        </w:rPr>
        <w:t>（3）行道树水肥用量及植保用药情况，需根据项目实际情况进行安排。</w:t>
      </w:r>
    </w:p>
    <w:p>
      <w:pPr>
        <w:pStyle w:val="6"/>
        <w:jc w:val="left"/>
      </w:pPr>
      <w:r>
        <w:rPr>
          <w:rFonts w:ascii="仿宋_GB2312" w:hAnsi="仿宋_GB2312" w:eastAsia="仿宋_GB2312" w:cs="仿宋_GB2312"/>
          <w:sz w:val="20"/>
          <w:shd w:val="clear" w:fill="FFFFFF"/>
        </w:rPr>
        <w:t>1.8病虫害防治标准：提倡以防为主，综合防治，病虫害控制在不影响观赏效果的危害程度之内，无明显危害迹象。</w:t>
      </w:r>
    </w:p>
    <w:p>
      <w:pPr>
        <w:pStyle w:val="6"/>
        <w:jc w:val="left"/>
      </w:pPr>
      <w:r>
        <w:rPr>
          <w:rFonts w:ascii="仿宋_GB2312" w:hAnsi="仿宋_GB2312" w:eastAsia="仿宋_GB2312" w:cs="仿宋_GB2312"/>
          <w:sz w:val="20"/>
          <w:shd w:val="clear" w:fill="FFFFFF"/>
        </w:rPr>
        <w:t>1.9修剪：适树修剪，造型美观，枝条分布匀称，内膛无乱枝，通风透光良好。树干修面平滑，无撕裂面，剪口应在剪口芽的反侧呈45°倾斜，切口靠近节，根部无侧芽萌蘖，树干上的不定芽应及时抹除；无徒长枝、病虫枝、交叉枝、重叠枝、并生枝、下垂枝、扭伤枝以及枯枝和烂头；死树做到及时挖除补植。遇架空线应按杯状修剪，使树枝与架空线保持安全距离，树枝应与路灯、变压设备保持足够的安全距离。</w:t>
      </w:r>
    </w:p>
    <w:p>
      <w:pPr>
        <w:pStyle w:val="6"/>
        <w:jc w:val="left"/>
      </w:pPr>
      <w:r>
        <w:rPr>
          <w:rFonts w:ascii="仿宋_GB2312" w:hAnsi="仿宋_GB2312" w:eastAsia="仿宋_GB2312" w:cs="仿宋_GB2312"/>
          <w:sz w:val="20"/>
          <w:shd w:val="clear" w:fill="FFFFFF"/>
        </w:rPr>
        <w:t>1.10防护措施：　</w:t>
      </w:r>
    </w:p>
    <w:p>
      <w:pPr>
        <w:pStyle w:val="6"/>
        <w:jc w:val="left"/>
      </w:pPr>
      <w:r>
        <w:rPr>
          <w:rFonts w:ascii="仿宋_GB2312" w:hAnsi="仿宋_GB2312" w:eastAsia="仿宋_GB2312" w:cs="仿宋_GB2312"/>
          <w:sz w:val="20"/>
          <w:shd w:val="clear" w:fill="FFFFFF"/>
        </w:rPr>
        <w:t>（1）防台风措施：台风季节到来之前应做好行道树的修剪工作，以尽量减少台风危害。凡根浅、迎风、树冠大、枝叶浓密的乔木，应适当删去密枝；尤其是和架空线有碰撞可能的枝条以及过密的树枝，应采取不同程度的疏枝或短截。对危树应及时采取加固措施。风暴来临时，应将已倒伏而影响交通的树木顺势拉倒到人行道上，并及时修剪树冠部分枝条。风暴后应及时修剪断折、下垂的枝条；将歪斜、倒伏的树木扶正，剪除部分枝叶，压实根部土壤，设立支架加固，加强灌水保苗工作。</w:t>
      </w:r>
    </w:p>
    <w:p>
      <w:pPr>
        <w:pStyle w:val="6"/>
        <w:jc w:val="left"/>
      </w:pPr>
      <w:r>
        <w:rPr>
          <w:rFonts w:ascii="仿宋_GB2312" w:hAnsi="仿宋_GB2312" w:eastAsia="仿宋_GB2312" w:cs="仿宋_GB2312"/>
          <w:sz w:val="20"/>
          <w:shd w:val="clear" w:fill="FFFFFF"/>
        </w:rPr>
        <w:t>（2）防寒措施：新栽的不耐寒的树种、耐寒力差的树种，在树干部分要包稻草或草绳卷干，自下而上，逐层包扎，包扎的高度一般要达到主干分枝处。</w:t>
      </w:r>
    </w:p>
    <w:p>
      <w:pPr>
        <w:pStyle w:val="6"/>
        <w:jc w:val="left"/>
      </w:pPr>
      <w:r>
        <w:rPr>
          <w:rFonts w:ascii="仿宋_GB2312" w:hAnsi="仿宋_GB2312" w:eastAsia="仿宋_GB2312" w:cs="仿宋_GB2312"/>
          <w:sz w:val="20"/>
          <w:shd w:val="clear" w:fill="FFFFFF"/>
        </w:rPr>
        <w:t>2、绿地养护要求</w:t>
      </w:r>
    </w:p>
    <w:p>
      <w:pPr>
        <w:pStyle w:val="6"/>
        <w:jc w:val="left"/>
      </w:pPr>
      <w:r>
        <w:rPr>
          <w:rFonts w:ascii="仿宋_GB2312" w:hAnsi="仿宋_GB2312" w:eastAsia="仿宋_GB2312" w:cs="仿宋_GB2312"/>
          <w:sz w:val="20"/>
          <w:shd w:val="clear" w:fill="FFFFFF"/>
        </w:rPr>
        <w:t>2.1乔木：生长健壮，树冠完整美观，主、侧枝分布匀称，疏密得当，内膛无乱枝，通风透光，叶片大小、颜色正常；层性乔木应保持明显的顶端生长优势，层次明显，树枝完整，枝叶茂盛。树干修剪面平滑，无撕裂面，根部无侧芽萌蘖，树干上的不定芽应及时抹除；无徒长枝、病虫枝、过密枝、碰线枝、伤损枝以及枯枝和非自然的黄叶烂头。死树应及时挖除补植。无主干（断桩）或主干不完整的树木应及时更换补植。补植的树木应选用原来的树种，规格也应相近似。</w:t>
      </w:r>
    </w:p>
    <w:p>
      <w:pPr>
        <w:pStyle w:val="6"/>
        <w:jc w:val="left"/>
      </w:pPr>
      <w:r>
        <w:rPr>
          <w:rFonts w:ascii="仿宋_GB2312" w:hAnsi="仿宋_GB2312" w:eastAsia="仿宋_GB2312" w:cs="仿宋_GB2312"/>
          <w:sz w:val="20"/>
          <w:shd w:val="clear" w:fill="FFFFFF"/>
        </w:rPr>
        <w:t>2.2灌木：生长势好，株形丰满，枝条疏离得当，通风透光，无枯枝、残花，保持良好的观赏效果。花灌木适时开花，在花芽分化前进行修剪，避免把花芽剪掉，花谢后及时修剪残花残枝。造型植物的形状轮廓清晰，枝叶疏密得当，透光，枝叶覆盖均匀，不露枝杆。</w:t>
      </w:r>
    </w:p>
    <w:p>
      <w:pPr>
        <w:pStyle w:val="6"/>
        <w:jc w:val="left"/>
      </w:pPr>
      <w:r>
        <w:rPr>
          <w:rFonts w:ascii="仿宋_GB2312" w:hAnsi="仿宋_GB2312" w:eastAsia="仿宋_GB2312" w:cs="仿宋_GB2312"/>
          <w:sz w:val="20"/>
          <w:shd w:val="clear" w:fill="FFFFFF"/>
        </w:rPr>
        <w:t>2.3绿篱：轮廓清晰，边缘整齐自然，线条清晰流畅，平整、无空缺、无断层、下部不光秃，不露枝杆，新抽条不超过篱面6cm；叶片、枝条大小分布均匀。</w:t>
      </w:r>
    </w:p>
    <w:p>
      <w:pPr>
        <w:pStyle w:val="6"/>
        <w:jc w:val="left"/>
      </w:pPr>
      <w:r>
        <w:rPr>
          <w:rFonts w:ascii="仿宋_GB2312" w:hAnsi="仿宋_GB2312" w:eastAsia="仿宋_GB2312" w:cs="仿宋_GB2312"/>
          <w:sz w:val="20"/>
          <w:shd w:val="clear" w:fill="FFFFFF"/>
        </w:rPr>
        <w:t>2.4地被植物：植物生长良好，无老化现象，无枯枝残花残叶，无缺株断行，覆盖率达100%，色块分明，线条清晰流畅；及时修剪，高度一致，无凹凸感。</w:t>
      </w:r>
    </w:p>
    <w:p>
      <w:pPr>
        <w:pStyle w:val="6"/>
        <w:jc w:val="left"/>
      </w:pPr>
      <w:r>
        <w:rPr>
          <w:rFonts w:ascii="仿宋_GB2312" w:hAnsi="仿宋_GB2312" w:eastAsia="仿宋_GB2312" w:cs="仿宋_GB2312"/>
          <w:sz w:val="20"/>
          <w:shd w:val="clear" w:fill="FFFFFF"/>
        </w:rPr>
        <w:t>2.5宿根花卉：宿根花卉萌芽前应剪除上年残留枯枝、枯叶，花谢后应及时去除残花、残枝和枯叶，并加强肥水管理。</w:t>
      </w:r>
    </w:p>
    <w:p>
      <w:pPr>
        <w:pStyle w:val="6"/>
        <w:jc w:val="left"/>
      </w:pPr>
      <w:r>
        <w:rPr>
          <w:rFonts w:ascii="仿宋_GB2312" w:hAnsi="仿宋_GB2312" w:eastAsia="仿宋_GB2312" w:cs="仿宋_GB2312"/>
          <w:sz w:val="20"/>
          <w:shd w:val="clear" w:fill="FFFFFF"/>
        </w:rPr>
        <w:t>2.6水生植物：植株健壮，花、叶色泽正常，无残花败叶。应经常清除杂草。老化及生长不良的水生植物应及时更换或更新种植。</w:t>
      </w:r>
    </w:p>
    <w:p>
      <w:pPr>
        <w:pStyle w:val="6"/>
        <w:jc w:val="left"/>
      </w:pPr>
      <w:r>
        <w:rPr>
          <w:rFonts w:ascii="仿宋_GB2312" w:hAnsi="仿宋_GB2312" w:eastAsia="仿宋_GB2312" w:cs="仿宋_GB2312"/>
          <w:sz w:val="20"/>
          <w:shd w:val="clear" w:fill="FFFFFF"/>
        </w:rPr>
        <w:t>2.7竹类：及时疏伐和清除老竹头，出笋期做到去劣留优，疏密得当。</w:t>
      </w:r>
    </w:p>
    <w:p>
      <w:pPr>
        <w:pStyle w:val="6"/>
        <w:jc w:val="left"/>
      </w:pPr>
      <w:r>
        <w:rPr>
          <w:rFonts w:ascii="仿宋_GB2312" w:hAnsi="仿宋_GB2312" w:eastAsia="仿宋_GB2312" w:cs="仿宋_GB2312"/>
          <w:sz w:val="20"/>
          <w:shd w:val="clear" w:fill="FFFFFF"/>
        </w:rPr>
        <w:t>2.8藤本植物：根据不同植物的攀援特点，及时采取相应的牵引、设置网架等技术措施，修剪得当，能在正常的季节开花，枝条上无积叶，覆盖率不低于90%。</w:t>
      </w:r>
    </w:p>
    <w:p>
      <w:pPr>
        <w:pStyle w:val="6"/>
        <w:jc w:val="left"/>
      </w:pPr>
      <w:r>
        <w:rPr>
          <w:rFonts w:ascii="仿宋_GB2312" w:hAnsi="仿宋_GB2312" w:eastAsia="仿宋_GB2312" w:cs="仿宋_GB2312"/>
          <w:sz w:val="20"/>
          <w:shd w:val="clear" w:fill="FFFFFF"/>
        </w:rPr>
        <w:t>2.9花坛：植株生长健壮，花繁叶茂，无枯枝残花，色彩艳丽，整洁美观，图案清晰。花期整齐，始花期方可上花坛种植，株行距适宜，不露底土，无缺株倒伏。</w:t>
      </w:r>
    </w:p>
    <w:p>
      <w:pPr>
        <w:pStyle w:val="6"/>
        <w:jc w:val="left"/>
      </w:pPr>
      <w:r>
        <w:rPr>
          <w:rFonts w:ascii="仿宋_GB2312" w:hAnsi="仿宋_GB2312" w:eastAsia="仿宋_GB2312" w:cs="仿宋_GB2312"/>
          <w:sz w:val="20"/>
          <w:shd w:val="clear" w:fill="FFFFFF"/>
        </w:rPr>
        <w:t>2.10草坪：草坪生长茂盛，叶色正常，无空秃，无明显杂草。生长期不枯黄，适时修剪，确保草坪高度一致，边缘整齐。无坑洼积水、无砖石瓦砾、无杂物。</w:t>
      </w:r>
    </w:p>
    <w:p>
      <w:pPr>
        <w:pStyle w:val="6"/>
        <w:jc w:val="left"/>
      </w:pPr>
      <w:r>
        <w:rPr>
          <w:rFonts w:ascii="仿宋_GB2312" w:hAnsi="仿宋_GB2312" w:eastAsia="仿宋_GB2312" w:cs="仿宋_GB2312"/>
          <w:sz w:val="20"/>
          <w:shd w:val="clear" w:fill="FFFFFF"/>
        </w:rPr>
        <w:t>2.11植物成活率：绿地内植物无死株，树木成活率98%以上，树木保存率100%。若有死株要及时清理，并及时补植回原来的品种且规格也应相近似。</w:t>
      </w:r>
    </w:p>
    <w:p>
      <w:pPr>
        <w:pStyle w:val="6"/>
        <w:jc w:val="left"/>
      </w:pPr>
      <w:r>
        <w:rPr>
          <w:rFonts w:ascii="仿宋_GB2312" w:hAnsi="仿宋_GB2312" w:eastAsia="仿宋_GB2312" w:cs="仿宋_GB2312"/>
          <w:sz w:val="20"/>
          <w:shd w:val="clear" w:fill="FFFFFF"/>
        </w:rPr>
        <w:t>2.12水肥管理标准：土壤应保持疏松，无积水，不板结，根据植物生长特性和土壤肥力情况，合理施肥，根据当地气候特点，土壤保水、植物需水、根系吸水等情况适时适量进行浇水。</w:t>
      </w:r>
    </w:p>
    <w:p>
      <w:pPr>
        <w:pStyle w:val="6"/>
        <w:jc w:val="left"/>
      </w:pPr>
      <w:r>
        <w:rPr>
          <w:rFonts w:ascii="仿宋_GB2312" w:hAnsi="仿宋_GB2312" w:eastAsia="仿宋_GB2312" w:cs="仿宋_GB2312"/>
          <w:sz w:val="20"/>
          <w:shd w:val="clear" w:fill="FFFFFF"/>
        </w:rPr>
        <w:t>2.13病虫害防治标准：提倡以防为主，综合防治，病虫害控制在不影响观赏效果的危害程度之内，基本无危害迹象。</w:t>
      </w:r>
    </w:p>
    <w:p>
      <w:pPr>
        <w:pStyle w:val="6"/>
        <w:jc w:val="left"/>
      </w:pPr>
      <w:r>
        <w:rPr>
          <w:rFonts w:ascii="仿宋_GB2312" w:hAnsi="仿宋_GB2312" w:eastAsia="仿宋_GB2312" w:cs="仿宋_GB2312"/>
          <w:sz w:val="20"/>
          <w:shd w:val="clear" w:fill="FFFFFF"/>
        </w:rPr>
        <w:t>3、项目负责人要求</w:t>
      </w:r>
    </w:p>
    <w:p>
      <w:pPr>
        <w:pStyle w:val="6"/>
        <w:jc w:val="left"/>
      </w:pPr>
      <w:r>
        <w:rPr>
          <w:rFonts w:ascii="仿宋_GB2312" w:hAnsi="仿宋_GB2312" w:eastAsia="仿宋_GB2312" w:cs="仿宋_GB2312"/>
          <w:sz w:val="20"/>
          <w:shd w:val="clear" w:fill="FFFFFF"/>
        </w:rPr>
        <w:t>3.1投标人为本项目配备的项目负责人具有园林绿化相关专业的中级及以上职称证书。项目进场时人员和证书进行逐一核验。投标人在电子投标文件技术商务部分中需提供项目负责人相关证书复印件及投标截止时间前六个月中（含投标截止时间当月）任意一个月由投标人为其缴纳社保的证明材料。</w:t>
      </w:r>
    </w:p>
    <w:p>
      <w:pPr>
        <w:pStyle w:val="6"/>
        <w:jc w:val="left"/>
      </w:pPr>
      <w:r>
        <w:rPr>
          <w:rFonts w:ascii="仿宋_GB2312" w:hAnsi="仿宋_GB2312" w:eastAsia="仿宋_GB2312" w:cs="仿宋_GB2312"/>
          <w:sz w:val="20"/>
          <w:shd w:val="clear" w:fill="FFFFFF"/>
        </w:rPr>
        <w:t>3.2投标人为本项目配备的项目负责人提供作为项目负责人完成过至少1个绿化养护项目（不含施工业绩、小区养护、室内绿化租摆），须提供采购合同文本复印件、能够证明该业绩项目已完成履约的相关证明文件（或业主满意度材料）、能够体现该项目负责人姓名的材料。</w:t>
      </w:r>
    </w:p>
    <w:p>
      <w:pPr>
        <w:pStyle w:val="6"/>
        <w:jc w:val="left"/>
      </w:pPr>
      <w:r>
        <w:rPr>
          <w:rFonts w:ascii="仿宋_GB2312" w:hAnsi="仿宋_GB2312" w:eastAsia="仿宋_GB2312" w:cs="仿宋_GB2312"/>
          <w:sz w:val="20"/>
          <w:shd w:val="clear" w:fill="FFFFFF"/>
        </w:rPr>
        <w:t>4、技术负责人要求</w:t>
      </w:r>
    </w:p>
    <w:p>
      <w:pPr>
        <w:pStyle w:val="6"/>
        <w:jc w:val="left"/>
      </w:pPr>
      <w:r>
        <w:rPr>
          <w:rFonts w:ascii="仿宋_GB2312" w:hAnsi="仿宋_GB2312" w:eastAsia="仿宋_GB2312" w:cs="仿宋_GB2312"/>
          <w:sz w:val="20"/>
          <w:shd w:val="clear" w:fill="FFFFFF"/>
        </w:rPr>
        <w:t>4.1投标人为本项目配备的技术负责人具有园林绿化相关专业中级及以上职称证书，项目进场时人员和证书进行逐一核验。投标人在电子投标文件技术商务部分中需提供技术负责人相关证书复印件及投标截止时间前六个月中任意一个月（含投标截止时间当月）由投标人为其缴纳社保的证明材料。</w:t>
      </w:r>
    </w:p>
    <w:p>
      <w:pPr>
        <w:pStyle w:val="6"/>
        <w:jc w:val="left"/>
      </w:pPr>
      <w:r>
        <w:rPr>
          <w:rFonts w:ascii="仿宋_GB2312" w:hAnsi="仿宋_GB2312" w:eastAsia="仿宋_GB2312" w:cs="仿宋_GB2312"/>
          <w:sz w:val="20"/>
          <w:shd w:val="clear" w:fill="FFFFFF"/>
        </w:rPr>
        <w:t>4.2投标人为本项目配备的技术负责人提供作为技术负责人完成过至少1个绿化养护项目（不含施工业绩、小区养护、室内绿化租摆），须提供采购合同文本复印件、能够证明该业绩项目已完成履约的相关证明文件（或业主满意度材料）、能够体现该技术负责人姓名的材料。</w:t>
      </w:r>
    </w:p>
    <w:p>
      <w:pPr>
        <w:pStyle w:val="6"/>
        <w:jc w:val="left"/>
      </w:pPr>
      <w:r>
        <w:rPr>
          <w:rFonts w:ascii="仿宋_GB2312" w:hAnsi="仿宋_GB2312" w:eastAsia="仿宋_GB2312" w:cs="仿宋_GB2312"/>
          <w:sz w:val="20"/>
          <w:shd w:val="clear" w:fill="FFFFFF"/>
        </w:rPr>
        <w:t>5、管理员要求</w:t>
      </w:r>
    </w:p>
    <w:p>
      <w:pPr>
        <w:pStyle w:val="6"/>
        <w:jc w:val="left"/>
      </w:pPr>
      <w:r>
        <w:rPr>
          <w:rFonts w:ascii="仿宋_GB2312" w:hAnsi="仿宋_GB2312" w:eastAsia="仿宋_GB2312" w:cs="仿宋_GB2312"/>
          <w:sz w:val="20"/>
          <w:shd w:val="clear" w:fill="FFFFFF"/>
        </w:rPr>
        <w:t>5.1包1、包2各配有4名管理员，其中2名由采购单位根据养护需要安排工作（主要负责12345投诉件处理反馈和现场作业完成情况监督巡查，交完成业主交办的其他养护工作），另外2名跟班作业。</w:t>
      </w:r>
    </w:p>
    <w:p>
      <w:pPr>
        <w:pStyle w:val="6"/>
        <w:jc w:val="left"/>
      </w:pPr>
      <w:r>
        <w:rPr>
          <w:rFonts w:ascii="仿宋_GB2312" w:hAnsi="仿宋_GB2312" w:eastAsia="仿宋_GB2312" w:cs="仿宋_GB2312"/>
          <w:sz w:val="20"/>
          <w:shd w:val="clear" w:fill="FFFFFF"/>
        </w:rPr>
        <w:t>5.2管理员戴证上岗，跟班作业；</w:t>
      </w:r>
    </w:p>
    <w:p>
      <w:pPr>
        <w:pStyle w:val="6"/>
        <w:jc w:val="left"/>
      </w:pPr>
      <w:r>
        <w:rPr>
          <w:rFonts w:ascii="仿宋_GB2312" w:hAnsi="仿宋_GB2312" w:eastAsia="仿宋_GB2312" w:cs="仿宋_GB2312"/>
          <w:sz w:val="20"/>
          <w:shd w:val="clear" w:fill="FFFFFF"/>
        </w:rPr>
        <w:t>5.3当班管理员做好检查记录；</w:t>
      </w:r>
    </w:p>
    <w:p>
      <w:pPr>
        <w:pStyle w:val="6"/>
        <w:jc w:val="left"/>
      </w:pPr>
      <w:r>
        <w:rPr>
          <w:rFonts w:ascii="仿宋_GB2312" w:hAnsi="仿宋_GB2312" w:eastAsia="仿宋_GB2312" w:cs="仿宋_GB2312"/>
          <w:sz w:val="20"/>
          <w:shd w:val="clear" w:fill="FFFFFF"/>
        </w:rPr>
        <w:t>5.4落实作业标准，对各种问题及时整改到位。</w:t>
      </w:r>
    </w:p>
    <w:p>
      <w:pPr>
        <w:pStyle w:val="6"/>
      </w:pPr>
      <w:r>
        <w:rPr>
          <w:rFonts w:ascii="仿宋_GB2312" w:hAnsi="仿宋_GB2312" w:eastAsia="仿宋_GB2312" w:cs="仿宋_GB2312"/>
          <w:sz w:val="20"/>
        </w:rPr>
        <w:t>6、养护人员要求</w:t>
      </w:r>
    </w:p>
    <w:p>
      <w:pPr>
        <w:pStyle w:val="6"/>
        <w:jc w:val="left"/>
      </w:pPr>
      <w:r>
        <w:rPr>
          <w:rFonts w:ascii="仿宋_GB2312" w:hAnsi="仿宋_GB2312" w:eastAsia="仿宋_GB2312" w:cs="仿宋_GB2312"/>
          <w:sz w:val="20"/>
          <w:shd w:val="clear" w:fill="FFFFFF"/>
        </w:rPr>
        <w:t>6.1养护人员通过培训上岗；</w:t>
      </w:r>
    </w:p>
    <w:p>
      <w:pPr>
        <w:pStyle w:val="6"/>
        <w:jc w:val="left"/>
      </w:pPr>
      <w:r>
        <w:rPr>
          <w:rFonts w:ascii="仿宋_GB2312" w:hAnsi="仿宋_GB2312" w:eastAsia="仿宋_GB2312" w:cs="仿宋_GB2312"/>
          <w:sz w:val="20"/>
          <w:shd w:val="clear" w:fill="FFFFFF"/>
        </w:rPr>
        <w:t>6.2养护人员上岗需穿着带有反光标志的统一制服上岗；</w:t>
      </w:r>
    </w:p>
    <w:p>
      <w:pPr>
        <w:pStyle w:val="6"/>
        <w:jc w:val="left"/>
      </w:pPr>
      <w:r>
        <w:rPr>
          <w:rFonts w:ascii="仿宋_GB2312" w:hAnsi="仿宋_GB2312" w:eastAsia="仿宋_GB2312" w:cs="仿宋_GB2312"/>
          <w:sz w:val="20"/>
          <w:shd w:val="clear" w:fill="FFFFFF"/>
        </w:rPr>
        <w:t>6.3遵守劳动纪律按时交接班；</w:t>
      </w:r>
    </w:p>
    <w:p>
      <w:pPr>
        <w:pStyle w:val="6"/>
        <w:jc w:val="left"/>
      </w:pPr>
      <w:r>
        <w:rPr>
          <w:rFonts w:ascii="仿宋_GB2312" w:hAnsi="仿宋_GB2312" w:eastAsia="仿宋_GB2312" w:cs="仿宋_GB2312"/>
          <w:sz w:val="20"/>
          <w:shd w:val="clear" w:fill="FFFFFF"/>
        </w:rPr>
        <w:t>6.4遵守交通法规，确保作业安全；</w:t>
      </w:r>
    </w:p>
    <w:p>
      <w:pPr>
        <w:pStyle w:val="6"/>
        <w:jc w:val="left"/>
      </w:pPr>
      <w:r>
        <w:rPr>
          <w:rFonts w:ascii="仿宋_GB2312" w:hAnsi="仿宋_GB2312" w:eastAsia="仿宋_GB2312" w:cs="仿宋_GB2312"/>
          <w:sz w:val="20"/>
          <w:shd w:val="clear" w:fill="FFFFFF"/>
        </w:rPr>
        <w:t>6.5养护人员定岗、定职、定责，明确任务。</w:t>
      </w:r>
    </w:p>
    <w:p>
      <w:pPr>
        <w:pStyle w:val="6"/>
        <w:jc w:val="left"/>
      </w:pPr>
      <w:r>
        <w:rPr>
          <w:rFonts w:ascii="仿宋_GB2312" w:hAnsi="仿宋_GB2312" w:eastAsia="仿宋_GB2312" w:cs="仿宋_GB2312"/>
          <w:b/>
          <w:sz w:val="20"/>
          <w:u w:val="single"/>
          <w:shd w:val="clear" w:fill="FFFFFF"/>
        </w:rPr>
        <w:t>6.6要求承诺配备至少1名养护人员具有高空作业证，提供承诺函（格式自拟）。</w:t>
      </w:r>
    </w:p>
    <w:p>
      <w:pPr>
        <w:pStyle w:val="6"/>
        <w:jc w:val="left"/>
      </w:pPr>
      <w:r>
        <w:rPr>
          <w:rFonts w:ascii="仿宋_GB2312" w:hAnsi="仿宋_GB2312" w:eastAsia="仿宋_GB2312" w:cs="仿宋_GB2312"/>
          <w:sz w:val="20"/>
        </w:rPr>
        <w:t>7、</w:t>
      </w:r>
      <w:r>
        <w:rPr>
          <w:rFonts w:ascii="仿宋_GB2312" w:hAnsi="仿宋_GB2312" w:eastAsia="仿宋_GB2312" w:cs="仿宋_GB2312"/>
          <w:sz w:val="20"/>
          <w:shd w:val="clear" w:fill="FFFFFF"/>
        </w:rPr>
        <w:t>园林机械作业车辆作业要求</w:t>
      </w:r>
    </w:p>
    <w:p>
      <w:pPr>
        <w:pStyle w:val="6"/>
        <w:jc w:val="left"/>
      </w:pPr>
      <w:r>
        <w:rPr>
          <w:rFonts w:ascii="仿宋_GB2312" w:hAnsi="仿宋_GB2312" w:eastAsia="仿宋_GB2312" w:cs="仿宋_GB2312"/>
          <w:sz w:val="20"/>
          <w:shd w:val="clear" w:fill="FFFFFF"/>
        </w:rPr>
        <w:t>7.1作业车辆准时出车，准点作业；</w:t>
      </w:r>
    </w:p>
    <w:p>
      <w:pPr>
        <w:pStyle w:val="6"/>
        <w:jc w:val="left"/>
      </w:pPr>
      <w:r>
        <w:rPr>
          <w:rFonts w:ascii="仿宋_GB2312" w:hAnsi="仿宋_GB2312" w:eastAsia="仿宋_GB2312" w:cs="仿宋_GB2312"/>
          <w:sz w:val="20"/>
          <w:shd w:val="clear" w:fill="FFFFFF"/>
        </w:rPr>
        <w:t>7.2车辆车容洁净，专用标志和警示灯清晰完整；</w:t>
      </w:r>
    </w:p>
    <w:p>
      <w:pPr>
        <w:pStyle w:val="6"/>
        <w:jc w:val="left"/>
      </w:pPr>
      <w:r>
        <w:rPr>
          <w:rFonts w:ascii="仿宋_GB2312" w:hAnsi="仿宋_GB2312" w:eastAsia="仿宋_GB2312" w:cs="仿宋_GB2312"/>
          <w:sz w:val="20"/>
          <w:shd w:val="clear" w:fill="FFFFFF"/>
        </w:rPr>
        <w:t>7.3安全生产文明作业；</w:t>
      </w:r>
    </w:p>
    <w:p>
      <w:pPr>
        <w:pStyle w:val="6"/>
        <w:jc w:val="left"/>
      </w:pPr>
      <w:r>
        <w:rPr>
          <w:rFonts w:ascii="仿宋_GB2312" w:hAnsi="仿宋_GB2312" w:eastAsia="仿宋_GB2312" w:cs="仿宋_GB2312"/>
          <w:sz w:val="20"/>
          <w:shd w:val="clear" w:fill="FFFFFF"/>
        </w:rPr>
        <w:t>7.4作业车辆作业时不能超速作业。</w:t>
      </w:r>
    </w:p>
    <w:p>
      <w:pPr>
        <w:pStyle w:val="6"/>
        <w:jc w:val="left"/>
      </w:pPr>
      <w:r>
        <w:rPr>
          <w:rFonts w:ascii="仿宋_GB2312" w:hAnsi="仿宋_GB2312" w:eastAsia="仿宋_GB2312" w:cs="仿宋_GB2312"/>
          <w:sz w:val="20"/>
          <w:shd w:val="clear" w:fill="FFFFFF"/>
        </w:rPr>
        <w:t>8、安全文明养护</w:t>
      </w:r>
    </w:p>
    <w:p>
      <w:pPr>
        <w:pStyle w:val="6"/>
        <w:jc w:val="left"/>
      </w:pPr>
      <w:r>
        <w:rPr>
          <w:rFonts w:ascii="仿宋_GB2312" w:hAnsi="仿宋_GB2312" w:eastAsia="仿宋_GB2312" w:cs="仿宋_GB2312"/>
          <w:sz w:val="20"/>
          <w:shd w:val="clear" w:fill="FFFFFF"/>
        </w:rPr>
        <w:t>8.1项目安全生产的达标目标及相应事项的约定</w:t>
      </w:r>
    </w:p>
    <w:p>
      <w:pPr>
        <w:pStyle w:val="6"/>
        <w:jc w:val="left"/>
      </w:pPr>
      <w:r>
        <w:rPr>
          <w:rFonts w:ascii="仿宋_GB2312" w:hAnsi="仿宋_GB2312" w:eastAsia="仿宋_GB2312" w:cs="仿宋_GB2312"/>
          <w:sz w:val="20"/>
          <w:shd w:val="clear" w:fill="FFFFFF"/>
        </w:rPr>
        <w:t>（1）应按合同约定履行安全职责，严格执行国家、福建省、福州市有关施工安全管理方面的法律、法规及规章制度，同时严格执行招标人制订的本项目安全生产管理方面的规章制度、安全检查程序及施工安全管理要求，以及监理人有关安全工作的指示。</w:t>
      </w:r>
    </w:p>
    <w:p>
      <w:pPr>
        <w:pStyle w:val="6"/>
        <w:jc w:val="left"/>
      </w:pPr>
      <w:r>
        <w:rPr>
          <w:rFonts w:ascii="仿宋_GB2312" w:hAnsi="仿宋_GB2312" w:eastAsia="仿宋_GB2312" w:cs="仿宋_GB2312"/>
          <w:sz w:val="20"/>
          <w:shd w:val="clear" w:fill="FFFFFF"/>
        </w:rPr>
        <w:t>（2）应根据本养护项目的实际安全养护要求，编制养护安全技术措施，并在签订合同协议书后28天内，报批准。该养护安全技术措施包括（但不限于）养护安全保障体系，安全生产责任制，安全生产管理规章制度，安全防护施工方案，养护现场临时用电方案，养护安全评估，安全预控及保证措施方案，紧急应变措施，安全标识、警示和围护方案等。</w:t>
      </w:r>
    </w:p>
    <w:p>
      <w:pPr>
        <w:pStyle w:val="6"/>
        <w:jc w:val="left"/>
      </w:pPr>
      <w:r>
        <w:rPr>
          <w:rFonts w:ascii="仿宋_GB2312" w:hAnsi="仿宋_GB2312" w:eastAsia="仿宋_GB2312" w:cs="仿宋_GB2312"/>
          <w:sz w:val="20"/>
          <w:shd w:val="clear" w:fill="FFFFFF"/>
        </w:rPr>
        <w:t>（3）应加强养护作业安全管理，在动力设备、输电线路、地下管道、密封防震车间、易燃易爆地段以及临街交通要道附近养护时加强安全防护。</w:t>
      </w:r>
    </w:p>
    <w:p>
      <w:pPr>
        <w:pStyle w:val="6"/>
        <w:jc w:val="left"/>
      </w:pPr>
      <w:r>
        <w:rPr>
          <w:rFonts w:ascii="仿宋_GB2312" w:hAnsi="仿宋_GB2312" w:eastAsia="仿宋_GB2312" w:cs="仿宋_GB2312"/>
          <w:sz w:val="20"/>
          <w:shd w:val="clear" w:fill="FFFFFF"/>
        </w:rPr>
        <w:t>（4）安全作业环境及安全养护措施所需费用应遵守有关规定，并包括在相关工作的合同价格中。</w:t>
      </w:r>
    </w:p>
    <w:p>
      <w:pPr>
        <w:pStyle w:val="6"/>
        <w:jc w:val="left"/>
      </w:pPr>
      <w:r>
        <w:rPr>
          <w:rFonts w:ascii="仿宋_GB2312" w:hAnsi="仿宋_GB2312" w:eastAsia="仿宋_GB2312" w:cs="仿宋_GB2312"/>
          <w:sz w:val="20"/>
          <w:shd w:val="clear" w:fill="FFFFFF"/>
        </w:rPr>
        <w:t>（5）为保护本合同养护项目免遭损坏，或为了其它、现场附近和过往群众的安全与方便，应自费提供照明、警卫、护栅、警告标志等安全防护设施。</w:t>
      </w:r>
    </w:p>
    <w:p>
      <w:pPr>
        <w:pStyle w:val="6"/>
        <w:jc w:val="left"/>
      </w:pPr>
      <w:r>
        <w:rPr>
          <w:rFonts w:ascii="仿宋_GB2312" w:hAnsi="仿宋_GB2312" w:eastAsia="仿宋_GB2312" w:cs="仿宋_GB2312"/>
          <w:sz w:val="20"/>
          <w:shd w:val="clear" w:fill="FFFFFF"/>
        </w:rPr>
        <w:t>（6）在整个施工过程中采取的养护安全措施，上级有关主管部门、招标人和监理人有权监督，并提出整改要求。如果由于未能对其负责的上述事项采取各种必要的措施而导致或发生与此有关的人身伤亡、罚款、索赔、损失补偿、诉讼费用及其他一切责任应由中标人负责。</w:t>
      </w:r>
    </w:p>
    <w:p>
      <w:pPr>
        <w:pStyle w:val="6"/>
        <w:jc w:val="left"/>
      </w:pPr>
      <w:r>
        <w:rPr>
          <w:rFonts w:ascii="仿宋_GB2312" w:hAnsi="仿宋_GB2312" w:eastAsia="仿宋_GB2312" w:cs="仿宋_GB2312"/>
          <w:sz w:val="20"/>
          <w:shd w:val="clear" w:fill="FFFFFF"/>
        </w:rPr>
        <w:t>8.2关于治安保卫的特别约定</w:t>
      </w:r>
    </w:p>
    <w:p>
      <w:pPr>
        <w:pStyle w:val="6"/>
        <w:jc w:val="left"/>
      </w:pPr>
      <w:r>
        <w:rPr>
          <w:rFonts w:ascii="仿宋_GB2312" w:hAnsi="仿宋_GB2312" w:eastAsia="仿宋_GB2312" w:cs="仿宋_GB2312"/>
          <w:sz w:val="20"/>
          <w:shd w:val="clear" w:fill="FFFFFF"/>
        </w:rPr>
        <w:t>负责与有关部门协商组建现场治安管理机构或联防组织，并承担相应费用。关于编制养护场地治安管理计划的约定：应在工程开工后7天内共同编制养护场地治安管理计划，并制定应对突发治安事件的紧急预案。在工程施工过程中，发生暴乱、爆炸等恐怖事件，以及群殴、械斗等群体性突发治安事件的，应立即向当地政府报告。中标人应积极协助当地有关部门采取措施平息事态，防止事态扩大，尽量避免人员伤亡和财产损失。</w:t>
      </w:r>
    </w:p>
    <w:p>
      <w:pPr>
        <w:pStyle w:val="6"/>
        <w:jc w:val="left"/>
      </w:pPr>
      <w:r>
        <w:rPr>
          <w:rFonts w:ascii="仿宋_GB2312" w:hAnsi="仿宋_GB2312" w:eastAsia="仿宋_GB2312" w:cs="仿宋_GB2312"/>
          <w:sz w:val="20"/>
          <w:shd w:val="clear" w:fill="FFFFFF"/>
        </w:rPr>
        <w:t>8.3文明养护</w:t>
      </w:r>
    </w:p>
    <w:p>
      <w:pPr>
        <w:pStyle w:val="6"/>
        <w:jc w:val="left"/>
      </w:pPr>
      <w:r>
        <w:rPr>
          <w:rFonts w:ascii="仿宋_GB2312" w:hAnsi="仿宋_GB2312" w:eastAsia="仿宋_GB2312" w:cs="仿宋_GB2312"/>
          <w:sz w:val="20"/>
          <w:shd w:val="clear" w:fill="FFFFFF"/>
        </w:rPr>
        <w:t>对文明养护的要求：应按福州市《建设工程文明施工导则》进行现场文明管理。</w:t>
      </w:r>
    </w:p>
    <w:p>
      <w:pPr>
        <w:pStyle w:val="6"/>
      </w:pPr>
      <w:r>
        <w:rPr>
          <w:rFonts w:ascii="仿宋_GB2312" w:hAnsi="仿宋_GB2312" w:eastAsia="仿宋_GB2312" w:cs="仿宋_GB2312"/>
          <w:b/>
          <w:sz w:val="20"/>
        </w:rPr>
        <w:t>（三）绿化养护精细化管理</w:t>
      </w:r>
    </w:p>
    <w:p>
      <w:pPr>
        <w:pStyle w:val="6"/>
        <w:jc w:val="left"/>
      </w:pPr>
      <w:r>
        <w:rPr>
          <w:rFonts w:ascii="仿宋_GB2312" w:hAnsi="仿宋_GB2312" w:eastAsia="仿宋_GB2312" w:cs="仿宋_GB2312"/>
          <w:sz w:val="20"/>
          <w:shd w:val="clear" w:fill="FFFFFF"/>
        </w:rPr>
        <w:t>1、精细化基本导则</w:t>
      </w:r>
    </w:p>
    <w:p>
      <w:pPr>
        <w:pStyle w:val="6"/>
        <w:jc w:val="left"/>
      </w:pPr>
      <w:r>
        <w:rPr>
          <w:rFonts w:ascii="仿宋_GB2312" w:hAnsi="仿宋_GB2312" w:eastAsia="仿宋_GB2312" w:cs="仿宋_GB2312"/>
          <w:sz w:val="20"/>
          <w:shd w:val="clear" w:fill="FFFFFF"/>
        </w:rPr>
        <w:t>绿化养护的精细化基本工作导则：辖区管理、分类达标、安全保障、文明服务、技术进步。</w:t>
      </w:r>
    </w:p>
    <w:p>
      <w:pPr>
        <w:pStyle w:val="6"/>
        <w:jc w:val="left"/>
      </w:pPr>
      <w:r>
        <w:rPr>
          <w:rFonts w:ascii="仿宋_GB2312" w:hAnsi="仿宋_GB2312" w:eastAsia="仿宋_GB2312" w:cs="仿宋_GB2312"/>
          <w:sz w:val="20"/>
          <w:shd w:val="clear" w:fill="FFFFFF"/>
        </w:rPr>
        <w:t>1.1分区管理。即养护企业责任范围，如有变更，必须随时，及时报告。在养护过程中，如遇接收新建绿地，必须由管理部门下达接收许可的文件，指定养护接收单位、确定行道树及绿地等级，由管理单位、接收标段、在建单位三方实地核实，达到移交条件的，由养护接收标段接管，如不符合移交条件，由在建单位负责整改至符合移交条件再行接收，在建单位拒不整改则拒绝接收。如遇道路改造、有审批的永久占用、临时占用，应在与申请方做好交接手续后减去相应的养护面积。临时占用绿化恢复后继续纳入养护范围，面积随之增加。以上均应在养管中心的指挥下处置。如有疏漏，一律按规定处理。在建项目移交后，单独划定管护分区，建立“移交项目专属档案”，记录苗木清单、生长数据、设施调试记录等，在过渡期内每周上报养护情况，纳入月度考核。</w:t>
      </w:r>
    </w:p>
    <w:p>
      <w:pPr>
        <w:pStyle w:val="6"/>
        <w:jc w:val="left"/>
      </w:pPr>
      <w:r>
        <w:rPr>
          <w:rFonts w:ascii="仿宋_GB2312" w:hAnsi="仿宋_GB2312" w:eastAsia="仿宋_GB2312" w:cs="仿宋_GB2312"/>
          <w:sz w:val="20"/>
          <w:shd w:val="clear" w:fill="FFFFFF"/>
        </w:rPr>
        <w:t>1.2分类达标。绿地管养级别代表绿地的景观等级，是对绿地效果的基本要求。按照道路的等级、位置、重要程度以及对绿化景观的要求，将绿地分成二级、三级；行道树分成二级、三级。对不同的绿地等级和不同的行道树等级有不同的要求。不论客观因素如何，都必须按类别要求进行养护。养护经费为整个标段统筹，并不对应到个别绿地，养护企业不得以成本为由降低养护服务水平。</w:t>
      </w:r>
    </w:p>
    <w:p>
      <w:pPr>
        <w:pStyle w:val="6"/>
        <w:jc w:val="left"/>
      </w:pPr>
      <w:r>
        <w:rPr>
          <w:rFonts w:ascii="仿宋_GB2312" w:hAnsi="仿宋_GB2312" w:eastAsia="仿宋_GB2312" w:cs="仿宋_GB2312"/>
          <w:sz w:val="20"/>
          <w:shd w:val="clear" w:fill="FFFFFF"/>
        </w:rPr>
        <w:t>1.3安全保障。道路绿化管养工作在道路上作业的时间较长，危险性较高，因此，安全是绿化管养工作首要保证的前提条件。养管中心和养护企业应有高度认识，把安全培训作为日常工作，制定详细的安全预案：如行道树修剪安全预案；抗台抢险安全预案；路面绿化养护安全预案等，按有关规定和要求采取切实可靠的措施，以保障安全。养护中标单位的安全员必须到岗到位。</w:t>
      </w:r>
    </w:p>
    <w:p>
      <w:pPr>
        <w:pStyle w:val="6"/>
        <w:jc w:val="left"/>
      </w:pPr>
      <w:r>
        <w:rPr>
          <w:rFonts w:ascii="仿宋_GB2312" w:hAnsi="仿宋_GB2312" w:eastAsia="仿宋_GB2312" w:cs="仿宋_GB2312"/>
          <w:sz w:val="20"/>
          <w:shd w:val="clear" w:fill="FFFFFF"/>
        </w:rPr>
        <w:t>1.4文明服务。公共绿地作为城市附属设施，绿化养护业务定位为社会服务，因此养护企业的所有人员须怀有高度的服务意识，在养护过程中“以人为本、文明服务”同时养护企业应对员工高度关注，确保员工安全、健康。</w:t>
      </w:r>
    </w:p>
    <w:p>
      <w:pPr>
        <w:pStyle w:val="6"/>
        <w:jc w:val="left"/>
      </w:pPr>
      <w:r>
        <w:rPr>
          <w:rFonts w:ascii="仿宋_GB2312" w:hAnsi="仿宋_GB2312" w:eastAsia="仿宋_GB2312" w:cs="仿宋_GB2312"/>
          <w:sz w:val="20"/>
          <w:shd w:val="clear" w:fill="FFFFFF"/>
        </w:rPr>
        <w:t>1.5技术进步。经过公开招标选择，各标段公共绿地均须由技术实力强、服务信誉好的企业负责养护。中标的养护企业必须着眼于园林绿化行业的技术进步，致力于提高技术水平，不断提高机械化作业程度、不断推广新技术新材料的应用。</w:t>
      </w:r>
    </w:p>
    <w:p>
      <w:pPr>
        <w:pStyle w:val="6"/>
        <w:jc w:val="left"/>
      </w:pPr>
      <w:r>
        <w:rPr>
          <w:rFonts w:ascii="仿宋_GB2312" w:hAnsi="仿宋_GB2312" w:eastAsia="仿宋_GB2312" w:cs="仿宋_GB2312"/>
          <w:sz w:val="20"/>
          <w:shd w:val="clear" w:fill="FFFFFF"/>
        </w:rPr>
        <w:t>2、绿地管养精细化要求</w:t>
      </w:r>
    </w:p>
    <w:p>
      <w:pPr>
        <w:pStyle w:val="6"/>
        <w:jc w:val="left"/>
      </w:pPr>
      <w:r>
        <w:rPr>
          <w:rFonts w:ascii="仿宋_GB2312" w:hAnsi="仿宋_GB2312" w:eastAsia="仿宋_GB2312" w:cs="仿宋_GB2312"/>
          <w:sz w:val="20"/>
          <w:shd w:val="clear" w:fill="FFFFFF"/>
        </w:rPr>
        <w:t>2.1技术力量投入。管理（技术）人员由项目负责人负责绿化养护工作的统筹管理，须组织技术人员形成管理团队，按养管中心的指引和要求对养护工作进行全面部署，建立行之有效的质量管理内控体系。技术主管负责现场的技术指导和实施质量内控管理等。管理（技术人员）不得随意变更，变更前须经养管中心备案。养护企业法定代表人须参加月检查、年度总结等重要会议，项目负责人及技术主管须参加养管中心的重要工作（包括汇报工作计划、管养会议等）。</w:t>
      </w:r>
    </w:p>
    <w:p>
      <w:pPr>
        <w:pStyle w:val="6"/>
        <w:jc w:val="left"/>
      </w:pPr>
      <w:r>
        <w:rPr>
          <w:rFonts w:ascii="仿宋_GB2312" w:hAnsi="仿宋_GB2312" w:eastAsia="仿宋_GB2312" w:cs="仿宋_GB2312"/>
          <w:sz w:val="20"/>
          <w:shd w:val="clear" w:fill="FFFFFF"/>
        </w:rPr>
        <w:t>2.2养护人数。绿地养护总人数按要求配备。</w:t>
      </w:r>
    </w:p>
    <w:p>
      <w:pPr>
        <w:pStyle w:val="6"/>
        <w:jc w:val="left"/>
      </w:pPr>
      <w:r>
        <w:rPr>
          <w:rFonts w:ascii="仿宋_GB2312" w:hAnsi="仿宋_GB2312" w:eastAsia="仿宋_GB2312" w:cs="仿宋_GB2312"/>
          <w:sz w:val="20"/>
          <w:shd w:val="clear" w:fill="FFFFFF"/>
        </w:rPr>
        <w:t>2.3车辆机械设备。按招标文件的要求和投标文件的承诺作为最低要求配备车辆、机械、工具、设备，养护企业须根据实际工作情况配备足够的车辆机械设备。</w:t>
      </w:r>
    </w:p>
    <w:p>
      <w:pPr>
        <w:pStyle w:val="6"/>
        <w:jc w:val="left"/>
      </w:pPr>
      <w:r>
        <w:rPr>
          <w:rFonts w:ascii="仿宋_GB2312" w:hAnsi="仿宋_GB2312" w:eastAsia="仿宋_GB2312" w:cs="仿宋_GB2312"/>
          <w:sz w:val="20"/>
          <w:shd w:val="clear" w:fill="FFFFFF"/>
        </w:rPr>
        <w:t>2.4物料投入。肥料投入必须满足招标文件的要求，作为跟踪签证的指标之一。抗台抢险物资的投入必须满足超强台风的抢险要求并保证随查随有；其他物料投入应根据实际工作需要，按时按质按量满足绿地养护要求和社会服务要求，服从养管中心的管理要求。如物料投入不到位，按现场签证情况，根据量化考核要求，暂扣或核减相应的养护经费。</w:t>
      </w:r>
    </w:p>
    <w:p>
      <w:pPr>
        <w:pStyle w:val="6"/>
        <w:jc w:val="left"/>
      </w:pPr>
      <w:r>
        <w:rPr>
          <w:rFonts w:ascii="仿宋_GB2312" w:hAnsi="仿宋_GB2312" w:eastAsia="仿宋_GB2312" w:cs="仿宋_GB2312"/>
          <w:sz w:val="20"/>
          <w:shd w:val="clear" w:fill="FFFFFF"/>
        </w:rPr>
        <w:t>3、规范作业精细化管理</w:t>
      </w:r>
    </w:p>
    <w:p>
      <w:pPr>
        <w:pStyle w:val="6"/>
        <w:jc w:val="left"/>
      </w:pPr>
      <w:r>
        <w:rPr>
          <w:rFonts w:ascii="仿宋_GB2312" w:hAnsi="仿宋_GB2312" w:eastAsia="仿宋_GB2312" w:cs="仿宋_GB2312"/>
          <w:sz w:val="20"/>
          <w:shd w:val="clear" w:fill="FFFFFF"/>
        </w:rPr>
        <w:t>3.1规范着装。要求在绿地上作业的人员全部须穿着统一的工作服（包括衣裤），佩戴工作证，并穿着反光衣，不得穿便装；乔木修剪时现场工作人员均应戴安全帽，操作机械和其工具的人员必须按操作指引配备安全防护用具。</w:t>
      </w:r>
    </w:p>
    <w:p>
      <w:pPr>
        <w:pStyle w:val="6"/>
        <w:jc w:val="left"/>
      </w:pPr>
      <w:r>
        <w:rPr>
          <w:rFonts w:ascii="仿宋_GB2312" w:hAnsi="仿宋_GB2312" w:eastAsia="仿宋_GB2312" w:cs="仿宋_GB2312"/>
          <w:sz w:val="20"/>
          <w:shd w:val="clear" w:fill="FFFFFF"/>
        </w:rPr>
        <w:t>3.2占道作业。要求按照交通管理规定上路作业，并服从指挥，除应急抢险外交通高峰期（7：00-9：30、17：00-19：30）绿化作业车辆不得上路，不得占用机动车道；其他时间占道作业时必须设专人指挥疏导交通，出现交通拥堵时应立即撤离路面；占用人行道进行养护作业时应设有效围挡和温馨提示牌，并在首尾处各设专职安全员对行人进行有效指引和劝阻。</w:t>
      </w:r>
    </w:p>
    <w:p>
      <w:pPr>
        <w:pStyle w:val="6"/>
        <w:jc w:val="left"/>
      </w:pPr>
      <w:r>
        <w:rPr>
          <w:rFonts w:ascii="仿宋_GB2312" w:hAnsi="仿宋_GB2312" w:eastAsia="仿宋_GB2312" w:cs="仿宋_GB2312"/>
          <w:sz w:val="20"/>
          <w:shd w:val="clear" w:fill="FFFFFF"/>
        </w:rPr>
        <w:t>3.3车辆规范作业。车辆作业时须规范、文明、有序，杜绝以下不文明的行为：绿化作业车有沿途跑冒滴漏垃圾污水的现象；花坛泥土冲出路面；水车、药车浇水喷药洒到行人等。</w:t>
      </w:r>
    </w:p>
    <w:p>
      <w:pPr>
        <w:pStyle w:val="6"/>
        <w:jc w:val="left"/>
      </w:pPr>
      <w:r>
        <w:rPr>
          <w:rFonts w:ascii="仿宋_GB2312" w:hAnsi="仿宋_GB2312" w:eastAsia="仿宋_GB2312" w:cs="仿宋_GB2312"/>
          <w:sz w:val="20"/>
          <w:shd w:val="clear" w:fill="FFFFFF"/>
        </w:rPr>
        <w:t>3.4安全文明作业。要求有切实可行的措施保证工作人员和周边人员的安全，在影响景观或市民生活的工作场地作业应设围挡和温馨提示牌；对绿地上的安全隐患必须马上设警标识，随后必须及时消除隐患。</w:t>
      </w:r>
    </w:p>
    <w:p>
      <w:pPr>
        <w:pStyle w:val="6"/>
        <w:jc w:val="left"/>
      </w:pPr>
      <w:r>
        <w:rPr>
          <w:rFonts w:ascii="仿宋_GB2312" w:hAnsi="仿宋_GB2312" w:eastAsia="仿宋_GB2312" w:cs="仿宋_GB2312"/>
          <w:sz w:val="20"/>
          <w:shd w:val="clear" w:fill="FFFFFF"/>
        </w:rPr>
        <w:t>3.5员工文明。要求文明作业，与市民沟通时应态度和蔼、言辞尊重、简明回应，绿地上的安全隐患应及时妥善处置并尽快彻底消除。使用农药和危险机具时应采取相应措施以确保工作人员和周边人员的安全。</w:t>
      </w:r>
    </w:p>
    <w:p>
      <w:pPr>
        <w:pStyle w:val="6"/>
        <w:jc w:val="left"/>
      </w:pPr>
      <w:r>
        <w:rPr>
          <w:rFonts w:ascii="仿宋_GB2312" w:hAnsi="仿宋_GB2312" w:eastAsia="仿宋_GB2312" w:cs="仿宋_GB2312"/>
          <w:sz w:val="20"/>
          <w:shd w:val="clear" w:fill="FFFFFF"/>
        </w:rPr>
        <w:t>3.6计划与实施。养护企业应先草拟详细计划报养管中心，批准后再实施，无具体规范的工作应先做样板再推广，实施过程中应与管理所保持良好沟通。</w:t>
      </w:r>
    </w:p>
    <w:p>
      <w:pPr>
        <w:pStyle w:val="6"/>
        <w:jc w:val="left"/>
      </w:pPr>
      <w:r>
        <w:rPr>
          <w:rFonts w:ascii="仿宋_GB2312" w:hAnsi="仿宋_GB2312" w:eastAsia="仿宋_GB2312" w:cs="仿宋_GB2312"/>
          <w:sz w:val="20"/>
          <w:shd w:val="clear" w:fill="FFFFFF"/>
        </w:rPr>
        <w:t>3.7投诉处理。要求养护企业主动发现并解决辖区内有关绿化的问题，提前整改处理，减少投诉。对于数字化城管平台、“12345”投诉件等一般案件，值班人员直接通知养护企业自行整改；数字化城管平台重要案件、超时案件或社会投诉，除落实整改外，并由养管中心核实后按规定对其作扣分处理。</w:t>
      </w:r>
    </w:p>
    <w:p>
      <w:pPr>
        <w:pStyle w:val="6"/>
        <w:jc w:val="left"/>
      </w:pPr>
      <w:r>
        <w:rPr>
          <w:rFonts w:ascii="仿宋_GB2312" w:hAnsi="仿宋_GB2312" w:eastAsia="仿宋_GB2312" w:cs="仿宋_GB2312"/>
          <w:sz w:val="20"/>
          <w:shd w:val="clear" w:fill="FFFFFF"/>
        </w:rPr>
        <w:t>4、绿地精细化管护</w:t>
      </w:r>
    </w:p>
    <w:p>
      <w:pPr>
        <w:pStyle w:val="6"/>
        <w:jc w:val="left"/>
      </w:pPr>
      <w:r>
        <w:rPr>
          <w:rFonts w:ascii="仿宋_GB2312" w:hAnsi="仿宋_GB2312" w:eastAsia="仿宋_GB2312" w:cs="仿宋_GB2312"/>
          <w:sz w:val="20"/>
          <w:shd w:val="clear" w:fill="FFFFFF"/>
        </w:rPr>
        <w:t>4.1巡查管护。养护企业对辖区内的所有绿地负有“守土”职责，成立3～5人以上的巡查分队，每天不间断对绿地进行巡查、并做好记录每天报养管中心，对侵占和破坏绿化的自然人及时制止及劝离，全天候保护绿地红线不被侵占，对破坏绿化及影响绿化景观的现象及时制止，并采取有效措施防止侵占行为再次发生；养护企业私自破坏、非法占用绿地或容许他人破坏、非法占用绿地，除按养护要求进行处理外，将承担行政处罚。</w:t>
      </w:r>
    </w:p>
    <w:p>
      <w:pPr>
        <w:pStyle w:val="6"/>
        <w:jc w:val="left"/>
      </w:pPr>
      <w:r>
        <w:rPr>
          <w:rFonts w:ascii="仿宋_GB2312" w:hAnsi="仿宋_GB2312" w:eastAsia="仿宋_GB2312" w:cs="仿宋_GB2312"/>
          <w:sz w:val="20"/>
          <w:shd w:val="clear" w:fill="FFFFFF"/>
        </w:rPr>
        <w:t>4.2行政许可占用绿地。对于行政许可批准临时占用的绿地负有监管责任，须对许可的范围及文明施工做好现场监督，发现超范围占用等与行政许可通知书不符的情况，必须立即要求对方停止占用，并向养管中心汇报，在保留证据后尽快恢复。</w:t>
      </w:r>
    </w:p>
    <w:p>
      <w:pPr>
        <w:pStyle w:val="6"/>
        <w:jc w:val="left"/>
      </w:pPr>
      <w:r>
        <w:rPr>
          <w:rFonts w:ascii="仿宋_GB2312" w:hAnsi="仿宋_GB2312" w:eastAsia="仿宋_GB2312" w:cs="仿宋_GB2312"/>
          <w:sz w:val="20"/>
          <w:shd w:val="clear" w:fill="FFFFFF"/>
        </w:rPr>
        <w:t>4.3绿地防损。对于自然人及其它因素对绿地的损害和破坏，养护企业应采取适当措施进行阻止、劝离，并及时恢复绿化，适当调整绿化种植等方式以减少破坏消除影响。</w:t>
      </w:r>
    </w:p>
    <w:p>
      <w:pPr>
        <w:pStyle w:val="6"/>
        <w:jc w:val="left"/>
      </w:pPr>
      <w:r>
        <w:rPr>
          <w:rFonts w:ascii="仿宋_GB2312" w:hAnsi="仿宋_GB2312" w:eastAsia="仿宋_GB2312" w:cs="仿宋_GB2312"/>
          <w:sz w:val="20"/>
          <w:shd w:val="clear" w:fill="FFFFFF"/>
        </w:rPr>
        <w:t>4.4零星恢复。恢复绿地在种植完成后马上验收移交由养护企业直接接管行使养护职责，恢复区域有需特别养护的乔木和单株灌木的，另行明确。</w:t>
      </w:r>
    </w:p>
    <w:p>
      <w:pPr>
        <w:pStyle w:val="6"/>
        <w:jc w:val="left"/>
      </w:pPr>
      <w:r>
        <w:rPr>
          <w:rFonts w:ascii="仿宋_GB2312" w:hAnsi="仿宋_GB2312" w:eastAsia="仿宋_GB2312" w:cs="仿宋_GB2312"/>
          <w:sz w:val="20"/>
          <w:shd w:val="clear" w:fill="FFFFFF"/>
        </w:rPr>
        <w:t>4.5绿地施工。在辖区绿地上进行的所有施工，养护企业均负有监管责任，须全程跟踪，防止侵占绿地，记录施工过程向养管中心汇报。</w:t>
      </w:r>
    </w:p>
    <w:p>
      <w:pPr>
        <w:pStyle w:val="6"/>
        <w:jc w:val="left"/>
      </w:pPr>
      <w:r>
        <w:rPr>
          <w:rFonts w:ascii="仿宋_GB2312" w:hAnsi="仿宋_GB2312" w:eastAsia="仿宋_GB2312" w:cs="仿宋_GB2312"/>
          <w:sz w:val="20"/>
          <w:shd w:val="clear" w:fill="FFFFFF"/>
        </w:rPr>
        <w:t>4.6面积增减。绿地养护面积增减原则为：</w:t>
      </w:r>
    </w:p>
    <w:p>
      <w:pPr>
        <w:pStyle w:val="6"/>
        <w:jc w:val="left"/>
      </w:pPr>
      <w:r>
        <w:rPr>
          <w:rFonts w:ascii="仿宋_GB2312" w:hAnsi="仿宋_GB2312" w:eastAsia="仿宋_GB2312" w:cs="仿宋_GB2312"/>
          <w:sz w:val="20"/>
          <w:shd w:val="clear" w:fill="FFFFFF"/>
        </w:rPr>
        <w:t>（1）绿地被借占用，以《临时占用城市绿地审批许可》的面积为准，自迁移全部完成之日开始撒减养护面积；</w:t>
      </w:r>
    </w:p>
    <w:p>
      <w:pPr>
        <w:pStyle w:val="6"/>
        <w:jc w:val="left"/>
      </w:pPr>
      <w:r>
        <w:rPr>
          <w:rFonts w:ascii="仿宋_GB2312" w:hAnsi="仿宋_GB2312" w:eastAsia="仿宋_GB2312" w:cs="仿宋_GB2312"/>
          <w:sz w:val="20"/>
          <w:shd w:val="clear" w:fill="FFFFFF"/>
        </w:rPr>
        <w:t>（2）绿地涉及整体改造提升工程并设置围挡的，以工程开工之日开始撒减养护面积，工程竣工接管时再增加相应面积；</w:t>
      </w:r>
    </w:p>
    <w:p>
      <w:pPr>
        <w:pStyle w:val="6"/>
        <w:jc w:val="left"/>
      </w:pPr>
      <w:r>
        <w:rPr>
          <w:rFonts w:ascii="仿宋_GB2312" w:hAnsi="仿宋_GB2312" w:eastAsia="仿宋_GB2312" w:cs="仿宋_GB2312"/>
          <w:sz w:val="20"/>
          <w:shd w:val="clear" w:fill="FFFFFF"/>
        </w:rPr>
        <w:t>（3）绿地养护面积因其他原因有变化时，以养管中心核实情况审批后作为增减依据；</w:t>
      </w:r>
    </w:p>
    <w:p>
      <w:pPr>
        <w:pStyle w:val="6"/>
        <w:jc w:val="left"/>
      </w:pPr>
      <w:r>
        <w:rPr>
          <w:rFonts w:ascii="仿宋_GB2312" w:hAnsi="仿宋_GB2312" w:eastAsia="仿宋_GB2312" w:cs="仿宋_GB2312"/>
          <w:sz w:val="20"/>
          <w:shd w:val="clear" w:fill="FFFFFF"/>
        </w:rPr>
        <w:t>（4）绿地养护面积的变化由养管中心进行编号管理，除上述三种情况外，可随时上报，随时录入系统，双月检查前进行一次全面校核；</w:t>
      </w:r>
    </w:p>
    <w:p>
      <w:pPr>
        <w:pStyle w:val="6"/>
        <w:jc w:val="left"/>
      </w:pPr>
      <w:r>
        <w:rPr>
          <w:rFonts w:ascii="仿宋_GB2312" w:hAnsi="仿宋_GB2312" w:eastAsia="仿宋_GB2312" w:cs="仿宋_GB2312"/>
          <w:sz w:val="20"/>
          <w:shd w:val="clear" w:fill="FFFFFF"/>
        </w:rPr>
        <w:t>（5）借占用绿地改造时，遗留的大乔木或灌木需继续负养护工作或监管职责的，可不撤减养护面积；</w:t>
      </w:r>
    </w:p>
    <w:p>
      <w:pPr>
        <w:pStyle w:val="6"/>
        <w:jc w:val="left"/>
      </w:pPr>
      <w:r>
        <w:rPr>
          <w:rFonts w:ascii="仿宋_GB2312" w:hAnsi="仿宋_GB2312" w:eastAsia="仿宋_GB2312" w:cs="仿宋_GB2312"/>
          <w:sz w:val="20"/>
          <w:shd w:val="clear" w:fill="FFFFFF"/>
        </w:rPr>
        <w:t>（6）经同意不作围挡的借占用绿地，确须行使管理职责的，保留部分养护面积作为管理任务，以养管中心同意为准；</w:t>
      </w:r>
    </w:p>
    <w:p>
      <w:pPr>
        <w:pStyle w:val="6"/>
        <w:jc w:val="left"/>
      </w:pPr>
      <w:r>
        <w:rPr>
          <w:rFonts w:ascii="仿宋_GB2312" w:hAnsi="仿宋_GB2312" w:eastAsia="仿宋_GB2312" w:cs="仿宋_GB2312"/>
          <w:sz w:val="20"/>
          <w:shd w:val="clear" w:fill="FFFFFF"/>
        </w:rPr>
        <w:t>（7）接管时间不足两个月的绿地，只检查不扣分；调级时间不足两个月的绿地，按原级别标准进行检查。</w:t>
      </w:r>
    </w:p>
    <w:p>
      <w:pPr>
        <w:pStyle w:val="6"/>
        <w:jc w:val="left"/>
      </w:pPr>
      <w:r>
        <w:rPr>
          <w:rFonts w:ascii="仿宋_GB2312" w:hAnsi="仿宋_GB2312" w:eastAsia="仿宋_GB2312" w:cs="仿宋_GB2312"/>
          <w:sz w:val="20"/>
          <w:shd w:val="clear" w:fill="FFFFFF"/>
        </w:rPr>
        <w:t>5、绿地（行道树）精细化保洁工作</w:t>
      </w:r>
    </w:p>
    <w:p>
      <w:pPr>
        <w:pStyle w:val="6"/>
        <w:jc w:val="left"/>
      </w:pPr>
      <w:r>
        <w:rPr>
          <w:rFonts w:ascii="仿宋_GB2312" w:hAnsi="仿宋_GB2312" w:eastAsia="仿宋_GB2312" w:cs="仿宋_GB2312"/>
          <w:sz w:val="20"/>
          <w:shd w:val="clear" w:fill="FFFFFF"/>
        </w:rPr>
        <w:t>5.1绿地清洁要求。绿地内园路和园林设施要在一定周期内集中全面清洁或清洗，平时保持巡查和保洁，保持整洁美观。垃圾妥善堆放，及时清运，保证不影响景观和市民生活。</w:t>
      </w:r>
    </w:p>
    <w:p>
      <w:pPr>
        <w:pStyle w:val="6"/>
        <w:jc w:val="left"/>
      </w:pPr>
      <w:r>
        <w:rPr>
          <w:rFonts w:ascii="仿宋_GB2312" w:hAnsi="仿宋_GB2312" w:eastAsia="仿宋_GB2312" w:cs="仿宋_GB2312"/>
          <w:sz w:val="20"/>
          <w:shd w:val="clear" w:fill="FFFFFF"/>
        </w:rPr>
        <w:t>5.2绿地清洁频次。要求所有绿地内枯枝落叶杂物等垃圾，每天集中清扫一遍；园路、小品，坐凳等园林设施的表面应每天冲洗或擦拭一遍；垃圾桶箱每天清理两遍，冲洗一遍；绿地内园道广场、花基围栏、园林小品等设施每周清洗一次，每月用高压水枪彻底清洗至少一遍，局部易污染区域每周高压冲洗一遍平时保持洁净；与绿地相连的排水沟每月至少清理一次，确保无垃圾、无积水无杂草。</w:t>
      </w:r>
    </w:p>
    <w:p>
      <w:pPr>
        <w:pStyle w:val="6"/>
        <w:jc w:val="left"/>
      </w:pPr>
      <w:r>
        <w:rPr>
          <w:rFonts w:ascii="仿宋_GB2312" w:hAnsi="仿宋_GB2312" w:eastAsia="仿宋_GB2312" w:cs="仿宋_GB2312"/>
          <w:sz w:val="20"/>
          <w:shd w:val="clear" w:fill="FFFFFF"/>
        </w:rPr>
        <w:t>5.3垃圾存放和清运。垃圾堆放点应细致规划，选点隐蔽，报养管中心审批备案，并做好维护，周边种植灌木遮挡，可少量铺装硬化。垃圾临时堆放点应每天清运一次，每月消杀一次。垃圾应装袋封闭，整齐堆放，确保无异味，不影响景观。</w:t>
      </w:r>
    </w:p>
    <w:p>
      <w:pPr>
        <w:pStyle w:val="6"/>
        <w:jc w:val="left"/>
      </w:pPr>
      <w:r>
        <w:rPr>
          <w:rFonts w:ascii="仿宋_GB2312" w:hAnsi="仿宋_GB2312" w:eastAsia="仿宋_GB2312" w:cs="仿宋_GB2312"/>
          <w:sz w:val="20"/>
          <w:shd w:val="clear" w:fill="FFFFFF"/>
        </w:rPr>
        <w:t>5.4悬挂绿化清洁和管理。悬挂绿化箱体应保持清洁、整齐。悬挂绿化的安放槽应每月至少清理一次，确保无垃圾、无积水、无杂草。悬挂绿化多余</w:t>
      </w:r>
      <w:r>
        <w:rPr>
          <w:rFonts w:hint="eastAsia" w:ascii="仿宋_GB2312" w:hAnsi="仿宋_GB2312" w:eastAsia="仿宋_GB2312" w:cs="仿宋_GB2312"/>
          <w:sz w:val="20"/>
          <w:shd w:val="clear" w:fill="FFFFFF"/>
          <w:lang w:eastAsia="zh-CN"/>
        </w:rPr>
        <w:t>水分</w:t>
      </w:r>
      <w:r>
        <w:rPr>
          <w:rFonts w:ascii="仿宋_GB2312" w:hAnsi="仿宋_GB2312" w:eastAsia="仿宋_GB2312" w:cs="仿宋_GB2312"/>
          <w:sz w:val="20"/>
          <w:shd w:val="clear" w:fill="FFFFFF"/>
        </w:rPr>
        <w:t>应进入排水沟，漏水不可直接滴落桥下，不具备条件的应由养护企业采取措施解决。</w:t>
      </w:r>
    </w:p>
    <w:p>
      <w:pPr>
        <w:pStyle w:val="6"/>
        <w:jc w:val="left"/>
      </w:pPr>
      <w:r>
        <w:rPr>
          <w:rFonts w:ascii="仿宋_GB2312" w:hAnsi="仿宋_GB2312" w:eastAsia="仿宋_GB2312" w:cs="仿宋_GB2312"/>
          <w:sz w:val="20"/>
          <w:shd w:val="clear" w:fill="FFFFFF"/>
        </w:rPr>
        <w:t>5.5洗树降尘。共同做好国控点周边2公里范围内绿化密度和行道树清洗频次。国控点周边1公里范围的行道树每3天冲洗1次，1～2公里范围每7天冲洗1次，按要求实施，内业资料需提供完整。其他，含三环路行道树根据实际情况安排清洗。养管中心做好签证拍照备查工作。</w:t>
      </w:r>
    </w:p>
    <w:p>
      <w:pPr>
        <w:pStyle w:val="6"/>
        <w:jc w:val="left"/>
      </w:pPr>
      <w:r>
        <w:rPr>
          <w:rFonts w:ascii="仿宋_GB2312" w:hAnsi="仿宋_GB2312" w:eastAsia="仿宋_GB2312" w:cs="仿宋_GB2312"/>
          <w:sz w:val="20"/>
          <w:shd w:val="clear" w:fill="FFFFFF"/>
        </w:rPr>
        <w:t>6、水肥药精细化管理</w:t>
      </w:r>
    </w:p>
    <w:p>
      <w:pPr>
        <w:pStyle w:val="6"/>
        <w:jc w:val="left"/>
      </w:pPr>
      <w:r>
        <w:rPr>
          <w:rFonts w:ascii="仿宋_GB2312" w:hAnsi="仿宋_GB2312" w:eastAsia="仿宋_GB2312" w:cs="仿宋_GB2312"/>
          <w:sz w:val="20"/>
          <w:shd w:val="clear" w:fill="FFFFFF"/>
        </w:rPr>
        <w:t>6.1施肥要求。要求以促进生长、提升景观为主要目的，优先安排中侧分带、渠化岛、悬挂绿化、行道树、观花乔灌木等为重点，以有机肥为主，以深挖深埋为主，可考虑将增设行道树施肥管等改良营养条件的措施纳入施肥费用。除按计划和规范施肥外，还应确保所有植物水肥供应充足，无生长不良现象，对于生长不良的植物，应采取各项措施综合解决复壮问题。</w:t>
      </w:r>
    </w:p>
    <w:p>
      <w:pPr>
        <w:pStyle w:val="6"/>
        <w:jc w:val="left"/>
      </w:pPr>
      <w:r>
        <w:rPr>
          <w:rFonts w:ascii="仿宋_GB2312" w:hAnsi="仿宋_GB2312" w:eastAsia="仿宋_GB2312" w:cs="仿宋_GB2312"/>
          <w:sz w:val="20"/>
          <w:shd w:val="clear" w:fill="FFFFFF"/>
        </w:rPr>
        <w:t>6.2施肥现场签证。根据合同约定的施肥量和绿地营养状况分析，以季、月、周为期分别制定施肥计划报养管中心，经审批同意后方可实施。未审批施肥计划的不作签证，核查施肥工作时，埋施的肥料随机抽样挖开检验，抽样比例不低于5％。肥料种类、质量、施用量均确认无误方可签证。</w:t>
      </w:r>
    </w:p>
    <w:p>
      <w:pPr>
        <w:pStyle w:val="6"/>
        <w:jc w:val="left"/>
      </w:pPr>
      <w:r>
        <w:rPr>
          <w:rFonts w:ascii="仿宋_GB2312" w:hAnsi="仿宋_GB2312" w:eastAsia="仿宋_GB2312" w:cs="仿宋_GB2312"/>
          <w:sz w:val="20"/>
          <w:shd w:val="clear" w:fill="FFFFFF"/>
        </w:rPr>
        <w:t>6.3浇水。要求定期进行全面彻底浇水。绿地、悬挂、渠化岛、中间隔离带、主辅分车带绿篱的绿化每两天至少浇透一遍，其他绿地每三天至少浇透一遍。要求每月将水费发票复印报养管中心备案。</w:t>
      </w:r>
    </w:p>
    <w:p>
      <w:pPr>
        <w:pStyle w:val="6"/>
        <w:jc w:val="left"/>
      </w:pPr>
      <w:r>
        <w:rPr>
          <w:rFonts w:ascii="仿宋_GB2312" w:hAnsi="仿宋_GB2312" w:eastAsia="仿宋_GB2312" w:cs="仿宋_GB2312"/>
          <w:sz w:val="20"/>
          <w:shd w:val="clear" w:fill="FFFFFF"/>
        </w:rPr>
        <w:t>6.4排水。排水不畅的绿地应采用辅助方式疏通，确保不积水。悬挂绿化的排水应进入排水沟，避免直接滴落。</w:t>
      </w:r>
    </w:p>
    <w:p>
      <w:pPr>
        <w:pStyle w:val="6"/>
        <w:jc w:val="left"/>
      </w:pPr>
      <w:r>
        <w:rPr>
          <w:rFonts w:ascii="仿宋_GB2312" w:hAnsi="仿宋_GB2312" w:eastAsia="仿宋_GB2312" w:cs="仿宋_GB2312"/>
          <w:sz w:val="20"/>
          <w:shd w:val="clear" w:fill="FFFFFF"/>
        </w:rPr>
        <w:t>6.5松土。花坛绿篱地被应定期松土除杂并每天检查，保持土壤松散易于透水，松土沟宽度不得超过灌木枝叶投影线外10厘米。相邻林地上影响景观的杂草丛应每月修剪整理一遍。</w:t>
      </w:r>
    </w:p>
    <w:p>
      <w:pPr>
        <w:pStyle w:val="6"/>
        <w:jc w:val="left"/>
      </w:pPr>
      <w:r>
        <w:rPr>
          <w:rFonts w:ascii="仿宋_GB2312" w:hAnsi="仿宋_GB2312" w:eastAsia="仿宋_GB2312" w:cs="仿宋_GB2312"/>
          <w:sz w:val="20"/>
          <w:shd w:val="clear" w:fill="FFFFFF"/>
        </w:rPr>
        <w:t>6.6除杂平整。绿地要求</w:t>
      </w:r>
      <w:r>
        <w:rPr>
          <w:rFonts w:hint="eastAsia" w:ascii="仿宋_GB2312" w:hAnsi="仿宋_GB2312" w:eastAsia="仿宋_GB2312" w:cs="仿宋_GB2312"/>
          <w:sz w:val="20"/>
          <w:shd w:val="clear" w:fill="FFFFFF"/>
          <w:lang w:eastAsia="zh-CN"/>
        </w:rPr>
        <w:t>拔除</w:t>
      </w:r>
      <w:r>
        <w:rPr>
          <w:rFonts w:ascii="仿宋_GB2312" w:hAnsi="仿宋_GB2312" w:eastAsia="仿宋_GB2312" w:cs="仿宋_GB2312"/>
          <w:sz w:val="20"/>
          <w:shd w:val="clear" w:fill="FFFFFF"/>
        </w:rPr>
        <w:t>杂草，保持纯草率在95％以上，每次草坪修剪前须全面除杂一次，其他不强调除杂的草坪也应及时剪草，保持草坪平整。草坪上已有的凹凸不平（如树坑、车轮印、管沟等），应及时开挖填平。</w:t>
      </w:r>
    </w:p>
    <w:p>
      <w:pPr>
        <w:pStyle w:val="6"/>
        <w:jc w:val="left"/>
      </w:pPr>
      <w:r>
        <w:rPr>
          <w:rFonts w:ascii="仿宋_GB2312" w:hAnsi="仿宋_GB2312" w:eastAsia="仿宋_GB2312" w:cs="仿宋_GB2312"/>
          <w:sz w:val="20"/>
          <w:shd w:val="clear" w:fill="FFFFFF"/>
        </w:rPr>
        <w:t>6.7草坪复壮。草坪应定期采用打孔、疏草、铺沙等复壮措施，改良生境，结合其它养护措施，使草坪保持平整健壮。</w:t>
      </w:r>
    </w:p>
    <w:p>
      <w:pPr>
        <w:pStyle w:val="6"/>
        <w:jc w:val="left"/>
      </w:pPr>
      <w:r>
        <w:rPr>
          <w:rFonts w:ascii="仿宋_GB2312" w:hAnsi="仿宋_GB2312" w:eastAsia="仿宋_GB2312" w:cs="仿宋_GB2312"/>
          <w:sz w:val="20"/>
          <w:shd w:val="clear" w:fill="FFFFFF"/>
        </w:rPr>
        <w:t>6.8有害生物防治。要求养护企业对绿地内的有害生物（包括病虫害、入侵生物等）有效监控，采取综合防治措施，保持植物受损程度控制在不影响景观的限度内，同时对环境影响尽可能小。病虫害对园林植物的损害程度应控制在单一植株的40％以内。对入侵生物应在萌芽状态进行扑杀，控制在无繁殖扩大的状态。</w:t>
      </w:r>
    </w:p>
    <w:p>
      <w:pPr>
        <w:pStyle w:val="6"/>
        <w:jc w:val="left"/>
      </w:pPr>
      <w:r>
        <w:rPr>
          <w:rFonts w:ascii="仿宋_GB2312" w:hAnsi="仿宋_GB2312" w:eastAsia="仿宋_GB2312" w:cs="仿宋_GB2312"/>
          <w:sz w:val="20"/>
          <w:shd w:val="clear" w:fill="FFFFFF"/>
        </w:rPr>
        <w:t>6.9悬挂绿化控花。要求悬挂绿化及设施整齐无缺损，盆栽植物灌型饱满整齐，长势旺盛，通过专门技术进行水肥管理实施促花控花措施，盛花期开花率达85％盛花期保持一个月以上。</w:t>
      </w:r>
    </w:p>
    <w:p>
      <w:pPr>
        <w:pStyle w:val="6"/>
        <w:jc w:val="left"/>
      </w:pPr>
      <w:r>
        <w:rPr>
          <w:rFonts w:ascii="仿宋_GB2312" w:hAnsi="仿宋_GB2312" w:eastAsia="仿宋_GB2312" w:cs="仿宋_GB2312"/>
          <w:sz w:val="20"/>
          <w:shd w:val="clear" w:fill="FFFFFF"/>
        </w:rPr>
        <w:t>7、修剪及树型精细化管理</w:t>
      </w:r>
    </w:p>
    <w:p>
      <w:pPr>
        <w:pStyle w:val="6"/>
        <w:jc w:val="left"/>
      </w:pPr>
      <w:r>
        <w:rPr>
          <w:rFonts w:ascii="仿宋_GB2312" w:hAnsi="仿宋_GB2312" w:eastAsia="仿宋_GB2312" w:cs="仿宋_GB2312"/>
          <w:sz w:val="20"/>
          <w:shd w:val="clear" w:fill="FFFFFF"/>
        </w:rPr>
        <w:t>7.1修剪要求。修剪应符合相关规范，以促进植物健壮生长、适时开花、景观舒适为主要目的，应提前编制修剪计划和要点，报养管中心审批后方可实施，养管中心应明确修剪要求和注意事项，并在关键节点派人到现场指导。</w:t>
      </w:r>
    </w:p>
    <w:p>
      <w:pPr>
        <w:pStyle w:val="6"/>
        <w:jc w:val="left"/>
      </w:pPr>
      <w:r>
        <w:rPr>
          <w:rFonts w:ascii="仿宋_GB2312" w:hAnsi="仿宋_GB2312" w:eastAsia="仿宋_GB2312" w:cs="仿宋_GB2312"/>
          <w:sz w:val="20"/>
          <w:shd w:val="clear" w:fill="FFFFFF"/>
        </w:rPr>
        <w:t>7.2常规修剪。每天对绿地进行常规检查，对影响景观有安全隐患和遮挡交通视线的枝条如断枝、萌蘖条，以及遮挡交通标志牌、监控摄像，路灯灯光的树枝必须及时修剪和清理。人、车使用空间上方的枯枝必须及时清理，下缘线必须高于使用高度2.8米以上，并结合景观需要进行调整。道路边的倒树断枝必须在接报后一小时内到达现场，半天内清理完毕。</w:t>
      </w:r>
    </w:p>
    <w:p>
      <w:pPr>
        <w:pStyle w:val="6"/>
        <w:jc w:val="left"/>
      </w:pPr>
      <w:r>
        <w:rPr>
          <w:rFonts w:ascii="仿宋_GB2312" w:hAnsi="仿宋_GB2312" w:eastAsia="仿宋_GB2312" w:cs="仿宋_GB2312"/>
          <w:sz w:val="20"/>
          <w:shd w:val="clear" w:fill="FFFFFF"/>
        </w:rPr>
        <w:t>7.3乔木修剪。行道树及其它种植在路边的乔木除常规修剪外，每年春秋季进行集中重剪一遍，台风季节前再作一次检查和修整。主要实施清除老弱枝、过密枝条等促进植物生长的修剪措施，以及修整下缘线，冠型等整型修剪措施。</w:t>
      </w:r>
    </w:p>
    <w:p>
      <w:pPr>
        <w:pStyle w:val="6"/>
        <w:jc w:val="left"/>
      </w:pPr>
      <w:r>
        <w:rPr>
          <w:rFonts w:ascii="仿宋_GB2312" w:hAnsi="仿宋_GB2312" w:eastAsia="仿宋_GB2312" w:cs="仿宋_GB2312"/>
          <w:sz w:val="20"/>
          <w:shd w:val="clear" w:fill="FFFFFF"/>
        </w:rPr>
        <w:t>7.4灌木修剪。花灌木和地被的修剪措施以促进生长、保持美观为目的。采用短截、打顶、间疏、牵引等方式，进行以下几方面修剪：一是根据季节和植物开花期的特点，进行主动控花修剪；二是根据观赏角度和植物搭配情况，进行艺术整型修剪；三是根据植物生长特性，进行重剪，翻种等复壮措施：四是在生长旺盛期，定期进行疏枝、整型等养护措施。不宜千篇一律地采用剪平的简易修剪方式。</w:t>
      </w:r>
    </w:p>
    <w:p>
      <w:pPr>
        <w:pStyle w:val="6"/>
        <w:jc w:val="left"/>
      </w:pPr>
      <w:r>
        <w:rPr>
          <w:rFonts w:ascii="仿宋_GB2312" w:hAnsi="仿宋_GB2312" w:eastAsia="仿宋_GB2312" w:cs="仿宋_GB2312"/>
          <w:sz w:val="20"/>
          <w:shd w:val="clear" w:fill="FFFFFF"/>
        </w:rPr>
        <w:t>7.5草坪修剪。草坪以定期修剪平整为主，适当结合疏草等措施以促进生长，应结合季节生长特性进行定期修剪。重点区域草坪每年须打孔疏草全面护理一遍，其他绿地根据生长情况而定。修剪频次：雨季（3-8月）每30～40天修剪一遍，旱季（9-2月）每40～50天修剪一遍，全年不少于7次。草坪修剪应力求精细，机械和人工互补，确保平整美观，草坪边缘也须平整，不</w:t>
      </w:r>
      <w:r>
        <w:rPr>
          <w:rFonts w:hint="eastAsia" w:ascii="仿宋_GB2312" w:hAnsi="仿宋_GB2312" w:eastAsia="仿宋_GB2312" w:cs="仿宋_GB2312"/>
          <w:sz w:val="20"/>
          <w:shd w:val="clear" w:fill="FFFFFF"/>
          <w:lang w:eastAsia="zh-CN"/>
        </w:rPr>
        <w:t>蔓延</w:t>
      </w:r>
      <w:r>
        <w:rPr>
          <w:rFonts w:ascii="仿宋_GB2312" w:hAnsi="仿宋_GB2312" w:eastAsia="仿宋_GB2312" w:cs="仿宋_GB2312"/>
          <w:sz w:val="20"/>
          <w:shd w:val="clear" w:fill="FFFFFF"/>
        </w:rPr>
        <w:t>不凸起。应避免草坪因过度生长而老化鼓包，同时也应防止过度修剪而出现秃黄。</w:t>
      </w:r>
    </w:p>
    <w:p>
      <w:pPr>
        <w:pStyle w:val="6"/>
        <w:jc w:val="left"/>
      </w:pPr>
      <w:r>
        <w:rPr>
          <w:rFonts w:ascii="仿宋_GB2312" w:hAnsi="仿宋_GB2312" w:eastAsia="仿宋_GB2312" w:cs="仿宋_GB2312"/>
          <w:sz w:val="20"/>
          <w:shd w:val="clear" w:fill="FFFFFF"/>
        </w:rPr>
        <w:t>7.6悬挂绿化修剪。悬挂绿化和盆栽绿化应重点进行整形修剪、枝条牵引，结合开花规律进行适度修剪和控花促花。</w:t>
      </w:r>
    </w:p>
    <w:p>
      <w:pPr>
        <w:pStyle w:val="6"/>
        <w:jc w:val="left"/>
      </w:pPr>
      <w:r>
        <w:rPr>
          <w:rFonts w:ascii="仿宋_GB2312" w:hAnsi="仿宋_GB2312" w:eastAsia="仿宋_GB2312" w:cs="仿宋_GB2312"/>
          <w:sz w:val="20"/>
          <w:shd w:val="clear" w:fill="FFFFFF"/>
        </w:rPr>
        <w:t>7.7伤口处理。乔木修剪后，修剪伤口大于15公分应作消毒和封闭处理。分别作防腐层和保护层的处理，保护层的颜色必须与树干颜色相一致；树洞应作防腐处理，填充后封闭保护，封口的颜色、纹理与树干一致。</w:t>
      </w:r>
    </w:p>
    <w:p>
      <w:pPr>
        <w:pStyle w:val="6"/>
        <w:jc w:val="left"/>
      </w:pPr>
      <w:r>
        <w:rPr>
          <w:rFonts w:ascii="仿宋_GB2312" w:hAnsi="仿宋_GB2312" w:eastAsia="仿宋_GB2312" w:cs="仿宋_GB2312"/>
          <w:sz w:val="20"/>
          <w:shd w:val="clear" w:fill="FFFFFF"/>
        </w:rPr>
        <w:t>7.8歪斜乔灌木扶正。歪斜的乔灌木必须在一个月内扶正并加固，要求达到完全直立。扶正时应结合剪叶、浇水等措施，必须保证成活。</w:t>
      </w:r>
    </w:p>
    <w:p>
      <w:pPr>
        <w:pStyle w:val="6"/>
        <w:jc w:val="left"/>
      </w:pPr>
      <w:r>
        <w:rPr>
          <w:rFonts w:ascii="仿宋_GB2312" w:hAnsi="仿宋_GB2312" w:eastAsia="仿宋_GB2312" w:cs="仿宋_GB2312"/>
          <w:sz w:val="20"/>
          <w:shd w:val="clear" w:fill="FFFFFF"/>
        </w:rPr>
        <w:t>7.9修剪垃圾。中间带、分车带修剪时产生的垃圾必须随产随清，修剪人员离开现场前，必须打扫干净，垃圾运走。如清运有困难时应暂停修剪。</w:t>
      </w:r>
    </w:p>
    <w:p>
      <w:pPr>
        <w:pStyle w:val="6"/>
        <w:jc w:val="left"/>
      </w:pPr>
      <w:r>
        <w:rPr>
          <w:rFonts w:ascii="仿宋_GB2312" w:hAnsi="仿宋_GB2312" w:eastAsia="仿宋_GB2312" w:cs="仿宋_GB2312"/>
          <w:sz w:val="20"/>
          <w:shd w:val="clear" w:fill="FFFFFF"/>
        </w:rPr>
        <w:t>8、设施精细化维护</w:t>
      </w:r>
    </w:p>
    <w:p>
      <w:pPr>
        <w:pStyle w:val="6"/>
        <w:jc w:val="left"/>
      </w:pPr>
      <w:r>
        <w:rPr>
          <w:rFonts w:ascii="仿宋_GB2312" w:hAnsi="仿宋_GB2312" w:eastAsia="仿宋_GB2312" w:cs="仿宋_GB2312"/>
          <w:sz w:val="20"/>
          <w:shd w:val="clear" w:fill="FFFFFF"/>
        </w:rPr>
        <w:t>8.1设施基本要求。要求各类设施整洁、正常使用、防止浪费，失效设施经养管中心同意后及时拆除，要求养护企业每月将座凳、园林铺装、围墙围栏车挡等所有设施进行全面检查、清洁、维修一遍，每年全面翻新一遍。检查时应对绿地样点内所有设施的功能性和景观性进行检查。</w:t>
      </w:r>
    </w:p>
    <w:p>
      <w:pPr>
        <w:pStyle w:val="6"/>
        <w:jc w:val="left"/>
      </w:pPr>
      <w:r>
        <w:rPr>
          <w:rFonts w:ascii="仿宋_GB2312" w:hAnsi="仿宋_GB2312" w:eastAsia="仿宋_GB2312" w:cs="仿宋_GB2312"/>
          <w:sz w:val="20"/>
          <w:shd w:val="clear" w:fill="FFFFFF"/>
        </w:rPr>
        <w:t>8.2设施档案。要求养护企业对辖区绿地内的设施进行一次全面的普查登记，录入绿地档案，报养管中心备案，每个月申报变更情况。</w:t>
      </w:r>
    </w:p>
    <w:p>
      <w:pPr>
        <w:pStyle w:val="6"/>
        <w:jc w:val="left"/>
      </w:pPr>
      <w:r>
        <w:rPr>
          <w:rFonts w:ascii="仿宋_GB2312" w:hAnsi="仿宋_GB2312" w:eastAsia="仿宋_GB2312" w:cs="仿宋_GB2312"/>
          <w:sz w:val="20"/>
          <w:shd w:val="clear" w:fill="FFFFFF"/>
        </w:rPr>
        <w:t>8.3护树架。护树架应及时维护，保持整洁坚固、无安全隐患如须拆除，应先向管理所申请，新种树木和胸径15厘米及以下的行道树必须安装护树架。</w:t>
      </w:r>
    </w:p>
    <w:p>
      <w:pPr>
        <w:pStyle w:val="6"/>
        <w:jc w:val="left"/>
      </w:pPr>
      <w:r>
        <w:rPr>
          <w:rFonts w:ascii="仿宋_GB2312" w:hAnsi="仿宋_GB2312" w:eastAsia="仿宋_GB2312" w:cs="仿宋_GB2312"/>
          <w:sz w:val="20"/>
          <w:shd w:val="clear" w:fill="FFFFFF"/>
        </w:rPr>
        <w:t>9、内业资料精细化管理</w:t>
      </w:r>
    </w:p>
    <w:p>
      <w:pPr>
        <w:pStyle w:val="6"/>
        <w:jc w:val="left"/>
      </w:pPr>
      <w:r>
        <w:rPr>
          <w:rFonts w:ascii="仿宋_GB2312" w:hAnsi="仿宋_GB2312" w:eastAsia="仿宋_GB2312" w:cs="仿宋_GB2312"/>
          <w:sz w:val="20"/>
          <w:shd w:val="clear" w:fill="FFFFFF"/>
        </w:rPr>
        <w:t>9.1绿地档案。以样点为单位建立绿地档案，由养护企业建立并维护，养管中心负责监督管理，可随时调用。绿地档案内容包括：1目录；2绿地内容物清单（含规格、数量，每月更新）3现状平面图（每月更新）；4全视角照片（附说明，每月更新）。</w:t>
      </w:r>
    </w:p>
    <w:p>
      <w:pPr>
        <w:pStyle w:val="6"/>
        <w:jc w:val="left"/>
      </w:pPr>
      <w:r>
        <w:rPr>
          <w:rFonts w:ascii="仿宋_GB2312" w:hAnsi="仿宋_GB2312" w:eastAsia="仿宋_GB2312" w:cs="仿宋_GB2312"/>
          <w:sz w:val="20"/>
          <w:shd w:val="clear" w:fill="FFFFFF"/>
        </w:rPr>
        <w:t>9.2绿地管理</w:t>
      </w:r>
      <w:r>
        <w:rPr>
          <w:rFonts w:hint="eastAsia" w:ascii="仿宋_GB2312" w:hAnsi="仿宋_GB2312" w:eastAsia="仿宋_GB2312" w:cs="仿宋_GB2312"/>
          <w:sz w:val="20"/>
          <w:shd w:val="clear" w:fill="FFFFFF"/>
          <w:lang w:eastAsia="zh-CN"/>
        </w:rPr>
        <w:t>台账</w:t>
      </w:r>
      <w:r>
        <w:rPr>
          <w:rFonts w:ascii="仿宋_GB2312" w:hAnsi="仿宋_GB2312" w:eastAsia="仿宋_GB2312" w:cs="仿宋_GB2312"/>
          <w:sz w:val="20"/>
          <w:shd w:val="clear" w:fill="FFFFFF"/>
        </w:rPr>
        <w:t>。以路段为单位建立绿地管理</w:t>
      </w:r>
      <w:r>
        <w:rPr>
          <w:rFonts w:hint="eastAsia" w:ascii="仿宋_GB2312" w:hAnsi="仿宋_GB2312" w:eastAsia="仿宋_GB2312" w:cs="仿宋_GB2312"/>
          <w:sz w:val="20"/>
          <w:shd w:val="clear" w:fill="FFFFFF"/>
          <w:lang w:eastAsia="zh-CN"/>
        </w:rPr>
        <w:t>台账</w:t>
      </w:r>
      <w:r>
        <w:rPr>
          <w:rFonts w:ascii="仿宋_GB2312" w:hAnsi="仿宋_GB2312" w:eastAsia="仿宋_GB2312" w:cs="仿宋_GB2312"/>
          <w:sz w:val="20"/>
          <w:shd w:val="clear" w:fill="FFFFFF"/>
        </w:rPr>
        <w:t>，由养护企业建立并维护，记录养护工作全过程，为养护工作提供技术分析和参考意见，从而提高养护水平。养管中心负责监督管理，可随时调用，绿地管理</w:t>
      </w:r>
      <w:r>
        <w:rPr>
          <w:rFonts w:hint="eastAsia" w:ascii="仿宋_GB2312" w:hAnsi="仿宋_GB2312" w:eastAsia="仿宋_GB2312" w:cs="仿宋_GB2312"/>
          <w:sz w:val="20"/>
          <w:shd w:val="clear" w:fill="FFFFFF"/>
          <w:lang w:eastAsia="zh-CN"/>
        </w:rPr>
        <w:t>台账</w:t>
      </w:r>
      <w:r>
        <w:rPr>
          <w:rFonts w:ascii="仿宋_GB2312" w:hAnsi="仿宋_GB2312" w:eastAsia="仿宋_GB2312" w:cs="仿宋_GB2312"/>
          <w:sz w:val="20"/>
          <w:shd w:val="clear" w:fill="FFFFFF"/>
        </w:rPr>
        <w:t>内容包括：养护要点（每月更新）、养护操作记录（每周更新）、内控记录、检查记录、绿地巡查记录。</w:t>
      </w:r>
    </w:p>
    <w:p>
      <w:pPr>
        <w:pStyle w:val="6"/>
        <w:jc w:val="left"/>
      </w:pPr>
      <w:r>
        <w:rPr>
          <w:rFonts w:ascii="仿宋_GB2312" w:hAnsi="仿宋_GB2312" w:eastAsia="仿宋_GB2312" w:cs="仿宋_GB2312"/>
          <w:sz w:val="20"/>
          <w:shd w:val="clear" w:fill="FFFFFF"/>
        </w:rPr>
        <w:t>9.3人员资料。要求对人员档案和上岗情况进行系统管理。资料包括：人员管理规定、技术人员备案记录、社保记录、岗位表和变更记录、岗位核查记录。</w:t>
      </w:r>
    </w:p>
    <w:p>
      <w:pPr>
        <w:pStyle w:val="6"/>
        <w:jc w:val="left"/>
      </w:pPr>
      <w:r>
        <w:rPr>
          <w:rFonts w:ascii="仿宋_GB2312" w:hAnsi="仿宋_GB2312" w:eastAsia="仿宋_GB2312" w:cs="仿宋_GB2312"/>
          <w:sz w:val="20"/>
          <w:shd w:val="clear" w:fill="FFFFFF"/>
        </w:rPr>
        <w:t>9.4车辆机械资料。要求对车辆机械设备及其使用情况进行系统管理，资料包括：车辆机械设备配备方案和管理规定、车辆机械设备存量表、产权或租赁证明、使用和维护日志、管理所核查记录。</w:t>
      </w:r>
    </w:p>
    <w:p>
      <w:pPr>
        <w:pStyle w:val="6"/>
        <w:jc w:val="left"/>
      </w:pPr>
      <w:r>
        <w:rPr>
          <w:rFonts w:ascii="仿宋_GB2312" w:hAnsi="仿宋_GB2312" w:eastAsia="仿宋_GB2312" w:cs="仿宋_GB2312"/>
          <w:sz w:val="20"/>
          <w:shd w:val="clear" w:fill="FFFFFF"/>
        </w:rPr>
        <w:t>9.5质量内控管理。养护企业应建立行之有效的质量管理体系，并实时监控体系运行情况。在内业专项检查中提供体系运行情况自述自评、体系文件、认证检查记录等资料。</w:t>
      </w:r>
    </w:p>
    <w:p>
      <w:pPr>
        <w:pStyle w:val="6"/>
        <w:jc w:val="left"/>
      </w:pPr>
      <w:r>
        <w:rPr>
          <w:rFonts w:ascii="仿宋_GB2312" w:hAnsi="仿宋_GB2312" w:eastAsia="仿宋_GB2312" w:cs="仿宋_GB2312"/>
          <w:sz w:val="20"/>
          <w:shd w:val="clear" w:fill="FFFFFF"/>
        </w:rPr>
        <w:t>10、抗台抢险精细化预案</w:t>
      </w:r>
    </w:p>
    <w:p>
      <w:pPr>
        <w:pStyle w:val="6"/>
        <w:jc w:val="left"/>
      </w:pPr>
      <w:r>
        <w:rPr>
          <w:rFonts w:ascii="仿宋_GB2312" w:hAnsi="仿宋_GB2312" w:eastAsia="仿宋_GB2312" w:cs="仿宋_GB2312"/>
          <w:sz w:val="20"/>
          <w:shd w:val="clear" w:fill="FFFFFF"/>
        </w:rPr>
        <w:t>10.1领导重视。建立统一、高效、科学规范的突发事件应急指挥、保障和防控体系，全面提高社会化养护单位在发生台风、汛情等自然灾害时的防台防汛抢险能力，保障人民群众财产安全和社会公共安全。各养护企业必须把防台防汛工作摆上议事日常，认真制定本单位的预防及处置预案，各级领导坚守岗位，服从统一调配。</w:t>
      </w:r>
      <w:bookmarkStart w:id="0" w:name="_GoBack"/>
      <w:bookmarkEnd w:id="0"/>
    </w:p>
    <w:p>
      <w:pPr>
        <w:pStyle w:val="6"/>
        <w:jc w:val="left"/>
      </w:pPr>
      <w:r>
        <w:rPr>
          <w:rFonts w:ascii="仿宋_GB2312" w:hAnsi="仿宋_GB2312" w:eastAsia="仿宋_GB2312" w:cs="仿宋_GB2312"/>
          <w:sz w:val="20"/>
          <w:shd w:val="clear" w:fill="FFFFFF"/>
        </w:rPr>
        <w:t>10.2加强维护。责任单位要做好抢险队伍和抢险物质的准备工作，机械及辅助设施等要加强维护，保证正常使用。</w:t>
      </w:r>
    </w:p>
    <w:p>
      <w:pPr>
        <w:pStyle w:val="6"/>
        <w:jc w:val="left"/>
      </w:pPr>
      <w:r>
        <w:rPr>
          <w:rFonts w:ascii="仿宋_GB2312" w:hAnsi="仿宋_GB2312" w:eastAsia="仿宋_GB2312" w:cs="仿宋_GB2312"/>
          <w:sz w:val="20"/>
          <w:shd w:val="clear" w:fill="FFFFFF"/>
        </w:rPr>
        <w:t>10.3及时上报。在灾情解除后，尽快将受灾损失情况具体数字及相关材料经养管中心确认后向上一级部门汇总。</w:t>
      </w:r>
    </w:p>
    <w:p>
      <w:pPr>
        <w:pStyle w:val="6"/>
      </w:pPr>
      <w:r>
        <w:rPr>
          <w:rFonts w:ascii="仿宋_GB2312" w:hAnsi="仿宋_GB2312" w:eastAsia="仿宋_GB2312" w:cs="仿宋_GB2312"/>
          <w:b/>
          <w:sz w:val="20"/>
        </w:rPr>
        <w:t>（四）养护质量标准</w:t>
      </w:r>
    </w:p>
    <w:p>
      <w:pPr>
        <w:pStyle w:val="6"/>
        <w:jc w:val="left"/>
      </w:pPr>
      <w:r>
        <w:rPr>
          <w:rFonts w:ascii="仿宋_GB2312" w:hAnsi="仿宋_GB2312" w:eastAsia="仿宋_GB2312" w:cs="仿宋_GB2312"/>
          <w:sz w:val="20"/>
          <w:shd w:val="clear" w:fill="FFFFFF"/>
        </w:rPr>
        <w:t>符合《福州市城市道路绿地养护管理质量标准》和《道路绿地养护检查考核办法》。承包期内所有树木、色块、地被、草坪（含人为破坏与自然灾害造成）等死亡的，均由服务单位按原有品种、数量、规格及时补栽，发生的费用服务单位自行全额承担。</w:t>
      </w:r>
    </w:p>
    <w:p>
      <w:pPr>
        <w:pStyle w:val="6"/>
        <w:jc w:val="left"/>
      </w:pPr>
      <w:r>
        <w:rPr>
          <w:rFonts w:ascii="仿宋_GB2312" w:hAnsi="仿宋_GB2312" w:eastAsia="仿宋_GB2312" w:cs="仿宋_GB2312"/>
          <w:sz w:val="20"/>
          <w:shd w:val="clear" w:fill="FFFFFF"/>
        </w:rPr>
        <w:t>1、二级养护质量标准：</w:t>
      </w:r>
    </w:p>
    <w:p>
      <w:pPr>
        <w:pStyle w:val="6"/>
        <w:jc w:val="left"/>
      </w:pPr>
      <w:r>
        <w:rPr>
          <w:rFonts w:ascii="仿宋_GB2312" w:hAnsi="仿宋_GB2312" w:eastAsia="仿宋_GB2312" w:cs="仿宋_GB2312"/>
          <w:sz w:val="20"/>
          <w:shd w:val="clear" w:fill="FFFFFF"/>
        </w:rPr>
        <w:t>1.1绿化养护技术措施比较完善，管理基本得当，植物配置合理，基本达到黄土不露天。</w:t>
      </w:r>
    </w:p>
    <w:p>
      <w:pPr>
        <w:pStyle w:val="6"/>
        <w:jc w:val="left"/>
      </w:pPr>
      <w:r>
        <w:rPr>
          <w:rFonts w:ascii="仿宋_GB2312" w:hAnsi="仿宋_GB2312" w:eastAsia="仿宋_GB2312" w:cs="仿宋_GB2312"/>
          <w:sz w:val="20"/>
          <w:shd w:val="clear" w:fill="FFFFFF"/>
        </w:rPr>
        <w:t>1.2园林植物达到：</w:t>
      </w:r>
    </w:p>
    <w:p>
      <w:pPr>
        <w:pStyle w:val="6"/>
        <w:jc w:val="left"/>
      </w:pPr>
      <w:r>
        <w:rPr>
          <w:rFonts w:ascii="仿宋_GB2312" w:hAnsi="仿宋_GB2312" w:eastAsia="仿宋_GB2312" w:cs="仿宋_GB2312"/>
          <w:sz w:val="20"/>
          <w:shd w:val="clear" w:fill="FFFFFF"/>
        </w:rPr>
        <w:t>（1）生长正常。新建绿地各种植物三年内达到正常形态。</w:t>
      </w:r>
    </w:p>
    <w:p>
      <w:pPr>
        <w:pStyle w:val="6"/>
        <w:jc w:val="left"/>
      </w:pPr>
      <w:r>
        <w:rPr>
          <w:rFonts w:ascii="仿宋_GB2312" w:hAnsi="仿宋_GB2312" w:eastAsia="仿宋_GB2312" w:cs="仿宋_GB2312"/>
          <w:sz w:val="20"/>
          <w:shd w:val="clear" w:fill="FFFFFF"/>
        </w:rPr>
        <w:t>（2）园林树木树冠基本完整，主侧枝分布均称、数量适宜、修剪合理，内膛不乱，通风透光。花灌木开花及时、正常，花后修剪及时。绿篱、色块枝叶正常，整齐一致。行道树无缺株，绿地内无死树。</w:t>
      </w:r>
    </w:p>
    <w:p>
      <w:pPr>
        <w:pStyle w:val="6"/>
        <w:jc w:val="left"/>
      </w:pPr>
      <w:r>
        <w:rPr>
          <w:rFonts w:ascii="仿宋_GB2312" w:hAnsi="仿宋_GB2312" w:eastAsia="仿宋_GB2312" w:cs="仿宋_GB2312"/>
          <w:sz w:val="20"/>
          <w:shd w:val="clear" w:fill="FFFFFF"/>
        </w:rPr>
        <w:t>（3）落叶树新梢生长正常，叶片大小、颜色正常，在一般条件下，黄叶、焦叶、卷叶和带虫尿、虫网的叶片不得超过5%，正常叶片保存率在90%以上。针叶树针叶宿存2年以上，结果枝条不超过20%。</w:t>
      </w:r>
    </w:p>
    <w:p>
      <w:pPr>
        <w:pStyle w:val="6"/>
        <w:jc w:val="left"/>
      </w:pPr>
      <w:r>
        <w:rPr>
          <w:rFonts w:ascii="仿宋_GB2312" w:hAnsi="仿宋_GB2312" w:eastAsia="仿宋_GB2312" w:cs="仿宋_GB2312"/>
          <w:sz w:val="20"/>
          <w:shd w:val="clear" w:fill="FFFFFF"/>
        </w:rPr>
        <w:t>（4）花坛、花带轮廓清晰，整齐美观，适时开花，无残缺。</w:t>
      </w:r>
    </w:p>
    <w:p>
      <w:pPr>
        <w:pStyle w:val="6"/>
        <w:jc w:val="left"/>
      </w:pPr>
      <w:r>
        <w:rPr>
          <w:rFonts w:ascii="仿宋_GB2312" w:hAnsi="仿宋_GB2312" w:eastAsia="仿宋_GB2312" w:cs="仿宋_GB2312"/>
          <w:sz w:val="20"/>
          <w:shd w:val="clear" w:fill="FFFFFF"/>
        </w:rPr>
        <w:t>（5）草坪及地被植物整齐一致，覆盖率95%以上，除缀花草坪外草坪内杂草率不得超过2%。草坪绿色期：冷季型草不得少于270天，暖季型草不得少于180天。</w:t>
      </w:r>
    </w:p>
    <w:p>
      <w:pPr>
        <w:pStyle w:val="6"/>
        <w:jc w:val="left"/>
      </w:pPr>
      <w:r>
        <w:rPr>
          <w:rFonts w:ascii="仿宋_GB2312" w:hAnsi="仿宋_GB2312" w:eastAsia="仿宋_GB2312" w:cs="仿宋_GB2312"/>
          <w:sz w:val="20"/>
          <w:shd w:val="clear" w:fill="FFFFFF"/>
        </w:rPr>
        <w:t>（6）病虫害控制及时，园林树木有蛀干害虫危害的株数不得超过1%；园林树木的主干、主枝上平均每100cm2介壳虫的活虫数不得超过2头，较细枝条上平均每30cm不得超过5头，且平均被害株数不得超过3%。叶上无虫粪，被虫咬的叶片每株不得超过5%。</w:t>
      </w:r>
    </w:p>
    <w:p>
      <w:pPr>
        <w:pStyle w:val="6"/>
        <w:jc w:val="left"/>
      </w:pPr>
      <w:r>
        <w:rPr>
          <w:rFonts w:ascii="仿宋_GB2312" w:hAnsi="仿宋_GB2312" w:eastAsia="仿宋_GB2312" w:cs="仿宋_GB2312"/>
          <w:sz w:val="20"/>
          <w:shd w:val="clear" w:fill="FFFFFF"/>
        </w:rPr>
        <w:t>1.3垂直绿化应根据不同植物的攀缘特点，采取相应的牵引、设置网架等技术措施，视攀缘植物生长习性，覆盖率不得低于80%，开花的攀缘植物能适时开花。</w:t>
      </w:r>
    </w:p>
    <w:p>
      <w:pPr>
        <w:pStyle w:val="6"/>
        <w:jc w:val="left"/>
      </w:pPr>
      <w:r>
        <w:rPr>
          <w:rFonts w:ascii="仿宋_GB2312" w:hAnsi="仿宋_GB2312" w:eastAsia="仿宋_GB2312" w:cs="仿宋_GB2312"/>
          <w:sz w:val="20"/>
          <w:shd w:val="clear" w:fill="FFFFFF"/>
        </w:rPr>
        <w:t>1.4绿地整洁，无杂物、无白色污染（树挂）。对绿化生产垃圾（如树枝、树叶、草屑等）、绿地内水面杂物应日产日清，做到保洁及时。</w:t>
      </w:r>
    </w:p>
    <w:p>
      <w:pPr>
        <w:pStyle w:val="6"/>
        <w:jc w:val="left"/>
      </w:pPr>
      <w:r>
        <w:rPr>
          <w:rFonts w:ascii="仿宋_GB2312" w:hAnsi="仿宋_GB2312" w:eastAsia="仿宋_GB2312" w:cs="仿宋_GB2312"/>
          <w:sz w:val="20"/>
          <w:shd w:val="clear" w:fill="FFFFFF"/>
        </w:rPr>
        <w:t>1.5栏杆、园路、桌椅、路灯、井盖和牌示等园林设施完整、安全，基本做到维护及时。</w:t>
      </w:r>
    </w:p>
    <w:p>
      <w:pPr>
        <w:pStyle w:val="6"/>
        <w:jc w:val="left"/>
      </w:pPr>
      <w:r>
        <w:rPr>
          <w:rFonts w:ascii="仿宋_GB2312" w:hAnsi="仿宋_GB2312" w:eastAsia="仿宋_GB2312" w:cs="仿宋_GB2312"/>
          <w:sz w:val="20"/>
          <w:shd w:val="clear" w:fill="FFFFFF"/>
        </w:rPr>
        <w:t>1.6绿地完整，无堆物、堆料、搭棚，树干上无钉拴刻画等现象。行道树下距树干2m范围内无堆物、堆料、搭棚设摊、圈栏等影响树木生长和养护管理的现象--（按福州市城市道路绿地养护管理质量标准，道路绿地养护检查考核办法）。</w:t>
      </w:r>
    </w:p>
    <w:p>
      <w:pPr>
        <w:pStyle w:val="6"/>
        <w:jc w:val="left"/>
      </w:pPr>
      <w:r>
        <w:rPr>
          <w:rFonts w:ascii="仿宋_GB2312" w:hAnsi="仿宋_GB2312" w:eastAsia="仿宋_GB2312" w:cs="仿宋_GB2312"/>
          <w:sz w:val="20"/>
          <w:shd w:val="clear" w:fill="FFFFFF"/>
        </w:rPr>
        <w:t>2、三级养护质量标准：</w:t>
      </w:r>
    </w:p>
    <w:p>
      <w:pPr>
        <w:pStyle w:val="6"/>
        <w:jc w:val="left"/>
      </w:pPr>
      <w:r>
        <w:rPr>
          <w:rFonts w:ascii="仿宋_GB2312" w:hAnsi="仿宋_GB2312" w:eastAsia="仿宋_GB2312" w:cs="仿宋_GB2312"/>
          <w:sz w:val="20"/>
          <w:shd w:val="clear" w:fill="FFFFFF"/>
        </w:rPr>
        <w:t>2.1绿化养护技术措施比较完善，管理基本得当，植物配置合理，基本达到黄土不露天。</w:t>
      </w:r>
    </w:p>
    <w:p>
      <w:pPr>
        <w:pStyle w:val="6"/>
        <w:jc w:val="left"/>
      </w:pPr>
      <w:r>
        <w:rPr>
          <w:rFonts w:ascii="仿宋_GB2312" w:hAnsi="仿宋_GB2312" w:eastAsia="仿宋_GB2312" w:cs="仿宋_GB2312"/>
          <w:sz w:val="20"/>
          <w:shd w:val="clear" w:fill="FFFFFF"/>
        </w:rPr>
        <w:t>2.2园林植物达到：</w:t>
      </w:r>
    </w:p>
    <w:p>
      <w:pPr>
        <w:pStyle w:val="6"/>
        <w:jc w:val="left"/>
      </w:pPr>
      <w:r>
        <w:rPr>
          <w:rFonts w:ascii="仿宋_GB2312" w:hAnsi="仿宋_GB2312" w:eastAsia="仿宋_GB2312" w:cs="仿宋_GB2312"/>
          <w:sz w:val="20"/>
          <w:shd w:val="clear" w:fill="FFFFFF"/>
        </w:rPr>
        <w:t>（1）生长正常。</w:t>
      </w:r>
    </w:p>
    <w:p>
      <w:pPr>
        <w:pStyle w:val="6"/>
        <w:jc w:val="left"/>
      </w:pPr>
      <w:r>
        <w:rPr>
          <w:rFonts w:ascii="仿宋_GB2312" w:hAnsi="仿宋_GB2312" w:eastAsia="仿宋_GB2312" w:cs="仿宋_GB2312"/>
          <w:sz w:val="20"/>
          <w:shd w:val="clear" w:fill="FFFFFF"/>
        </w:rPr>
        <w:t>（2）园林树木树冠基本完整，主侧枝分布均称、数量适宜、修剪合理，内膛不乱，通风透光。花灌木开花及时、正常，花后修剪及时。绿篱、色块枝叶正常，整齐一致。行道树无缺株，绿地内无死树。</w:t>
      </w:r>
    </w:p>
    <w:p>
      <w:pPr>
        <w:pStyle w:val="6"/>
        <w:jc w:val="left"/>
      </w:pPr>
      <w:r>
        <w:rPr>
          <w:rFonts w:ascii="仿宋_GB2312" w:hAnsi="仿宋_GB2312" w:eastAsia="仿宋_GB2312" w:cs="仿宋_GB2312"/>
          <w:sz w:val="20"/>
          <w:shd w:val="clear" w:fill="FFFFFF"/>
        </w:rPr>
        <w:t>（3）落叶树新梢生长正常，叶片大小、颜色正常，在一般条件下，黄叶、焦叶、卷叶和带虫尿、虫网的叶片不得超过5%，正常叶片保存率在90%以上。针叶树针叶宿存2年以上，结果枝条不超过20%。</w:t>
      </w:r>
    </w:p>
    <w:p>
      <w:pPr>
        <w:pStyle w:val="6"/>
        <w:jc w:val="left"/>
      </w:pPr>
      <w:r>
        <w:rPr>
          <w:rFonts w:ascii="仿宋_GB2312" w:hAnsi="仿宋_GB2312" w:eastAsia="仿宋_GB2312" w:cs="仿宋_GB2312"/>
          <w:sz w:val="20"/>
          <w:shd w:val="clear" w:fill="FFFFFF"/>
        </w:rPr>
        <w:t>（4）花坛、花带轮廓清晰，整齐美观，适时开花，无残缺。</w:t>
      </w:r>
    </w:p>
    <w:p>
      <w:pPr>
        <w:pStyle w:val="6"/>
        <w:jc w:val="left"/>
      </w:pPr>
      <w:r>
        <w:rPr>
          <w:rFonts w:ascii="仿宋_GB2312" w:hAnsi="仿宋_GB2312" w:eastAsia="仿宋_GB2312" w:cs="仿宋_GB2312"/>
          <w:sz w:val="20"/>
          <w:shd w:val="clear" w:fill="FFFFFF"/>
        </w:rPr>
        <w:t>（5）草坪及地被植物整齐一致，覆盖率95%以上，除缀花草坪外草坪内杂草率不得超过2%。草坪绿色期：冷季型草不得少于270天，暖季型草不得少于180天。</w:t>
      </w:r>
    </w:p>
    <w:p>
      <w:pPr>
        <w:pStyle w:val="6"/>
        <w:jc w:val="left"/>
      </w:pPr>
      <w:r>
        <w:rPr>
          <w:rFonts w:ascii="仿宋_GB2312" w:hAnsi="仿宋_GB2312" w:eastAsia="仿宋_GB2312" w:cs="仿宋_GB2312"/>
          <w:sz w:val="20"/>
          <w:shd w:val="clear" w:fill="FFFFFF"/>
        </w:rPr>
        <w:t>（6）病虫害控制及时，园林树木有蛀干害虫危害的株数不得超过1%；园林树木的主干、主枝上平均每100cm2介壳虫的活虫数不得超过2头，较细枝条上平均每30cm不得超过5头，且平均被害株数不得超过3%。叶上无虫粪，被虫咬的叶片每株不得超过5%。</w:t>
      </w:r>
    </w:p>
    <w:p>
      <w:pPr>
        <w:pStyle w:val="6"/>
        <w:jc w:val="left"/>
      </w:pPr>
      <w:r>
        <w:rPr>
          <w:rFonts w:ascii="仿宋_GB2312" w:hAnsi="仿宋_GB2312" w:eastAsia="仿宋_GB2312" w:cs="仿宋_GB2312"/>
          <w:sz w:val="20"/>
          <w:shd w:val="clear" w:fill="FFFFFF"/>
        </w:rPr>
        <w:t>2.3垂直绿化应根据不同植物的攀缘特点，采取相应的牵引、设置网架等技术措施，视攀缘植物生长习性，覆盖率不得低于80%，开花的攀缘植物能适时开花。</w:t>
      </w:r>
    </w:p>
    <w:p>
      <w:pPr>
        <w:pStyle w:val="6"/>
        <w:jc w:val="left"/>
      </w:pPr>
      <w:r>
        <w:rPr>
          <w:rFonts w:ascii="仿宋_GB2312" w:hAnsi="仿宋_GB2312" w:eastAsia="仿宋_GB2312" w:cs="仿宋_GB2312"/>
          <w:sz w:val="20"/>
          <w:shd w:val="clear" w:fill="FFFFFF"/>
        </w:rPr>
        <w:t>2.4绿地整洁，无杂物、无白色污染（树挂）。对绿化生产垃圾（如树枝、树叶、草屑等）、绿地内水面杂物应日产日清，做到保洁及时。</w:t>
      </w:r>
    </w:p>
    <w:p>
      <w:pPr>
        <w:pStyle w:val="6"/>
        <w:jc w:val="left"/>
      </w:pPr>
      <w:r>
        <w:rPr>
          <w:rFonts w:ascii="仿宋_GB2312" w:hAnsi="仿宋_GB2312" w:eastAsia="仿宋_GB2312" w:cs="仿宋_GB2312"/>
          <w:sz w:val="20"/>
          <w:shd w:val="clear" w:fill="FFFFFF"/>
        </w:rPr>
        <w:t>2.5栏杆、园路、桌椅、路灯、井盖和牌示等园林设施完整、安全，基本做到维护及时。</w:t>
      </w:r>
    </w:p>
    <w:p>
      <w:pPr>
        <w:pStyle w:val="6"/>
        <w:jc w:val="left"/>
      </w:pPr>
      <w:r>
        <w:rPr>
          <w:rFonts w:ascii="仿宋_GB2312" w:hAnsi="仿宋_GB2312" w:eastAsia="仿宋_GB2312" w:cs="仿宋_GB2312"/>
          <w:sz w:val="20"/>
          <w:shd w:val="clear" w:fill="FFFFFF"/>
        </w:rPr>
        <w:t>2.6绿地完整，无堆物、堆料、搭棚，树干上无钉拴刻画等现象。行道树下距树干2m范围内无堆物、堆料、搭棚设摊、圈栏等影响树木生长和养护管理的现象--（按福州市城市道路绿地养护管理质量标准，道路绿地养护检查考核办法）。</w:t>
      </w:r>
    </w:p>
    <w:p>
      <w:pPr>
        <w:pStyle w:val="6"/>
        <w:jc w:val="left"/>
      </w:pPr>
      <w:r>
        <w:rPr>
          <w:rFonts w:ascii="仿宋_GB2312" w:hAnsi="仿宋_GB2312" w:eastAsia="仿宋_GB2312" w:cs="仿宋_GB2312"/>
          <w:sz w:val="20"/>
          <w:shd w:val="clear" w:fill="FFFFFF"/>
        </w:rPr>
        <w:t>3、三角梅专项养护质量要求：</w:t>
      </w:r>
    </w:p>
    <w:p>
      <w:pPr>
        <w:pStyle w:val="6"/>
        <w:jc w:val="left"/>
      </w:pPr>
      <w:r>
        <w:rPr>
          <w:rFonts w:ascii="仿宋_GB2312" w:hAnsi="仿宋_GB2312" w:eastAsia="仿宋_GB2312" w:cs="仿宋_GB2312"/>
          <w:sz w:val="20"/>
          <w:shd w:val="clear" w:fill="FFFFFF"/>
        </w:rPr>
        <w:t>3.1水分管理：（1）根据气候和实地环境及三角梅物候、生长习性等情况浇水。由养护单位利用养护机械设备灌溉。（2）灌溉水量适宜，应能满足植物的需求，减少水土流失。（3）灌溉应一次浇透，相对均匀,不应出现明显的局部干旱或积水现象。（4）夏秋季宜早、晚灌溉，冬季及早春宜中午灌溉。（5）经常检查排水系统，避免植株浸水，暴雨后及时排除积水。</w:t>
      </w:r>
    </w:p>
    <w:p>
      <w:pPr>
        <w:pStyle w:val="6"/>
        <w:jc w:val="left"/>
      </w:pPr>
      <w:r>
        <w:rPr>
          <w:rFonts w:ascii="仿宋_GB2312" w:hAnsi="仿宋_GB2312" w:eastAsia="仿宋_GB2312" w:cs="仿宋_GB2312"/>
          <w:sz w:val="20"/>
          <w:shd w:val="clear" w:fill="FFFFFF"/>
        </w:rPr>
        <w:t>3.2施肥基质管理要求：（1）施肥以液肥为主，干肥为辅，无机肥为主，有机肥兼用。 （2）施肥量应根据苗木种类、苗龄、生长期和肥源以及栽植基质理化状况，植株的营养状况确定。（3）施肥方式宜以液肥为主，营养生长期宜选择含氮量高的复合肥，促花及开花季节，宜选择含磷钾量高的复合肥。（4）施肥使用干肥时，宜采用缓效肥，均匀撒施在种植槽面。（5）合理应用微量元素和根外施肥技术。根外施肥宜在早上10点之前或傍晚进行。（6）施肥宜在晴天，除根外施肥，肥料不应触及植株叶片。施液肥或干肥后应及时洒水清洗叶面。（7）每年分别在3月份和10月份对栽植基质进行松土，并施用能够增加有机质含量和改善透气性的土壤改良剂。（8） 花箱土壤会因下雨及灌溉而流失，需随时关注土壤情况及时添加种植土。</w:t>
      </w:r>
    </w:p>
    <w:p>
      <w:pPr>
        <w:pStyle w:val="6"/>
        <w:jc w:val="left"/>
      </w:pPr>
      <w:r>
        <w:rPr>
          <w:rFonts w:ascii="仿宋_GB2312" w:hAnsi="仿宋_GB2312" w:eastAsia="仿宋_GB2312" w:cs="仿宋_GB2312"/>
          <w:sz w:val="20"/>
          <w:shd w:val="clear" w:fill="FFFFFF"/>
        </w:rPr>
        <w:t>3.3修剪管理要求：（1）苗木应通过修剪调整株形，调节苗木通风透光和肥水分配，促进分枝和花芽形成。（2）修剪应遵循“先上后下，先内后外，去弱留强，去老留新”的原则。（3）应运用压枝、绑扎等方法引导植物枝条往适宜的方向生长，使植物枝条自然下垂。 （4）休眠期修剪以整形为主，可稍重剪；生长期修剪以调整株形为主，宜轻剪。</w:t>
      </w:r>
    </w:p>
    <w:p>
      <w:pPr>
        <w:pStyle w:val="6"/>
        <w:jc w:val="left"/>
      </w:pPr>
      <w:r>
        <w:rPr>
          <w:rFonts w:ascii="仿宋_GB2312" w:hAnsi="仿宋_GB2312" w:eastAsia="仿宋_GB2312" w:cs="仿宋_GB2312"/>
          <w:sz w:val="20"/>
          <w:shd w:val="clear" w:fill="FFFFFF"/>
        </w:rPr>
        <w:t>3.4花期调控管理要求：要求一年至少保证开花2次及以上。（1）花期调控工作应根据不同的植物种类综合运用水分管理、修剪、施肥、喷施化学药剂等多种方法。（2）当植株营养生长充分时，宜开展促进开花的工作。（3）苗木开花期间应保持充足的水肥供应。（4）整个花期施肥宜用磷钾肥为主，宜用液肥。</w:t>
      </w:r>
    </w:p>
    <w:p>
      <w:pPr>
        <w:pStyle w:val="6"/>
        <w:jc w:val="left"/>
      </w:pPr>
      <w:r>
        <w:rPr>
          <w:rFonts w:ascii="仿宋_GB2312" w:hAnsi="仿宋_GB2312" w:eastAsia="仿宋_GB2312" w:cs="仿宋_GB2312"/>
          <w:sz w:val="20"/>
          <w:shd w:val="clear" w:fill="FFFFFF"/>
        </w:rPr>
        <w:t>3.5苗木补植要求：（1）对各种原因引起死亡、残缺的植株，养护实施单位应及时进行补植和更换。（2）补植后应及时浇透水并于生长稳定后进行施肥。（3）补植的苗木，应选用原来的品种，规格也应相近似。</w:t>
      </w:r>
    </w:p>
    <w:p>
      <w:pPr>
        <w:pStyle w:val="6"/>
        <w:jc w:val="left"/>
      </w:pPr>
      <w:r>
        <w:rPr>
          <w:rFonts w:ascii="仿宋_GB2312" w:hAnsi="仿宋_GB2312" w:eastAsia="仿宋_GB2312" w:cs="仿宋_GB2312"/>
          <w:sz w:val="20"/>
          <w:shd w:val="clear" w:fill="FFFFFF"/>
        </w:rPr>
        <w:t>3.6防寒措施：（1）应在每次寒潮到来前做好防寒措施。 （2）为增强植物的抗寒性，在11月开始的追肥应增加钾肥的比例。</w:t>
      </w:r>
    </w:p>
    <w:p>
      <w:pPr>
        <w:pStyle w:val="6"/>
        <w:jc w:val="left"/>
      </w:pPr>
      <w:r>
        <w:rPr>
          <w:rFonts w:ascii="仿宋_GB2312" w:hAnsi="仿宋_GB2312" w:eastAsia="仿宋_GB2312" w:cs="仿宋_GB2312"/>
          <w:sz w:val="20"/>
          <w:shd w:val="clear" w:fill="FFFFFF"/>
        </w:rPr>
        <w:t>3.7除草与保洁要求：（1）种植槽的杂草应及时铲除。（2）除草应选在晴朗或初晴天气，土壤不过分潮湿的时候进行。（3）种植槽内应保持清洁，无垃圾、杂物。 （4）连续半月没有降雨，应对植物叶片进行冲洒，洗去积尘。</w:t>
      </w:r>
    </w:p>
    <w:p>
      <w:pPr>
        <w:pStyle w:val="6"/>
        <w:jc w:val="left"/>
      </w:pPr>
      <w:r>
        <w:rPr>
          <w:rFonts w:ascii="仿宋_GB2312" w:hAnsi="仿宋_GB2312" w:eastAsia="仿宋_GB2312" w:cs="仿宋_GB2312"/>
          <w:sz w:val="20"/>
          <w:shd w:val="clear" w:fill="FFFFFF"/>
        </w:rPr>
        <w:t>3.8防治病虫害管理要求：（1）及时做好病虫害的防治工作，贯彻“预防为主，综合治理”的原则，主要采用化学防治方法。（2）应做好病虫害的预测预报工作，制订长期和短期的防治计划，适时开展防治。（3）应对为害既普遍又严重的病害加强防治。主要病害有：炭疽病、叶斑病、白粉病、灰霉病等。（4）根据不同季节病害发生的可能性，喷施杀菌剂预防病害的发生。（5）经常检查病虫害的发生情况，发现病虫害应鉴定并喷施相应的药剂。 （6）化学农药的使用应符合《农药安全使用规定》的要求。</w:t>
      </w:r>
    </w:p>
    <w:p>
      <w:pPr>
        <w:pStyle w:val="6"/>
        <w:jc w:val="left"/>
      </w:pPr>
      <w:r>
        <w:rPr>
          <w:rFonts w:ascii="仿宋_GB2312" w:hAnsi="仿宋_GB2312" w:eastAsia="仿宋_GB2312" w:cs="仿宋_GB2312"/>
          <w:sz w:val="20"/>
          <w:shd w:val="clear" w:fill="FFFFFF"/>
        </w:rPr>
        <w:t>（五）应急作业要求</w:t>
      </w:r>
    </w:p>
    <w:p>
      <w:pPr>
        <w:pStyle w:val="6"/>
        <w:jc w:val="left"/>
      </w:pPr>
      <w:r>
        <w:rPr>
          <w:rFonts w:ascii="仿宋_GB2312" w:hAnsi="仿宋_GB2312" w:eastAsia="仿宋_GB2312" w:cs="仿宋_GB2312"/>
          <w:sz w:val="20"/>
          <w:shd w:val="clear" w:fill="FFFFFF"/>
        </w:rPr>
        <w:t>1、承包期内，中标人应严格执行采购人管养标准和规范，进场后应向采购人提交全年的管养计划(包括人员安排、修剪、施肥、植保等)，建立相应的内页档案制度。根据采购人的管养要求，上报日巡查记录，上报周、月、季、年工作计划和工作总结以及下一月工作安排(包括人员安排、修剪、施肥、植保等)，特别是节假日、重大检查、台风等期间的应急预案。</w:t>
      </w:r>
    </w:p>
    <w:p>
      <w:pPr>
        <w:pStyle w:val="6"/>
        <w:jc w:val="left"/>
      </w:pPr>
      <w:r>
        <w:rPr>
          <w:rFonts w:ascii="仿宋_GB2312" w:hAnsi="仿宋_GB2312" w:eastAsia="仿宋_GB2312" w:cs="仿宋_GB2312"/>
          <w:sz w:val="20"/>
          <w:shd w:val="clear" w:fill="FFFFFF"/>
        </w:rPr>
        <w:t>2、中标人必须重视安全生产，确保不出安全责任事故。中标人应随时了解当地气候变化，密切关注气象部门预报，遇台风、暴雨等异常气候时，应根据实际情况提前做好预防及相关应急方案。</w:t>
      </w:r>
    </w:p>
    <w:p>
      <w:pPr>
        <w:pStyle w:val="6"/>
        <w:jc w:val="left"/>
      </w:pPr>
      <w:r>
        <w:rPr>
          <w:rFonts w:ascii="仿宋_GB2312" w:hAnsi="仿宋_GB2312" w:eastAsia="仿宋_GB2312" w:cs="仿宋_GB2312"/>
          <w:sz w:val="20"/>
          <w:shd w:val="clear" w:fill="FFFFFF"/>
        </w:rPr>
        <w:t>3、如遇突击性工作任务时（含招标范围外），中标人应积极支持配合采购人工作。在台风等重大自然灾害期间的抢险救灾任务时，须提供抢险人数不少于30人，皮卡车不少于1辆，高空作业车1辆，垃圾清运车不少于1辆，抢险其他设备油锯3部、砍刀等工具，在此期间项目经理必须24小时在岗值班待命，到相应地点集合。</w:t>
      </w:r>
    </w:p>
    <w:p>
      <w:pPr>
        <w:pStyle w:val="6"/>
        <w:jc w:val="left"/>
      </w:pPr>
      <w:r>
        <w:rPr>
          <w:rFonts w:ascii="仿宋_GB2312" w:hAnsi="仿宋_GB2312" w:eastAsia="仿宋_GB2312" w:cs="仿宋_GB2312"/>
          <w:sz w:val="20"/>
          <w:shd w:val="clear" w:fill="FFFFFF"/>
        </w:rPr>
        <w:t>（六）管理体制</w:t>
      </w:r>
    </w:p>
    <w:p>
      <w:pPr>
        <w:pStyle w:val="6"/>
        <w:jc w:val="left"/>
      </w:pPr>
      <w:r>
        <w:rPr>
          <w:rFonts w:ascii="仿宋_GB2312" w:hAnsi="仿宋_GB2312" w:eastAsia="仿宋_GB2312" w:cs="仿宋_GB2312"/>
          <w:sz w:val="20"/>
          <w:shd w:val="clear" w:fill="FFFFFF"/>
        </w:rPr>
        <w:t>1、管项目接管</w:t>
      </w:r>
    </w:p>
    <w:p>
      <w:pPr>
        <w:pStyle w:val="6"/>
        <w:jc w:val="left"/>
      </w:pPr>
      <w:r>
        <w:rPr>
          <w:rFonts w:ascii="仿宋_GB2312" w:hAnsi="仿宋_GB2312" w:eastAsia="仿宋_GB2312" w:cs="仿宋_GB2312"/>
          <w:sz w:val="20"/>
          <w:shd w:val="clear" w:fill="FFFFFF"/>
        </w:rPr>
        <w:t>对于还处于作业服务期的原中标养护企业，可给予三种交接模式：</w:t>
      </w:r>
    </w:p>
    <w:p>
      <w:pPr>
        <w:pStyle w:val="6"/>
        <w:jc w:val="left"/>
      </w:pPr>
      <w:r>
        <w:rPr>
          <w:rFonts w:ascii="仿宋_GB2312" w:hAnsi="仿宋_GB2312" w:eastAsia="仿宋_GB2312" w:cs="仿宋_GB2312"/>
          <w:sz w:val="20"/>
          <w:shd w:val="clear" w:fill="FFFFFF"/>
        </w:rPr>
        <w:t>（1）因养护作业质量较差，养护作业考核不合格，政府部门给予该养护企业劝退处理，由新的养护企业接管；</w:t>
      </w:r>
    </w:p>
    <w:p>
      <w:pPr>
        <w:pStyle w:val="6"/>
        <w:jc w:val="left"/>
      </w:pPr>
      <w:r>
        <w:rPr>
          <w:rFonts w:ascii="仿宋_GB2312" w:hAnsi="仿宋_GB2312" w:eastAsia="仿宋_GB2312" w:cs="仿宋_GB2312"/>
          <w:sz w:val="20"/>
          <w:shd w:val="clear" w:fill="FFFFFF"/>
        </w:rPr>
        <w:t>（2）原中标养护企业主动退出原采购包，由新的养护企业接管，政府部门给予扣除履约保证金；</w:t>
      </w:r>
    </w:p>
    <w:p>
      <w:pPr>
        <w:pStyle w:val="6"/>
        <w:jc w:val="left"/>
      </w:pPr>
      <w:r>
        <w:rPr>
          <w:rFonts w:ascii="仿宋_GB2312" w:hAnsi="仿宋_GB2312" w:eastAsia="仿宋_GB2312" w:cs="仿宋_GB2312"/>
          <w:sz w:val="20"/>
          <w:shd w:val="clear" w:fill="FFFFFF"/>
        </w:rPr>
        <w:t>（3）原合同养护作业到期后自动移交给新的中标人。</w:t>
      </w:r>
    </w:p>
    <w:p>
      <w:pPr>
        <w:pStyle w:val="6"/>
        <w:jc w:val="left"/>
      </w:pPr>
      <w:r>
        <w:rPr>
          <w:rFonts w:ascii="仿宋_GB2312" w:hAnsi="仿宋_GB2312" w:eastAsia="仿宋_GB2312" w:cs="仿宋_GB2312"/>
          <w:sz w:val="20"/>
          <w:shd w:val="clear" w:fill="FFFFFF"/>
        </w:rPr>
        <w:t>（七）其他要求</w:t>
      </w:r>
    </w:p>
    <w:p>
      <w:pPr>
        <w:pStyle w:val="6"/>
        <w:jc w:val="left"/>
      </w:pPr>
      <w:r>
        <w:rPr>
          <w:rFonts w:ascii="仿宋_GB2312" w:hAnsi="仿宋_GB2312" w:eastAsia="仿宋_GB2312" w:cs="仿宋_GB2312"/>
          <w:sz w:val="20"/>
          <w:shd w:val="clear" w:fill="FFFFFF"/>
        </w:rPr>
        <w:t>1、服务期内，养护区域内植被若有缺失、不存活等，须在采购人发出通知的一个月内补植完成；2、在服务期结束前五个月，应对养护区域内所有的植被进行自检，若发现其有缺失、不存活的，应按时完成所有补植。移交前的养护补植情况经采购人确认后，计入该月的考核进行评分。若考核评分不合格，将扣减或扣押该月服务费。</w:t>
      </w:r>
    </w:p>
    <w:p>
      <w:pPr>
        <w:pStyle w:val="6"/>
        <w:jc w:val="left"/>
      </w:pPr>
      <w:r>
        <w:rPr>
          <w:rFonts w:ascii="仿宋_GB2312" w:hAnsi="仿宋_GB2312" w:eastAsia="仿宋_GB2312" w:cs="仿宋_GB2312"/>
          <w:sz w:val="20"/>
          <w:shd w:val="clear" w:fill="FFFFFF"/>
        </w:rPr>
        <w:t>3、在服务期结束时，采购单位将组织移交前验收，养护区域内的所有绿化植被须达到养护要求。若有不符合要求的，须立即整改，并最终通过验收。</w:t>
      </w:r>
    </w:p>
    <w:p>
      <w:pPr>
        <w:pStyle w:val="6"/>
        <w:jc w:val="left"/>
      </w:pPr>
      <w:r>
        <w:rPr>
          <w:rFonts w:ascii="仿宋_GB2312" w:hAnsi="仿宋_GB2312" w:eastAsia="仿宋_GB2312" w:cs="仿宋_GB2312"/>
          <w:sz w:val="20"/>
          <w:shd w:val="clear" w:fill="FFFFFF"/>
        </w:rPr>
        <w:t>4、在养护期内，必须派专人对养护区域内的植被进行定期勘察，若发现毁绿、毁树行为应当场予以制止，第一时间报警并及时向采购人汇报。否则将承担所有责任，自费补齐。</w:t>
      </w:r>
    </w:p>
    <w:p>
      <w:pPr>
        <w:pStyle w:val="6"/>
        <w:jc w:val="left"/>
      </w:pPr>
      <w:r>
        <w:rPr>
          <w:rFonts w:ascii="仿宋_GB2312" w:hAnsi="仿宋_GB2312" w:eastAsia="仿宋_GB2312" w:cs="仿宋_GB2312"/>
          <w:sz w:val="20"/>
          <w:shd w:val="clear" w:fill="FFFFFF"/>
        </w:rPr>
        <w:t>5、内发生的一些事故，如治安，交通事故和劳资纠纷等均由服务企业承担。</w:t>
      </w:r>
    </w:p>
    <w:p>
      <w:pPr>
        <w:pStyle w:val="6"/>
        <w:jc w:val="left"/>
      </w:pPr>
      <w:r>
        <w:rPr>
          <w:rFonts w:ascii="仿宋_GB2312" w:hAnsi="仿宋_GB2312" w:eastAsia="仿宋_GB2312" w:cs="仿宋_GB2312"/>
          <w:sz w:val="20"/>
          <w:shd w:val="clear" w:fill="FFFFFF"/>
        </w:rPr>
        <w:t>6、服务期内因人为、台风、洪水等自然灾害引起的损失风险由服务企业承担。</w:t>
      </w:r>
    </w:p>
    <w:p>
      <w:pPr>
        <w:pStyle w:val="6"/>
        <w:jc w:val="left"/>
      </w:pPr>
      <w:r>
        <w:rPr>
          <w:rFonts w:ascii="仿宋_GB2312" w:hAnsi="仿宋_GB2312" w:eastAsia="仿宋_GB2312" w:cs="仿宋_GB2312"/>
          <w:sz w:val="20"/>
          <w:shd w:val="clear" w:fill="FFFFFF"/>
        </w:rPr>
        <w:t>7、服务期内应按照城管要求，配合镇村对流浪动物进行管理。</w:t>
      </w:r>
    </w:p>
    <w:p>
      <w:pPr>
        <w:pStyle w:val="6"/>
      </w:pPr>
      <w:r>
        <w:rPr>
          <w:rFonts w:ascii="仿宋_GB2312" w:hAnsi="仿宋_GB2312" w:eastAsia="仿宋_GB2312" w:cs="仿宋_GB2312"/>
          <w:sz w:val="20"/>
          <w:shd w:val="clear" w:fill="FFFFFF"/>
        </w:rPr>
        <w:t>8、服务过程中产生的水电费由中标人承担。</w:t>
      </w:r>
    </w:p>
    <w:p>
      <w:pPr>
        <w:pStyle w:val="6"/>
        <w:jc w:val="both"/>
      </w:pPr>
      <w:r>
        <w:rPr>
          <w:rFonts w:ascii="仿宋_GB2312" w:hAnsi="仿宋_GB2312" w:eastAsia="仿宋_GB2312" w:cs="仿宋_GB2312"/>
          <w:b/>
          <w:sz w:val="20"/>
          <w:shd w:val="clear" w:fill="FFFFFF"/>
        </w:rPr>
        <w:t>9、投标人提供已完成的至少1个绿化养护项目或正在履约的绿化养护项目（不含施工业绩、小区养护、室内绿化租摆），须提供采购合同文本复印件，以及能够证明该业绩项目相关证明文件（或业主满意度材料）。</w:t>
      </w:r>
    </w:p>
    <w:p>
      <w:pPr>
        <w:pStyle w:val="6"/>
        <w:jc w:val="both"/>
      </w:pPr>
      <w:r>
        <w:rPr>
          <w:rFonts w:ascii="仿宋_GB2312" w:hAnsi="仿宋_GB2312" w:eastAsia="仿宋_GB2312" w:cs="仿宋_GB2312"/>
          <w:b/>
          <w:sz w:val="20"/>
          <w:shd w:val="clear" w:fill="FFFFFF"/>
        </w:rPr>
        <w:t>10、投标人应具备完成本项目的相应设备：详见机械设备一览表，其中每个采购包垃圾运输车需包含1辆垃圾收集压缩车 。①投标人须提供自有(不含子公司)车辆（16吨洒水车、高空作业车，下同）行驶证扫描件及车辆购买发票扫描件、机动车登记证书扫描件、车辆彩色照片。②若为租赁车辆，应提供第三方车辆的行驶证扫描件、机动车登记证书扫描件、车辆彩色照片及车辆租赁合同并承诺租赁期包含整个项目服务期（承诺函格式自拟）。</w:t>
      </w:r>
    </w:p>
    <w:p>
      <w:pPr>
        <w:pStyle w:val="6"/>
        <w:jc w:val="both"/>
      </w:pPr>
      <w:r>
        <w:rPr>
          <w:rFonts w:ascii="仿宋_GB2312" w:hAnsi="仿宋_GB2312" w:eastAsia="仿宋_GB2312" w:cs="仿宋_GB2312"/>
          <w:sz w:val="20"/>
          <w:shd w:val="clear" w:fill="FFFFFF"/>
        </w:rPr>
        <w:t>11、应履行的其他义务：</w:t>
      </w:r>
    </w:p>
    <w:p>
      <w:pPr>
        <w:pStyle w:val="6"/>
        <w:jc w:val="both"/>
      </w:pPr>
      <w:r>
        <w:rPr>
          <w:rFonts w:ascii="仿宋_GB2312" w:hAnsi="仿宋_GB2312" w:eastAsia="仿宋_GB2312" w:cs="仿宋_GB2312"/>
          <w:sz w:val="20"/>
          <w:shd w:val="clear" w:fill="FFFFFF"/>
        </w:rPr>
        <w:t>1、中标人应严格遵守国家政府部门最新发布的有关解决拖欠养护款和民工工资的法律、法规以及福建省、福州市相关法律、法规。</w:t>
      </w:r>
    </w:p>
    <w:p>
      <w:pPr>
        <w:pStyle w:val="6"/>
        <w:jc w:val="both"/>
      </w:pPr>
      <w:r>
        <w:rPr>
          <w:rFonts w:ascii="仿宋_GB2312" w:hAnsi="仿宋_GB2312" w:eastAsia="仿宋_GB2312" w:cs="仿宋_GB2312"/>
          <w:sz w:val="20"/>
          <w:shd w:val="clear" w:fill="FFFFFF"/>
        </w:rPr>
        <w:t>2、中标人应负责养护期间班组人员的安全并办理相关保险手续，并负责处理可能干扰养护的各种社会因素。</w:t>
      </w:r>
    </w:p>
    <w:p>
      <w:pPr>
        <w:pStyle w:val="6"/>
        <w:jc w:val="both"/>
      </w:pPr>
      <w:r>
        <w:rPr>
          <w:rFonts w:ascii="仿宋_GB2312" w:hAnsi="仿宋_GB2312" w:eastAsia="仿宋_GB2312" w:cs="仿宋_GB2312"/>
          <w:sz w:val="20"/>
          <w:shd w:val="clear" w:fill="FFFFFF"/>
        </w:rPr>
        <w:t>3、中标人应对本养护项目质量、安全、工期、经济负全部责任，并接受各级质量、安全等有关管理部门的检查、监督，并承担相应费用。因违反规定受到有关部门处罚，由中标人承担。</w:t>
      </w:r>
    </w:p>
    <w:p>
      <w:pPr>
        <w:pStyle w:val="6"/>
        <w:jc w:val="both"/>
      </w:pPr>
      <w:r>
        <w:rPr>
          <w:rFonts w:ascii="仿宋_GB2312" w:hAnsi="仿宋_GB2312" w:eastAsia="仿宋_GB2312" w:cs="仿宋_GB2312"/>
          <w:sz w:val="20"/>
          <w:shd w:val="clear" w:fill="FFFFFF"/>
        </w:rPr>
        <w:t>4、在养护过程中，采购人或有关主管部门发现中标人的项目负责人、项目技术负责人有重大失误或不能胜任工作，有权要求中标人予以更换，中标人须在一周内更换相应管理人员，且按约定承担经济责罚。</w:t>
      </w:r>
    </w:p>
    <w:p>
      <w:pPr>
        <w:pStyle w:val="6"/>
        <w:jc w:val="both"/>
      </w:pPr>
      <w:r>
        <w:rPr>
          <w:rFonts w:ascii="仿宋_GB2312" w:hAnsi="仿宋_GB2312" w:eastAsia="仿宋_GB2312" w:cs="仿宋_GB2312"/>
          <w:sz w:val="20"/>
          <w:shd w:val="clear" w:fill="FFFFFF"/>
        </w:rPr>
        <w:t>5、如因中标人养护作业引发纠纷的，由中标人负责解决并承担由此产生的费用。</w:t>
      </w:r>
    </w:p>
    <w:p>
      <w:pPr>
        <w:pStyle w:val="6"/>
        <w:jc w:val="both"/>
      </w:pPr>
      <w:r>
        <w:rPr>
          <w:rFonts w:ascii="仿宋_GB2312" w:hAnsi="仿宋_GB2312" w:eastAsia="仿宋_GB2312" w:cs="仿宋_GB2312"/>
          <w:sz w:val="20"/>
          <w:shd w:val="clear" w:fill="FFFFFF"/>
        </w:rPr>
        <w:t>6、中标人应遵守采购人内部制定的有关养护变更、造价、质量、安全、合同等管理规定。</w:t>
      </w:r>
    </w:p>
    <w:p>
      <w:pPr>
        <w:pStyle w:val="6"/>
        <w:jc w:val="both"/>
      </w:pPr>
      <w:r>
        <w:rPr>
          <w:rFonts w:ascii="仿宋_GB2312" w:hAnsi="仿宋_GB2312" w:eastAsia="仿宋_GB2312" w:cs="仿宋_GB2312"/>
          <w:sz w:val="20"/>
          <w:shd w:val="clear" w:fill="FFFFFF"/>
        </w:rPr>
        <w:t>7、中标人除负责完成对养护责任区域内的道路绿地进行日常巡查工作外，必须对路段周边绿地（含三不管地带）巡查，如有问题须及时向采购人报告。</w:t>
      </w:r>
    </w:p>
    <w:p>
      <w:pPr>
        <w:pStyle w:val="6"/>
        <w:jc w:val="both"/>
      </w:pPr>
      <w:r>
        <w:rPr>
          <w:rFonts w:ascii="仿宋_GB2312" w:hAnsi="仿宋_GB2312" w:eastAsia="仿宋_GB2312" w:cs="仿宋_GB2312"/>
          <w:sz w:val="20"/>
          <w:shd w:val="clear" w:fill="FFFFFF"/>
        </w:rPr>
        <w:t>8、采购人在中标人负责的养护区域内，新增的设施（含护栏、喷灌、铺砖等）均不影响中标人的养护的单价。</w:t>
      </w:r>
    </w:p>
    <w:p>
      <w:pPr>
        <w:pStyle w:val="6"/>
        <w:jc w:val="both"/>
        <w:outlineLvl w:val="2"/>
      </w:pPr>
      <w:r>
        <w:rPr>
          <w:rFonts w:ascii="仿宋_GB2312" w:hAnsi="仿宋_GB2312" w:eastAsia="仿宋_GB2312" w:cs="仿宋_GB2312"/>
          <w:b/>
          <w:sz w:val="28"/>
        </w:rPr>
        <w:t>三、商务要求（以“★”标示的内容为不允许负偏离的实质性要求）</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参数性质</w:t>
            </w:r>
          </w:p>
        </w:tc>
        <w:tc>
          <w:tcPr>
            <w:tcW w:w="2076" w:type="dxa"/>
          </w:tcPr>
          <w:p>
            <w:pPr>
              <w:pStyle w:val="6"/>
              <w:jc w:val="left"/>
            </w:pPr>
            <w:r>
              <w:rPr>
                <w:rFonts w:ascii="仿宋_GB2312" w:hAnsi="仿宋_GB2312" w:eastAsia="仿宋_GB2312" w:cs="仿宋_GB2312"/>
              </w:rPr>
              <w:t>类型</w:t>
            </w:r>
          </w:p>
        </w:tc>
        <w:tc>
          <w:tcPr>
            <w:tcW w:w="2076" w:type="dxa"/>
          </w:tcPr>
          <w:p>
            <w:pPr>
              <w:pStyle w:val="6"/>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交货时间</w:t>
            </w:r>
          </w:p>
        </w:tc>
        <w:tc>
          <w:tcPr>
            <w:tcW w:w="2076" w:type="dxa"/>
          </w:tcPr>
          <w:p>
            <w:pPr>
              <w:pStyle w:val="6"/>
              <w:jc w:val="left"/>
            </w:pPr>
            <w:r>
              <w:rPr>
                <w:rFonts w:ascii="仿宋_GB2312" w:hAnsi="仿宋_GB2312" w:eastAsia="仿宋_GB2312" w:cs="仿宋_GB2312"/>
              </w:rPr>
              <w:t>项目服务期暂定16.5个月。服务时间自2026年4月15日起，至2027年8月31日。具体开始时间以合同签订之日起计算至下一轮新养护公司进场结束（最长服务时间为16.5个月）。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交货地点</w:t>
            </w:r>
          </w:p>
        </w:tc>
        <w:tc>
          <w:tcPr>
            <w:tcW w:w="2076" w:type="dxa"/>
          </w:tcPr>
          <w:p>
            <w:pPr>
              <w:pStyle w:val="6"/>
              <w:jc w:val="left"/>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交货条件</w:t>
            </w:r>
          </w:p>
        </w:tc>
        <w:tc>
          <w:tcPr>
            <w:tcW w:w="2076" w:type="dxa"/>
          </w:tcPr>
          <w:p>
            <w:pPr>
              <w:pStyle w:val="6"/>
              <w:jc w:val="left"/>
            </w:pPr>
            <w:r>
              <w:rPr>
                <w:rFonts w:ascii="仿宋_GB2312" w:hAnsi="仿宋_GB2312" w:eastAsia="仿宋_GB2312" w:cs="仿宋_GB2312"/>
              </w:rPr>
              <w:t>根据中标人服务人员配备情况，管理服务质量等情况进行考核，具体详见招标文件第五章“11、考核标准”。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4</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是否邀请投标人验收</w:t>
            </w:r>
          </w:p>
        </w:tc>
        <w:tc>
          <w:tcPr>
            <w:tcW w:w="2076" w:type="dxa"/>
          </w:tcPr>
          <w:p>
            <w:pPr>
              <w:pStyle w:val="6"/>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5</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履约验收方式</w:t>
            </w:r>
          </w:p>
        </w:tc>
        <w:tc>
          <w:tcPr>
            <w:tcW w:w="2076" w:type="dxa"/>
          </w:tcPr>
          <w:p>
            <w:pPr>
              <w:pStyle w:val="6"/>
              <w:jc w:val="left"/>
            </w:pPr>
            <w:r>
              <w:rPr>
                <w:rFonts w:ascii="仿宋_GB2312" w:hAnsi="仿宋_GB2312" w:eastAsia="仿宋_GB2312" w:cs="仿宋_GB2312"/>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6</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合同支付方式</w:t>
            </w:r>
          </w:p>
        </w:tc>
        <w:tc>
          <w:tcPr>
            <w:tcW w:w="2076" w:type="dxa"/>
          </w:tcPr>
          <w:p>
            <w:pPr>
              <w:pStyle w:val="6"/>
              <w:jc w:val="left"/>
            </w:pPr>
            <w:r>
              <w:rPr>
                <w:rFonts w:ascii="仿宋_GB2312" w:hAnsi="仿宋_GB2312" w:eastAsia="仿宋_GB2312" w:cs="仿宋_GB2312"/>
              </w:rPr>
              <w:t>1、进度款，本项目为固定格式无法修改，以本表格中“序号8其他”中的合同支付方式为准，达到付款条件起30日内，支付合同总金额的100.00%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7</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履约保证金</w:t>
            </w:r>
          </w:p>
        </w:tc>
        <w:tc>
          <w:tcPr>
            <w:tcW w:w="2076" w:type="dxa"/>
          </w:tcPr>
          <w:p>
            <w:pPr>
              <w:pStyle w:val="6"/>
              <w:jc w:val="left"/>
            </w:pPr>
            <w:r>
              <w:rPr>
                <w:rFonts w:ascii="仿宋_GB2312" w:hAnsi="仿宋_GB2312" w:eastAsia="仿宋_GB2312" w:cs="仿宋_GB2312"/>
              </w:rPr>
              <w:t>缴纳, 本采购包履约保证金为合同金额的8%</w:t>
            </w:r>
          </w:p>
          <w:p>
            <w:pPr>
              <w:pStyle w:val="6"/>
              <w:jc w:val="left"/>
            </w:pPr>
            <w:r>
              <w:rPr>
                <w:rFonts w:ascii="仿宋_GB2312" w:hAnsi="仿宋_GB2312" w:eastAsia="仿宋_GB2312" w:cs="仿宋_GB2312"/>
              </w:rPr>
              <w:t>缴纳方式：银行转账，支票/汇票/本票，保函/保险</w:t>
            </w:r>
          </w:p>
          <w:p>
            <w:pPr>
              <w:pStyle w:val="6"/>
              <w:jc w:val="left"/>
            </w:pPr>
            <w:r>
              <w:rPr>
                <w:rFonts w:ascii="仿宋_GB2312" w:hAnsi="仿宋_GB2312" w:eastAsia="仿宋_GB2312" w:cs="仿宋_GB2312"/>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8</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其他</w:t>
            </w:r>
          </w:p>
        </w:tc>
        <w:tc>
          <w:tcPr>
            <w:tcW w:w="2076" w:type="dxa"/>
          </w:tcPr>
          <w:p>
            <w:pPr>
              <w:pStyle w:val="6"/>
              <w:jc w:val="left"/>
            </w:pPr>
            <w:r>
              <w:rPr>
                <w:rFonts w:ascii="仿宋_GB2312" w:hAnsi="仿宋_GB2312" w:eastAsia="仿宋_GB2312" w:cs="仿宋_GB2312"/>
              </w:rPr>
              <w:t>合同支付方式（因系统固定模板问题，故以此为准）：按月按实结算，中标人完成当月绿化养护工作，与采购人核算本月养护经费(含考核扣减)后支付养护经费（按实际养护考核结果进行结算），次月结算上一个月养护费，经双方对账确认，达到付款条件后，采购人收到中标人提供的当月款项全额税务发票等完整报销材料后5个工作日内转账付款，支付结算对应金额的100%。</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参数性质</w:t>
            </w:r>
          </w:p>
        </w:tc>
        <w:tc>
          <w:tcPr>
            <w:tcW w:w="2076" w:type="dxa"/>
          </w:tcPr>
          <w:p>
            <w:pPr>
              <w:pStyle w:val="6"/>
              <w:jc w:val="left"/>
            </w:pPr>
            <w:r>
              <w:rPr>
                <w:rFonts w:ascii="仿宋_GB2312" w:hAnsi="仿宋_GB2312" w:eastAsia="仿宋_GB2312" w:cs="仿宋_GB2312"/>
              </w:rPr>
              <w:t>类型</w:t>
            </w:r>
          </w:p>
        </w:tc>
        <w:tc>
          <w:tcPr>
            <w:tcW w:w="2076" w:type="dxa"/>
          </w:tcPr>
          <w:p>
            <w:pPr>
              <w:pStyle w:val="6"/>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交货时间</w:t>
            </w:r>
          </w:p>
        </w:tc>
        <w:tc>
          <w:tcPr>
            <w:tcW w:w="2076" w:type="dxa"/>
          </w:tcPr>
          <w:p>
            <w:pPr>
              <w:pStyle w:val="6"/>
              <w:jc w:val="left"/>
            </w:pPr>
            <w:r>
              <w:rPr>
                <w:rFonts w:ascii="仿宋_GB2312" w:hAnsi="仿宋_GB2312" w:eastAsia="仿宋_GB2312" w:cs="仿宋_GB2312"/>
              </w:rPr>
              <w:t>项目服务期暂定16.5个月。服务时间自2026年4月15日起，至2027年8月31日。具体开始时间以合同签订之日起计算至下一轮新养护公司进场结束（最长服务时间为16.5个月）。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交货地点</w:t>
            </w:r>
          </w:p>
        </w:tc>
        <w:tc>
          <w:tcPr>
            <w:tcW w:w="2076" w:type="dxa"/>
          </w:tcPr>
          <w:p>
            <w:pPr>
              <w:pStyle w:val="6"/>
              <w:jc w:val="left"/>
            </w:pPr>
            <w:r>
              <w:rPr>
                <w:rFonts w:ascii="仿宋_GB2312" w:hAnsi="仿宋_GB2312" w:eastAsia="仿宋_GB2312" w:cs="仿宋_GB2312"/>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交货条件</w:t>
            </w:r>
          </w:p>
        </w:tc>
        <w:tc>
          <w:tcPr>
            <w:tcW w:w="2076" w:type="dxa"/>
          </w:tcPr>
          <w:p>
            <w:pPr>
              <w:pStyle w:val="6"/>
              <w:jc w:val="left"/>
            </w:pPr>
            <w:r>
              <w:rPr>
                <w:rFonts w:ascii="仿宋_GB2312" w:hAnsi="仿宋_GB2312" w:eastAsia="仿宋_GB2312" w:cs="仿宋_GB2312"/>
              </w:rPr>
              <w:t>根据中标人服务人员配备情况，管理服务质量等情况进行考核，具体详见招标文件第五章“11、考核标准”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4</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是否邀请投标人验收</w:t>
            </w:r>
          </w:p>
        </w:tc>
        <w:tc>
          <w:tcPr>
            <w:tcW w:w="2076" w:type="dxa"/>
          </w:tcPr>
          <w:p>
            <w:pPr>
              <w:pStyle w:val="6"/>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5</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履约验收方式</w:t>
            </w:r>
          </w:p>
        </w:tc>
        <w:tc>
          <w:tcPr>
            <w:tcW w:w="2076" w:type="dxa"/>
          </w:tcPr>
          <w:p>
            <w:pPr>
              <w:pStyle w:val="6"/>
              <w:jc w:val="left"/>
            </w:pPr>
            <w:r>
              <w:rPr>
                <w:rFonts w:ascii="仿宋_GB2312" w:hAnsi="仿宋_GB2312" w:eastAsia="仿宋_GB2312" w:cs="仿宋_GB2312"/>
              </w:rPr>
              <w:t>1、期次1，说明：每个月服务期结束后由中标人提出申请，由采购人根据服务期内中标人是否按照招标文件、投标文件及合同的服务要求执行的具体情况出具最终验收意见。验收所产生的一切费用由中标人承担。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6</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合同支付方式</w:t>
            </w:r>
          </w:p>
        </w:tc>
        <w:tc>
          <w:tcPr>
            <w:tcW w:w="2076" w:type="dxa"/>
          </w:tcPr>
          <w:p>
            <w:pPr>
              <w:pStyle w:val="6"/>
              <w:jc w:val="left"/>
            </w:pPr>
            <w:r>
              <w:rPr>
                <w:rFonts w:ascii="仿宋_GB2312" w:hAnsi="仿宋_GB2312" w:eastAsia="仿宋_GB2312" w:cs="仿宋_GB2312"/>
              </w:rPr>
              <w:t>1、进度款，本项目为固定格式无法修改，以本表格中“序号8其他”中的合同支付方式为准，达到付款条件起30日内，支付合同总金额的100.00%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7</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履约保证金</w:t>
            </w:r>
          </w:p>
        </w:tc>
        <w:tc>
          <w:tcPr>
            <w:tcW w:w="2076" w:type="dxa"/>
          </w:tcPr>
          <w:p>
            <w:pPr>
              <w:pStyle w:val="6"/>
              <w:jc w:val="left"/>
            </w:pPr>
            <w:r>
              <w:rPr>
                <w:rFonts w:ascii="仿宋_GB2312" w:hAnsi="仿宋_GB2312" w:eastAsia="仿宋_GB2312" w:cs="仿宋_GB2312"/>
              </w:rPr>
              <w:t>缴纳, 本采购包履约保证金为合同金额的8%</w:t>
            </w:r>
          </w:p>
          <w:p>
            <w:pPr>
              <w:pStyle w:val="6"/>
              <w:jc w:val="left"/>
            </w:pPr>
            <w:r>
              <w:rPr>
                <w:rFonts w:ascii="仿宋_GB2312" w:hAnsi="仿宋_GB2312" w:eastAsia="仿宋_GB2312" w:cs="仿宋_GB2312"/>
              </w:rPr>
              <w:t>缴纳方式：银行转账，支票/汇票/本票，保函/保险</w:t>
            </w:r>
          </w:p>
          <w:p>
            <w:pPr>
              <w:pStyle w:val="6"/>
              <w:jc w:val="left"/>
            </w:pPr>
            <w:r>
              <w:rPr>
                <w:rFonts w:ascii="仿宋_GB2312" w:hAnsi="仿宋_GB2312" w:eastAsia="仿宋_GB2312" w:cs="仿宋_GB2312"/>
              </w:rPr>
              <w:t>说明：在中标通知书发出之日起10个工作日内，中标人应向采购人提交合同金额的8.0%的履约保证金（若本项目中标人为中小微企业的，中小微企业缴纳履约保证金的金额为合同金额的3%），履约保证金可以支票、汇票、本票或者金融机构、担保机构出具的保函等非现金形式提交。该履约保证金在整个项目履约期满并且验收合格后凭保证金收据、合同和竣工验收合格证明30日内无息返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8</w:t>
            </w:r>
          </w:p>
        </w:tc>
        <w:tc>
          <w:tcPr>
            <w:tcW w:w="2076" w:type="dxa"/>
          </w:tcPr>
          <w:p>
            <w:pPr>
              <w:pStyle w:val="6"/>
              <w:jc w:val="left"/>
            </w:pPr>
            <w:r>
              <w:rPr>
                <w:rFonts w:ascii="仿宋_GB2312" w:hAnsi="仿宋_GB2312" w:eastAsia="仿宋_GB2312" w:cs="仿宋_GB2312"/>
              </w:rPr>
              <w:t>★</w:t>
            </w:r>
          </w:p>
        </w:tc>
        <w:tc>
          <w:tcPr>
            <w:tcW w:w="2076" w:type="dxa"/>
          </w:tcPr>
          <w:p>
            <w:pPr>
              <w:pStyle w:val="6"/>
              <w:jc w:val="left"/>
            </w:pPr>
            <w:r>
              <w:rPr>
                <w:rFonts w:ascii="仿宋_GB2312" w:hAnsi="仿宋_GB2312" w:eastAsia="仿宋_GB2312" w:cs="仿宋_GB2312"/>
              </w:rPr>
              <w:t>其他</w:t>
            </w:r>
          </w:p>
        </w:tc>
        <w:tc>
          <w:tcPr>
            <w:tcW w:w="2076" w:type="dxa"/>
          </w:tcPr>
          <w:p>
            <w:pPr>
              <w:pStyle w:val="6"/>
              <w:jc w:val="left"/>
            </w:pPr>
            <w:r>
              <w:rPr>
                <w:rFonts w:ascii="仿宋_GB2312" w:hAnsi="仿宋_GB2312" w:eastAsia="仿宋_GB2312" w:cs="仿宋_GB2312"/>
              </w:rPr>
              <w:t>合同支付方式（因系统固定模板问题，故以此为准）：按月按实结算，中标人完成当月绿化养护工作，与采购人核算本月养护经费(含考核扣减)后支付养护经费（按实际养护考核结果进行结算），次月结算上一个月养护费，经双方对账确认，达到付款条件后，采购人收到中标人提供的当月款项全额税务发票等完整报销材料后5个工作日内转账付款，支付结算对应金额的100%。</w:t>
            </w:r>
          </w:p>
        </w:tc>
      </w:tr>
    </w:tbl>
    <w:p>
      <w:pPr>
        <w:pStyle w:val="6"/>
        <w:jc w:val="left"/>
      </w:pPr>
      <w:r>
        <w:rPr>
          <w:rFonts w:ascii="仿宋_GB2312" w:hAnsi="仿宋_GB2312" w:eastAsia="仿宋_GB2312" w:cs="仿宋_GB2312"/>
        </w:rPr>
        <w:t>其他商务要求</w:t>
      </w:r>
    </w:p>
    <w:p>
      <w:pPr>
        <w:pStyle w:val="6"/>
        <w:ind w:firstLine="480"/>
        <w:jc w:val="left"/>
      </w:pPr>
      <w:r>
        <w:rPr>
          <w:rFonts w:ascii="仿宋_GB2312" w:hAnsi="仿宋_GB2312" w:eastAsia="仿宋_GB2312" w:cs="仿宋_GB2312"/>
          <w:color w:val="000000"/>
          <w:sz w:val="20"/>
        </w:rPr>
        <w:t>（适用于所有采购包）</w:t>
      </w:r>
    </w:p>
    <w:p>
      <w:pPr>
        <w:pStyle w:val="6"/>
        <w:numPr>
          <w:ilvl w:val="0"/>
          <w:numId w:val="1"/>
        </w:numPr>
      </w:pPr>
      <w:r>
        <w:rPr>
          <w:rFonts w:ascii="仿宋_GB2312" w:hAnsi="仿宋_GB2312" w:eastAsia="仿宋_GB2312" w:cs="仿宋_GB2312"/>
          <w:b/>
          <w:color w:val="000000"/>
          <w:sz w:val="20"/>
        </w:rPr>
        <w:t>支付其他说明</w:t>
      </w:r>
    </w:p>
    <w:p>
      <w:pPr>
        <w:pStyle w:val="6"/>
      </w:pPr>
      <w:r>
        <w:rPr>
          <w:rFonts w:ascii="仿宋_GB2312" w:hAnsi="仿宋_GB2312" w:eastAsia="仿宋_GB2312" w:cs="仿宋_GB2312"/>
          <w:color w:val="000000"/>
          <w:sz w:val="20"/>
        </w:rPr>
        <w:t>9.1合同签订后，中标人对本项目承诺投入的相关车辆设备、工具及人员配置情况，应在入场作业前全部满足到位，采购人经现场清点验收合格后准予入场作业，正式入场后，业主进行不定时日常考核以及每个月抽查两个路段或公园进行考核一次。根据考核情况当月按实结算，对相应扣除的服务项目经费日后皆不做返还的任何附加条件。</w:t>
      </w:r>
    </w:p>
    <w:p>
      <w:pPr>
        <w:pStyle w:val="6"/>
      </w:pPr>
      <w:r>
        <w:rPr>
          <w:rFonts w:ascii="仿宋_GB2312" w:hAnsi="仿宋_GB2312" w:eastAsia="仿宋_GB2312" w:cs="仿宋_GB2312"/>
          <w:b/>
          <w:color w:val="000000"/>
          <w:sz w:val="20"/>
        </w:rPr>
        <w:t>9.2采购人有权根据政府的统一部署或新一年养护单位的养护协议开始时间服务期可提前终止。提前终止：提前时间不超过3个月（即实际服务期不少于13.5个月）服务费按实际服务月数×中标综合单价据实结算*实际完成工作量，不足整月的按日历天数折算。</w:t>
      </w:r>
    </w:p>
    <w:p>
      <w:pPr>
        <w:pStyle w:val="6"/>
      </w:pPr>
      <w:r>
        <w:rPr>
          <w:rFonts w:ascii="仿宋_GB2312" w:hAnsi="仿宋_GB2312" w:eastAsia="仿宋_GB2312" w:cs="仿宋_GB2312"/>
          <w:b/>
          <w:color w:val="000000"/>
          <w:sz w:val="20"/>
        </w:rPr>
        <w:t>10、违约责任</w:t>
      </w:r>
    </w:p>
    <w:p>
      <w:pPr>
        <w:pStyle w:val="6"/>
      </w:pPr>
      <w:r>
        <w:rPr>
          <w:rFonts w:ascii="仿宋_GB2312" w:hAnsi="仿宋_GB2312" w:eastAsia="仿宋_GB2312" w:cs="仿宋_GB2312"/>
          <w:color w:val="000000"/>
          <w:sz w:val="20"/>
        </w:rPr>
        <w:t>10.1因中标人原因造成人员设备进场超过15日的，每逾期一天处罚1万元。</w:t>
      </w:r>
    </w:p>
    <w:p>
      <w:pPr>
        <w:pStyle w:val="6"/>
      </w:pPr>
      <w:r>
        <w:rPr>
          <w:rFonts w:ascii="仿宋_GB2312" w:hAnsi="仿宋_GB2312" w:eastAsia="仿宋_GB2312" w:cs="仿宋_GB2312"/>
          <w:color w:val="000000"/>
          <w:sz w:val="20"/>
        </w:rPr>
        <w:t>10.2因中标人原因造成采购合同无法按时签订，视为中标人违约，中标人违约对采购人造成损失的，需另行支付相应的实际造成损失的30％，并不予退还投标保证金。</w:t>
      </w:r>
    </w:p>
    <w:p>
      <w:pPr>
        <w:pStyle w:val="6"/>
      </w:pPr>
      <w:r>
        <w:rPr>
          <w:rFonts w:ascii="仿宋_GB2312" w:hAnsi="仿宋_GB2312" w:eastAsia="仿宋_GB2312" w:cs="仿宋_GB2312"/>
          <w:color w:val="000000"/>
          <w:sz w:val="20"/>
        </w:rPr>
        <w:t>10.3在签订采购合同之后，中标人要求解除合同的，视为中标人违约，对采购人造成损失的，中标人需另行支付相应的实际造成损失的30％。</w:t>
      </w:r>
    </w:p>
    <w:p>
      <w:pPr>
        <w:pStyle w:val="6"/>
      </w:pPr>
      <w:r>
        <w:rPr>
          <w:rFonts w:ascii="仿宋_GB2312" w:hAnsi="仿宋_GB2312" w:eastAsia="仿宋_GB2312" w:cs="仿宋_GB2312"/>
          <w:color w:val="000000"/>
          <w:sz w:val="20"/>
        </w:rPr>
        <w:t>10.4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6"/>
      </w:pPr>
      <w:r>
        <w:rPr>
          <w:rFonts w:ascii="仿宋_GB2312" w:hAnsi="仿宋_GB2312" w:eastAsia="仿宋_GB2312" w:cs="仿宋_GB2312"/>
          <w:color w:val="000000"/>
          <w:sz w:val="20"/>
        </w:rPr>
        <w:t>10.5在明确违约责任后，中标人应在接到书面通知书起七日内支付违约金、赔偿金等。</w:t>
      </w:r>
    </w:p>
    <w:p>
      <w:pPr>
        <w:pStyle w:val="6"/>
      </w:pPr>
      <w:r>
        <w:rPr>
          <w:rFonts w:ascii="仿宋_GB2312" w:hAnsi="仿宋_GB2312" w:eastAsia="仿宋_GB2312" w:cs="仿宋_GB2312"/>
          <w:b/>
          <w:color w:val="000000"/>
          <w:sz w:val="20"/>
        </w:rPr>
        <w:t>11、考核标准</w:t>
      </w:r>
    </w:p>
    <w:p>
      <w:pPr>
        <w:pStyle w:val="6"/>
      </w:pPr>
      <w:r>
        <w:rPr>
          <w:rFonts w:ascii="仿宋_GB2312" w:hAnsi="仿宋_GB2312" w:eastAsia="仿宋_GB2312" w:cs="仿宋_GB2312"/>
          <w:b/>
          <w:color w:val="000000"/>
          <w:sz w:val="20"/>
        </w:rPr>
        <w:t>11.1日常考核和处罚标准</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1"/>
        <w:gridCol w:w="4746"/>
        <w:gridCol w:w="1232"/>
        <w:gridCol w:w="1006"/>
        <w:gridCol w:w="8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序号</w:t>
            </w:r>
          </w:p>
        </w:tc>
        <w:tc>
          <w:tcPr>
            <w:tcW w:w="4746" w:type="dxa"/>
            <w:tcBorders>
              <w:top w:val="outset"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检查内容</w:t>
            </w:r>
          </w:p>
        </w:tc>
        <w:tc>
          <w:tcPr>
            <w:tcW w:w="1232" w:type="dxa"/>
            <w:tcBorders>
              <w:top w:val="outset"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单位</w:t>
            </w:r>
          </w:p>
        </w:tc>
        <w:tc>
          <w:tcPr>
            <w:tcW w:w="1006" w:type="dxa"/>
            <w:tcBorders>
              <w:top w:val="outset"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检查发现阶段扣款（元）</w:t>
            </w:r>
          </w:p>
        </w:tc>
        <w:tc>
          <w:tcPr>
            <w:tcW w:w="811" w:type="dxa"/>
            <w:tcBorders>
              <w:top w:val="outset"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复查阶段扣款（元）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现场管理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1.1上班不按要求穿戴反光袖或工作服</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每人次</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1.2违反安全规范，如：安全措施不规范、无专职安全员等</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1.3养护作业不规范，如违反交通规定高峰期上路作业，无围挡，不铺设彩条布，养护作业后现场没打扫干净、沿途运输滴洒漏，浇水或喷药洒到行人等</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1.4不对影响修剪作业的其他车辆进行拖车，导致修剪作业无法进行的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绿地养护作业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2.1绿地内有明显杂草</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2.2绿地内乔、灌、地被、垂直绿化缺水</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2.3绿地内草坪、绿篱等色块修剪不整齐</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2.4绿地内死树和树桩没挖掉</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每株</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2.5绿地乔灌木未按要求做树圈切边</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2.6绿化废弃物未当班（每半天为一班）清运完毕的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2.7绿地上发现老鼠洞</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每处</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2.8焚烧绿化垃圾的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2.9绿地内堆土过高或浇水不当造成土壤污染路面的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每处</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2.10绿地内出现晾晒衣服、杂物、广告牌等，未及时阻止并向执法部门报告的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2.11道路绿化附属设施存在破损或污损未及时报告或报修的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2.12不按行业标准和作业规范进行修剪的，造成不良后果的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2.13苗木移交现场核验问题整改及时性不及时</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行道树养护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3.1有明显枯枝、挂枝</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3.2分枝点以下的萌蘖芽没有清除</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3.3下垂枝高度过低影响通行，树枝遮挡交通标识、安全视线、路灯灯光</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3.4新歪斜树木未按要求适时扶正和加固的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每株</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3.5树木伤口（＞15cm）不涂防腐剂的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每株</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3.6修剪下来的树枝未当班（每半天为一班）清理干净的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3.7护树架、树池篦等设施损坏未及时修复的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3.8未经允许张贴和悬挂广告彩灯及树上铁钉等未及时阻止和报告的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4</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病虫害防治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4.1未及时防治病虫害</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4.2使用未经甲方许可的农药</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4.3未及时发现和报告入侵性有害生物</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4.4未按要求清理入侵性有害生物</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19"/>
              </w:rPr>
              <w:t>5</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开花植被专项养护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5.1三角梅种植槽内垃圾、杂草未及时清理</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每处</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5.2三角梅因缺水、缺肥出现明显萎蔫、生长不良</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每处（长度≥10米）</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5.3三角梅发生明显病虫害未及时报告与防治</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每处</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5.4三角梅花期调控失败，在应花期无花或开花率极低（＜50%）</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每路段</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5.5对三角梅进行不当修剪，严重影响次年花芽形成或植株造型</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每次</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6</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防寒措施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6.1未按专业规范提前做好防寒作业</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6.2未提前准备防寒物料的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6.3未按要求做好防寒措施的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7</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植物营养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7.1未提交植物营养需求计划的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7.2未按规定进行施肥的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7.3倒卖或浪费肥料的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5000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w:t>
            </w:r>
          </w:p>
        </w:tc>
        <w:tc>
          <w:tcPr>
            <w:tcW w:w="7795" w:type="dxa"/>
            <w:gridSpan w:val="4"/>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生态环境保护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8.1使用除草剂清理杂草的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8.2未按要求清洗叶面灰尘的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8.3使用带有明显臭味的肥料</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每条块</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p>
        </w:tc>
        <w:tc>
          <w:tcPr>
            <w:tcW w:w="474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8.4作业噪声太大，被群众投诉的</w:t>
            </w:r>
          </w:p>
        </w:tc>
        <w:tc>
          <w:tcPr>
            <w:tcW w:w="1232"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每起</w:t>
            </w:r>
          </w:p>
        </w:tc>
        <w:tc>
          <w:tcPr>
            <w:tcW w:w="1006"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100</w:t>
            </w:r>
          </w:p>
        </w:tc>
        <w:tc>
          <w:tcPr>
            <w:tcW w:w="811" w:type="dxa"/>
            <w:tcBorders>
              <w:top w:val="single" w:color="000000" w:sz="4" w:space="0"/>
              <w:left w:val="single" w:color="000000" w:sz="4" w:space="0"/>
              <w:bottom w:val="outset" w:color="000000" w:sz="4" w:space="0"/>
              <w:right w:val="outset"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rPr>
              <w:t>300</w:t>
            </w:r>
          </w:p>
        </w:tc>
      </w:tr>
    </w:tbl>
    <w:p>
      <w:pPr>
        <w:pStyle w:val="6"/>
        <w:jc w:val="both"/>
      </w:pPr>
      <w:r>
        <w:rPr>
          <w:rFonts w:ascii="仿宋_GB2312" w:hAnsi="仿宋_GB2312" w:eastAsia="仿宋_GB2312" w:cs="仿宋_GB2312"/>
          <w:color w:val="000000"/>
          <w:sz w:val="20"/>
        </w:rPr>
        <w:t>12.2月考核和处罚标准</w:t>
      </w:r>
    </w:p>
    <w:p>
      <w:pPr>
        <w:pStyle w:val="6"/>
        <w:jc w:val="center"/>
      </w:pPr>
      <w:r>
        <w:rPr>
          <w:rFonts w:ascii="仿宋_GB2312" w:hAnsi="仿宋_GB2312" w:eastAsia="仿宋_GB2312" w:cs="仿宋_GB2312"/>
          <w:color w:val="000000"/>
          <w:sz w:val="20"/>
        </w:rPr>
        <w:t>绿地、行道树绿化养护月考核评分表</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0"/>
        <w:gridCol w:w="527"/>
        <w:gridCol w:w="632"/>
        <w:gridCol w:w="677"/>
        <w:gridCol w:w="3175"/>
        <w:gridCol w:w="27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nil"/>
              <w:bottom w:val="nil"/>
              <w:right w:val="nil"/>
            </w:tcBorders>
            <w:tcMar>
              <w:top w:w="0" w:type="dxa"/>
              <w:left w:w="105" w:type="dxa"/>
              <w:bottom w:w="0" w:type="dxa"/>
              <w:right w:w="105" w:type="dxa"/>
            </w:tcMar>
            <w:vAlign w:val="top"/>
          </w:tcPr>
          <w:p>
            <w:pPr>
              <w:pStyle w:val="6"/>
              <w:jc w:val="both"/>
            </w:pPr>
            <w:r>
              <w:rPr>
                <w:rFonts w:ascii="仿宋_GB2312" w:hAnsi="仿宋_GB2312" w:eastAsia="仿宋_GB2312" w:cs="仿宋_GB2312"/>
                <w:color w:val="000000"/>
                <w:sz w:val="20"/>
              </w:rPr>
              <w:t>地段：                                 时间：                        考核单位：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项目</w:t>
            </w:r>
          </w:p>
        </w:tc>
        <w:tc>
          <w:tcPr>
            <w:tcW w:w="527" w:type="dxa"/>
            <w:vMerge w:val="restart"/>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评分</w:t>
            </w:r>
          </w:p>
        </w:tc>
        <w:tc>
          <w:tcPr>
            <w:tcW w:w="632" w:type="dxa"/>
            <w:vMerge w:val="restart"/>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满分</w:t>
            </w:r>
          </w:p>
        </w:tc>
        <w:tc>
          <w:tcPr>
            <w:tcW w:w="677" w:type="dxa"/>
            <w:vMerge w:val="restart"/>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备注</w:t>
            </w:r>
          </w:p>
        </w:tc>
        <w:tc>
          <w:tcPr>
            <w:tcW w:w="3175"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二级</w:t>
            </w:r>
          </w:p>
        </w:tc>
        <w:tc>
          <w:tcPr>
            <w:tcW w:w="279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三级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single" w:color="000000" w:sz="4" w:space="0"/>
              <w:left w:val="single" w:color="000000" w:sz="4" w:space="0"/>
              <w:bottom w:val="single" w:color="000000" w:sz="4" w:space="0"/>
              <w:right w:val="single" w:color="000000" w:sz="4" w:space="0"/>
            </w:tcBorders>
          </w:tcPr>
          <w:p/>
        </w:tc>
        <w:tc>
          <w:tcPr>
            <w:tcW w:w="527" w:type="dxa"/>
            <w:vMerge w:val="continue"/>
            <w:tcBorders>
              <w:top w:val="single" w:color="000000" w:sz="4" w:space="0"/>
              <w:left w:val="nil"/>
              <w:bottom w:val="single" w:color="000000" w:sz="4" w:space="0"/>
              <w:right w:val="single" w:color="000000" w:sz="4" w:space="0"/>
            </w:tcBorders>
          </w:tcPr>
          <w:p/>
        </w:tc>
        <w:tc>
          <w:tcPr>
            <w:tcW w:w="632" w:type="dxa"/>
            <w:vMerge w:val="continue"/>
            <w:tcBorders>
              <w:top w:val="single" w:color="000000" w:sz="4" w:space="0"/>
              <w:left w:val="nil"/>
              <w:bottom w:val="single" w:color="000000" w:sz="4" w:space="0"/>
              <w:right w:val="single" w:color="000000" w:sz="4" w:space="0"/>
            </w:tcBorders>
          </w:tcPr>
          <w:p/>
        </w:tc>
        <w:tc>
          <w:tcPr>
            <w:tcW w:w="677" w:type="dxa"/>
            <w:vMerge w:val="continue"/>
            <w:tcBorders>
              <w:top w:val="single" w:color="000000" w:sz="4" w:space="0"/>
              <w:left w:val="nil"/>
              <w:bottom w:val="single" w:color="000000" w:sz="4" w:space="0"/>
              <w:right w:val="single" w:color="000000" w:sz="4" w:space="0"/>
            </w:tcBorders>
          </w:tc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考核评分</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考核评分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景观</w:t>
            </w:r>
          </w:p>
          <w:p>
            <w:pPr>
              <w:pStyle w:val="6"/>
              <w:jc w:val="center"/>
            </w:pPr>
            <w:r>
              <w:rPr>
                <w:rFonts w:ascii="仿宋_GB2312" w:hAnsi="仿宋_GB2312" w:eastAsia="仿宋_GB2312" w:cs="仿宋_GB2312"/>
                <w:color w:val="000000"/>
                <w:sz w:val="20"/>
              </w:rPr>
              <w:t>效果</w:t>
            </w:r>
            <w:r>
              <w:br w:type="textWrapping"/>
            </w:r>
            <w:r>
              <w:rPr>
                <w:rFonts w:ascii="仿宋_GB2312" w:hAnsi="仿宋_GB2312" w:eastAsia="仿宋_GB2312" w:cs="仿宋_GB2312"/>
                <w:color w:val="000000"/>
                <w:sz w:val="20"/>
              </w:rPr>
              <w:t>(5分)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整体景观效果一般的，扣2分；较差的，视效果扣3-5分。</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整体景观效果一般的，扣1分；较差的，视效果扣2-4分。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植物</w:t>
            </w:r>
          </w:p>
          <w:p>
            <w:pPr>
              <w:pStyle w:val="6"/>
              <w:jc w:val="center"/>
            </w:pPr>
            <w:r>
              <w:rPr>
                <w:rFonts w:ascii="仿宋_GB2312" w:hAnsi="仿宋_GB2312" w:eastAsia="仿宋_GB2312" w:cs="仿宋_GB2312"/>
                <w:color w:val="000000"/>
                <w:sz w:val="20"/>
              </w:rPr>
              <w:t>生长</w:t>
            </w:r>
            <w:r>
              <w:br w:type="textWrapping"/>
            </w:r>
            <w:r>
              <w:rPr>
                <w:rFonts w:ascii="仿宋_GB2312" w:hAnsi="仿宋_GB2312" w:eastAsia="仿宋_GB2312" w:cs="仿宋_GB2312"/>
                <w:color w:val="000000"/>
                <w:sz w:val="20"/>
              </w:rPr>
              <w:t>状况</w:t>
            </w:r>
            <w:r>
              <w:br w:type="textWrapping"/>
            </w:r>
            <w:r>
              <w:rPr>
                <w:rFonts w:ascii="仿宋_GB2312" w:hAnsi="仿宋_GB2312" w:eastAsia="仿宋_GB2312" w:cs="仿宋_GB2312"/>
                <w:color w:val="000000"/>
                <w:sz w:val="20"/>
              </w:rPr>
              <w:t>(15分)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树冠残缺、植株长势不良的，扣0.3-0.5分/株；枯枝、死枝、徒长枝、病虫枝扣0.3分/株。</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树冠残缺、植株长势不良的，视情况扣0.2-0.4分/株。枯枝、死枝、徒长枝、病虫枝扣0.2分/株。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出现枯枝、残花的，空缺、断层（行）明显、下部有光秃现象的，单块面积大于1m²的，视面积扣0.5-1分/处。</w:t>
            </w:r>
          </w:p>
          <w:p>
            <w:pPr>
              <w:pStyle w:val="6"/>
              <w:jc w:val="both"/>
            </w:pPr>
            <w:r>
              <w:rPr>
                <w:rFonts w:ascii="仿宋_GB2312" w:hAnsi="仿宋_GB2312" w:eastAsia="仿宋_GB2312" w:cs="仿宋_GB2312"/>
                <w:color w:val="000000"/>
                <w:sz w:val="20"/>
              </w:rPr>
              <w:t>卷叶、焦叶等单块面积大于1m²的，视面积扣0.5-1分/处。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出现枯枝、残花的，空缺、断层（行）明显、下部有光秃现象的，单块面积大于1m²的，视面积扣0.5-0.8分/处。</w:t>
            </w:r>
          </w:p>
          <w:p>
            <w:pPr>
              <w:pStyle w:val="6"/>
              <w:jc w:val="both"/>
            </w:pPr>
            <w:r>
              <w:rPr>
                <w:rFonts w:ascii="仿宋_GB2312" w:hAnsi="仿宋_GB2312" w:eastAsia="仿宋_GB2312" w:cs="仿宋_GB2312"/>
                <w:color w:val="000000"/>
                <w:sz w:val="20"/>
              </w:rPr>
              <w:t>卷叶、焦叶等单块面积大于1m²的，视面积扣0.5-0.8分/处。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底土裸露单块面积大于1m²的，视面积扣0.5-1分/处；</w:t>
            </w:r>
          </w:p>
          <w:p>
            <w:pPr>
              <w:pStyle w:val="6"/>
              <w:jc w:val="both"/>
            </w:pPr>
            <w:r>
              <w:rPr>
                <w:rFonts w:ascii="仿宋_GB2312" w:hAnsi="仿宋_GB2312" w:eastAsia="仿宋_GB2312" w:cs="仿宋_GB2312"/>
                <w:color w:val="000000"/>
                <w:sz w:val="20"/>
              </w:rPr>
              <w:t>缺株、死株现象严重的，扣0.7分/m²。</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底土裸露单块面积大于1m²的，视面积扣0.3-0.8分/处；</w:t>
            </w:r>
          </w:p>
          <w:p>
            <w:pPr>
              <w:pStyle w:val="6"/>
              <w:jc w:val="both"/>
            </w:pPr>
            <w:r>
              <w:rPr>
                <w:rFonts w:ascii="仿宋_GB2312" w:hAnsi="仿宋_GB2312" w:eastAsia="仿宋_GB2312" w:cs="仿宋_GB2312"/>
                <w:color w:val="000000"/>
                <w:sz w:val="20"/>
              </w:rPr>
              <w:t>缺株、死株现象严重的，扣0.5分/m²。</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植物</w:t>
            </w:r>
          </w:p>
          <w:p>
            <w:pPr>
              <w:pStyle w:val="6"/>
              <w:jc w:val="center"/>
            </w:pPr>
            <w:r>
              <w:rPr>
                <w:rFonts w:ascii="仿宋_GB2312" w:hAnsi="仿宋_GB2312" w:eastAsia="仿宋_GB2312" w:cs="仿宋_GB2312"/>
                <w:color w:val="000000"/>
                <w:sz w:val="20"/>
              </w:rPr>
              <w:t>养护</w:t>
            </w:r>
            <w:r>
              <w:br w:type="textWrapping"/>
            </w:r>
            <w:r>
              <w:rPr>
                <w:rFonts w:ascii="仿宋_GB2312" w:hAnsi="仿宋_GB2312" w:eastAsia="仿宋_GB2312" w:cs="仿宋_GB2312"/>
                <w:color w:val="000000"/>
                <w:sz w:val="20"/>
              </w:rPr>
              <w:t>状况</w:t>
            </w:r>
            <w:r>
              <w:br w:type="textWrapping"/>
            </w:r>
            <w:r>
              <w:rPr>
                <w:rFonts w:ascii="仿宋_GB2312" w:hAnsi="仿宋_GB2312" w:eastAsia="仿宋_GB2312" w:cs="仿宋_GB2312"/>
                <w:color w:val="000000"/>
                <w:sz w:val="20"/>
              </w:rPr>
              <w:t>(30分)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缺株、死株的（非管养不当造成的不计入），扣1分/株；</w:t>
            </w:r>
          </w:p>
          <w:p>
            <w:pPr>
              <w:pStyle w:val="6"/>
              <w:jc w:val="both"/>
            </w:pPr>
            <w:r>
              <w:rPr>
                <w:rFonts w:ascii="仿宋_GB2312" w:hAnsi="仿宋_GB2312" w:eastAsia="仿宋_GB2312" w:cs="仿宋_GB2312"/>
                <w:color w:val="000000"/>
                <w:sz w:val="20"/>
              </w:rPr>
              <w:t>存在倾斜或倒伏树木的，扣0.5-1分/株。</w:t>
            </w:r>
          </w:p>
          <w:p>
            <w:pPr>
              <w:pStyle w:val="6"/>
              <w:jc w:val="both"/>
            </w:pPr>
            <w:r>
              <w:rPr>
                <w:rFonts w:ascii="仿宋_GB2312" w:hAnsi="仿宋_GB2312" w:eastAsia="仿宋_GB2312" w:cs="仿宋_GB2312"/>
                <w:color w:val="000000"/>
                <w:sz w:val="20"/>
              </w:rPr>
              <w:t>补（新）植行道树高度、胸径与同一路段树种相差太大的，扣0.3-0.5分/株；</w:t>
            </w:r>
          </w:p>
          <w:p>
            <w:pPr>
              <w:pStyle w:val="6"/>
              <w:jc w:val="both"/>
            </w:pPr>
            <w:r>
              <w:rPr>
                <w:rFonts w:ascii="仿宋_GB2312" w:hAnsi="仿宋_GB2312" w:eastAsia="仿宋_GB2312" w:cs="仿宋_GB2312"/>
                <w:color w:val="000000"/>
                <w:sz w:val="20"/>
              </w:rPr>
              <w:t>行道树分支点影响行人过往、行车视线及交通安全的，扣0.5-1分/株。</w:t>
            </w:r>
          </w:p>
          <w:p>
            <w:pPr>
              <w:pStyle w:val="6"/>
              <w:jc w:val="both"/>
            </w:pPr>
            <w:r>
              <w:rPr>
                <w:rFonts w:ascii="仿宋_GB2312" w:hAnsi="仿宋_GB2312" w:eastAsia="仿宋_GB2312" w:cs="仿宋_GB2312"/>
                <w:color w:val="000000"/>
                <w:sz w:val="20"/>
              </w:rPr>
              <w:t>树干缠绕有野生藤蔓的扣0.5-1分/株。</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缺株、死株的（非管养不当造成的不计入），扣0.8分/株；</w:t>
            </w:r>
          </w:p>
          <w:p>
            <w:pPr>
              <w:pStyle w:val="6"/>
              <w:jc w:val="both"/>
            </w:pPr>
            <w:r>
              <w:rPr>
                <w:rFonts w:ascii="仿宋_GB2312" w:hAnsi="仿宋_GB2312" w:eastAsia="仿宋_GB2312" w:cs="仿宋_GB2312"/>
                <w:color w:val="000000"/>
                <w:sz w:val="20"/>
              </w:rPr>
              <w:t>存在倾斜或倒伏树木的，扣0.5-0.8分/株。</w:t>
            </w:r>
          </w:p>
          <w:p>
            <w:pPr>
              <w:pStyle w:val="6"/>
              <w:jc w:val="both"/>
            </w:pPr>
            <w:r>
              <w:rPr>
                <w:rFonts w:ascii="仿宋_GB2312" w:hAnsi="仿宋_GB2312" w:eastAsia="仿宋_GB2312" w:cs="仿宋_GB2312"/>
                <w:color w:val="000000"/>
                <w:sz w:val="20"/>
              </w:rPr>
              <w:t>补（新）植行道树高度、胸径与同一路段树种相差太大的，扣0.2-0.4分/株；</w:t>
            </w:r>
          </w:p>
          <w:p>
            <w:pPr>
              <w:pStyle w:val="6"/>
              <w:jc w:val="both"/>
            </w:pPr>
            <w:r>
              <w:rPr>
                <w:rFonts w:ascii="仿宋_GB2312" w:hAnsi="仿宋_GB2312" w:eastAsia="仿宋_GB2312" w:cs="仿宋_GB2312"/>
                <w:color w:val="000000"/>
                <w:sz w:val="20"/>
              </w:rPr>
              <w:t>行道树分支点影响行人过往、行车视线及交通安全的，扣0.5-0.8分/株。</w:t>
            </w:r>
          </w:p>
          <w:p>
            <w:pPr>
              <w:pStyle w:val="6"/>
              <w:jc w:val="both"/>
            </w:pPr>
            <w:r>
              <w:rPr>
                <w:rFonts w:ascii="仿宋_GB2312" w:hAnsi="仿宋_GB2312" w:eastAsia="仿宋_GB2312" w:cs="仿宋_GB2312"/>
                <w:color w:val="000000"/>
                <w:sz w:val="20"/>
              </w:rPr>
              <w:t>树干缠绕有野生藤蔓的扣0.5-0.8分/株。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修剪面不符合要求的，视情况扣0.5-0.8分/10m；</w:t>
            </w:r>
          </w:p>
          <w:p>
            <w:pPr>
              <w:pStyle w:val="6"/>
              <w:jc w:val="both"/>
            </w:pPr>
            <w:r>
              <w:rPr>
                <w:rFonts w:ascii="仿宋_GB2312" w:hAnsi="仿宋_GB2312" w:eastAsia="仿宋_GB2312" w:cs="仿宋_GB2312"/>
                <w:color w:val="000000"/>
                <w:sz w:val="20"/>
              </w:rPr>
              <w:t>空缺、断层、出现明显空秃的，未在7个工作日内及时补植的，扣0.5-1分/处。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修剪面不符合要求的，视情况扣0.3-0.6分/10m；</w:t>
            </w:r>
          </w:p>
          <w:p>
            <w:pPr>
              <w:pStyle w:val="6"/>
              <w:jc w:val="both"/>
            </w:pPr>
            <w:r>
              <w:rPr>
                <w:rFonts w:ascii="仿宋_GB2312" w:hAnsi="仿宋_GB2312" w:eastAsia="仿宋_GB2312" w:cs="仿宋_GB2312"/>
                <w:color w:val="000000"/>
                <w:sz w:val="20"/>
              </w:rPr>
              <w:t>空缺、断层、出现明显空秃的，未在10个工作日内及时补植的，扣0.5-0.8分/处。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高度不符合要求的，扣0.2分/10m²；</w:t>
            </w:r>
          </w:p>
          <w:p>
            <w:pPr>
              <w:pStyle w:val="6"/>
              <w:jc w:val="both"/>
            </w:pPr>
            <w:r>
              <w:rPr>
                <w:rFonts w:ascii="仿宋_GB2312" w:hAnsi="仿宋_GB2312" w:eastAsia="仿宋_GB2312" w:cs="仿宋_GB2312"/>
                <w:color w:val="000000"/>
                <w:sz w:val="20"/>
              </w:rPr>
              <w:t>有明显杂草，单块面积大于1m²的，视面积扣0.5-0.8分/处；</w:t>
            </w:r>
          </w:p>
          <w:p>
            <w:pPr>
              <w:pStyle w:val="6"/>
              <w:jc w:val="both"/>
            </w:pPr>
            <w:r>
              <w:rPr>
                <w:rFonts w:ascii="仿宋_GB2312" w:hAnsi="仿宋_GB2312" w:eastAsia="仿宋_GB2312" w:cs="仿宋_GB2312"/>
                <w:color w:val="000000"/>
                <w:sz w:val="20"/>
              </w:rPr>
              <w:t>反季节枯黄、空秃面积超过限制的，视面积扣0.5-1分/处。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高度不符合要求的，扣0.2分/10m²；</w:t>
            </w:r>
          </w:p>
          <w:p>
            <w:pPr>
              <w:pStyle w:val="6"/>
              <w:jc w:val="both"/>
            </w:pPr>
            <w:r>
              <w:rPr>
                <w:rFonts w:ascii="仿宋_GB2312" w:hAnsi="仿宋_GB2312" w:eastAsia="仿宋_GB2312" w:cs="仿宋_GB2312"/>
                <w:color w:val="000000"/>
                <w:sz w:val="20"/>
              </w:rPr>
              <w:t>有明显杂草，单块面积大于1m²的，视面积扣0.5-0.8分/处；</w:t>
            </w:r>
          </w:p>
          <w:p>
            <w:pPr>
              <w:pStyle w:val="6"/>
              <w:jc w:val="both"/>
            </w:pPr>
            <w:r>
              <w:rPr>
                <w:rFonts w:ascii="仿宋_GB2312" w:hAnsi="仿宋_GB2312" w:eastAsia="仿宋_GB2312" w:cs="仿宋_GB2312"/>
                <w:color w:val="000000"/>
                <w:sz w:val="20"/>
              </w:rPr>
              <w:t>反季节枯黄、空秃面积超过限制的，视面积扣0.5-1分/处。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倒伏面积超过10%，残花败叶未及时清理的，视面积扣0.5-1分/处；</w:t>
            </w:r>
          </w:p>
          <w:p>
            <w:pPr>
              <w:pStyle w:val="6"/>
              <w:jc w:val="both"/>
            </w:pPr>
            <w:r>
              <w:rPr>
                <w:rFonts w:ascii="仿宋_GB2312" w:hAnsi="仿宋_GB2312" w:eastAsia="仿宋_GB2312" w:cs="仿宋_GB2312"/>
                <w:color w:val="000000"/>
                <w:sz w:val="20"/>
              </w:rPr>
              <w:t>出现大面积虫斑，杂草（盆栽被盗）占比超过总面积10%的，扣1分/处。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倒伏面积超过10%，残花败叶未及时清理的，视面积扣0.5-0.8分/处；</w:t>
            </w:r>
          </w:p>
          <w:p>
            <w:pPr>
              <w:pStyle w:val="6"/>
              <w:jc w:val="both"/>
            </w:pPr>
            <w:r>
              <w:rPr>
                <w:rFonts w:ascii="仿宋_GB2312" w:hAnsi="仿宋_GB2312" w:eastAsia="仿宋_GB2312" w:cs="仿宋_GB2312"/>
                <w:color w:val="000000"/>
                <w:sz w:val="20"/>
              </w:rPr>
              <w:t>出现大面积虫斑的，杂草（盆栽被盗）超过总面积10%的，扣0.8分/处。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无病虫害防治预案和防治计划的，扣3分。</w:t>
            </w:r>
          </w:p>
          <w:p>
            <w:pPr>
              <w:pStyle w:val="6"/>
              <w:jc w:val="both"/>
            </w:pPr>
            <w:r>
              <w:rPr>
                <w:rFonts w:ascii="仿宋_GB2312" w:hAnsi="仿宋_GB2312" w:eastAsia="仿宋_GB2312" w:cs="仿宋_GB2312"/>
                <w:color w:val="000000"/>
                <w:sz w:val="20"/>
              </w:rPr>
              <w:t>有病虫害危害的，乔灌木扣0.3-0.5分/株，绿篱、草坪受害面积超过总面积10%的，扣1-3分；发生药害事故的，此项全扣。</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无病虫害防治预案和防治计划的，扣3分。</w:t>
            </w:r>
          </w:p>
          <w:p>
            <w:pPr>
              <w:pStyle w:val="6"/>
              <w:jc w:val="both"/>
            </w:pPr>
            <w:r>
              <w:rPr>
                <w:rFonts w:ascii="仿宋_GB2312" w:hAnsi="仿宋_GB2312" w:eastAsia="仿宋_GB2312" w:cs="仿宋_GB2312"/>
                <w:color w:val="000000"/>
                <w:sz w:val="20"/>
              </w:rPr>
              <w:t>有病虫害危害的，乔灌木扣0.2-0.4分/株，绿篱、草坪受害面积超过总面积20%的，扣1-3分；发生药害事故的，此项全扣。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无针对台风天气易倒伏树木修剪计划的，扣3分。</w:t>
            </w:r>
          </w:p>
          <w:p>
            <w:pPr>
              <w:pStyle w:val="6"/>
              <w:jc w:val="both"/>
            </w:pPr>
            <w:r>
              <w:rPr>
                <w:rFonts w:ascii="仿宋_GB2312" w:hAnsi="仿宋_GB2312" w:eastAsia="仿宋_GB2312" w:cs="仿宋_GB2312"/>
                <w:color w:val="000000"/>
                <w:sz w:val="20"/>
              </w:rPr>
              <w:t>未对根浅、迎风、树冠大、枝叶浓密树木及时采取加固措施的，扣1分/株。</w:t>
            </w:r>
            <w:r>
              <w:br w:type="textWrapping"/>
            </w:r>
            <w:r>
              <w:rPr>
                <w:rFonts w:ascii="仿宋_GB2312" w:hAnsi="仿宋_GB2312" w:eastAsia="仿宋_GB2312" w:cs="仿宋_GB2312"/>
                <w:color w:val="000000"/>
                <w:sz w:val="20"/>
              </w:rPr>
              <w:t>台风后未在12小时内疏通道路，扣2分/处；未在3日内将倒伏树扶正扣1分/株。</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无针对台风天气易倒伏树木修剪计划的，扣3分。</w:t>
            </w:r>
          </w:p>
          <w:p>
            <w:pPr>
              <w:pStyle w:val="6"/>
              <w:jc w:val="both"/>
            </w:pPr>
            <w:r>
              <w:rPr>
                <w:rFonts w:ascii="仿宋_GB2312" w:hAnsi="仿宋_GB2312" w:eastAsia="仿宋_GB2312" w:cs="仿宋_GB2312"/>
                <w:color w:val="000000"/>
                <w:sz w:val="20"/>
              </w:rPr>
              <w:t>未对根浅、迎风、树冠大、枝叶浓密树木及时采取加固措施的，扣0.8分/株。</w:t>
            </w:r>
            <w:r>
              <w:br w:type="textWrapping"/>
            </w:r>
            <w:r>
              <w:rPr>
                <w:rFonts w:ascii="仿宋_GB2312" w:hAnsi="仿宋_GB2312" w:eastAsia="仿宋_GB2312" w:cs="仿宋_GB2312"/>
                <w:color w:val="000000"/>
                <w:sz w:val="20"/>
              </w:rPr>
              <w:t>台风后未在24小时内疏通道路的，扣2分/处；未在5日内将倒伏树扶正扣1分/株。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绿地</w:t>
            </w:r>
          </w:p>
          <w:p>
            <w:pPr>
              <w:pStyle w:val="6"/>
              <w:jc w:val="center"/>
            </w:pPr>
            <w:r>
              <w:rPr>
                <w:rFonts w:ascii="仿宋_GB2312" w:hAnsi="仿宋_GB2312" w:eastAsia="仿宋_GB2312" w:cs="仿宋_GB2312"/>
                <w:color w:val="000000"/>
                <w:sz w:val="20"/>
              </w:rPr>
              <w:t>保洁</w:t>
            </w:r>
            <w:r>
              <w:br w:type="textWrapping"/>
            </w:r>
            <w:r>
              <w:rPr>
                <w:rFonts w:ascii="仿宋_GB2312" w:hAnsi="仿宋_GB2312" w:eastAsia="仿宋_GB2312" w:cs="仿宋_GB2312"/>
                <w:color w:val="000000"/>
                <w:sz w:val="20"/>
              </w:rPr>
              <w:t>状况</w:t>
            </w:r>
            <w:r>
              <w:br w:type="textWrapping"/>
            </w:r>
            <w:r>
              <w:rPr>
                <w:rFonts w:ascii="仿宋_GB2312" w:hAnsi="仿宋_GB2312" w:eastAsia="仿宋_GB2312" w:cs="仿宋_GB2312"/>
                <w:color w:val="000000"/>
                <w:sz w:val="20"/>
              </w:rPr>
              <w:t>(25分)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12</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有污物、树枝（叶）上悬挂有明显有形垃圾及杂物的，扣1分/处；</w:t>
            </w:r>
          </w:p>
          <w:p>
            <w:pPr>
              <w:pStyle w:val="6"/>
              <w:jc w:val="both"/>
            </w:pPr>
            <w:r>
              <w:rPr>
                <w:rFonts w:ascii="仿宋_GB2312" w:hAnsi="仿宋_GB2312" w:eastAsia="仿宋_GB2312" w:cs="仿宋_GB2312"/>
                <w:color w:val="000000"/>
                <w:sz w:val="20"/>
              </w:rPr>
              <w:t>有工程废料及其他有形垃圾的，视面积扣1-3分/处。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有污物、树枝（叶）上悬挂有明显有形垃圾及杂物的，扣0.8分/处；</w:t>
            </w:r>
          </w:p>
          <w:p>
            <w:pPr>
              <w:pStyle w:val="6"/>
              <w:jc w:val="both"/>
            </w:pPr>
            <w:r>
              <w:rPr>
                <w:rFonts w:ascii="仿宋_GB2312" w:hAnsi="仿宋_GB2312" w:eastAsia="仿宋_GB2312" w:cs="仿宋_GB2312"/>
                <w:color w:val="000000"/>
                <w:sz w:val="20"/>
              </w:rPr>
              <w:t>有工程废料及其他有形垃圾的，视面积扣1-2分/处。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8</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绿化修剪废弃物未及时清理的，视面积扣1-2分/处；有被数字城管抓拍或12345投诉的，扣1分/次。</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绿化修剪废弃物未及时清理的，视面积扣0.5-1分/处；有被数字城管抓拍或12345投诉的，扣0.5分/次。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（乔灌木、绿篱或园林景观设施）表面有明显积尘的，园林景观设施破损严重的，单块面积大于1m²的，扣0.5-0.8分/处。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（乔灌木、绿篱或园林景观设施）表面有明显积尘的，园林景观设施破损严重的，单块面积大于1m²的，扣0.2-0.8分/处。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作业</w:t>
            </w:r>
          </w:p>
          <w:p>
            <w:pPr>
              <w:pStyle w:val="6"/>
              <w:jc w:val="center"/>
            </w:pPr>
            <w:r>
              <w:rPr>
                <w:rFonts w:ascii="仿宋_GB2312" w:hAnsi="仿宋_GB2312" w:eastAsia="仿宋_GB2312" w:cs="仿宋_GB2312"/>
                <w:color w:val="000000"/>
                <w:sz w:val="20"/>
              </w:rPr>
              <w:t>规范</w:t>
            </w:r>
            <w:r>
              <w:br w:type="textWrapping"/>
            </w:r>
            <w:r>
              <w:rPr>
                <w:rFonts w:ascii="仿宋_GB2312" w:hAnsi="仿宋_GB2312" w:eastAsia="仿宋_GB2312" w:cs="仿宋_GB2312"/>
                <w:color w:val="000000"/>
                <w:sz w:val="20"/>
              </w:rPr>
              <w:t>管理</w:t>
            </w:r>
          </w:p>
          <w:p>
            <w:pPr>
              <w:pStyle w:val="6"/>
              <w:jc w:val="center"/>
            </w:pPr>
            <w:r>
              <w:rPr>
                <w:rFonts w:ascii="仿宋_GB2312" w:hAnsi="仿宋_GB2312" w:eastAsia="仿宋_GB2312" w:cs="仿宋_GB2312"/>
                <w:color w:val="000000"/>
                <w:sz w:val="20"/>
              </w:rPr>
              <w:t>(15分)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影响交通，出现群众投诉的，扣2分/次。</w:t>
            </w:r>
            <w:r>
              <w:br w:type="textWrapping"/>
            </w:r>
            <w:r>
              <w:rPr>
                <w:rFonts w:ascii="仿宋_GB2312" w:hAnsi="仿宋_GB2312" w:eastAsia="仿宋_GB2312" w:cs="仿宋_GB2312"/>
                <w:color w:val="000000"/>
                <w:sz w:val="20"/>
              </w:rPr>
              <w:t>现场无反光锥、警示牌等安全文明施工措施，扣3分/处；未及时清理场地的，视面积扣0.5-1分/处。</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影响交通，出现群众投诉的，扣1.5分/次。</w:t>
            </w:r>
            <w:r>
              <w:br w:type="textWrapping"/>
            </w:r>
            <w:r>
              <w:rPr>
                <w:rFonts w:ascii="仿宋_GB2312" w:hAnsi="仿宋_GB2312" w:eastAsia="仿宋_GB2312" w:cs="仿宋_GB2312"/>
                <w:color w:val="000000"/>
                <w:sz w:val="20"/>
              </w:rPr>
              <w:t>现场无反光锥、警示牌等安全文明施工措施，扣3分/处；未及时清理场地的，视面积扣0.5-0.8分/处。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无管理员跟班作业，扣2分/次；无检查记录的，扣1分/次；</w:t>
            </w:r>
            <w:r>
              <w:br w:type="textWrapping"/>
            </w:r>
            <w:r>
              <w:rPr>
                <w:rFonts w:ascii="仿宋_GB2312" w:hAnsi="仿宋_GB2312" w:eastAsia="仿宋_GB2312" w:cs="仿宋_GB2312"/>
                <w:color w:val="000000"/>
                <w:sz w:val="20"/>
              </w:rPr>
              <w:t>养护人员未穿带有反光标志的统一制服，扣0.5分/人。</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无管理员跟班作业，扣2分/次；无检查记录的，扣1分/次；</w:t>
            </w:r>
            <w:r>
              <w:br w:type="textWrapping"/>
            </w:r>
            <w:r>
              <w:rPr>
                <w:rFonts w:ascii="仿宋_GB2312" w:hAnsi="仿宋_GB2312" w:eastAsia="仿宋_GB2312" w:cs="仿宋_GB2312"/>
                <w:color w:val="000000"/>
                <w:sz w:val="20"/>
              </w:rPr>
              <w:t>养护人员未穿带有反光标志的统一制服，扣0.5分/人。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vMerge w:val="continue"/>
            <w:tcBorders>
              <w:top w:val="nil"/>
              <w:left w:val="single" w:color="000000" w:sz="4" w:space="0"/>
              <w:bottom w:val="single" w:color="000000" w:sz="4" w:space="0"/>
              <w:right w:val="single" w:color="000000" w:sz="4" w:space="0"/>
            </w:tcBorders>
          </w:tcP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5</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月度养护计划未按规定时间上报的；扣2分/次。</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月度养护计划未按规定时间上报的；扣2分/次。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其他</w:t>
            </w:r>
            <w:r>
              <w:br w:type="textWrapping"/>
            </w:r>
            <w:r>
              <w:rPr>
                <w:rFonts w:ascii="仿宋_GB2312" w:hAnsi="仿宋_GB2312" w:eastAsia="仿宋_GB2312" w:cs="仿宋_GB2312"/>
                <w:color w:val="000000"/>
                <w:sz w:val="20"/>
              </w:rPr>
              <w:t>(10分)</w:t>
            </w:r>
          </w:p>
        </w:tc>
        <w:tc>
          <w:tcPr>
            <w:tcW w:w="52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632"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10</w:t>
            </w:r>
          </w:p>
        </w:tc>
        <w:tc>
          <w:tcPr>
            <w:tcW w:w="677"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不配合工作，造成植株死亡的，扣2分/处；乔灌木以株为单位，地被、草坪及花卉以每10平方米为单位。</w:t>
            </w:r>
          </w:p>
          <w:p>
            <w:pPr>
              <w:pStyle w:val="6"/>
              <w:jc w:val="both"/>
            </w:pPr>
            <w:r>
              <w:rPr>
                <w:rFonts w:ascii="仿宋_GB2312" w:hAnsi="仿宋_GB2312" w:eastAsia="仿宋_GB2312" w:cs="仿宋_GB2312"/>
                <w:color w:val="000000"/>
                <w:sz w:val="20"/>
              </w:rPr>
              <w:t>日常考核记录中，同一路段、同类问题（如垃圾清运不及时、同种病虫害反复发生）在整改后再次出现的，扣5分。如因重大活动保障不力，被点名批评的，该项全扣。</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不配合工作，造成植株死亡的，扣1分/处；乔灌木以株为单位，地被、草坪及花卉以每10平方米为单位。日常考核记录中，同一路段、同类问题（如垃圾清运不及时、同种病虫害反复发生）在整改后再次出现的，扣5分。如因重大活动保障不力，被点名批评的，该项全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6"/>
              <w:jc w:val="center"/>
            </w:pPr>
            <w:r>
              <w:rPr>
                <w:rFonts w:ascii="仿宋_GB2312" w:hAnsi="仿宋_GB2312" w:eastAsia="仿宋_GB2312" w:cs="仿宋_GB2312"/>
                <w:color w:val="000000"/>
                <w:sz w:val="20"/>
              </w:rPr>
              <w:t>合计</w:t>
            </w:r>
          </w:p>
          <w:p>
            <w:pPr>
              <w:pStyle w:val="6"/>
              <w:jc w:val="center"/>
            </w:pPr>
            <w:r>
              <w:rPr>
                <w:rFonts w:ascii="仿宋_GB2312" w:hAnsi="仿宋_GB2312" w:eastAsia="仿宋_GB2312" w:cs="仿宋_GB2312"/>
                <w:color w:val="000000"/>
                <w:sz w:val="20"/>
              </w:rPr>
              <w:t>(100分)</w:t>
            </w:r>
          </w:p>
        </w:tc>
        <w:tc>
          <w:tcPr>
            <w:tcW w:w="1836" w:type="dxa"/>
            <w:gridSpan w:val="3"/>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center"/>
            </w:pPr>
          </w:p>
        </w:tc>
        <w:tc>
          <w:tcPr>
            <w:tcW w:w="3175"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考核意见：</w:t>
            </w:r>
          </w:p>
        </w:tc>
        <w:tc>
          <w:tcPr>
            <w:tcW w:w="279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6"/>
              <w:jc w:val="both"/>
            </w:pPr>
            <w:r>
              <w:rPr>
                <w:rFonts w:ascii="仿宋_GB2312" w:hAnsi="仿宋_GB2312" w:eastAsia="仿宋_GB2312" w:cs="仿宋_GB2312"/>
                <w:color w:val="000000"/>
                <w:sz w:val="20"/>
              </w:rPr>
              <w:t>检查人：</w:t>
            </w:r>
          </w:p>
        </w:tc>
      </w:tr>
    </w:tbl>
    <w:p>
      <w:pPr>
        <w:pStyle w:val="6"/>
        <w:jc w:val="both"/>
      </w:pPr>
      <w:r>
        <w:rPr>
          <w:rFonts w:ascii="仿宋_GB2312" w:hAnsi="仿宋_GB2312" w:eastAsia="仿宋_GB2312" w:cs="仿宋_GB2312"/>
          <w:color w:val="000000"/>
          <w:sz w:val="20"/>
        </w:rPr>
        <w:t>11.3处罚标准：A:100分≤平均分≥95分的为优秀，不扣作业经费。</w:t>
      </w:r>
    </w:p>
    <w:p>
      <w:pPr>
        <w:pStyle w:val="6"/>
        <w:jc w:val="left"/>
      </w:pPr>
      <w:r>
        <w:rPr>
          <w:rFonts w:ascii="仿宋_GB2312" w:hAnsi="仿宋_GB2312" w:eastAsia="仿宋_GB2312" w:cs="仿宋_GB2312"/>
          <w:color w:val="000000"/>
          <w:sz w:val="20"/>
        </w:rPr>
        <w:t>B:95分＜平均分≥90分的，每低于95分，按照每低1分每月作业经费1万元的标准进行扣除作业经费；</w:t>
      </w:r>
    </w:p>
    <w:p>
      <w:pPr>
        <w:pStyle w:val="6"/>
        <w:jc w:val="left"/>
      </w:pPr>
      <w:r>
        <w:rPr>
          <w:rFonts w:ascii="仿宋_GB2312" w:hAnsi="仿宋_GB2312" w:eastAsia="仿宋_GB2312" w:cs="仿宋_GB2312"/>
          <w:color w:val="000000"/>
          <w:sz w:val="20"/>
        </w:rPr>
        <w:t>C：90分＜平均分≥85的，每低于90分，按照每低1分每月作业经费2万元的标准进行扣除；</w:t>
      </w:r>
    </w:p>
    <w:p>
      <w:pPr>
        <w:pStyle w:val="6"/>
        <w:jc w:val="left"/>
      </w:pPr>
      <w:r>
        <w:rPr>
          <w:rFonts w:ascii="仿宋_GB2312" w:hAnsi="仿宋_GB2312" w:eastAsia="仿宋_GB2312" w:cs="仿宋_GB2312"/>
          <w:color w:val="000000"/>
          <w:sz w:val="20"/>
        </w:rPr>
        <w:t>D：对于月平均得分在85以下的，除按照每低1分每季度作业经费2万元的标准进行扣除外，再发整改通知书要求限期整改，并通报批评。</w:t>
      </w:r>
    </w:p>
    <w:p>
      <w:pPr>
        <w:pStyle w:val="6"/>
        <w:jc w:val="left"/>
      </w:pPr>
      <w:r>
        <w:rPr>
          <w:rFonts w:ascii="仿宋_GB2312" w:hAnsi="仿宋_GB2312" w:eastAsia="仿宋_GB2312" w:cs="仿宋_GB2312"/>
          <w:color w:val="000000"/>
          <w:sz w:val="20"/>
        </w:rPr>
        <w:t>E：每年月考评平均分累计两次低于85分以下的，终止该养护企业的养护合同。</w:t>
      </w:r>
    </w:p>
    <w:p>
      <w:pPr>
        <w:pStyle w:val="6"/>
        <w:jc w:val="left"/>
      </w:pPr>
      <w:r>
        <w:rPr>
          <w:rFonts w:ascii="仿宋_GB2312" w:hAnsi="仿宋_GB2312" w:eastAsia="仿宋_GB2312" w:cs="仿宋_GB2312"/>
          <w:color w:val="000000"/>
          <w:sz w:val="20"/>
          <w:shd w:val="clear" w:fill="FFFFFF"/>
        </w:rPr>
        <w:t>11.4</w:t>
      </w:r>
      <w:r>
        <w:rPr>
          <w:rFonts w:ascii="仿宋_GB2312" w:hAnsi="仿宋_GB2312" w:eastAsia="仿宋_GB2312" w:cs="仿宋_GB2312"/>
          <w:color w:val="000000"/>
          <w:sz w:val="20"/>
        </w:rPr>
        <w:t>中标单位项目负责人、技术负责人每月应出勤不少于20天，更换项目负责人或技术负责人要经过采购方批准，并给予处罚5万元。</w:t>
      </w:r>
    </w:p>
    <w:p>
      <w:pPr>
        <w:pStyle w:val="6"/>
        <w:jc w:val="left"/>
      </w:pPr>
      <w:r>
        <w:rPr>
          <w:rFonts w:ascii="仿宋_GB2312" w:hAnsi="仿宋_GB2312" w:eastAsia="仿宋_GB2312" w:cs="仿宋_GB2312"/>
          <w:color w:val="000000"/>
          <w:sz w:val="20"/>
        </w:rPr>
        <w:t>11.5招标文件中所要求的持证上岗人员每月</w:t>
      </w:r>
      <w:r>
        <w:rPr>
          <w:rFonts w:ascii="仿宋_GB2312" w:hAnsi="仿宋_GB2312" w:eastAsia="仿宋_GB2312" w:cs="仿宋_GB2312"/>
          <w:color w:val="000000"/>
          <w:sz w:val="20"/>
          <w:shd w:val="clear" w:fill="FFFFFF"/>
        </w:rPr>
        <w:t>应出勤不少于20天。</w:t>
      </w:r>
    </w:p>
    <w:p>
      <w:pPr>
        <w:pStyle w:val="6"/>
        <w:jc w:val="both"/>
      </w:pPr>
      <w:r>
        <w:rPr>
          <w:rFonts w:ascii="仿宋_GB2312" w:hAnsi="仿宋_GB2312" w:eastAsia="仿宋_GB2312" w:cs="仿宋_GB2312"/>
          <w:color w:val="000000"/>
          <w:sz w:val="20"/>
          <w:shd w:val="clear" w:fill="FFFFFF"/>
        </w:rPr>
        <w:t>11.6每个标段中标公司不允许采用劳务派遣用工形式。</w:t>
      </w:r>
    </w:p>
    <w:p>
      <w:pPr>
        <w:pStyle w:val="6"/>
        <w:jc w:val="both"/>
      </w:pPr>
      <w:r>
        <w:rPr>
          <w:rFonts w:ascii="仿宋_GB2312" w:hAnsi="仿宋_GB2312" w:eastAsia="仿宋_GB2312" w:cs="仿宋_GB2312"/>
          <w:color w:val="000000"/>
          <w:sz w:val="20"/>
          <w:shd w:val="clear" w:fill="FFFFFF"/>
        </w:rPr>
        <w:t>11.7投标人应按要求配备人员、机械设备，采购单位不定时对人员、设备进行清点，发现养护人员少于投标要求，每少一个每人每天处罚1000元，设备每少一部每次处罚2000元，从当月养护费中扣除。</w:t>
      </w:r>
    </w:p>
    <w:p>
      <w:pPr>
        <w:pStyle w:val="6"/>
        <w:jc w:val="both"/>
      </w:pPr>
      <w:r>
        <w:rPr>
          <w:rFonts w:ascii="仿宋_GB2312" w:hAnsi="仿宋_GB2312" w:eastAsia="仿宋_GB2312" w:cs="仿宋_GB2312"/>
          <w:color w:val="000000"/>
          <w:sz w:val="20"/>
          <w:shd w:val="clear" w:fill="FFFFFF"/>
        </w:rPr>
        <w:t>12专项履约要求</w:t>
      </w:r>
    </w:p>
    <w:p>
      <w:pPr>
        <w:pStyle w:val="6"/>
        <w:jc w:val="both"/>
      </w:pPr>
      <w:r>
        <w:rPr>
          <w:rFonts w:ascii="仿宋_GB2312" w:hAnsi="仿宋_GB2312" w:eastAsia="仿宋_GB2312" w:cs="仿宋_GB2312"/>
          <w:color w:val="000000"/>
          <w:sz w:val="20"/>
          <w:shd w:val="clear" w:fill="FFFFFF"/>
        </w:rPr>
        <w:t>12.1首年全面修剪及付款要求</w:t>
      </w:r>
    </w:p>
    <w:p>
      <w:pPr>
        <w:pStyle w:val="6"/>
        <w:jc w:val="left"/>
      </w:pPr>
      <w:r>
        <w:rPr>
          <w:rFonts w:ascii="仿宋_GB2312" w:hAnsi="仿宋_GB2312" w:eastAsia="仿宋_GB2312" w:cs="仿宋_GB2312"/>
          <w:color w:val="000000"/>
          <w:sz w:val="20"/>
          <w:shd w:val="clear" w:fill="FFFFFF"/>
        </w:rPr>
        <w:t>12.1.1总体要求：中标人必须在合同生效后12个月的服务期内，完成其所中标采购包范围内所有路段行道树的一轮全面修剪工作。此项工作属于合同履行期间必须完成的关键性、周期性工作，是衡量年度养护质量的重要指标。</w:t>
      </w:r>
    </w:p>
    <w:p>
      <w:pPr>
        <w:pStyle w:val="6"/>
        <w:jc w:val="both"/>
      </w:pPr>
      <w:r>
        <w:rPr>
          <w:rFonts w:ascii="仿宋_GB2312" w:hAnsi="仿宋_GB2312" w:eastAsia="仿宋_GB2312" w:cs="仿宋_GB2312"/>
          <w:color w:val="000000"/>
          <w:sz w:val="20"/>
          <w:shd w:val="clear" w:fill="FFFFFF"/>
        </w:rPr>
        <w:t>12.1.2月度计划与审核：中标人须在进场后15个日历日内，向采购人提交详细的《首年行道树全面修剪年度计划及月度分解表》。该计划应明确列出各路段的具体修剪时间、范围、技术要点及预计投入的人力、设备资源，并报采购人审核备案。采购人有权根据实际情况对计划提出调整意见，中标人应予以配合。</w:t>
      </w:r>
    </w:p>
    <w:p>
      <w:pPr>
        <w:pStyle w:val="6"/>
        <w:jc w:val="left"/>
      </w:pPr>
      <w:r>
        <w:rPr>
          <w:rFonts w:ascii="仿宋_GB2312" w:hAnsi="仿宋_GB2312" w:eastAsia="仿宋_GB2312" w:cs="仿宋_GB2312"/>
          <w:color w:val="000000"/>
          <w:sz w:val="20"/>
          <w:shd w:val="clear" w:fill="FFFFFF"/>
        </w:rPr>
        <w:t>12.1.3月度执行与考核：</w:t>
      </w:r>
    </w:p>
    <w:p>
      <w:pPr>
        <w:pStyle w:val="6"/>
        <w:jc w:val="left"/>
      </w:pPr>
      <w:r>
        <w:rPr>
          <w:rFonts w:ascii="仿宋_GB2312" w:hAnsi="仿宋_GB2312" w:eastAsia="仿宋_GB2312" w:cs="仿宋_GB2312"/>
          <w:color w:val="000000"/>
          <w:sz w:val="20"/>
          <w:shd w:val="clear" w:fill="FFFFFF"/>
        </w:rPr>
        <w:t>（1）中标人须严格按照经采购人审核同意的月度修剪计划执行。每月度结束后5个工作日内，应向采购人提交《月度行道树修剪完成情况报告》，并附上修剪前后的影像对比资料、作业记录等，以备核查。</w:t>
      </w:r>
    </w:p>
    <w:p>
      <w:pPr>
        <w:pStyle w:val="6"/>
        <w:jc w:val="left"/>
      </w:pPr>
      <w:r>
        <w:rPr>
          <w:rFonts w:ascii="仿宋_GB2312" w:hAnsi="仿宋_GB2312" w:eastAsia="仿宋_GB2312" w:cs="仿宋_GB2312"/>
          <w:color w:val="000000"/>
          <w:sz w:val="20"/>
          <w:shd w:val="clear" w:fill="FFFFFF"/>
        </w:rPr>
        <w:t>（2）采购人将结合日常巡查、专项检查及月度考核，对当月计划的完成情况进行验收。只有当中标人完成当月修剪计划，且修剪质量符合招标文件第五章“二、技术和服务要求”中关于“行道树养护质量要求”及“修剪”的相关规定，经采购人书面或系统确认后，方可满足当月服务费的支付条件之一。</w:t>
      </w:r>
    </w:p>
    <w:p>
      <w:pPr>
        <w:pStyle w:val="6"/>
        <w:jc w:val="left"/>
      </w:pPr>
      <w:r>
        <w:rPr>
          <w:rFonts w:ascii="仿宋_GB2312" w:hAnsi="仿宋_GB2312" w:eastAsia="仿宋_GB2312" w:cs="仿宋_GB2312"/>
          <w:color w:val="000000"/>
          <w:sz w:val="20"/>
          <w:shd w:val="clear" w:fill="FFFFFF"/>
        </w:rPr>
        <w:t>（3）若因中标人自身原因（如人员、设备投入不足，组织不力等）导致当月修剪计划未完成，采购人有权在当月的月考核中，对该项工作酌情扣减2-5分，并有权暂缓支付当月服务费，直至中标人完成整改并补足当月修剪工作量，经采购人确认后，再行支付。</w:t>
      </w:r>
    </w:p>
    <w:p>
      <w:pPr>
        <w:pStyle w:val="6"/>
        <w:jc w:val="left"/>
      </w:pPr>
      <w:r>
        <w:rPr>
          <w:rFonts w:ascii="仿宋_GB2312" w:hAnsi="仿宋_GB2312" w:eastAsia="仿宋_GB2312" w:cs="仿宋_GB2312"/>
          <w:color w:val="000000"/>
          <w:sz w:val="20"/>
          <w:shd w:val="clear" w:fill="FFFFFF"/>
        </w:rPr>
        <w:t>12.1.4例外情况：如遇不可抗力（如持续极端天气、政府重大活动管制等）、或因采购人要求调整工作计划等非中标人原因导致计划无法执行，中标人应及时书面报告，经采购人书面同意后，计划可相应顺延，不影响当月付款条件。但顺延的工作必须在后续月度计划中补足。</w:t>
      </w:r>
    </w:p>
    <w:p>
      <w:pPr>
        <w:pStyle w:val="6"/>
        <w:jc w:val="left"/>
      </w:pPr>
      <w:r>
        <w:rPr>
          <w:rFonts w:ascii="仿宋_GB2312" w:hAnsi="仿宋_GB2312" w:eastAsia="仿宋_GB2312" w:cs="仿宋_GB2312"/>
          <w:color w:val="000000"/>
          <w:sz w:val="20"/>
          <w:shd w:val="clear" w:fill="FFFFFF"/>
        </w:rPr>
        <w:t>12.2投诉件处理考核</w:t>
      </w:r>
    </w:p>
    <w:p>
      <w:pPr>
        <w:pStyle w:val="6"/>
        <w:jc w:val="left"/>
      </w:pPr>
      <w:r>
        <w:rPr>
          <w:rFonts w:ascii="仿宋_GB2312" w:hAnsi="仿宋_GB2312" w:eastAsia="仿宋_GB2312" w:cs="仿宋_GB2312"/>
          <w:color w:val="000000"/>
          <w:sz w:val="20"/>
          <w:shd w:val="clear" w:fill="FFFFFF"/>
        </w:rPr>
        <w:t>12.2.1适用范围：本条款适用于采购人转办的、涉及中标人养护责任范围内的各类投诉，包括但不限于“12345”政务服务便民热线、数字城管平台、媒体曝光、群众直接来访来信等渠道反映的问题。</w:t>
      </w:r>
    </w:p>
    <w:p>
      <w:pPr>
        <w:pStyle w:val="6"/>
        <w:jc w:val="left"/>
      </w:pPr>
      <w:r>
        <w:rPr>
          <w:rFonts w:ascii="仿宋_GB2312" w:hAnsi="仿宋_GB2312" w:eastAsia="仿宋_GB2312" w:cs="仿宋_GB2312"/>
          <w:color w:val="000000"/>
          <w:sz w:val="20"/>
          <w:shd w:val="clear" w:fill="FFFFFF"/>
        </w:rPr>
        <w:t>12.2.2处理时效与要求：中标人须建立7×24小时投诉应急响应机制，指定专人负责接收、处理和反馈采购人转办的投诉件。对于一般投诉，应在收到转办通知后2小时内到达现场核查，24小时内将处理情况和初步反馈意见报采购人。需较长时间整改的，应说明原因及预计完成时间。</w:t>
      </w:r>
    </w:p>
    <w:p>
      <w:pPr>
        <w:pStyle w:val="6"/>
        <w:jc w:val="left"/>
      </w:pPr>
      <w:r>
        <w:rPr>
          <w:rFonts w:ascii="仿宋_GB2312" w:hAnsi="仿宋_GB2312" w:eastAsia="仿宋_GB2312" w:cs="仿宋_GB2312"/>
          <w:color w:val="000000"/>
          <w:sz w:val="20"/>
          <w:shd w:val="clear" w:fill="FFFFFF"/>
        </w:rPr>
        <w:t>12.2.3考核扣分标准：采购人将根据投诉件的办理情况、处理结果及投诉人满意度，在月度考核中进行扣分处理，具体标准如下：</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3506"/>
        <w:gridCol w:w="2076"/>
        <w:gridCol w:w="20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序号</w:t>
            </w:r>
          </w:p>
        </w:tc>
        <w:tc>
          <w:tcPr>
            <w:tcW w:w="350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情形</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扣分标准</w:t>
            </w:r>
          </w:p>
        </w:tc>
        <w:tc>
          <w:tcPr>
            <w:tcW w:w="20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1</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投诉内容经核实，确属中标人养护不到位、管理失职所致。</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每件扣1分</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同一问题引发多平台投诉，不重复扣分，按最高标准执行。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2</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对第1项所述投诉，中标人初次答复情况不实、推诿塞责或敷衍了事，导致投诉人对答复“不满意”。</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每件加扣1分，累计扣 2 分</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以采购人收到的正式反馈或系统记录为准。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3</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对第2项所述“不满意”件，经采购人督办后重新办理，再次被投诉人或平台认定为“不满意”。</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每件再加扣1 分，累计扣 3分</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以采购人收到的正式反馈或系统记录为准。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4</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投诉件因处理不力、久拖不决或产生负面影响，被福州市级相关主管部门列入督查督办事项。</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每件扣4分</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以正式督办文件或系统通报为准。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5</w:t>
            </w:r>
          </w:p>
        </w:tc>
        <w:tc>
          <w:tcPr>
            <w:tcW w:w="350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投诉件因处理不力、久拖不决或产生重大负面影响，被福建省级相关主管部门列入督查督办事项。</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每件扣5分</w:t>
            </w:r>
          </w:p>
        </w:tc>
        <w:tc>
          <w:tcPr>
            <w:tcW w:w="207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以正式督办文件或系统通报为准。</w:t>
            </w:r>
          </w:p>
        </w:tc>
      </w:tr>
    </w:tbl>
    <w:p>
      <w:pPr>
        <w:pStyle w:val="6"/>
        <w:jc w:val="left"/>
      </w:pPr>
      <w:r>
        <w:rPr>
          <w:rFonts w:ascii="仿宋_GB2312" w:hAnsi="仿宋_GB2312" w:eastAsia="仿宋_GB2312" w:cs="仿宋_GB2312"/>
          <w:color w:val="000000"/>
          <w:sz w:val="20"/>
          <w:shd w:val="clear" w:fill="FFFFFF"/>
        </w:rPr>
        <w:t>12.2.4 扣分与费用承担</w:t>
      </w:r>
    </w:p>
    <w:p>
      <w:pPr>
        <w:pStyle w:val="6"/>
        <w:jc w:val="left"/>
      </w:pPr>
      <w:r>
        <w:rPr>
          <w:rFonts w:ascii="仿宋_GB2312" w:hAnsi="仿宋_GB2312" w:eastAsia="仿宋_GB2312" w:cs="仿宋_GB2312"/>
          <w:color w:val="000000"/>
          <w:sz w:val="20"/>
          <w:shd w:val="clear" w:fill="FFFFFF"/>
        </w:rPr>
        <w:t>（1）扣分计算与执行：中标人因投诉处理产生的扣分，将按以下规则计算与执行：</w:t>
      </w:r>
    </w:p>
    <w:p>
      <w:pPr>
        <w:pStyle w:val="6"/>
        <w:jc w:val="left"/>
      </w:pPr>
      <w:r>
        <w:rPr>
          <w:rFonts w:ascii="仿宋_GB2312" w:hAnsi="仿宋_GB2312" w:eastAsia="仿宋_GB2312" w:cs="仿宋_GB2312"/>
          <w:color w:val="000000"/>
          <w:sz w:val="20"/>
          <w:shd w:val="clear" w:fill="FFFFFF"/>
        </w:rPr>
        <w:t>按件累计：每一投诉件依据“12.2.3考核扣分标准”独立计扣分值，月度内累计。月度归集：以上扣分，均以投诉件处理结束日（以采购人最终确认或投诉平台闭环日期为准）所在月份为统计周期，累计计入该月度的考核总分中。</w:t>
      </w:r>
    </w:p>
    <w:p>
      <w:pPr>
        <w:pStyle w:val="6"/>
        <w:numPr>
          <w:ilvl w:val="0"/>
          <w:numId w:val="1"/>
        </w:numPr>
        <w:jc w:val="left"/>
      </w:pPr>
      <w:r>
        <w:rPr>
          <w:rFonts w:ascii="仿宋_GB2312" w:hAnsi="仿宋_GB2312" w:eastAsia="仿宋_GB2312" w:cs="仿宋_GB2312"/>
          <w:color w:val="000000"/>
          <w:sz w:val="20"/>
          <w:shd w:val="clear" w:fill="FFFFFF"/>
        </w:rPr>
        <w:t>费用承担：因投诉事项确属中标人养护责任，导致产生实际经济损失（如公共设施损坏修复、第三方赔偿等）或需进行紧急抢险的，除按上述规定扣分外，由此产生的一切相关费用（包括但不限于物料、人工、设备、赔偿金等）均由中标人承担。同时，采购人可视情节严重程度，依据本章“11.1日常考核和处罚标准”另行处以罚款。12.2.5申诉机制：中标人如对投诉内容是否属于其养护责任或扣分标准有异议，应在收到扣分通知后2个工作日内向采购人提出书面申诉并附证据，采购人核实后作出最终决定。</w:t>
      </w:r>
    </w:p>
    <w:p>
      <w:pPr>
        <w:pStyle w:val="6"/>
        <w:jc w:val="left"/>
      </w:pPr>
      <w:r>
        <w:rPr>
          <w:rFonts w:ascii="仿宋_GB2312" w:hAnsi="仿宋_GB2312" w:eastAsia="仿宋_GB2312" w:cs="仿宋_GB2312"/>
          <w:color w:val="000000"/>
          <w:sz w:val="20"/>
          <w:shd w:val="clear" w:fill="FFFFFF"/>
        </w:rPr>
        <w:t>12.3 开花植被专项养护考核（适用于合同包2）</w:t>
      </w:r>
    </w:p>
    <w:p>
      <w:pPr>
        <w:pStyle w:val="6"/>
        <w:jc w:val="left"/>
      </w:pPr>
      <w:r>
        <w:rPr>
          <w:rFonts w:ascii="仿宋_GB2312" w:hAnsi="仿宋_GB2312" w:eastAsia="仿宋_GB2312" w:cs="仿宋_GB2312"/>
          <w:color w:val="000000"/>
          <w:sz w:val="20"/>
          <w:shd w:val="clear" w:fill="FFFFFF"/>
        </w:rPr>
        <w:t>12.3.1履约目标</w:t>
      </w:r>
    </w:p>
    <w:p>
      <w:pPr>
        <w:pStyle w:val="6"/>
        <w:jc w:val="left"/>
      </w:pPr>
      <w:r>
        <w:rPr>
          <w:rFonts w:ascii="仿宋_GB2312" w:hAnsi="仿宋_GB2312" w:eastAsia="仿宋_GB2312" w:cs="仿宋_GB2312"/>
          <w:color w:val="000000"/>
          <w:sz w:val="20"/>
          <w:shd w:val="clear" w:fill="FFFFFF"/>
        </w:rPr>
        <w:t>（1）三角梅：一年内保证至少两个盛花期，每次盛花期开花率不低于85%，且每次盛花期景观效果持续不少于1个月。</w:t>
      </w:r>
    </w:p>
    <w:p>
      <w:pPr>
        <w:pStyle w:val="6"/>
        <w:jc w:val="left"/>
      </w:pPr>
      <w:r>
        <w:rPr>
          <w:rFonts w:ascii="仿宋_GB2312" w:hAnsi="仿宋_GB2312" w:eastAsia="仿宋_GB2312" w:cs="仿宋_GB2312"/>
          <w:color w:val="000000"/>
          <w:sz w:val="20"/>
          <w:shd w:val="clear" w:fill="FFFFFF"/>
        </w:rPr>
        <w:t>（2）时花：严格按照招标文件第五章规定的时花品种清单及更换频次（每年四次）执行，确保景观效果。</w:t>
      </w:r>
    </w:p>
    <w:p>
      <w:pPr>
        <w:pStyle w:val="6"/>
        <w:jc w:val="left"/>
      </w:pPr>
      <w:r>
        <w:rPr>
          <w:rFonts w:ascii="仿宋_GB2312" w:hAnsi="仿宋_GB2312" w:eastAsia="仿宋_GB2312" w:cs="仿宋_GB2312"/>
          <w:color w:val="000000"/>
          <w:sz w:val="20"/>
          <w:shd w:val="clear" w:fill="FFFFFF"/>
        </w:rPr>
        <w:t>12.3.2考核方式与扣分标准</w:t>
      </w:r>
    </w:p>
    <w:p>
      <w:pPr>
        <w:pStyle w:val="6"/>
        <w:jc w:val="left"/>
      </w:pPr>
      <w:r>
        <w:rPr>
          <w:rFonts w:ascii="仿宋_GB2312" w:hAnsi="仿宋_GB2312" w:eastAsia="仿宋_GB2312" w:cs="仿宋_GB2312"/>
          <w:color w:val="000000"/>
          <w:sz w:val="20"/>
          <w:shd w:val="clear" w:fill="FFFFFF"/>
        </w:rPr>
        <w:t>（1）考核方式：采购人将结合日常巡查、专项检查及花期观察，对开花植被的养护状况和景观效果进行考核。考核以季度为周期进行综合评价，并对期间发现的突出问题进行即时记录。</w:t>
      </w:r>
    </w:p>
    <w:p>
      <w:pPr>
        <w:pStyle w:val="6"/>
        <w:jc w:val="left"/>
      </w:pPr>
      <w:r>
        <w:rPr>
          <w:rFonts w:ascii="仿宋_GB2312" w:hAnsi="仿宋_GB2312" w:eastAsia="仿宋_GB2312" w:cs="仿宋_GB2312"/>
          <w:color w:val="000000"/>
          <w:sz w:val="20"/>
          <w:shd w:val="clear" w:fill="FFFFFF"/>
        </w:rPr>
        <w:t>（2）扣分标准：出现下列情形，将在其被发现或确认的季度，对中标人进行专项扣分，并执行经济处罚。</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4860"/>
        <w:gridCol w:w="276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序号</w:t>
            </w:r>
          </w:p>
        </w:tc>
        <w:tc>
          <w:tcPr>
            <w:tcW w:w="48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考核情形</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扣分标准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1</w:t>
            </w:r>
          </w:p>
        </w:tc>
        <w:tc>
          <w:tcPr>
            <w:tcW w:w="48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三角梅养护不到位：因浇水、施肥、修剪、病虫害防治等日常养护工作不及时、不规范，导致植株出现明显生长不良、叶片大量脱落、病虫害严重等情况。</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每发现一处（连续长度≥10米或单点面积≥10㎡），扣1分。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2</w:t>
            </w:r>
          </w:p>
        </w:tc>
        <w:tc>
          <w:tcPr>
            <w:tcW w:w="48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三角梅花期调控失败：在技术方案确定的应花期，未能开花，或开花率低于50%。</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每路段/区域，扣3分。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3</w:t>
            </w:r>
          </w:p>
        </w:tc>
        <w:tc>
          <w:tcPr>
            <w:tcW w:w="48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三角梅盛花期不达标：虽已开花，但盛花期开花率未达到85%，或盛花期景观效果持续时间不足1个月。</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每路段/区域，扣3分。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4</w:t>
            </w:r>
          </w:p>
        </w:tc>
        <w:tc>
          <w:tcPr>
            <w:tcW w:w="48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时花更换不及时或效果差：未按季节和规定时间更换时花；或更换后的时花品种不符、植株稀疏、残花率高，景观效果差。</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每处花坛/渠化岛，扣2分。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5</w:t>
            </w:r>
          </w:p>
        </w:tc>
        <w:tc>
          <w:tcPr>
            <w:tcW w:w="48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时花更换不及时或效果差：未按季节和规定时间更换时花；或更换后的时花品种不符、植株稀疏、残花率高，景观效果差。</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color w:val="000000"/>
                <w:sz w:val="20"/>
                <w:shd w:val="clear" w:fill="FFFFFF"/>
              </w:rPr>
              <w:t>每季度，扣1分。</w:t>
            </w:r>
          </w:p>
        </w:tc>
      </w:tr>
    </w:tbl>
    <w:p>
      <w:pPr>
        <w:pStyle w:val="6"/>
        <w:jc w:val="left"/>
      </w:pPr>
      <w:r>
        <w:rPr>
          <w:rFonts w:ascii="仿宋_GB2312" w:hAnsi="仿宋_GB2312" w:eastAsia="仿宋_GB2312" w:cs="仿宋_GB2312"/>
          <w:color w:val="000000"/>
          <w:sz w:val="20"/>
          <w:shd w:val="clear" w:fill="FFFFFF"/>
        </w:rPr>
        <w:t>12.3.3 考核结果应用</w:t>
      </w:r>
    </w:p>
    <w:p>
      <w:pPr>
        <w:pStyle w:val="6"/>
        <w:jc w:val="left"/>
      </w:pPr>
      <w:r>
        <w:rPr>
          <w:rFonts w:ascii="仿宋_GB2312" w:hAnsi="仿宋_GB2312" w:eastAsia="仿宋_GB2312" w:cs="仿宋_GB2312"/>
          <w:color w:val="000000"/>
          <w:sz w:val="20"/>
          <w:shd w:val="clear" w:fill="FFFFFF"/>
        </w:rPr>
        <w:t>（1）经济处罚：依据上述扣分标准产生的每一分，对应人民币10,000元的罚款。该罚款从当期应支付的“开花植被养护”相关合同费用中直接扣除。扣分与罚款在当季度结算时一并执行。</w:t>
      </w:r>
    </w:p>
    <w:p>
      <w:pPr>
        <w:pStyle w:val="6"/>
        <w:jc w:val="left"/>
      </w:pPr>
      <w:r>
        <w:rPr>
          <w:rFonts w:ascii="仿宋_GB2312" w:hAnsi="仿宋_GB2312" w:eastAsia="仿宋_GB2312" w:cs="仿宋_GB2312"/>
          <w:color w:val="000000"/>
          <w:sz w:val="20"/>
          <w:shd w:val="clear" w:fill="FFFFFF"/>
        </w:rPr>
        <w:t>（2）整改要求：采购人将就考核中发现的问题向中标人发出书面整改通知，中标人须在规定期限内整改完毕。若同一问题在下一季度考核中重复出现，扣分标准加倍。</w:t>
      </w:r>
    </w:p>
    <w:p>
      <w:pPr>
        <w:pStyle w:val="6"/>
        <w:jc w:val="left"/>
      </w:pPr>
      <w:r>
        <w:rPr>
          <w:rFonts w:ascii="仿宋_GB2312" w:hAnsi="仿宋_GB2312" w:eastAsia="仿宋_GB2312" w:cs="仿宋_GB2312"/>
          <w:color w:val="000000"/>
          <w:sz w:val="20"/>
          <w:shd w:val="clear" w:fill="FFFFFF"/>
        </w:rPr>
        <w:t>（3）违约责任：年度内，累计两个季度因开花植被养护问题被扣分总额超过10分，或发生因养护严重失职导致开花植被大面积死亡、景观完全失效的情形，视为中标人重大违约。采购人除有权执行上述罚款外，还可依据合同通用条款约定，追究其进一步的违约责任。</w:t>
      </w:r>
    </w:p>
    <w:p>
      <w:pPr>
        <w:pStyle w:val="6"/>
        <w:jc w:val="left"/>
      </w:pPr>
      <w:r>
        <w:rPr>
          <w:rFonts w:ascii="仿宋_GB2312" w:hAnsi="仿宋_GB2312" w:eastAsia="仿宋_GB2312" w:cs="仿宋_GB2312"/>
          <w:b/>
          <w:color w:val="000000"/>
          <w:sz w:val="20"/>
          <w:u w:val="single"/>
        </w:rPr>
        <w:t>★注：以上“三、商务条件”的内容均为不允许负偏离的实质性要求，投标人针对以上内容应在第七章 电子投标文件格式“三、商务条件响应表”中进行完整的响应，若有负偏离或未响应的按无效投标处理。</w:t>
      </w:r>
    </w:p>
    <w:p>
      <w:pPr>
        <w:pStyle w:val="6"/>
        <w:jc w:val="both"/>
        <w:outlineLvl w:val="2"/>
      </w:pPr>
      <w:r>
        <w:rPr>
          <w:rFonts w:ascii="仿宋_GB2312" w:hAnsi="仿宋_GB2312" w:eastAsia="仿宋_GB2312" w:cs="仿宋_GB2312"/>
          <w:b/>
          <w:sz w:val="28"/>
        </w:rPr>
        <w:t>四、其他事项</w:t>
      </w:r>
    </w:p>
    <w:p>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6"/>
        <w:ind w:firstLine="480"/>
        <w:jc w:val="both"/>
      </w:pPr>
      <w:r>
        <w:rPr>
          <w:rFonts w:ascii="仿宋_GB2312" w:hAnsi="仿宋_GB2312" w:eastAsia="仿宋_GB2312" w:cs="仿宋_GB2312"/>
        </w:rPr>
        <w:t>2、其他：</w:t>
      </w:r>
    </w:p>
    <w:p>
      <w:pPr>
        <w:pStyle w:val="6"/>
        <w:ind w:firstLine="480"/>
        <w:jc w:val="both"/>
      </w:pPr>
      <w:r>
        <w:rPr>
          <w:rFonts w:ascii="仿宋_GB2312" w:hAnsi="仿宋_GB2312" w:eastAsia="仿宋_GB2312" w:cs="仿宋_GB2312"/>
        </w:rPr>
        <w:t>2.1本项目不允许中标人以任何名义和理由进行转包，如有发现，采购人有权单方终止合同，视为中标人违约；中标人违约对采购人造成的损失的，需另行支付相应的赔偿。 2.2本招标文件未明确的其它约定事项或条款，待采购人与中标人签订合同时，由双方协商订立。</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政府采购合同</w:t>
      </w:r>
    </w:p>
    <w:p>
      <w:pPr>
        <w:pStyle w:val="6"/>
        <w:jc w:val="center"/>
        <w:outlineLvl w:val="2"/>
      </w:pPr>
      <w:r>
        <w:rPr>
          <w:rFonts w:ascii="仿宋_GB2312" w:hAnsi="仿宋_GB2312" w:eastAsia="仿宋_GB2312" w:cs="仿宋_GB2312"/>
          <w:b/>
          <w:sz w:val="28"/>
        </w:rPr>
        <w:t>参考文本</w:t>
      </w:r>
    </w:p>
    <w:p>
      <w:pPr>
        <w:pStyle w:val="6"/>
        <w:jc w:val="left"/>
      </w:pPr>
      <w:r>
        <w:rPr>
          <w:rFonts w:ascii="仿宋_GB2312" w:hAnsi="仿宋_GB2312" w:eastAsia="仿宋_GB2312" w:cs="仿宋_GB2312"/>
        </w:rPr>
        <w:t>合同编号：</w:t>
      </w:r>
    </w:p>
    <w:p>
      <w:pPr>
        <w:pStyle w:val="6"/>
        <w:jc w:val="center"/>
        <w:outlineLvl w:val="1"/>
      </w:pPr>
      <w:r>
        <w:rPr>
          <w:rFonts w:ascii="仿宋_GB2312" w:hAnsi="仿宋_GB2312" w:eastAsia="仿宋_GB2312" w:cs="仿宋_GB2312"/>
          <w:b/>
          <w:sz w:val="36"/>
        </w:rPr>
        <w:t xml:space="preserve"> 福建省政府采购合同（服务类）</w:t>
      </w:r>
    </w:p>
    <w:p>
      <w:pPr>
        <w:pStyle w:val="6"/>
        <w:jc w:val="center"/>
        <w:outlineLvl w:val="3"/>
      </w:pPr>
      <w:r>
        <w:rPr>
          <w:rFonts w:ascii="仿宋_GB2312" w:hAnsi="仿宋_GB2312" w:eastAsia="仿宋_GB2312" w:cs="仿宋_GB2312"/>
          <w:b/>
          <w:sz w:val="24"/>
        </w:rPr>
        <w:t>编制说明</w:t>
      </w:r>
      <w:r>
        <w:br w:type="textWrapping"/>
      </w:r>
    </w:p>
    <w:p>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pPr>
        <w:pStyle w:val="6"/>
        <w:ind w:left="0"/>
        <w:jc w:val="left"/>
      </w:pPr>
      <w:r>
        <w:rPr>
          <w:rFonts w:ascii="仿宋_GB2312" w:hAnsi="仿宋_GB2312" w:eastAsia="仿宋_GB2312" w:cs="仿宋_GB2312"/>
        </w:rPr>
        <w:t>甲方：</w:t>
      </w:r>
    </w:p>
    <w:p>
      <w:pPr>
        <w:pStyle w:val="6"/>
        <w:jc w:val="left"/>
      </w:pPr>
      <w:r>
        <w:rPr>
          <w:rFonts w:ascii="仿宋_GB2312" w:hAnsi="仿宋_GB2312" w:eastAsia="仿宋_GB2312" w:cs="仿宋_GB2312"/>
        </w:rPr>
        <w:t>住所地：________________</w:t>
      </w:r>
    </w:p>
    <w:p>
      <w:pPr>
        <w:pStyle w:val="6"/>
        <w:jc w:val="left"/>
      </w:pPr>
      <w:r>
        <w:rPr>
          <w:rFonts w:ascii="仿宋_GB2312" w:hAnsi="仿宋_GB2312" w:eastAsia="仿宋_GB2312" w:cs="仿宋_GB2312"/>
        </w:rPr>
        <w:t>联系人：________________</w:t>
      </w:r>
    </w:p>
    <w:p>
      <w:pPr>
        <w:pStyle w:val="6"/>
        <w:jc w:val="left"/>
      </w:pPr>
      <w:r>
        <w:rPr>
          <w:rFonts w:ascii="仿宋_GB2312" w:hAnsi="仿宋_GB2312" w:eastAsia="仿宋_GB2312" w:cs="仿宋_GB2312"/>
        </w:rPr>
        <w:t>联系电话：______________</w:t>
      </w:r>
    </w:p>
    <w:p>
      <w:pPr>
        <w:pStyle w:val="6"/>
        <w:jc w:val="left"/>
      </w:pPr>
      <w:r>
        <w:rPr>
          <w:rFonts w:ascii="仿宋_GB2312" w:hAnsi="仿宋_GB2312" w:eastAsia="仿宋_GB2312" w:cs="仿宋_GB2312"/>
        </w:rPr>
        <w:t>传真：________________</w:t>
      </w:r>
    </w:p>
    <w:p>
      <w:pPr>
        <w:pStyle w:val="6"/>
        <w:jc w:val="left"/>
      </w:pPr>
      <w:r>
        <w:rPr>
          <w:rFonts w:ascii="仿宋_GB2312" w:hAnsi="仿宋_GB2312" w:eastAsia="仿宋_GB2312" w:cs="仿宋_GB2312"/>
        </w:rPr>
        <w:t>电子邮箱：________________</w:t>
      </w:r>
      <w:r>
        <w:br w:type="textWrapping"/>
      </w:r>
    </w:p>
    <w:p>
      <w:pPr>
        <w:pStyle w:val="6"/>
        <w:ind w:left="0"/>
        <w:jc w:val="left"/>
      </w:pPr>
      <w:r>
        <w:rPr>
          <w:rFonts w:ascii="仿宋_GB2312" w:hAnsi="仿宋_GB2312" w:eastAsia="仿宋_GB2312" w:cs="仿宋_GB2312"/>
        </w:rPr>
        <w:t xml:space="preserve"> 乙方： ________________</w:t>
      </w:r>
    </w:p>
    <w:p>
      <w:pPr>
        <w:pStyle w:val="6"/>
        <w:jc w:val="left"/>
      </w:pPr>
      <w:r>
        <w:rPr>
          <w:rFonts w:ascii="仿宋_GB2312" w:hAnsi="仿宋_GB2312" w:eastAsia="仿宋_GB2312" w:cs="仿宋_GB2312"/>
        </w:rPr>
        <w:t xml:space="preserve"> 住所地： ________________</w:t>
      </w:r>
    </w:p>
    <w:p>
      <w:pPr>
        <w:pStyle w:val="6"/>
        <w:jc w:val="left"/>
      </w:pPr>
      <w:r>
        <w:rPr>
          <w:rFonts w:ascii="仿宋_GB2312" w:hAnsi="仿宋_GB2312" w:eastAsia="仿宋_GB2312" w:cs="仿宋_GB2312"/>
        </w:rPr>
        <w:t xml:space="preserve"> 联系人：______________</w:t>
      </w:r>
    </w:p>
    <w:p>
      <w:pPr>
        <w:pStyle w:val="6"/>
        <w:jc w:val="left"/>
      </w:pPr>
      <w:r>
        <w:rPr>
          <w:rFonts w:ascii="仿宋_GB2312" w:hAnsi="仿宋_GB2312" w:eastAsia="仿宋_GB2312" w:cs="仿宋_GB2312"/>
        </w:rPr>
        <w:t xml:space="preserve"> 联系电话：______________</w:t>
      </w:r>
    </w:p>
    <w:p>
      <w:pPr>
        <w:pStyle w:val="6"/>
        <w:jc w:val="left"/>
      </w:pPr>
      <w:r>
        <w:rPr>
          <w:rFonts w:ascii="仿宋_GB2312" w:hAnsi="仿宋_GB2312" w:eastAsia="仿宋_GB2312" w:cs="仿宋_GB2312"/>
        </w:rPr>
        <w:t xml:space="preserve"> 传真：________________</w:t>
      </w:r>
    </w:p>
    <w:p>
      <w:pPr>
        <w:pStyle w:val="6"/>
        <w:jc w:val="left"/>
      </w:pPr>
      <w:r>
        <w:rPr>
          <w:rFonts w:ascii="仿宋_GB2312" w:hAnsi="仿宋_GB2312" w:eastAsia="仿宋_GB2312" w:cs="仿宋_GB2312"/>
        </w:rPr>
        <w:t xml:space="preserve"> 电子邮箱：________________</w:t>
      </w:r>
    </w:p>
    <w:p>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6"/>
        <w:jc w:val="left"/>
        <w:outlineLvl w:val="3"/>
      </w:pPr>
      <w:r>
        <w:rPr>
          <w:rFonts w:ascii="仿宋_GB2312" w:hAnsi="仿宋_GB2312" w:eastAsia="仿宋_GB2312" w:cs="仿宋_GB2312"/>
          <w:b/>
          <w:sz w:val="24"/>
        </w:rPr>
        <w:t xml:space="preserve"> 一、合同组成部分</w:t>
      </w:r>
    </w:p>
    <w:p>
      <w:pPr>
        <w:pStyle w:val="6"/>
        <w:jc w:val="left"/>
      </w:pPr>
      <w:r>
        <w:rPr>
          <w:rFonts w:ascii="仿宋_GB2312" w:hAnsi="仿宋_GB2312" w:eastAsia="仿宋_GB2312" w:cs="仿宋_GB2312"/>
        </w:rPr>
        <w:t>1.1本合同条款及附件；</w:t>
      </w:r>
    </w:p>
    <w:p>
      <w:pPr>
        <w:pStyle w:val="6"/>
        <w:jc w:val="left"/>
      </w:pPr>
      <w:r>
        <w:rPr>
          <w:rFonts w:ascii="仿宋_GB2312" w:hAnsi="仿宋_GB2312" w:eastAsia="仿宋_GB2312" w:cs="仿宋_GB2312"/>
        </w:rPr>
        <w:t>1.2采购文件及其附件、补充文件；</w:t>
      </w:r>
    </w:p>
    <w:p>
      <w:pPr>
        <w:pStyle w:val="6"/>
        <w:jc w:val="left"/>
      </w:pPr>
      <w:r>
        <w:rPr>
          <w:rFonts w:ascii="仿宋_GB2312" w:hAnsi="仿宋_GB2312" w:eastAsia="仿宋_GB2312" w:cs="仿宋_GB2312"/>
        </w:rPr>
        <w:t>1.3乙方的响应文件及其附件、补充文件；</w:t>
      </w:r>
    </w:p>
    <w:p>
      <w:pPr>
        <w:pStyle w:val="6"/>
        <w:jc w:val="left"/>
      </w:pPr>
      <w:r>
        <w:rPr>
          <w:rFonts w:ascii="仿宋_GB2312" w:hAnsi="仿宋_GB2312" w:eastAsia="仿宋_GB2312" w:cs="仿宋_GB2312"/>
        </w:rPr>
        <w:t>1.4其他文件或材料：</w:t>
      </w:r>
    </w:p>
    <w:p>
      <w:pPr>
        <w:pStyle w:val="6"/>
        <w:jc w:val="left"/>
        <w:outlineLvl w:val="3"/>
      </w:pPr>
      <w:r>
        <w:rPr>
          <w:rFonts w:ascii="仿宋_GB2312" w:hAnsi="仿宋_GB2312" w:eastAsia="仿宋_GB2312" w:cs="仿宋_GB2312"/>
          <w:b/>
          <w:sz w:val="24"/>
        </w:rPr>
        <w:t xml:space="preserve"> 二、合同标的</w:t>
      </w:r>
      <w:r>
        <w:br w:type="textWrapping"/>
      </w:r>
    </w:p>
    <w:p>
      <w:pPr>
        <w:pStyle w:val="6"/>
        <w:jc w:val="left"/>
        <w:outlineLvl w:val="3"/>
      </w:pPr>
      <w:r>
        <w:rPr>
          <w:rFonts w:ascii="仿宋_GB2312" w:hAnsi="仿宋_GB2312" w:eastAsia="仿宋_GB2312" w:cs="仿宋_GB2312"/>
          <w:b/>
          <w:sz w:val="24"/>
        </w:rPr>
        <w:t xml:space="preserve"> 三、价格形式及合同价款</w:t>
      </w:r>
    </w:p>
    <w:p>
      <w:pPr>
        <w:pStyle w:val="6"/>
        <w:jc w:val="left"/>
        <w:outlineLvl w:val="4"/>
      </w:pPr>
      <w:r>
        <w:rPr>
          <w:rFonts w:ascii="仿宋_GB2312" w:hAnsi="仿宋_GB2312" w:eastAsia="仿宋_GB2312" w:cs="仿宋_GB2312"/>
          <w:b/>
          <w:sz w:val="20"/>
        </w:rPr>
        <w:t xml:space="preserve"> 3.1价格形式</w:t>
      </w:r>
    </w:p>
    <w:p>
      <w:pPr>
        <w:pStyle w:val="6"/>
        <w:jc w:val="left"/>
      </w:pPr>
      <w:r>
        <w:rPr>
          <w:rFonts w:ascii="仿宋_GB2312" w:hAnsi="仿宋_GB2312" w:eastAsia="仿宋_GB2312" w:cs="仿宋_GB2312"/>
        </w:rPr>
        <w:t xml:space="preserve"> 固定单价合同。完成约定服务事项的含税合同单价为：人民币（大写）元（￥ _____________元）。</w:t>
      </w:r>
    </w:p>
    <w:p>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pPr>
        <w:pStyle w:val="6"/>
        <w:spacing w:line="300" w:lineRule="auto"/>
        <w:jc w:val="left"/>
      </w:pPr>
      <w:r>
        <w:rPr>
          <w:rFonts w:ascii="仿宋_GB2312" w:hAnsi="仿宋_GB2312" w:eastAsia="仿宋_GB2312" w:cs="仿宋_GB2312"/>
        </w:rPr>
        <w:t xml:space="preserve"> 其他方式。</w:t>
      </w:r>
    </w:p>
    <w:p>
      <w:pPr>
        <w:pStyle w:val="6"/>
        <w:spacing w:line="300" w:lineRule="auto"/>
        <w:jc w:val="left"/>
        <w:outlineLvl w:val="4"/>
      </w:pPr>
      <w:r>
        <w:rPr>
          <w:rFonts w:ascii="仿宋_GB2312" w:hAnsi="仿宋_GB2312" w:eastAsia="仿宋_GB2312" w:cs="仿宋_GB2312"/>
          <w:b/>
          <w:sz w:val="20"/>
        </w:rPr>
        <w:t xml:space="preserve"> 3.2合同价款包含范围</w:t>
      </w:r>
    </w:p>
    <w:p>
      <w:pPr>
        <w:pStyle w:val="6"/>
        <w:jc w:val="left"/>
        <w:outlineLvl w:val="4"/>
      </w:pPr>
      <w:r>
        <w:rPr>
          <w:rFonts w:ascii="仿宋_GB2312" w:hAnsi="仿宋_GB2312" w:eastAsia="仿宋_GB2312" w:cs="仿宋_GB2312"/>
          <w:b/>
          <w:sz w:val="20"/>
        </w:rPr>
        <w:t xml:space="preserve"> 3.3其他需说明的事项：</w:t>
      </w:r>
    </w:p>
    <w:p>
      <w:pPr>
        <w:pStyle w:val="6"/>
        <w:jc w:val="left"/>
        <w:outlineLvl w:val="3"/>
      </w:pPr>
      <w:r>
        <w:rPr>
          <w:rFonts w:ascii="仿宋_GB2312" w:hAnsi="仿宋_GB2312" w:eastAsia="仿宋_GB2312" w:cs="仿宋_GB2312"/>
          <w:b/>
          <w:sz w:val="24"/>
        </w:rPr>
        <w:t xml:space="preserve"> 四、合同标的及服务范围、地点和时间</w:t>
      </w:r>
    </w:p>
    <w:p>
      <w:pPr>
        <w:pStyle w:val="6"/>
        <w:jc w:val="left"/>
      </w:pPr>
      <w:r>
        <w:rPr>
          <w:rFonts w:ascii="仿宋_GB2312" w:hAnsi="仿宋_GB2312" w:eastAsia="仿宋_GB2312" w:cs="仿宋_GB2312"/>
        </w:rPr>
        <w:t xml:space="preserve"> 4.1项目名称： _____________</w:t>
      </w:r>
    </w:p>
    <w:p>
      <w:pPr>
        <w:pStyle w:val="6"/>
        <w:jc w:val="left"/>
      </w:pPr>
      <w:r>
        <w:rPr>
          <w:rFonts w:ascii="仿宋_GB2312" w:hAnsi="仿宋_GB2312" w:eastAsia="仿宋_GB2312" w:cs="仿宋_GB2312"/>
        </w:rPr>
        <w:t xml:space="preserve"> 4.2服务范围：_____________</w:t>
      </w:r>
    </w:p>
    <w:p>
      <w:pPr>
        <w:pStyle w:val="6"/>
        <w:jc w:val="left"/>
      </w:pPr>
      <w:r>
        <w:rPr>
          <w:rFonts w:ascii="仿宋_GB2312" w:hAnsi="仿宋_GB2312" w:eastAsia="仿宋_GB2312" w:cs="仿宋_GB2312"/>
        </w:rPr>
        <w:t xml:space="preserve"> 4.3服务地点：_____________</w:t>
      </w:r>
    </w:p>
    <w:p>
      <w:pPr>
        <w:pStyle w:val="6"/>
        <w:jc w:val="left"/>
      </w:pPr>
      <w:r>
        <w:rPr>
          <w:rFonts w:ascii="仿宋_GB2312" w:hAnsi="仿宋_GB2312" w:eastAsia="仿宋_GB2312" w:cs="仿宋_GB2312"/>
        </w:rPr>
        <w:t xml:space="preserve"> 4.4服务完成时间：_____________</w:t>
      </w:r>
    </w:p>
    <w:p>
      <w:pPr>
        <w:pStyle w:val="6"/>
        <w:jc w:val="left"/>
        <w:outlineLvl w:val="3"/>
      </w:pPr>
      <w:r>
        <w:rPr>
          <w:rFonts w:ascii="仿宋_GB2312" w:hAnsi="仿宋_GB2312" w:eastAsia="仿宋_GB2312" w:cs="仿宋_GB2312"/>
          <w:b/>
          <w:sz w:val="24"/>
        </w:rPr>
        <w:t xml:space="preserve"> 五、服务内容、质量标准和要求</w:t>
      </w:r>
    </w:p>
    <w:p>
      <w:pPr>
        <w:pStyle w:val="6"/>
        <w:jc w:val="left"/>
      </w:pPr>
      <w:r>
        <w:rPr>
          <w:rFonts w:ascii="仿宋_GB2312" w:hAnsi="仿宋_GB2312" w:eastAsia="仿宋_GB2312" w:cs="仿宋_GB2312"/>
        </w:rPr>
        <w:t xml:space="preserve"> 5.1服务工作量的计量方式：_____________</w:t>
      </w:r>
    </w:p>
    <w:p>
      <w:pPr>
        <w:pStyle w:val="6"/>
        <w:jc w:val="left"/>
      </w:pPr>
      <w:r>
        <w:rPr>
          <w:rFonts w:ascii="仿宋_GB2312" w:hAnsi="仿宋_GB2312" w:eastAsia="仿宋_GB2312" w:cs="仿宋_GB2312"/>
        </w:rPr>
        <w:t xml:space="preserve"> 5.2服务内容：_____________</w:t>
      </w:r>
    </w:p>
    <w:p>
      <w:pPr>
        <w:pStyle w:val="6"/>
        <w:jc w:val="left"/>
      </w:pPr>
      <w:r>
        <w:rPr>
          <w:rFonts w:ascii="仿宋_GB2312" w:hAnsi="仿宋_GB2312" w:eastAsia="仿宋_GB2312" w:cs="仿宋_GB2312"/>
        </w:rPr>
        <w:t xml:space="preserve"> 5.3技术保障、服务人员组成、所涉及的货物的质量标准：</w:t>
      </w:r>
    </w:p>
    <w:p>
      <w:pPr>
        <w:pStyle w:val="6"/>
        <w:jc w:val="left"/>
      </w:pPr>
      <w:r>
        <w:rPr>
          <w:rFonts w:ascii="仿宋_GB2312" w:hAnsi="仿宋_GB2312" w:eastAsia="仿宋_GB2312" w:cs="仿宋_GB2312"/>
        </w:rPr>
        <w:t xml:space="preserve"> （1）服务技术保障：_____________</w:t>
      </w:r>
    </w:p>
    <w:p>
      <w:pPr>
        <w:pStyle w:val="6"/>
        <w:jc w:val="left"/>
      </w:pPr>
      <w:r>
        <w:rPr>
          <w:rFonts w:ascii="仿宋_GB2312" w:hAnsi="仿宋_GB2312" w:eastAsia="仿宋_GB2312" w:cs="仿宋_GB2312"/>
        </w:rPr>
        <w:t xml:space="preserve"> （2）服务人员组成：_____________</w:t>
      </w:r>
    </w:p>
    <w:p>
      <w:pPr>
        <w:pStyle w:val="6"/>
        <w:jc w:val="left"/>
      </w:pPr>
      <w:r>
        <w:rPr>
          <w:rFonts w:ascii="仿宋_GB2312" w:hAnsi="仿宋_GB2312" w:eastAsia="仿宋_GB2312" w:cs="仿宋_GB2312"/>
        </w:rPr>
        <w:t xml:space="preserve"> （3）服务设备及物资投入及质量标准：_____________</w:t>
      </w:r>
    </w:p>
    <w:p>
      <w:pPr>
        <w:pStyle w:val="6"/>
        <w:jc w:val="left"/>
      </w:pPr>
      <w:r>
        <w:rPr>
          <w:rFonts w:ascii="仿宋_GB2312" w:hAnsi="仿宋_GB2312" w:eastAsia="仿宋_GB2312" w:cs="仿宋_GB2312"/>
        </w:rPr>
        <w:t xml:space="preserve"> 5.4服务质量标准及要求：</w:t>
      </w:r>
    </w:p>
    <w:p>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pPr>
      <w:r>
        <w:rPr>
          <w:rFonts w:ascii="仿宋_GB2312" w:hAnsi="仿宋_GB2312" w:eastAsia="仿宋_GB2312" w:cs="仿宋_GB2312"/>
        </w:rPr>
        <w:t xml:space="preserve"> 5.4.3其他要求：</w:t>
      </w:r>
    </w:p>
    <w:p>
      <w:pPr>
        <w:pStyle w:val="6"/>
        <w:jc w:val="left"/>
        <w:outlineLvl w:val="3"/>
      </w:pPr>
      <w:r>
        <w:rPr>
          <w:rFonts w:ascii="仿宋_GB2312" w:hAnsi="仿宋_GB2312" w:eastAsia="仿宋_GB2312" w:cs="仿宋_GB2312"/>
          <w:b/>
          <w:sz w:val="24"/>
        </w:rPr>
        <w:t xml:space="preserve"> 六、服务履约验收或考核</w:t>
      </w:r>
    </w:p>
    <w:p>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pPr>
      <w:r>
        <w:rPr>
          <w:rFonts w:ascii="仿宋_GB2312" w:hAnsi="仿宋_GB2312" w:eastAsia="仿宋_GB2312" w:cs="仿宋_GB2312"/>
          <w:b/>
          <w:sz w:val="24"/>
        </w:rPr>
        <w:t xml:space="preserve"> 七、甲方的权利与义务</w:t>
      </w:r>
    </w:p>
    <w:p>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6"/>
        <w:jc w:val="left"/>
      </w:pPr>
      <w:r>
        <w:rPr>
          <w:rFonts w:ascii="仿宋_GB2312" w:hAnsi="仿宋_GB2312" w:eastAsia="仿宋_GB2312" w:cs="仿宋_GB2312"/>
        </w:rPr>
        <w:t xml:space="preserve"> 7.2甲方应为乙方开展服务工作提供必要的工作条件，以及对内对外沟通和配合协助。</w:t>
      </w:r>
    </w:p>
    <w:p>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pPr>
      <w:r>
        <w:rPr>
          <w:rFonts w:ascii="仿宋_GB2312" w:hAnsi="仿宋_GB2312" w:eastAsia="仿宋_GB2312" w:cs="仿宋_GB2312"/>
        </w:rPr>
        <w:t xml:space="preserve"> 7.5甲方应按本合同约定及时足额支付服务费用及相关费用。</w:t>
      </w:r>
    </w:p>
    <w:p>
      <w:pPr>
        <w:pStyle w:val="6"/>
        <w:jc w:val="left"/>
      </w:pPr>
      <w:r>
        <w:rPr>
          <w:rFonts w:ascii="仿宋_GB2312" w:hAnsi="仿宋_GB2312" w:eastAsia="仿宋_GB2312" w:cs="仿宋_GB2312"/>
        </w:rPr>
        <w:t xml:space="preserve"> 7.6其他</w:t>
      </w:r>
    </w:p>
    <w:p>
      <w:pPr>
        <w:pStyle w:val="6"/>
        <w:jc w:val="left"/>
        <w:outlineLvl w:val="3"/>
      </w:pPr>
      <w:r>
        <w:rPr>
          <w:rFonts w:ascii="仿宋_GB2312" w:hAnsi="仿宋_GB2312" w:eastAsia="仿宋_GB2312" w:cs="仿宋_GB2312"/>
          <w:b/>
          <w:sz w:val="24"/>
        </w:rPr>
        <w:t xml:space="preserve"> 八、乙方的权利与义务</w:t>
      </w:r>
    </w:p>
    <w:p>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6"/>
        <w:jc w:val="left"/>
      </w:pPr>
      <w:r>
        <w:rPr>
          <w:rFonts w:ascii="仿宋_GB2312" w:hAnsi="仿宋_GB2312" w:eastAsia="仿宋_GB2312" w:cs="仿宋_GB2312"/>
        </w:rPr>
        <w:t>8.6服务工作结束后,乙方将根据情况对甲方服务相关的管理制度及其他事项等提出改进意见。</w:t>
      </w:r>
    </w:p>
    <w:p>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6"/>
        <w:jc w:val="left"/>
      </w:pPr>
      <w:r>
        <w:rPr>
          <w:rFonts w:ascii="仿宋_GB2312" w:hAnsi="仿宋_GB2312" w:eastAsia="仿宋_GB2312" w:cs="仿宋_GB2312"/>
        </w:rPr>
        <w:t>8.8其他</w:t>
      </w:r>
    </w:p>
    <w:p>
      <w:pPr>
        <w:pStyle w:val="6"/>
        <w:jc w:val="left"/>
        <w:outlineLvl w:val="3"/>
      </w:pPr>
      <w:r>
        <w:rPr>
          <w:rFonts w:ascii="仿宋_GB2312" w:hAnsi="仿宋_GB2312" w:eastAsia="仿宋_GB2312" w:cs="仿宋_GB2312"/>
          <w:b/>
          <w:sz w:val="24"/>
        </w:rPr>
        <w:t xml:space="preserve"> 九、资金支付方式、时间和条件</w:t>
      </w:r>
      <w:r>
        <w:br w:type="textWrapping"/>
      </w:r>
    </w:p>
    <w:p>
      <w:pPr>
        <w:pStyle w:val="6"/>
        <w:jc w:val="left"/>
        <w:outlineLvl w:val="3"/>
      </w:pPr>
      <w:r>
        <w:rPr>
          <w:rFonts w:ascii="仿宋_GB2312" w:hAnsi="仿宋_GB2312" w:eastAsia="仿宋_GB2312" w:cs="仿宋_GB2312"/>
          <w:b/>
          <w:sz w:val="24"/>
        </w:rPr>
        <w:t xml:space="preserve"> 十、履约保证金</w:t>
      </w:r>
    </w:p>
    <w:p>
      <w:pPr>
        <w:pStyle w:val="6"/>
        <w:jc w:val="left"/>
      </w:pPr>
      <w:r>
        <w:rPr>
          <w:rFonts w:ascii="仿宋_GB2312" w:hAnsi="仿宋_GB2312" w:eastAsia="仿宋_GB2312" w:cs="仿宋_GB2312"/>
        </w:rPr>
        <w:t xml:space="preserve"> □有，□无。具体如下：（按照采购文件规定填写）。</w:t>
      </w:r>
    </w:p>
    <w:p>
      <w:pPr>
        <w:pStyle w:val="6"/>
        <w:jc w:val="left"/>
      </w:pPr>
      <w:r>
        <w:rPr>
          <w:rFonts w:ascii="仿宋_GB2312" w:hAnsi="仿宋_GB2312" w:eastAsia="仿宋_GB2312" w:cs="仿宋_GB2312"/>
        </w:rPr>
        <w:t>10.1乙方向甲方缴纳人民币 / 元作为本合同的履约保证金。</w:t>
      </w:r>
    </w:p>
    <w:p>
      <w:pPr>
        <w:pStyle w:val="6"/>
        <w:jc w:val="left"/>
      </w:pPr>
      <w:r>
        <w:rPr>
          <w:rFonts w:ascii="仿宋_GB2312" w:hAnsi="仿宋_GB2312" w:eastAsia="仿宋_GB2312" w:cs="仿宋_GB2312"/>
        </w:rPr>
        <w:t>10.2履约保证金缴纳形式：支票/汇票/电汇/保函等非现金形式。</w:t>
      </w:r>
    </w:p>
    <w:p>
      <w:pPr>
        <w:pStyle w:val="6"/>
        <w:jc w:val="left"/>
      </w:pPr>
      <w:r>
        <w:rPr>
          <w:rFonts w:ascii="仿宋_GB2312" w:hAnsi="仿宋_GB2312" w:eastAsia="仿宋_GB2312" w:cs="仿宋_GB2312"/>
        </w:rPr>
        <w:t>10.3履约保证金合同履行完毕前有效，合同履行完毕后一次性结清退还。</w:t>
      </w:r>
    </w:p>
    <w:p>
      <w:pPr>
        <w:pStyle w:val="6"/>
        <w:jc w:val="left"/>
        <w:outlineLvl w:val="3"/>
      </w:pPr>
      <w:r>
        <w:rPr>
          <w:rFonts w:ascii="仿宋_GB2312" w:hAnsi="仿宋_GB2312" w:eastAsia="仿宋_GB2312" w:cs="仿宋_GB2312"/>
          <w:b/>
          <w:sz w:val="24"/>
        </w:rPr>
        <w:t xml:space="preserve"> 十一、合同期限</w:t>
      </w:r>
      <w:r>
        <w:br w:type="textWrapping"/>
      </w:r>
    </w:p>
    <w:p>
      <w:pPr>
        <w:pStyle w:val="6"/>
        <w:jc w:val="left"/>
        <w:outlineLvl w:val="3"/>
      </w:pPr>
      <w:r>
        <w:rPr>
          <w:rFonts w:ascii="仿宋_GB2312" w:hAnsi="仿宋_GB2312" w:eastAsia="仿宋_GB2312" w:cs="仿宋_GB2312"/>
          <w:b/>
          <w:sz w:val="24"/>
        </w:rPr>
        <w:t xml:space="preserve"> 十二、保密条款</w:t>
      </w:r>
    </w:p>
    <w:p>
      <w:pPr>
        <w:pStyle w:val="6"/>
        <w:jc w:val="left"/>
      </w:pPr>
      <w:r>
        <w:rPr>
          <w:rFonts w:ascii="仿宋_GB2312" w:hAnsi="仿宋_GB2312" w:eastAsia="仿宋_GB2312" w:cs="仿宋_GB2312"/>
        </w:rPr>
        <w:t>12.1对于在采购和合同履行过程中所获悉的属于保密的内容，甲、乙双方均负有保密义务。</w:t>
      </w:r>
    </w:p>
    <w:p>
      <w:pPr>
        <w:pStyle w:val="6"/>
        <w:jc w:val="left"/>
      </w:pPr>
      <w:r>
        <w:rPr>
          <w:rFonts w:ascii="仿宋_GB2312" w:hAnsi="仿宋_GB2312" w:eastAsia="仿宋_GB2312" w:cs="仿宋_GB2312"/>
        </w:rPr>
        <w:t>12.2其他</w:t>
      </w:r>
    </w:p>
    <w:p>
      <w:pPr>
        <w:pStyle w:val="6"/>
        <w:jc w:val="left"/>
        <w:outlineLvl w:val="3"/>
      </w:pPr>
      <w:r>
        <w:rPr>
          <w:rFonts w:ascii="仿宋_GB2312" w:hAnsi="仿宋_GB2312" w:eastAsia="仿宋_GB2312" w:cs="仿宋_GB2312"/>
          <w:b/>
          <w:sz w:val="24"/>
        </w:rPr>
        <w:t xml:space="preserve"> 十三、违约责任</w:t>
      </w:r>
    </w:p>
    <w:p>
      <w:pPr>
        <w:pStyle w:val="6"/>
        <w:jc w:val="left"/>
      </w:pPr>
      <w:r>
        <w:rPr>
          <w:rFonts w:ascii="仿宋_GB2312" w:hAnsi="仿宋_GB2312" w:eastAsia="仿宋_GB2312" w:cs="仿宋_GB2312"/>
        </w:rPr>
        <w:t>13.1甲方违约责任</w:t>
      </w:r>
    </w:p>
    <w:p>
      <w:pPr>
        <w:pStyle w:val="6"/>
        <w:jc w:val="left"/>
      </w:pPr>
      <w:r>
        <w:rPr>
          <w:rFonts w:ascii="仿宋_GB2312" w:hAnsi="仿宋_GB2312" w:eastAsia="仿宋_GB2312" w:cs="仿宋_GB2312"/>
        </w:rPr>
        <w:t>（1）甲方无正当理由拒绝乙方提供合格服务的，甲方应向乙方偿付所拒收合同总价________的违约金</w:t>
      </w:r>
    </w:p>
    <w:p>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pPr>
        <w:pStyle w:val="6"/>
        <w:jc w:val="left"/>
      </w:pPr>
      <w:r>
        <w:rPr>
          <w:rFonts w:ascii="仿宋_GB2312" w:hAnsi="仿宋_GB2312" w:eastAsia="仿宋_GB2312" w:cs="仿宋_GB2312"/>
        </w:rPr>
        <w:t>（3）其他违约情形</w:t>
      </w:r>
    </w:p>
    <w:p>
      <w:pPr>
        <w:pStyle w:val="6"/>
        <w:jc w:val="left"/>
      </w:pPr>
      <w:r>
        <w:rPr>
          <w:rFonts w:ascii="仿宋_GB2312" w:hAnsi="仿宋_GB2312" w:eastAsia="仿宋_GB2312" w:cs="仿宋_GB2312"/>
        </w:rPr>
        <w:t>13.2乙方违约责任</w:t>
      </w:r>
    </w:p>
    <w:p>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6"/>
        <w:jc w:val="left"/>
      </w:pPr>
      <w:r>
        <w:rPr>
          <w:rFonts w:ascii="仿宋_GB2312" w:hAnsi="仿宋_GB2312" w:eastAsia="仿宋_GB2312" w:cs="仿宋_GB2312"/>
        </w:rPr>
        <w:t>（4）其他违约情形</w:t>
      </w:r>
    </w:p>
    <w:p>
      <w:pPr>
        <w:pStyle w:val="6"/>
        <w:jc w:val="left"/>
        <w:outlineLvl w:val="3"/>
      </w:pPr>
      <w:r>
        <w:rPr>
          <w:rFonts w:ascii="仿宋_GB2312" w:hAnsi="仿宋_GB2312" w:eastAsia="仿宋_GB2312" w:cs="仿宋_GB2312"/>
          <w:b/>
          <w:sz w:val="24"/>
        </w:rPr>
        <w:t xml:space="preserve"> 十四、不可抗力事件处理</w:t>
      </w:r>
    </w:p>
    <w:p>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pPr>
      <w:r>
        <w:rPr>
          <w:rFonts w:ascii="仿宋_GB2312" w:hAnsi="仿宋_GB2312" w:eastAsia="仿宋_GB2312" w:cs="仿宋_GB2312"/>
          <w:b/>
          <w:sz w:val="24"/>
        </w:rPr>
        <w:t xml:space="preserve"> 十五、解决争议的方法</w:t>
      </w:r>
    </w:p>
    <w:p>
      <w:pPr>
        <w:pStyle w:val="6"/>
        <w:jc w:val="left"/>
      </w:pPr>
      <w:r>
        <w:rPr>
          <w:rFonts w:ascii="仿宋_GB2312" w:hAnsi="仿宋_GB2312" w:eastAsia="仿宋_GB2312" w:cs="仿宋_GB2312"/>
        </w:rPr>
        <w:t>15.1甲、乙双方协商解决。</w:t>
      </w:r>
    </w:p>
    <w:p>
      <w:pPr>
        <w:pStyle w:val="6"/>
        <w:jc w:val="left"/>
      </w:pPr>
      <w:r>
        <w:rPr>
          <w:rFonts w:ascii="仿宋_GB2312" w:hAnsi="仿宋_GB2312" w:eastAsia="仿宋_GB2312" w:cs="仿宋_GB2312"/>
        </w:rPr>
        <w:t>15.2若协商解决不成，双方明确按以下第_种方式解决：</w:t>
      </w:r>
    </w:p>
    <w:p>
      <w:pPr>
        <w:pStyle w:val="6"/>
        <w:jc w:val="left"/>
      </w:pPr>
      <w:r>
        <w:rPr>
          <w:rFonts w:ascii="仿宋_GB2312" w:hAnsi="仿宋_GB2312" w:eastAsia="仿宋_GB2312" w:cs="仿宋_GB2312"/>
        </w:rPr>
        <w:t xml:space="preserve"> 1、提交仲裁委员会仲裁，具体如下：</w:t>
      </w:r>
    </w:p>
    <w:p>
      <w:pPr>
        <w:pStyle w:val="6"/>
        <w:spacing w:line="300" w:lineRule="auto"/>
        <w:jc w:val="left"/>
      </w:pPr>
      <w:r>
        <w:rPr>
          <w:rFonts w:ascii="仿宋_GB2312" w:hAnsi="仿宋_GB2312" w:eastAsia="仿宋_GB2312" w:cs="仿宋_GB2312"/>
        </w:rPr>
        <w:t xml:space="preserve"> 2、向______人民法院提起诉讼。</w:t>
      </w:r>
    </w:p>
    <w:p>
      <w:pPr>
        <w:pStyle w:val="6"/>
        <w:jc w:val="left"/>
        <w:outlineLvl w:val="3"/>
      </w:pPr>
      <w:r>
        <w:rPr>
          <w:rFonts w:ascii="仿宋_GB2312" w:hAnsi="仿宋_GB2312" w:eastAsia="仿宋_GB2312" w:cs="仿宋_GB2312"/>
          <w:b/>
          <w:sz w:val="24"/>
        </w:rPr>
        <w:t xml:space="preserve"> 十六、合同其他条款</w:t>
      </w:r>
      <w:r>
        <w:br w:type="textWrapping"/>
      </w:r>
    </w:p>
    <w:p>
      <w:pPr>
        <w:pStyle w:val="6"/>
        <w:jc w:val="left"/>
        <w:outlineLvl w:val="3"/>
      </w:pPr>
      <w:r>
        <w:rPr>
          <w:rFonts w:ascii="仿宋_GB2312" w:hAnsi="仿宋_GB2312" w:eastAsia="仿宋_GB2312" w:cs="仿宋_GB2312"/>
          <w:b/>
          <w:sz w:val="24"/>
        </w:rPr>
        <w:t xml:space="preserve"> 十七、其他约定</w:t>
      </w:r>
    </w:p>
    <w:p>
      <w:pPr>
        <w:pStyle w:val="6"/>
        <w:jc w:val="left"/>
      </w:pPr>
      <w:r>
        <w:rPr>
          <w:rFonts w:ascii="仿宋_GB2312" w:hAnsi="仿宋_GB2312" w:eastAsia="仿宋_GB2312" w:cs="仿宋_GB2312"/>
        </w:rPr>
        <w:t>17.1合同文件与本合同具有同等法律效力。</w:t>
      </w:r>
    </w:p>
    <w:p>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pPr>
      <w:r>
        <w:rPr>
          <w:rFonts w:ascii="仿宋_GB2312" w:hAnsi="仿宋_GB2312" w:eastAsia="仿宋_GB2312" w:cs="仿宋_GB2312"/>
        </w:rPr>
        <w:t>17.3本合同未尽事宜，遵照《中华人民共和国民法典》有关条文执行。</w:t>
      </w:r>
    </w:p>
    <w:p>
      <w:pPr>
        <w:pStyle w:val="6"/>
        <w:jc w:val="left"/>
      </w:pPr>
      <w:r>
        <w:rPr>
          <w:rFonts w:ascii="仿宋_GB2312" w:hAnsi="仿宋_GB2312" w:eastAsia="仿宋_GB2312" w:cs="仿宋_GB2312"/>
        </w:rPr>
        <w:t>17.4本合同正本一式_______份，具有同等法律效力，甲方、乙方各执_______份；副本_______份，_______</w:t>
      </w:r>
    </w:p>
    <w:p>
      <w:pPr>
        <w:pStyle w:val="6"/>
        <w:jc w:val="left"/>
      </w:pPr>
      <w:r>
        <w:rPr>
          <w:rFonts w:ascii="仿宋_GB2312" w:hAnsi="仿宋_GB2312" w:eastAsia="仿宋_GB2312" w:cs="仿宋_GB2312"/>
        </w:rPr>
        <w:t>17.5其他</w:t>
      </w:r>
    </w:p>
    <w:p>
      <w:pPr>
        <w:pStyle w:val="6"/>
        <w:jc w:val="left"/>
        <w:outlineLvl w:val="3"/>
      </w:pPr>
      <w:r>
        <w:rPr>
          <w:rFonts w:ascii="仿宋_GB2312" w:hAnsi="仿宋_GB2312" w:eastAsia="仿宋_GB2312" w:cs="仿宋_GB2312"/>
          <w:b/>
          <w:sz w:val="24"/>
        </w:rPr>
        <w:t xml:space="preserve"> 十八、合同附件</w:t>
      </w:r>
    </w:p>
    <w:p>
      <w:pPr>
        <w:pStyle w:val="6"/>
        <w:jc w:val="left"/>
        <w:outlineLvl w:val="3"/>
      </w:pPr>
      <w:r>
        <w:rPr>
          <w:rFonts w:ascii="仿宋_GB2312" w:hAnsi="仿宋_GB2312" w:eastAsia="仿宋_GB2312" w:cs="仿宋_GB2312"/>
          <w:b/>
          <w:sz w:val="24"/>
        </w:rPr>
        <w:t xml:space="preserve"> 十九、合同融资支付约定</w:t>
      </w:r>
    </w:p>
    <w:p>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6"/>
        <w:jc w:val="left"/>
      </w:pPr>
      <w:r>
        <w:rPr>
          <w:rFonts w:ascii="仿宋_GB2312" w:hAnsi="仿宋_GB2312" w:eastAsia="仿宋_GB2312" w:cs="仿宋_GB2312"/>
        </w:rPr>
        <w:t xml:space="preserve"> 甲方（采购人）：</w:t>
      </w:r>
    </w:p>
    <w:p>
      <w:pPr>
        <w:pStyle w:val="6"/>
        <w:jc w:val="left"/>
      </w:pPr>
      <w:r>
        <w:rPr>
          <w:rFonts w:ascii="仿宋_GB2312" w:hAnsi="仿宋_GB2312" w:eastAsia="仿宋_GB2312" w:cs="仿宋_GB2312"/>
        </w:rPr>
        <w:t xml:space="preserve"> 法定（授权）代表人：</w:t>
      </w:r>
    </w:p>
    <w:p>
      <w:pPr>
        <w:pStyle w:val="6"/>
        <w:jc w:val="left"/>
      </w:pPr>
      <w:r>
        <w:rPr>
          <w:rFonts w:ascii="仿宋_GB2312" w:hAnsi="仿宋_GB2312" w:eastAsia="仿宋_GB2312" w:cs="仿宋_GB2312"/>
        </w:rPr>
        <w:t xml:space="preserve"> 纳税人识别号：</w:t>
      </w:r>
    </w:p>
    <w:p>
      <w:pPr>
        <w:pStyle w:val="6"/>
        <w:jc w:val="left"/>
      </w:pPr>
      <w:r>
        <w:rPr>
          <w:rFonts w:ascii="仿宋_GB2312" w:hAnsi="仿宋_GB2312" w:eastAsia="仿宋_GB2312" w:cs="仿宋_GB2312"/>
        </w:rPr>
        <w:t xml:space="preserve"> 开户银行：</w:t>
      </w:r>
    </w:p>
    <w:p>
      <w:pPr>
        <w:pStyle w:val="6"/>
        <w:jc w:val="left"/>
      </w:pPr>
      <w:r>
        <w:rPr>
          <w:rFonts w:ascii="仿宋_GB2312" w:hAnsi="仿宋_GB2312" w:eastAsia="仿宋_GB2312" w:cs="仿宋_GB2312"/>
        </w:rPr>
        <w:t xml:space="preserve"> 账号：</w:t>
      </w:r>
    </w:p>
    <w:p>
      <w:pPr>
        <w:pStyle w:val="6"/>
        <w:jc w:val="left"/>
      </w:pPr>
      <w:r>
        <w:rPr>
          <w:rFonts w:ascii="仿宋_GB2312" w:hAnsi="仿宋_GB2312" w:eastAsia="仿宋_GB2312" w:cs="仿宋_GB2312"/>
        </w:rPr>
        <w:t xml:space="preserve"> 乙方（中标或成交人）：</w:t>
      </w:r>
    </w:p>
    <w:p>
      <w:pPr>
        <w:pStyle w:val="6"/>
        <w:jc w:val="left"/>
      </w:pPr>
      <w:r>
        <w:rPr>
          <w:rFonts w:ascii="仿宋_GB2312" w:hAnsi="仿宋_GB2312" w:eastAsia="仿宋_GB2312" w:cs="仿宋_GB2312"/>
        </w:rPr>
        <w:t xml:space="preserve"> 法定（授权）代表人：</w:t>
      </w:r>
    </w:p>
    <w:p>
      <w:pPr>
        <w:pStyle w:val="6"/>
        <w:jc w:val="left"/>
      </w:pPr>
      <w:r>
        <w:rPr>
          <w:rFonts w:ascii="仿宋_GB2312" w:hAnsi="仿宋_GB2312" w:eastAsia="仿宋_GB2312" w:cs="仿宋_GB2312"/>
        </w:rPr>
        <w:t xml:space="preserve"> 纳税人识别号：</w:t>
      </w:r>
    </w:p>
    <w:p>
      <w:pPr>
        <w:pStyle w:val="6"/>
        <w:jc w:val="left"/>
      </w:pPr>
      <w:r>
        <w:rPr>
          <w:rFonts w:ascii="仿宋_GB2312" w:hAnsi="仿宋_GB2312" w:eastAsia="仿宋_GB2312" w:cs="仿宋_GB2312"/>
        </w:rPr>
        <w:t xml:space="preserve"> 开户银行：</w:t>
      </w:r>
    </w:p>
    <w:p>
      <w:pPr>
        <w:pStyle w:val="6"/>
        <w:jc w:val="left"/>
      </w:pPr>
      <w:r>
        <w:rPr>
          <w:rFonts w:ascii="仿宋_GB2312" w:hAnsi="仿宋_GB2312" w:eastAsia="仿宋_GB2312" w:cs="仿宋_GB2312"/>
        </w:rPr>
        <w:t xml:space="preserve"> 账号：</w:t>
      </w:r>
    </w:p>
    <w:p>
      <w:pPr>
        <w:pStyle w:val="6"/>
        <w:jc w:val="left"/>
      </w:pPr>
      <w:r>
        <w:rPr>
          <w:rFonts w:ascii="仿宋_GB2312" w:hAnsi="仿宋_GB2312" w:eastAsia="仿宋_GB2312" w:cs="仿宋_GB2312"/>
        </w:rPr>
        <w:t>签订地点：_____________</w:t>
      </w:r>
    </w:p>
    <w:p>
      <w:pPr>
        <w:pStyle w:val="6"/>
        <w:jc w:val="left"/>
      </w:pPr>
      <w:r>
        <w:rPr>
          <w:rFonts w:ascii="仿宋_GB2312" w:hAnsi="仿宋_GB2312" w:eastAsia="仿宋_GB2312" w:cs="仿宋_GB2312"/>
        </w:rPr>
        <w:t>签订日期：____年___月___日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第七章 电子投标文件格式</w:t>
      </w:r>
    </w:p>
    <w:p>
      <w:pPr>
        <w:pStyle w:val="6"/>
        <w:jc w:val="center"/>
        <w:outlineLvl w:val="2"/>
      </w:pPr>
      <w:r>
        <w:rPr>
          <w:rFonts w:ascii="仿宋_GB2312" w:hAnsi="仿宋_GB2312" w:eastAsia="仿宋_GB2312" w:cs="仿宋_GB2312"/>
          <w:b/>
          <w:sz w:val="28"/>
        </w:rPr>
        <w:t>编制说明</w:t>
      </w:r>
    </w:p>
    <w:p>
      <w:pPr>
        <w:pStyle w:val="6"/>
        <w:ind w:firstLine="480"/>
        <w:jc w:val="left"/>
      </w:pPr>
      <w:r>
        <w:rPr>
          <w:rFonts w:ascii="仿宋_GB2312" w:hAnsi="仿宋_GB2312" w:eastAsia="仿宋_GB2312" w:cs="仿宋_GB2312"/>
        </w:rPr>
        <w:t>1、除招标文件另有规定外，本章中：</w:t>
      </w:r>
    </w:p>
    <w:p>
      <w:pPr>
        <w:pStyle w:val="6"/>
        <w:ind w:firstLine="480"/>
        <w:jc w:val="left"/>
      </w:pPr>
      <w:r>
        <w:rPr>
          <w:rFonts w:ascii="仿宋_GB2312" w:hAnsi="仿宋_GB2312" w:eastAsia="仿宋_GB2312" w:cs="仿宋_GB2312"/>
        </w:rPr>
        <w:t>1.1涉及投标人的“全称”：</w:t>
      </w:r>
    </w:p>
    <w:p>
      <w:pPr>
        <w:pStyle w:val="6"/>
        <w:ind w:firstLine="480"/>
        <w:jc w:val="left"/>
      </w:pPr>
      <w:r>
        <w:rPr>
          <w:rFonts w:ascii="仿宋_GB2312" w:hAnsi="仿宋_GB2312" w:eastAsia="仿宋_GB2312" w:cs="仿宋_GB2312"/>
        </w:rPr>
        <w:t>（1）不接受联合体投标的，指投标人的全称。</w:t>
      </w:r>
    </w:p>
    <w:p>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jc w:val="left"/>
      </w:pPr>
      <w:r>
        <w:rPr>
          <w:rFonts w:ascii="仿宋_GB2312" w:hAnsi="仿宋_GB2312" w:eastAsia="仿宋_GB2312" w:cs="仿宋_GB2312"/>
        </w:rPr>
        <w:t>1.2涉及投标人“加盖单位公章”：</w:t>
      </w:r>
    </w:p>
    <w:p>
      <w:pPr>
        <w:pStyle w:val="6"/>
        <w:ind w:firstLine="480"/>
        <w:jc w:val="left"/>
      </w:pPr>
      <w:r>
        <w:rPr>
          <w:rFonts w:ascii="仿宋_GB2312" w:hAnsi="仿宋_GB2312" w:eastAsia="仿宋_GB2312" w:cs="仿宋_GB2312"/>
        </w:rPr>
        <w:t>（1）不接受联合体投标的，指加盖投标人的单位公章。</w:t>
      </w:r>
    </w:p>
    <w:p>
      <w:pPr>
        <w:pStyle w:val="6"/>
        <w:ind w:firstLine="480"/>
        <w:jc w:val="left"/>
      </w:pPr>
      <w:r>
        <w:rPr>
          <w:rFonts w:ascii="仿宋_GB2312" w:hAnsi="仿宋_GB2312" w:eastAsia="仿宋_GB2312" w:cs="仿宋_GB2312"/>
        </w:rPr>
        <w:t>（2）接受联合体投标且投标人为联合体的，指加盖联合体牵头方的单位公章。</w:t>
      </w:r>
    </w:p>
    <w:p>
      <w:pPr>
        <w:pStyle w:val="6"/>
        <w:ind w:firstLine="480"/>
        <w:jc w:val="left"/>
      </w:pPr>
      <w:r>
        <w:rPr>
          <w:rFonts w:ascii="仿宋_GB2312" w:hAnsi="仿宋_GB2312" w:eastAsia="仿宋_GB2312" w:cs="仿宋_GB2312"/>
        </w:rPr>
        <w:t>1.3涉及“投标人代表签字”：</w:t>
      </w:r>
    </w:p>
    <w:p>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jc w:val="left"/>
      </w:pPr>
      <w:r>
        <w:rPr>
          <w:rFonts w:ascii="仿宋_GB2312" w:hAnsi="仿宋_GB2312" w:eastAsia="仿宋_GB2312" w:cs="仿宋_GB2312"/>
        </w:rPr>
        <w:t>1.4“其他组织”指合伙企业、非企业专业服务机构、个体工商户、农村承包经营户等。</w:t>
      </w:r>
    </w:p>
    <w:p>
      <w:pPr>
        <w:pStyle w:val="6"/>
        <w:ind w:firstLine="480"/>
        <w:jc w:val="left"/>
      </w:pPr>
      <w:r>
        <w:rPr>
          <w:rFonts w:ascii="仿宋_GB2312" w:hAnsi="仿宋_GB2312" w:eastAsia="仿宋_GB2312" w:cs="仿宋_GB2312"/>
        </w:rPr>
        <w:t>1.5“自然人”指具有完全民事行为能力、能够承担民事责任和义务的中国公民。</w:t>
      </w:r>
    </w:p>
    <w:p>
      <w:pPr>
        <w:pStyle w:val="6"/>
        <w:ind w:firstLine="480"/>
        <w:jc w:val="left"/>
      </w:pPr>
      <w:r>
        <w:rPr>
          <w:rFonts w:ascii="仿宋_GB2312" w:hAnsi="仿宋_GB2312" w:eastAsia="仿宋_GB2312" w:cs="仿宋_GB2312"/>
        </w:rPr>
        <w:t>2、除招标文件另有规定外，本章中“投标人的资格及资信证明文件”：</w:t>
      </w:r>
    </w:p>
    <w:p>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jc w:val="left"/>
      </w:pPr>
      <w:r>
        <w:rPr>
          <w:rFonts w:ascii="仿宋_GB2312" w:hAnsi="仿宋_GB2312" w:eastAsia="仿宋_GB2312" w:cs="仿宋_GB2312"/>
        </w:rPr>
        <w:t>3、投标人对电子投标文件的索引应编制页码。</w:t>
      </w:r>
    </w:p>
    <w:p>
      <w:pPr>
        <w:pStyle w:val="6"/>
        <w:ind w:firstLine="480"/>
        <w:jc w:val="left"/>
      </w:pPr>
      <w:r>
        <w:rPr>
          <w:rFonts w:ascii="仿宋_GB2312" w:hAnsi="仿宋_GB2312" w:eastAsia="仿宋_GB2312" w:cs="仿宋_GB2312"/>
        </w:rPr>
        <w:t>4、本章提供格式仅供参考，投标人应根据自身实际情况制作电子投标文件。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封面格式(资格及资信证明部分)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（资格及资信证明部分）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二、投标人的资格及资信证明文件</w:t>
      </w:r>
    </w:p>
    <w:p>
      <w:pPr>
        <w:pStyle w:val="6"/>
        <w:ind w:firstLine="480"/>
        <w:jc w:val="left"/>
      </w:pPr>
      <w:r>
        <w:rPr>
          <w:rFonts w:ascii="仿宋_GB2312" w:hAnsi="仿宋_GB2312" w:eastAsia="仿宋_GB2312" w:cs="仿宋_GB2312"/>
        </w:rPr>
        <w:t>三、投标保证金</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一、投标函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jc w:val="left"/>
      </w:pPr>
      <w:r>
        <w:rPr>
          <w:rFonts w:ascii="仿宋_GB2312" w:hAnsi="仿宋_GB2312" w:eastAsia="仿宋_GB2312" w:cs="仿宋_GB2312"/>
        </w:rPr>
        <w:t>（1）资格及资信证明部分</w:t>
      </w:r>
    </w:p>
    <w:p>
      <w:pPr>
        <w:pStyle w:val="6"/>
        <w:ind w:firstLine="480"/>
        <w:jc w:val="left"/>
      </w:pPr>
      <w:r>
        <w:rPr>
          <w:rFonts w:ascii="仿宋_GB2312" w:hAnsi="仿宋_GB2312" w:eastAsia="仿宋_GB2312" w:cs="仿宋_GB2312"/>
        </w:rPr>
        <w:t>①投标函</w:t>
      </w:r>
    </w:p>
    <w:p>
      <w:pPr>
        <w:pStyle w:val="6"/>
        <w:ind w:firstLine="480"/>
        <w:jc w:val="left"/>
      </w:pPr>
      <w:r>
        <w:rPr>
          <w:rFonts w:ascii="仿宋_GB2312" w:hAnsi="仿宋_GB2312" w:eastAsia="仿宋_GB2312" w:cs="仿宋_GB2312"/>
        </w:rPr>
        <w:t>②投标人的资格及资信证明文件</w:t>
      </w:r>
    </w:p>
    <w:p>
      <w:pPr>
        <w:pStyle w:val="6"/>
        <w:ind w:firstLine="480"/>
        <w:jc w:val="left"/>
      </w:pPr>
      <w:r>
        <w:rPr>
          <w:rFonts w:ascii="仿宋_GB2312" w:hAnsi="仿宋_GB2312" w:eastAsia="仿宋_GB2312" w:cs="仿宋_GB2312"/>
        </w:rPr>
        <w:t>③投标保证金</w:t>
      </w:r>
    </w:p>
    <w:p>
      <w:pPr>
        <w:pStyle w:val="6"/>
        <w:ind w:firstLine="480"/>
        <w:jc w:val="left"/>
      </w:pPr>
      <w:r>
        <w:rPr>
          <w:rFonts w:ascii="仿宋_GB2312" w:hAnsi="仿宋_GB2312" w:eastAsia="仿宋_GB2312" w:cs="仿宋_GB2312"/>
        </w:rPr>
        <w:t>（2）报价部分</w:t>
      </w:r>
    </w:p>
    <w:p>
      <w:pPr>
        <w:pStyle w:val="6"/>
        <w:ind w:firstLine="480"/>
        <w:jc w:val="left"/>
      </w:pPr>
      <w:r>
        <w:rPr>
          <w:rFonts w:ascii="仿宋_GB2312" w:hAnsi="仿宋_GB2312" w:eastAsia="仿宋_GB2312" w:cs="仿宋_GB2312"/>
        </w:rPr>
        <w:t>①开标一览表</w:t>
      </w:r>
    </w:p>
    <w:p>
      <w:pPr>
        <w:pStyle w:val="6"/>
        <w:ind w:firstLine="480"/>
        <w:jc w:val="left"/>
      </w:pPr>
      <w:r>
        <w:rPr>
          <w:rFonts w:ascii="仿宋_GB2312" w:hAnsi="仿宋_GB2312" w:eastAsia="仿宋_GB2312" w:cs="仿宋_GB2312"/>
        </w:rPr>
        <w:t>②投标分项报价表</w:t>
      </w:r>
    </w:p>
    <w:p>
      <w:pPr>
        <w:pStyle w:val="6"/>
        <w:ind w:firstLine="480"/>
        <w:jc w:val="left"/>
      </w:pPr>
      <w:r>
        <w:rPr>
          <w:rFonts w:ascii="仿宋_GB2312" w:hAnsi="仿宋_GB2312" w:eastAsia="仿宋_GB2312" w:cs="仿宋_GB2312"/>
        </w:rPr>
        <w:t>③招标文件规定的价格扣除证明材料（若有）</w:t>
      </w:r>
    </w:p>
    <w:p>
      <w:pPr>
        <w:pStyle w:val="6"/>
        <w:ind w:firstLine="480"/>
        <w:jc w:val="left"/>
      </w:pPr>
      <w:r>
        <w:rPr>
          <w:rFonts w:ascii="仿宋_GB2312" w:hAnsi="仿宋_GB2312" w:eastAsia="仿宋_GB2312" w:cs="仿宋_GB2312"/>
        </w:rPr>
        <w:t>④招标文件规定的加分证明材料（若有）</w:t>
      </w:r>
    </w:p>
    <w:p>
      <w:pPr>
        <w:pStyle w:val="6"/>
        <w:ind w:firstLine="480"/>
        <w:jc w:val="left"/>
      </w:pPr>
      <w:r>
        <w:rPr>
          <w:rFonts w:ascii="仿宋_GB2312" w:hAnsi="仿宋_GB2312" w:eastAsia="仿宋_GB2312" w:cs="仿宋_GB2312"/>
        </w:rPr>
        <w:t>（3）技术商务部分</w:t>
      </w:r>
    </w:p>
    <w:p>
      <w:pPr>
        <w:pStyle w:val="6"/>
        <w:ind w:firstLine="480"/>
        <w:jc w:val="left"/>
      </w:pPr>
      <w:r>
        <w:rPr>
          <w:rFonts w:ascii="仿宋_GB2312" w:hAnsi="仿宋_GB2312" w:eastAsia="仿宋_GB2312" w:cs="仿宋_GB2312"/>
        </w:rPr>
        <w:t>①标的说明一览表</w:t>
      </w:r>
    </w:p>
    <w:p>
      <w:pPr>
        <w:pStyle w:val="6"/>
        <w:ind w:firstLine="480"/>
        <w:jc w:val="left"/>
      </w:pPr>
      <w:r>
        <w:rPr>
          <w:rFonts w:ascii="仿宋_GB2312" w:hAnsi="仿宋_GB2312" w:eastAsia="仿宋_GB2312" w:cs="仿宋_GB2312"/>
        </w:rPr>
        <w:t>②技术和服务要求响应表</w:t>
      </w:r>
    </w:p>
    <w:p>
      <w:pPr>
        <w:pStyle w:val="6"/>
        <w:ind w:firstLine="480"/>
        <w:jc w:val="left"/>
      </w:pPr>
      <w:r>
        <w:rPr>
          <w:rFonts w:ascii="仿宋_GB2312" w:hAnsi="仿宋_GB2312" w:eastAsia="仿宋_GB2312" w:cs="仿宋_GB2312"/>
        </w:rPr>
        <w:t>③商务条件响应表</w:t>
      </w:r>
    </w:p>
    <w:p>
      <w:pPr>
        <w:pStyle w:val="6"/>
        <w:ind w:firstLine="480"/>
        <w:jc w:val="left"/>
      </w:pPr>
      <w:r>
        <w:rPr>
          <w:rFonts w:ascii="仿宋_GB2312" w:hAnsi="仿宋_GB2312" w:eastAsia="仿宋_GB2312" w:cs="仿宋_GB2312"/>
        </w:rPr>
        <w:t>④投标人提交的其他资料（若有）</w:t>
      </w:r>
    </w:p>
    <w:p>
      <w:pPr>
        <w:pStyle w:val="6"/>
        <w:ind w:firstLine="480"/>
        <w:jc w:val="left"/>
      </w:pPr>
      <w:r>
        <w:rPr>
          <w:rFonts w:ascii="仿宋_GB2312" w:hAnsi="仿宋_GB2312" w:eastAsia="仿宋_GB2312" w:cs="仿宋_GB2312"/>
        </w:rPr>
        <w:t>根据本函，本投标人代表宣布我方保证遵守招标文件的全部规定，同时：</w:t>
      </w:r>
    </w:p>
    <w:p>
      <w:pPr>
        <w:pStyle w:val="6"/>
        <w:ind w:firstLine="480"/>
        <w:jc w:val="left"/>
      </w:pPr>
      <w:r>
        <w:rPr>
          <w:rFonts w:ascii="仿宋_GB2312" w:hAnsi="仿宋_GB2312" w:eastAsia="仿宋_GB2312" w:cs="仿宋_GB2312"/>
        </w:rPr>
        <w:t>1、确认：</w:t>
      </w:r>
    </w:p>
    <w:p>
      <w:pPr>
        <w:pStyle w:val="6"/>
        <w:ind w:firstLine="480"/>
        <w:jc w:val="left"/>
      </w:pPr>
      <w:r>
        <w:rPr>
          <w:rFonts w:ascii="仿宋_GB2312" w:hAnsi="仿宋_GB2312" w:eastAsia="仿宋_GB2312" w:cs="仿宋_GB2312"/>
        </w:rPr>
        <w:t>1.1所投采购包的投标报价详见“开标一览表”及“投标分项报价表”。</w:t>
      </w:r>
    </w:p>
    <w:p>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jc w:val="left"/>
      </w:pPr>
      <w:r>
        <w:rPr>
          <w:rFonts w:ascii="仿宋_GB2312" w:hAnsi="仿宋_GB2312" w:eastAsia="仿宋_GB2312" w:cs="仿宋_GB2312"/>
        </w:rPr>
        <w:t>2、承诺及声明：</w:t>
      </w:r>
    </w:p>
    <w:p>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jc w:val="left"/>
      </w:pPr>
      <w:r>
        <w:rPr>
          <w:rFonts w:ascii="仿宋_GB2312" w:hAnsi="仿宋_GB2312" w:eastAsia="仿宋_GB2312" w:cs="仿宋_GB2312"/>
        </w:rPr>
        <w:t>2.3我方提供的标的价格不高于同期市场价格，否则产生不利后果由我方承担责任。</w:t>
      </w:r>
    </w:p>
    <w:p>
      <w:pPr>
        <w:pStyle w:val="6"/>
        <w:ind w:firstLine="480"/>
        <w:jc w:val="left"/>
      </w:pPr>
      <w:r>
        <w:rPr>
          <w:rFonts w:ascii="仿宋_GB2312" w:hAnsi="仿宋_GB2312" w:eastAsia="仿宋_GB2312" w:cs="仿宋_GB2312"/>
        </w:rPr>
        <w:t>2.4投标保证金：若出现招标文件第三章规定的不予退还情形，同意贵单位不予退还。</w:t>
      </w:r>
    </w:p>
    <w:p>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6"/>
        <w:ind w:firstLine="480"/>
        <w:jc w:val="left"/>
      </w:pPr>
      <w:r>
        <w:rPr>
          <w:rFonts w:ascii="仿宋_GB2312" w:hAnsi="仿宋_GB2312" w:eastAsia="仿宋_GB2312" w:cs="仿宋_GB2312"/>
        </w:rPr>
        <w:t>2.6若中标，将按照招标文件、我方电子投标文件及政府采购合同履行责任和义务。</w:t>
      </w:r>
    </w:p>
    <w:p>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jc w:val="left"/>
      </w:pPr>
      <w:r>
        <w:rPr>
          <w:rFonts w:ascii="仿宋_GB2312" w:hAnsi="仿宋_GB2312" w:eastAsia="仿宋_GB2312" w:cs="仿宋_GB2312"/>
        </w:rPr>
        <w:t xml:space="preserve">通信地址：                                        </w:t>
      </w:r>
    </w:p>
    <w:p>
      <w:pPr>
        <w:pStyle w:val="6"/>
        <w:ind w:firstLine="480"/>
        <w:jc w:val="left"/>
      </w:pPr>
      <w:r>
        <w:rPr>
          <w:rFonts w:ascii="仿宋_GB2312" w:hAnsi="仿宋_GB2312" w:eastAsia="仿宋_GB2312" w:cs="仿宋_GB2312"/>
        </w:rPr>
        <w:t xml:space="preserve">邮编：                                           </w:t>
      </w:r>
    </w:p>
    <w:p>
      <w:pPr>
        <w:pStyle w:val="6"/>
        <w:ind w:firstLine="480"/>
        <w:jc w:val="left"/>
      </w:pPr>
      <w:r>
        <w:rPr>
          <w:rFonts w:ascii="仿宋_GB2312" w:hAnsi="仿宋_GB2312" w:eastAsia="仿宋_GB2312" w:cs="仿宋_GB2312"/>
        </w:rPr>
        <w:t>联系方法：（包括但不限于：联系人、联系电话、手机、传真、电子邮箱等）</w:t>
      </w:r>
    </w:p>
    <w:p>
      <w:pPr>
        <w:pStyle w:val="6"/>
        <w:ind w:firstLine="480"/>
        <w:jc w:val="left"/>
      </w:pPr>
      <w:r>
        <w:rPr>
          <w:rFonts w:ascii="仿宋_GB2312" w:hAnsi="仿宋_GB2312" w:eastAsia="仿宋_GB2312" w:cs="仿宋_GB2312"/>
        </w:rPr>
        <w:t>投标人：（全称并加盖单位公章）</w:t>
      </w:r>
    </w:p>
    <w:p>
      <w:pPr>
        <w:pStyle w:val="6"/>
        <w:ind w:firstLine="480"/>
        <w:jc w:val="lef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二、投标人的资格及资信证明文件</w:t>
      </w:r>
    </w:p>
    <w:p>
      <w:pPr>
        <w:pStyle w:val="6"/>
        <w:ind w:firstLine="960"/>
        <w:jc w:val="center"/>
        <w:outlineLvl w:val="3"/>
      </w:pPr>
      <w:r>
        <w:rPr>
          <w:rFonts w:ascii="仿宋_GB2312" w:hAnsi="仿宋_GB2312" w:eastAsia="仿宋_GB2312" w:cs="仿宋_GB2312"/>
          <w:b/>
          <w:sz w:val="24"/>
        </w:rPr>
        <w:t>二-1单位授权书（若有）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pPr>
      <w:r>
        <w:rPr>
          <w:rFonts w:ascii="仿宋_GB2312" w:hAnsi="仿宋_GB2312" w:eastAsia="仿宋_GB2312" w:cs="仿宋_GB2312"/>
        </w:rPr>
        <w:t>投标人代表无转委权。特此授权。</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授权方</w:t>
      </w:r>
    </w:p>
    <w:p>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签署日期： 年 月 日</w:t>
      </w:r>
    </w:p>
    <w:p>
      <w:pPr>
        <w:pStyle w:val="6"/>
        <w:ind w:firstLine="480"/>
        <w:jc w:val="left"/>
      </w:pPr>
      <w:r>
        <w:rPr>
          <w:rFonts w:ascii="仿宋_GB2312" w:hAnsi="仿宋_GB2312" w:eastAsia="仿宋_GB2312" w:cs="仿宋_GB2312"/>
        </w:rPr>
        <w:t>附：单位负责人、投标人代表的身份证正反面复印件</w:t>
      </w:r>
    </w:p>
    <w:p>
      <w:pPr>
        <w:pStyle w:val="6"/>
        <w:ind w:firstLine="960"/>
        <w:jc w:val="left"/>
      </w:pPr>
      <w:r>
        <w:rPr>
          <w:rFonts w:ascii="仿宋_GB2312" w:hAnsi="仿宋_GB2312" w:eastAsia="仿宋_GB2312" w:cs="仿宋_GB2312"/>
        </w:rPr>
        <w:t>要求：真实有效且内容完整、清晰、整洁。</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pPr>
      <w:r>
        <w:rPr>
          <w:rFonts w:ascii="仿宋_GB2312" w:hAnsi="仿宋_GB2312" w:eastAsia="仿宋_GB2312" w:cs="仿宋_GB2312"/>
        </w:rPr>
        <w:t>4、投标人为自然人的，可不填写本授权书。</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二-2 证明材料</w:t>
      </w:r>
    </w:p>
    <w:p>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ind w:firstLine="960"/>
        <w:jc w:val="center"/>
        <w:outlineLvl w:val="3"/>
      </w:pPr>
      <w:r>
        <w:rPr>
          <w:rFonts w:ascii="仿宋_GB2312" w:hAnsi="仿宋_GB2312" w:eastAsia="仿宋_GB2312" w:cs="仿宋_GB2312"/>
          <w:b/>
          <w:sz w:val="24"/>
        </w:rPr>
        <w:t>二-2-1 福建省政府采购供应商资格承诺函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jc w:val="left"/>
      </w:pPr>
      <w:r>
        <w:rPr>
          <w:rFonts w:ascii="仿宋_GB2312" w:hAnsi="仿宋_GB2312" w:eastAsia="仿宋_GB2312" w:cs="仿宋_GB2312"/>
        </w:rPr>
        <w:t>单位名称(自然人姓名):</w:t>
      </w:r>
    </w:p>
    <w:p>
      <w:pPr>
        <w:pStyle w:val="6"/>
        <w:ind w:firstLine="960"/>
        <w:jc w:val="left"/>
      </w:pPr>
      <w:r>
        <w:rPr>
          <w:rFonts w:ascii="仿宋_GB2312" w:hAnsi="仿宋_GB2312" w:eastAsia="仿宋_GB2312" w:cs="仿宋_GB2312"/>
        </w:rPr>
        <w:t>统一社会信用代码(自然人身份证号码):</w:t>
      </w:r>
    </w:p>
    <w:p>
      <w:pPr>
        <w:pStyle w:val="6"/>
        <w:ind w:firstLine="960"/>
        <w:jc w:val="left"/>
      </w:pPr>
      <w:r>
        <w:rPr>
          <w:rFonts w:ascii="仿宋_GB2312" w:hAnsi="仿宋_GB2312" w:eastAsia="仿宋_GB2312" w:cs="仿宋_GB2312"/>
        </w:rPr>
        <w:t>法定代表人(负责人):</w:t>
      </w:r>
    </w:p>
    <w:p>
      <w:pPr>
        <w:pStyle w:val="6"/>
        <w:ind w:firstLine="960"/>
        <w:jc w:val="left"/>
      </w:pPr>
      <w:r>
        <w:rPr>
          <w:rFonts w:ascii="仿宋_GB2312" w:hAnsi="仿宋_GB2312" w:eastAsia="仿宋_GB2312" w:cs="仿宋_GB2312"/>
        </w:rPr>
        <w:t>联系地址和电话:</w:t>
      </w:r>
    </w:p>
    <w:p>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6"/>
        <w:ind w:firstLine="960"/>
        <w:jc w:val="left"/>
      </w:pPr>
      <w:r>
        <w:rPr>
          <w:rFonts w:ascii="仿宋_GB2312" w:hAnsi="仿宋_GB2312" w:eastAsia="仿宋_GB2312" w:cs="仿宋_GB2312"/>
        </w:rPr>
        <w:t>1.具有独立承担民事责任的能力;</w:t>
      </w:r>
    </w:p>
    <w:p>
      <w:pPr>
        <w:pStyle w:val="6"/>
        <w:ind w:firstLine="960"/>
        <w:jc w:val="left"/>
      </w:pPr>
      <w:r>
        <w:rPr>
          <w:rFonts w:ascii="仿宋_GB2312" w:hAnsi="仿宋_GB2312" w:eastAsia="仿宋_GB2312" w:cs="仿宋_GB2312"/>
        </w:rPr>
        <w:t>2.具有良好的商业信誉和健全的财务会计制度;</w:t>
      </w:r>
    </w:p>
    <w:p>
      <w:pPr>
        <w:pStyle w:val="6"/>
        <w:ind w:firstLine="960"/>
        <w:jc w:val="left"/>
      </w:pPr>
      <w:r>
        <w:rPr>
          <w:rFonts w:ascii="仿宋_GB2312" w:hAnsi="仿宋_GB2312" w:eastAsia="仿宋_GB2312" w:cs="仿宋_GB2312"/>
        </w:rPr>
        <w:t>3.具有履行合同所必需的设备和专业技术能力;</w:t>
      </w:r>
    </w:p>
    <w:p>
      <w:pPr>
        <w:pStyle w:val="6"/>
        <w:ind w:firstLine="960"/>
        <w:jc w:val="left"/>
      </w:pPr>
      <w:r>
        <w:rPr>
          <w:rFonts w:ascii="仿宋_GB2312" w:hAnsi="仿宋_GB2312" w:eastAsia="仿宋_GB2312" w:cs="仿宋_GB2312"/>
        </w:rPr>
        <w:t>4.有依法缴纳税收和社会保障资金的良好记录;</w:t>
      </w:r>
    </w:p>
    <w:p>
      <w:pPr>
        <w:pStyle w:val="6"/>
        <w:ind w:firstLine="960"/>
        <w:jc w:val="left"/>
      </w:pPr>
      <w:r>
        <w:rPr>
          <w:rFonts w:ascii="仿宋_GB2312" w:hAnsi="仿宋_GB2312" w:eastAsia="仿宋_GB2312" w:cs="仿宋_GB2312"/>
        </w:rPr>
        <w:t>5.参加政府采购活动前三年内，在经营活动中没有重大违法记录；</w:t>
      </w:r>
    </w:p>
    <w:p>
      <w:pPr>
        <w:pStyle w:val="6"/>
        <w:ind w:firstLine="960"/>
        <w:jc w:val="left"/>
      </w:pPr>
      <w:r>
        <w:rPr>
          <w:rFonts w:ascii="仿宋_GB2312" w:hAnsi="仿宋_GB2312" w:eastAsia="仿宋_GB2312" w:cs="仿宋_GB2312"/>
        </w:rPr>
        <w:t>6.法律、行政法规规定的其他条件。</w:t>
      </w:r>
    </w:p>
    <w:p>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w:t>
      </w:r>
    </w:p>
    <w:p>
      <w:pPr>
        <w:pStyle w:val="6"/>
        <w:ind w:firstLine="960"/>
        <w:jc w:val="left"/>
      </w:pPr>
      <w:r>
        <w:rPr>
          <w:rFonts w:ascii="仿宋_GB2312" w:hAnsi="仿宋_GB2312" w:eastAsia="仿宋_GB2312" w:cs="仿宋_GB2312"/>
        </w:rPr>
        <w:t>1.我单位(本人)专指参加政府采购活动的供应商(含自然人)；</w:t>
      </w:r>
    </w:p>
    <w:p>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二-2-2 资格证明材料</w:t>
      </w:r>
    </w:p>
    <w:p>
      <w:pPr>
        <w:pStyle w:val="6"/>
        <w:ind w:firstLine="960"/>
        <w:jc w:val="center"/>
        <w:outlineLvl w:val="3"/>
      </w:pPr>
      <w:r>
        <w:rPr>
          <w:rFonts w:ascii="仿宋_GB2312" w:hAnsi="仿宋_GB2312" w:eastAsia="仿宋_GB2312" w:cs="仿宋_GB2312"/>
          <w:b/>
          <w:sz w:val="24"/>
        </w:rPr>
        <w:t>营业执照等证明文件</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）投标人为法人（包括企业、事业单位和社会团体）的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jc w:val="left"/>
      </w:pPr>
      <w:r>
        <w:rPr>
          <w:rFonts w:ascii="仿宋_GB2312" w:hAnsi="仿宋_GB2312" w:eastAsia="仿宋_GB2312" w:cs="仿宋_GB2312"/>
        </w:rPr>
        <w:t>（ ）投标人为非法人（包括其他组织、自然人）的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财务状况报告（财务报告、或资信证明）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）投标人提供财务报告的</w:t>
      </w:r>
    </w:p>
    <w:p>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 ）投标人提供资信证明的</w:t>
      </w:r>
    </w:p>
    <w:p>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2、投标人提供的财务报告复印件（成立年限按照投标截止时间推算）应符合下列规定：</w:t>
      </w:r>
    </w:p>
    <w:p>
      <w:pPr>
        <w:pStyle w:val="6"/>
        <w:ind w:firstLine="480"/>
        <w:jc w:val="left"/>
      </w:pPr>
      <w:r>
        <w:rPr>
          <w:rFonts w:ascii="仿宋_GB2312" w:hAnsi="仿宋_GB2312" w:eastAsia="仿宋_GB2312" w:cs="仿宋_GB2312"/>
        </w:rPr>
        <w:t>2.1成立年限满1年及以上的投标人，提供经审计的招标文件规定的年度财务报告。</w:t>
      </w:r>
    </w:p>
    <w:p>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依法缴纳税收证明材料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1、依法缴纳税收的投标人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2、依法免税的投标人</w:t>
      </w:r>
    </w:p>
    <w:p>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2、投标人提供的税收缴纳凭据复印件应符合下列规定：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依法缴纳社会保障资金证明材料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1、依法缴纳社会保障资金的投标人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2、依法不需要缴纳或暂缓缴纳社会保障资金的投标人</w:t>
      </w:r>
    </w:p>
    <w:p>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2、投标人提供的社会保障资金缴纳凭据复印件应符合下列规定：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具备履行合同所必需设备和专业技术能力的声明函（若有）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jc w:val="left"/>
      </w:pPr>
      <w:r>
        <w:rPr>
          <w:rFonts w:ascii="仿宋_GB2312" w:hAnsi="仿宋_GB2312" w:eastAsia="仿宋_GB2312" w:cs="仿宋_GB2312"/>
        </w:rPr>
        <w:t>3、请投标人根据实际情况如实声明，否则视为提供虚假材料。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pPr>
      <w:r>
        <w:rPr>
          <w:rFonts w:ascii="仿宋_GB2312" w:hAnsi="仿宋_GB2312" w:eastAsia="仿宋_GB2312" w:cs="仿宋_GB2312"/>
        </w:rPr>
        <w:t>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二-3信用记录查询提示</w:t>
      </w:r>
    </w:p>
    <w:p>
      <w:pPr>
        <w:pStyle w:val="6"/>
        <w:ind w:firstLine="480"/>
        <w:jc w:val="left"/>
      </w:pPr>
      <w:r>
        <w:rPr>
          <w:rFonts w:ascii="仿宋_GB2312" w:hAnsi="仿宋_GB2312" w:eastAsia="仿宋_GB2312" w:cs="仿宋_GB2312"/>
        </w:rPr>
        <w:t>1、由资格审查小组通过网站查询并打印投标人的信用记录。</w:t>
      </w:r>
    </w:p>
    <w:p>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二-4中小企业声明函</w:t>
      </w:r>
    </w:p>
    <w:p>
      <w:pPr>
        <w:pStyle w:val="6"/>
        <w:ind w:firstLine="960"/>
        <w:jc w:val="center"/>
        <w:outlineLvl w:val="3"/>
      </w:pPr>
      <w:r>
        <w:rPr>
          <w:rFonts w:ascii="仿宋_GB2312" w:hAnsi="仿宋_GB2312" w:eastAsia="仿宋_GB2312" w:cs="仿宋_GB2312"/>
          <w:b/>
          <w:sz w:val="24"/>
        </w:rPr>
        <w:t>（以资格条件落实中小企业扶持政策时适用，若有）</w:t>
      </w:r>
    </w:p>
    <w:p>
      <w:pPr>
        <w:pStyle w:val="6"/>
        <w:ind w:firstLine="960"/>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残疾人福利性单位声明函</w:t>
      </w:r>
    </w:p>
    <w:p>
      <w:pPr>
        <w:pStyle w:val="6"/>
        <w:ind w:firstLine="960"/>
        <w:jc w:val="center"/>
        <w:outlineLvl w:val="3"/>
      </w:pPr>
      <w:r>
        <w:rPr>
          <w:rFonts w:ascii="仿宋_GB2312" w:hAnsi="仿宋_GB2312" w:eastAsia="仿宋_GB2312" w:cs="仿宋_GB2312"/>
          <w:b/>
          <w:sz w:val="24"/>
        </w:rPr>
        <w:t>（以资格条件落实中小企业扶持政策时适用，若有）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附：</w:t>
      </w:r>
    </w:p>
    <w:p>
      <w:pPr>
        <w:pStyle w:val="6"/>
        <w:ind w:firstLine="960"/>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二-5联合体协议（若有）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jc w:val="left"/>
      </w:pPr>
      <w:r>
        <w:rPr>
          <w:rFonts w:ascii="仿宋_GB2312" w:hAnsi="仿宋_GB2312" w:eastAsia="仿宋_GB2312" w:cs="仿宋_GB2312"/>
        </w:rPr>
        <w:t>一、联合体各方应承担的工作和义务具体如下：</w:t>
      </w:r>
    </w:p>
    <w:p>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二、联合体各方的合同金额占比，具体如下：</w:t>
      </w:r>
    </w:p>
    <w:p>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三、联合体各方约定：</w:t>
      </w:r>
    </w:p>
    <w:p>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pPr>
      <w:r>
        <w:rPr>
          <w:rFonts w:ascii="仿宋_GB2312" w:hAnsi="仿宋_GB2312" w:eastAsia="仿宋_GB2312" w:cs="仿宋_GB2312"/>
        </w:rPr>
        <w:t>五、本协议自签署之日起生效，政府采购合同履行完毕后自动失效。</w:t>
      </w:r>
    </w:p>
    <w:p>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1、招标文件接受联合体投标且投标人为联合体的，投标人应提供本协议；否则无须提供。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二-6分包意向协议（若有）</w:t>
      </w:r>
    </w:p>
    <w:p>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pPr>
      <w:r>
        <w:rPr>
          <w:rFonts w:ascii="仿宋_GB2312" w:hAnsi="仿宋_GB2312" w:eastAsia="仿宋_GB2312" w:cs="仿宋_GB2312"/>
        </w:rPr>
        <w:t>一、分包标的</w:t>
      </w:r>
    </w:p>
    <w:p>
      <w:pPr>
        <w:pStyle w:val="6"/>
        <w:ind w:firstLine="480"/>
        <w:jc w:val="left"/>
      </w:pPr>
      <w:r>
        <w:rPr>
          <w:rFonts w:ascii="仿宋_GB2312" w:hAnsi="仿宋_GB2312" w:eastAsia="仿宋_GB2312" w:cs="仿宋_GB2312"/>
          <w:u w:val="single"/>
        </w:rPr>
        <w:t>（根据双方的意向填写，可以是表格或文字描述）。</w:t>
      </w:r>
    </w:p>
    <w:p>
      <w:pPr>
        <w:pStyle w:val="6"/>
        <w:ind w:firstLine="480"/>
        <w:jc w:val="left"/>
      </w:pPr>
      <w:r>
        <w:rPr>
          <w:rFonts w:ascii="仿宋_GB2312" w:hAnsi="仿宋_GB2312" w:eastAsia="仿宋_GB2312" w:cs="仿宋_GB2312"/>
        </w:rPr>
        <w:t>二、分包合同金额占比</w:t>
      </w:r>
    </w:p>
    <w:p>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三、其他条款</w:t>
      </w:r>
    </w:p>
    <w:p>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甲方：</w:t>
            </w:r>
          </w:p>
        </w:tc>
        <w:tc>
          <w:tcPr>
            <w:tcW w:w="4153" w:type="dxa"/>
          </w:tcPr>
          <w:p>
            <w:pPr>
              <w:pStyle w:val="6"/>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住所：</w:t>
            </w:r>
          </w:p>
        </w:tc>
        <w:tc>
          <w:tcPr>
            <w:tcW w:w="4153" w:type="dxa"/>
          </w:tcPr>
          <w:p>
            <w:pPr>
              <w:pStyle w:val="6"/>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单位负责人或委托代理人：</w:t>
            </w:r>
          </w:p>
        </w:tc>
        <w:tc>
          <w:tcPr>
            <w:tcW w:w="4153" w:type="dxa"/>
          </w:tcPr>
          <w:p>
            <w:pPr>
              <w:pStyle w:val="6"/>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联系方法：</w:t>
            </w:r>
          </w:p>
        </w:tc>
        <w:tc>
          <w:tcPr>
            <w:tcW w:w="4153" w:type="dxa"/>
          </w:tcPr>
          <w:p>
            <w:pPr>
              <w:pStyle w:val="6"/>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开户银行：</w:t>
            </w:r>
          </w:p>
        </w:tc>
        <w:tc>
          <w:tcPr>
            <w:tcW w:w="4153" w:type="dxa"/>
          </w:tcPr>
          <w:p>
            <w:pPr>
              <w:pStyle w:val="6"/>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账号：</w:t>
            </w:r>
          </w:p>
        </w:tc>
        <w:tc>
          <w:tcPr>
            <w:tcW w:w="4153" w:type="dxa"/>
          </w:tcPr>
          <w:p>
            <w:pPr>
              <w:pStyle w:val="6"/>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1.招标文件接受合同分包且投标人拟将合同分包的，应提供本协议；否则无须提供。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960"/>
        <w:jc w:val="center"/>
        <w:outlineLvl w:val="3"/>
      </w:pPr>
      <w:r>
        <w:rPr>
          <w:rFonts w:ascii="仿宋_GB2312" w:hAnsi="仿宋_GB2312" w:eastAsia="仿宋_GB2312" w:cs="仿宋_GB2312"/>
          <w:b/>
          <w:sz w:val="24"/>
        </w:rPr>
        <w:t>二-7其他资格证明文件（若有）</w:t>
      </w:r>
    </w:p>
    <w:p>
      <w:pPr>
        <w:pStyle w:val="6"/>
        <w:ind w:firstLine="960"/>
        <w:jc w:val="center"/>
        <w:outlineLvl w:val="3"/>
      </w:pPr>
      <w:r>
        <w:rPr>
          <w:rFonts w:ascii="仿宋_GB2312" w:hAnsi="仿宋_GB2312" w:eastAsia="仿宋_GB2312" w:cs="仿宋_GB2312"/>
          <w:b/>
          <w:sz w:val="24"/>
        </w:rPr>
        <w:t>二-7-①招标文件规定的其他资格证明文件（若有）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三、投标保证金</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jc w:val="left"/>
      </w:pPr>
      <w:r>
        <w:rPr>
          <w:rFonts w:ascii="仿宋_GB2312" w:hAnsi="仿宋_GB2312" w:eastAsia="仿宋_GB2312" w:cs="仿宋_GB2312"/>
        </w:rPr>
        <w:t>2、投标保证金是否已提交的认定按照招标文件第三章规定执行。</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封面格式(报价部分)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（报价部分）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一、开标（报价）一览表</w:t>
      </w:r>
    </w:p>
    <w:p>
      <w:pPr>
        <w:pStyle w:val="6"/>
        <w:ind w:firstLine="480"/>
        <w:jc w:val="left"/>
      </w:pPr>
      <w:r>
        <w:rPr>
          <w:rFonts w:ascii="仿宋_GB2312" w:hAnsi="仿宋_GB2312" w:eastAsia="仿宋_GB2312" w:cs="仿宋_GB2312"/>
        </w:rPr>
        <w:t>二、投标（响应）报价明细表</w:t>
      </w:r>
    </w:p>
    <w:p>
      <w:pPr>
        <w:pStyle w:val="6"/>
        <w:ind w:firstLine="480"/>
        <w:jc w:val="left"/>
      </w:pPr>
      <w:r>
        <w:rPr>
          <w:rFonts w:ascii="仿宋_GB2312" w:hAnsi="仿宋_GB2312" w:eastAsia="仿宋_GB2312" w:cs="仿宋_GB2312"/>
        </w:rPr>
        <w:t>三、招标文件规定的价格扣除证明材料（若有）</w:t>
      </w:r>
    </w:p>
    <w:p>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项目编号：[350121]YZC[GK]2026001</w:t>
      </w:r>
    </w:p>
    <w:p>
      <w:pPr>
        <w:pStyle w:val="6"/>
        <w:spacing w:line="375" w:lineRule="exact"/>
        <w:jc w:val="left"/>
      </w:pPr>
      <w:r>
        <w:rPr>
          <w:rFonts w:ascii="仿宋_GB2312" w:hAnsi="仿宋_GB2312" w:eastAsia="仿宋_GB2312" w:cs="仿宋_GB2312"/>
        </w:rPr>
        <w:t>项目名称：2026-2027年度南屿镇和上街镇（7个村居）市政园林绿化养护项目</w:t>
      </w:r>
    </w:p>
    <w:p>
      <w:pPr>
        <w:pStyle w:val="6"/>
        <w:spacing w:line="375" w:lineRule="exact"/>
        <w:jc w:val="left"/>
      </w:pPr>
      <w:r>
        <w:rPr>
          <w:rFonts w:ascii="仿宋_GB2312" w:hAnsi="仿宋_GB2312" w:eastAsia="仿宋_GB2312" w:cs="仿宋_GB2312"/>
        </w:rPr>
        <w:t>采购包：1(南屿镇和上街镇（7个村居）市政园林绿化社会化养护项目南屿镇片区（标段一）)</w:t>
      </w:r>
    </w:p>
    <w:p>
      <w:pPr>
        <w:pStyle w:val="6"/>
        <w:spacing w:line="375" w:lineRule="exact"/>
        <w:jc w:val="left"/>
      </w:pPr>
      <w:r>
        <w:rPr>
          <w:rFonts w:ascii="仿宋_GB2312" w:hAnsi="仿宋_GB2312" w:eastAsia="仿宋_GB2312" w:cs="仿宋_GB2312"/>
        </w:rPr>
        <w:t>投标人（供应商）名称：</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南屿镇和上街镇（7个村居）市政园林绿化社会化养护项目南屿镇片区（标段一）</w:t>
            </w:r>
          </w:p>
        </w:tc>
        <w:tc>
          <w:tcPr>
            <w:tcW w:w="1661" w:type="dxa"/>
          </w:tcPr>
          <w:p>
            <w:pPr>
              <w:pStyle w:val="6"/>
              <w:jc w:val="left"/>
            </w:pPr>
            <w:r>
              <w:rPr>
                <w:rFonts w:ascii="仿宋_GB2312" w:hAnsi="仿宋_GB2312" w:eastAsia="仿宋_GB2312" w:cs="仿宋_GB2312"/>
              </w:rPr>
              <w:t xml:space="preserve"> 5405000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项目编号：[350121]YZC[GK]2026001</w:t>
      </w:r>
    </w:p>
    <w:p>
      <w:pPr>
        <w:pStyle w:val="6"/>
        <w:jc w:val="left"/>
      </w:pPr>
      <w:r>
        <w:rPr>
          <w:rFonts w:ascii="仿宋_GB2312" w:hAnsi="仿宋_GB2312" w:eastAsia="仿宋_GB2312" w:cs="仿宋_GB2312"/>
        </w:rPr>
        <w:t>项目名称：2026-2027年度南屿镇和上街镇（7个村居）市政园林绿化养护项目</w:t>
      </w:r>
    </w:p>
    <w:p>
      <w:pPr>
        <w:pStyle w:val="6"/>
        <w:jc w:val="left"/>
      </w:pPr>
      <w:r>
        <w:rPr>
          <w:rFonts w:ascii="仿宋_GB2312" w:hAnsi="仿宋_GB2312" w:eastAsia="仿宋_GB2312" w:cs="仿宋_GB2312"/>
        </w:rPr>
        <w:t>采购包：南屿镇和上街镇（7个村居）市政园林绿化社会化养护项目南屿镇片区（标段一）</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南屿镇和上街镇（7个村居）市政园林绿化社会化养护项目南屿镇片区（标段一）</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3"/>
        <w:gridCol w:w="2016"/>
        <w:gridCol w:w="598"/>
        <w:gridCol w:w="598"/>
        <w:gridCol w:w="598"/>
        <w:gridCol w:w="598"/>
        <w:gridCol w:w="533"/>
        <w:gridCol w:w="598"/>
        <w:gridCol w:w="1317"/>
        <w:gridCol w:w="534"/>
        <w:gridCol w:w="5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序号</w:t>
            </w:r>
          </w:p>
        </w:tc>
        <w:tc>
          <w:tcPr>
            <w:tcW w:w="755" w:type="dxa"/>
          </w:tcPr>
          <w:p>
            <w:pPr>
              <w:pStyle w:val="6"/>
              <w:jc w:val="left"/>
            </w:pPr>
            <w:r>
              <w:rPr>
                <w:rFonts w:ascii="仿宋_GB2312" w:hAnsi="仿宋_GB2312" w:eastAsia="仿宋_GB2312" w:cs="仿宋_GB2312"/>
              </w:rPr>
              <w:t xml:space="preserve"> 服务名称</w:t>
            </w:r>
          </w:p>
        </w:tc>
        <w:tc>
          <w:tcPr>
            <w:tcW w:w="755" w:type="dxa"/>
          </w:tcPr>
          <w:p>
            <w:pPr>
              <w:pStyle w:val="6"/>
              <w:jc w:val="left"/>
            </w:pPr>
            <w:r>
              <w:rPr>
                <w:rFonts w:ascii="仿宋_GB2312" w:hAnsi="仿宋_GB2312" w:eastAsia="仿宋_GB2312" w:cs="仿宋_GB2312"/>
              </w:rPr>
              <w:t xml:space="preserve"> 服务范围</w:t>
            </w:r>
          </w:p>
        </w:tc>
        <w:tc>
          <w:tcPr>
            <w:tcW w:w="755" w:type="dxa"/>
          </w:tcPr>
          <w:p>
            <w:pPr>
              <w:pStyle w:val="6"/>
              <w:jc w:val="left"/>
            </w:pPr>
            <w:r>
              <w:rPr>
                <w:rFonts w:ascii="仿宋_GB2312" w:hAnsi="仿宋_GB2312" w:eastAsia="仿宋_GB2312" w:cs="仿宋_GB2312"/>
              </w:rPr>
              <w:t xml:space="preserve"> 服务要求</w:t>
            </w:r>
          </w:p>
        </w:tc>
        <w:tc>
          <w:tcPr>
            <w:tcW w:w="755" w:type="dxa"/>
          </w:tcPr>
          <w:p>
            <w:pPr>
              <w:pStyle w:val="6"/>
              <w:jc w:val="left"/>
            </w:pPr>
            <w:r>
              <w:rPr>
                <w:rFonts w:ascii="仿宋_GB2312" w:hAnsi="仿宋_GB2312" w:eastAsia="仿宋_GB2312" w:cs="仿宋_GB2312"/>
              </w:rPr>
              <w:t xml:space="preserve"> 服务时间</w:t>
            </w:r>
          </w:p>
        </w:tc>
        <w:tc>
          <w:tcPr>
            <w:tcW w:w="755" w:type="dxa"/>
          </w:tcPr>
          <w:p>
            <w:pPr>
              <w:pStyle w:val="6"/>
              <w:jc w:val="left"/>
            </w:pPr>
            <w:r>
              <w:rPr>
                <w:rFonts w:ascii="仿宋_GB2312" w:hAnsi="仿宋_GB2312" w:eastAsia="仿宋_GB2312" w:cs="仿宋_GB2312"/>
              </w:rPr>
              <w:t xml:space="preserve"> 服务标准</w:t>
            </w:r>
          </w:p>
        </w:tc>
        <w:tc>
          <w:tcPr>
            <w:tcW w:w="755" w:type="dxa"/>
          </w:tcPr>
          <w:p>
            <w:pPr>
              <w:pStyle w:val="6"/>
              <w:jc w:val="left"/>
            </w:pPr>
            <w:r>
              <w:rPr>
                <w:rFonts w:ascii="仿宋_GB2312" w:hAnsi="仿宋_GB2312" w:eastAsia="仿宋_GB2312" w:cs="仿宋_GB2312"/>
              </w:rPr>
              <w:t xml:space="preserve"> 最高限价</w:t>
            </w:r>
          </w:p>
        </w:tc>
        <w:tc>
          <w:tcPr>
            <w:tcW w:w="755" w:type="dxa"/>
          </w:tcPr>
          <w:p>
            <w:pPr>
              <w:pStyle w:val="6"/>
              <w:jc w:val="left"/>
            </w:pPr>
            <w:r>
              <w:rPr>
                <w:rFonts w:ascii="仿宋_GB2312" w:hAnsi="仿宋_GB2312" w:eastAsia="仿宋_GB2312" w:cs="仿宋_GB2312"/>
              </w:rPr>
              <w:t xml:space="preserve"> 单价</w:t>
            </w:r>
          </w:p>
        </w:tc>
        <w:tc>
          <w:tcPr>
            <w:tcW w:w="755" w:type="dxa"/>
          </w:tcPr>
          <w:p>
            <w:pPr>
              <w:pStyle w:val="6"/>
              <w:jc w:val="left"/>
            </w:pPr>
            <w:r>
              <w:rPr>
                <w:rFonts w:ascii="仿宋_GB2312" w:hAnsi="仿宋_GB2312" w:eastAsia="仿宋_GB2312" w:cs="仿宋_GB2312"/>
              </w:rPr>
              <w:t xml:space="preserve"> 数量</w:t>
            </w:r>
          </w:p>
        </w:tc>
        <w:tc>
          <w:tcPr>
            <w:tcW w:w="755" w:type="dxa"/>
          </w:tcPr>
          <w:p>
            <w:pPr>
              <w:pStyle w:val="6"/>
              <w:jc w:val="left"/>
            </w:pPr>
            <w:r>
              <w:rPr>
                <w:rFonts w:ascii="仿宋_GB2312" w:hAnsi="仿宋_GB2312" w:eastAsia="仿宋_GB2312" w:cs="仿宋_GB2312"/>
              </w:rPr>
              <w:t xml:space="preserve"> 计量单位</w:t>
            </w:r>
          </w:p>
        </w:tc>
        <w:tc>
          <w:tcPr>
            <w:tcW w:w="755" w:type="dxa"/>
          </w:tcPr>
          <w:p>
            <w:pPr>
              <w:pStyle w:val="6"/>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w:t>
            </w:r>
          </w:p>
        </w:tc>
        <w:tc>
          <w:tcPr>
            <w:tcW w:w="755" w:type="dxa"/>
          </w:tcPr>
          <w:p>
            <w:pPr>
              <w:pStyle w:val="6"/>
              <w:jc w:val="left"/>
            </w:pPr>
            <w:r>
              <w:rPr>
                <w:rFonts w:ascii="仿宋_GB2312" w:hAnsi="仿宋_GB2312" w:eastAsia="仿宋_GB2312" w:cs="仿宋_GB2312"/>
              </w:rPr>
              <w:t xml:space="preserve"> 智慧大道 起点：乌龙江南大道 终点：庐隐路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69787.7400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w:t>
            </w:r>
          </w:p>
        </w:tc>
        <w:tc>
          <w:tcPr>
            <w:tcW w:w="755" w:type="dxa"/>
          </w:tcPr>
          <w:p>
            <w:pPr>
              <w:pStyle w:val="6"/>
              <w:jc w:val="left"/>
            </w:pPr>
            <w:r>
              <w:rPr>
                <w:rFonts w:ascii="仿宋_GB2312" w:hAnsi="仿宋_GB2312" w:eastAsia="仿宋_GB2312" w:cs="仿宋_GB2312"/>
              </w:rPr>
              <w:t xml:space="preserve"> 智慧大道 起点：乌龙江南大道 终点：庐隐路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1334.0000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w:t>
            </w:r>
          </w:p>
        </w:tc>
        <w:tc>
          <w:tcPr>
            <w:tcW w:w="755" w:type="dxa"/>
          </w:tcPr>
          <w:p>
            <w:pPr>
              <w:pStyle w:val="6"/>
              <w:jc w:val="left"/>
            </w:pPr>
            <w:r>
              <w:rPr>
                <w:rFonts w:ascii="仿宋_GB2312" w:hAnsi="仿宋_GB2312" w:eastAsia="仿宋_GB2312" w:cs="仿宋_GB2312"/>
              </w:rPr>
              <w:t xml:space="preserve"> 旗麓南大道 起点：新保路 终点：南港大桥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52029.2800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w:t>
            </w:r>
          </w:p>
        </w:tc>
        <w:tc>
          <w:tcPr>
            <w:tcW w:w="755" w:type="dxa"/>
          </w:tcPr>
          <w:p>
            <w:pPr>
              <w:pStyle w:val="6"/>
              <w:jc w:val="left"/>
            </w:pPr>
            <w:r>
              <w:rPr>
                <w:rFonts w:ascii="仿宋_GB2312" w:hAnsi="仿宋_GB2312" w:eastAsia="仿宋_GB2312" w:cs="仿宋_GB2312"/>
              </w:rPr>
              <w:t xml:space="preserve"> 旗麓南大道 起点：新保路 终点：南港大桥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1093.0000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w:t>
            </w:r>
          </w:p>
        </w:tc>
        <w:tc>
          <w:tcPr>
            <w:tcW w:w="755" w:type="dxa"/>
          </w:tcPr>
          <w:p>
            <w:pPr>
              <w:pStyle w:val="6"/>
              <w:jc w:val="left"/>
            </w:pPr>
            <w:r>
              <w:rPr>
                <w:rFonts w:ascii="仿宋_GB2312" w:hAnsi="仿宋_GB2312" w:eastAsia="仿宋_GB2312" w:cs="仿宋_GB2312"/>
              </w:rPr>
              <w:t xml:space="preserve"> 乌龙江南大道 起点：新保路 终点：湾边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156281.2300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w:t>
            </w:r>
          </w:p>
        </w:tc>
        <w:tc>
          <w:tcPr>
            <w:tcW w:w="755" w:type="dxa"/>
          </w:tcPr>
          <w:p>
            <w:pPr>
              <w:pStyle w:val="6"/>
              <w:jc w:val="left"/>
            </w:pPr>
            <w:r>
              <w:rPr>
                <w:rFonts w:ascii="仿宋_GB2312" w:hAnsi="仿宋_GB2312" w:eastAsia="仿宋_GB2312" w:cs="仿宋_GB2312"/>
              </w:rPr>
              <w:t xml:space="preserve"> 乌龙江南大道 起点：新保路 终点：湾边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1348.0000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w:t>
            </w:r>
          </w:p>
        </w:tc>
        <w:tc>
          <w:tcPr>
            <w:tcW w:w="755" w:type="dxa"/>
          </w:tcPr>
          <w:p>
            <w:pPr>
              <w:pStyle w:val="6"/>
              <w:jc w:val="left"/>
            </w:pPr>
            <w:r>
              <w:rPr>
                <w:rFonts w:ascii="仿宋_GB2312" w:hAnsi="仿宋_GB2312" w:eastAsia="仿宋_GB2312" w:cs="仿宋_GB2312"/>
              </w:rPr>
              <w:t xml:space="preserve"> 旗麓北大道 起点：科技西路 终点：新保路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7392.0000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w:t>
            </w:r>
          </w:p>
        </w:tc>
        <w:tc>
          <w:tcPr>
            <w:tcW w:w="755" w:type="dxa"/>
          </w:tcPr>
          <w:p>
            <w:pPr>
              <w:pStyle w:val="6"/>
              <w:jc w:val="left"/>
            </w:pPr>
            <w:r>
              <w:rPr>
                <w:rFonts w:ascii="仿宋_GB2312" w:hAnsi="仿宋_GB2312" w:eastAsia="仿宋_GB2312" w:cs="仿宋_GB2312"/>
              </w:rPr>
              <w:t xml:space="preserve"> 湾边连接线 起点：乌龙江南大道 终点：湾边互通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20281.5500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w:t>
            </w:r>
          </w:p>
        </w:tc>
        <w:tc>
          <w:tcPr>
            <w:tcW w:w="755" w:type="dxa"/>
          </w:tcPr>
          <w:p>
            <w:pPr>
              <w:pStyle w:val="6"/>
              <w:jc w:val="left"/>
            </w:pPr>
            <w:r>
              <w:rPr>
                <w:rFonts w:ascii="仿宋_GB2312" w:hAnsi="仿宋_GB2312" w:eastAsia="仿宋_GB2312" w:cs="仿宋_GB2312"/>
              </w:rPr>
              <w:t xml:space="preserve"> 湾边连接线 起点：乌龙江南大道 终点：湾边互通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w:t>
            </w:r>
          </w:p>
        </w:tc>
        <w:tc>
          <w:tcPr>
            <w:tcW w:w="755" w:type="dxa"/>
          </w:tcPr>
          <w:p>
            <w:pPr>
              <w:pStyle w:val="6"/>
              <w:jc w:val="left"/>
            </w:pPr>
            <w:r>
              <w:rPr>
                <w:rFonts w:ascii="仿宋_GB2312" w:hAnsi="仿宋_GB2312" w:eastAsia="仿宋_GB2312" w:cs="仿宋_GB2312"/>
              </w:rPr>
              <w:t xml:space="preserve"> 湾边连接线 起点：湾边互通 终点：六十份村路口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171078.4500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11</w:t>
            </w:r>
          </w:p>
        </w:tc>
        <w:tc>
          <w:tcPr>
            <w:tcW w:w="755" w:type="dxa"/>
          </w:tcPr>
          <w:p>
            <w:pPr>
              <w:pStyle w:val="6"/>
              <w:jc w:val="left"/>
            </w:pPr>
            <w:r>
              <w:rPr>
                <w:rFonts w:ascii="仿宋_GB2312" w:hAnsi="仿宋_GB2312" w:eastAsia="仿宋_GB2312" w:cs="仿宋_GB2312"/>
              </w:rPr>
              <w:t xml:space="preserve"> 群升路 起点：乌龙江南大道 终点：新保路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23999.1600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12</w:t>
            </w:r>
          </w:p>
        </w:tc>
        <w:tc>
          <w:tcPr>
            <w:tcW w:w="755" w:type="dxa"/>
          </w:tcPr>
          <w:p>
            <w:pPr>
              <w:pStyle w:val="6"/>
              <w:jc w:val="left"/>
            </w:pPr>
            <w:r>
              <w:rPr>
                <w:rFonts w:ascii="仿宋_GB2312" w:hAnsi="仿宋_GB2312" w:eastAsia="仿宋_GB2312" w:cs="仿宋_GB2312"/>
              </w:rPr>
              <w:t xml:space="preserve"> 群升路 起点：乌龙江南大道 终点：新保路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257.0000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13</w:t>
            </w:r>
          </w:p>
        </w:tc>
        <w:tc>
          <w:tcPr>
            <w:tcW w:w="755" w:type="dxa"/>
          </w:tcPr>
          <w:p>
            <w:pPr>
              <w:pStyle w:val="6"/>
              <w:jc w:val="left"/>
            </w:pPr>
            <w:r>
              <w:rPr>
                <w:rFonts w:ascii="仿宋_GB2312" w:hAnsi="仿宋_GB2312" w:eastAsia="仿宋_GB2312" w:cs="仿宋_GB2312"/>
              </w:rPr>
              <w:t xml:space="preserve"> 兴业支路 起点：117 县道 终点：规划路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308.0000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14</w:t>
            </w:r>
          </w:p>
        </w:tc>
        <w:tc>
          <w:tcPr>
            <w:tcW w:w="755" w:type="dxa"/>
          </w:tcPr>
          <w:p>
            <w:pPr>
              <w:pStyle w:val="6"/>
              <w:jc w:val="left"/>
            </w:pPr>
            <w:r>
              <w:rPr>
                <w:rFonts w:ascii="仿宋_GB2312" w:hAnsi="仿宋_GB2312" w:eastAsia="仿宋_GB2312" w:cs="仿宋_GB2312"/>
              </w:rPr>
              <w:t xml:space="preserve"> 兴业支路 起点：117 县道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15</w:t>
            </w:r>
          </w:p>
        </w:tc>
        <w:tc>
          <w:tcPr>
            <w:tcW w:w="755" w:type="dxa"/>
          </w:tcPr>
          <w:p>
            <w:pPr>
              <w:pStyle w:val="6"/>
              <w:jc w:val="left"/>
            </w:pPr>
            <w:r>
              <w:rPr>
                <w:rFonts w:ascii="仿宋_GB2312" w:hAnsi="仿宋_GB2312" w:eastAsia="仿宋_GB2312" w:cs="仿宋_GB2312"/>
              </w:rPr>
              <w:t xml:space="preserve"> 缸窑路 起点：规划路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16</w:t>
            </w:r>
          </w:p>
        </w:tc>
        <w:tc>
          <w:tcPr>
            <w:tcW w:w="755" w:type="dxa"/>
          </w:tcPr>
          <w:p>
            <w:pPr>
              <w:pStyle w:val="6"/>
              <w:jc w:val="left"/>
            </w:pPr>
            <w:r>
              <w:rPr>
                <w:rFonts w:ascii="仿宋_GB2312" w:hAnsi="仿宋_GB2312" w:eastAsia="仿宋_GB2312" w:cs="仿宋_GB2312"/>
              </w:rPr>
              <w:t xml:space="preserve"> 岐源路 起点：规划路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17</w:t>
            </w:r>
          </w:p>
        </w:tc>
        <w:tc>
          <w:tcPr>
            <w:tcW w:w="755" w:type="dxa"/>
          </w:tcPr>
          <w:p>
            <w:pPr>
              <w:pStyle w:val="6"/>
              <w:jc w:val="left"/>
            </w:pPr>
            <w:r>
              <w:rPr>
                <w:rFonts w:ascii="仿宋_GB2312" w:hAnsi="仿宋_GB2312" w:eastAsia="仿宋_GB2312" w:cs="仿宋_GB2312"/>
              </w:rPr>
              <w:t xml:space="preserve"> 高岐路 起点：规划路 终点：规划路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999.7800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18</w:t>
            </w:r>
          </w:p>
        </w:tc>
        <w:tc>
          <w:tcPr>
            <w:tcW w:w="755" w:type="dxa"/>
          </w:tcPr>
          <w:p>
            <w:pPr>
              <w:pStyle w:val="6"/>
              <w:jc w:val="left"/>
            </w:pPr>
            <w:r>
              <w:rPr>
                <w:rFonts w:ascii="仿宋_GB2312" w:hAnsi="仿宋_GB2312" w:eastAsia="仿宋_GB2312" w:cs="仿宋_GB2312"/>
              </w:rPr>
              <w:t xml:space="preserve"> 高岐路 起点：规划路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227.0000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19</w:t>
            </w:r>
          </w:p>
        </w:tc>
        <w:tc>
          <w:tcPr>
            <w:tcW w:w="755" w:type="dxa"/>
          </w:tcPr>
          <w:p>
            <w:pPr>
              <w:pStyle w:val="6"/>
              <w:jc w:val="left"/>
            </w:pPr>
            <w:r>
              <w:rPr>
                <w:rFonts w:ascii="仿宋_GB2312" w:hAnsi="仿宋_GB2312" w:eastAsia="仿宋_GB2312" w:cs="仿宋_GB2312"/>
              </w:rPr>
              <w:t xml:space="preserve"> 三岐东路 起点：乌龙江南大道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20</w:t>
            </w:r>
          </w:p>
        </w:tc>
        <w:tc>
          <w:tcPr>
            <w:tcW w:w="755" w:type="dxa"/>
          </w:tcPr>
          <w:p>
            <w:pPr>
              <w:pStyle w:val="6"/>
              <w:jc w:val="left"/>
            </w:pPr>
            <w:r>
              <w:rPr>
                <w:rFonts w:ascii="仿宋_GB2312" w:hAnsi="仿宋_GB2312" w:eastAsia="仿宋_GB2312" w:cs="仿宋_GB2312"/>
              </w:rPr>
              <w:t xml:space="preserve"> 育秀路 起点：乌龙江南大道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21</w:t>
            </w:r>
          </w:p>
        </w:tc>
        <w:tc>
          <w:tcPr>
            <w:tcW w:w="755" w:type="dxa"/>
          </w:tcPr>
          <w:p>
            <w:pPr>
              <w:pStyle w:val="6"/>
              <w:jc w:val="left"/>
            </w:pPr>
            <w:r>
              <w:rPr>
                <w:rFonts w:ascii="仿宋_GB2312" w:hAnsi="仿宋_GB2312" w:eastAsia="仿宋_GB2312" w:cs="仿宋_GB2312"/>
              </w:rPr>
              <w:t xml:space="preserve"> 高晓路 起点：乌龙江南大道 终点：旗麓南大道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851.3900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22</w:t>
            </w:r>
          </w:p>
        </w:tc>
        <w:tc>
          <w:tcPr>
            <w:tcW w:w="755" w:type="dxa"/>
          </w:tcPr>
          <w:p>
            <w:pPr>
              <w:pStyle w:val="6"/>
              <w:jc w:val="left"/>
            </w:pPr>
            <w:r>
              <w:rPr>
                <w:rFonts w:ascii="仿宋_GB2312" w:hAnsi="仿宋_GB2312" w:eastAsia="仿宋_GB2312" w:cs="仿宋_GB2312"/>
              </w:rPr>
              <w:t xml:space="preserve"> 晓岐路 起点：乌龙江南大道 终点：旗麓南大道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1582.9700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23</w:t>
            </w:r>
          </w:p>
        </w:tc>
        <w:tc>
          <w:tcPr>
            <w:tcW w:w="755" w:type="dxa"/>
          </w:tcPr>
          <w:p>
            <w:pPr>
              <w:pStyle w:val="6"/>
              <w:jc w:val="left"/>
            </w:pPr>
            <w:r>
              <w:rPr>
                <w:rFonts w:ascii="仿宋_GB2312" w:hAnsi="仿宋_GB2312" w:eastAsia="仿宋_GB2312" w:cs="仿宋_GB2312"/>
              </w:rPr>
              <w:t xml:space="preserve"> 晓岐路 起点：乌龙江南大道 终点：旗麓南大道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24</w:t>
            </w:r>
          </w:p>
        </w:tc>
        <w:tc>
          <w:tcPr>
            <w:tcW w:w="755" w:type="dxa"/>
          </w:tcPr>
          <w:p>
            <w:pPr>
              <w:pStyle w:val="6"/>
              <w:jc w:val="left"/>
            </w:pPr>
            <w:r>
              <w:rPr>
                <w:rFonts w:ascii="仿宋_GB2312" w:hAnsi="仿宋_GB2312" w:eastAsia="仿宋_GB2312" w:cs="仿宋_GB2312"/>
              </w:rPr>
              <w:t xml:space="preserve"> 元峰路 起点：乌龙江南大道 终点：旗麓南大道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226.0000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25</w:t>
            </w:r>
          </w:p>
        </w:tc>
        <w:tc>
          <w:tcPr>
            <w:tcW w:w="755" w:type="dxa"/>
          </w:tcPr>
          <w:p>
            <w:pPr>
              <w:pStyle w:val="6"/>
              <w:jc w:val="left"/>
            </w:pPr>
            <w:r>
              <w:rPr>
                <w:rFonts w:ascii="仿宋_GB2312" w:hAnsi="仿宋_GB2312" w:eastAsia="仿宋_GB2312" w:cs="仿宋_GB2312"/>
              </w:rPr>
              <w:t xml:space="preserve"> 南元路 起点：乌龙江南大道 终点：环湖路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26</w:t>
            </w:r>
          </w:p>
        </w:tc>
        <w:tc>
          <w:tcPr>
            <w:tcW w:w="755" w:type="dxa"/>
          </w:tcPr>
          <w:p>
            <w:pPr>
              <w:pStyle w:val="6"/>
              <w:jc w:val="left"/>
            </w:pPr>
            <w:r>
              <w:rPr>
                <w:rFonts w:ascii="仿宋_GB2312" w:hAnsi="仿宋_GB2312" w:eastAsia="仿宋_GB2312" w:cs="仿宋_GB2312"/>
              </w:rPr>
              <w:t xml:space="preserve"> 环湖路 起点：南元路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27</w:t>
            </w:r>
          </w:p>
        </w:tc>
        <w:tc>
          <w:tcPr>
            <w:tcW w:w="755" w:type="dxa"/>
          </w:tcPr>
          <w:p>
            <w:pPr>
              <w:pStyle w:val="6"/>
              <w:jc w:val="left"/>
            </w:pPr>
            <w:r>
              <w:rPr>
                <w:rFonts w:ascii="仿宋_GB2312" w:hAnsi="仿宋_GB2312" w:eastAsia="仿宋_GB2312" w:cs="仿宋_GB2312"/>
              </w:rPr>
              <w:t xml:space="preserve"> 忠观路 起点：万佛寺 终点：旗麓南大道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764.6000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28</w:t>
            </w:r>
          </w:p>
        </w:tc>
        <w:tc>
          <w:tcPr>
            <w:tcW w:w="755" w:type="dxa"/>
          </w:tcPr>
          <w:p>
            <w:pPr>
              <w:pStyle w:val="6"/>
              <w:jc w:val="left"/>
            </w:pPr>
            <w:r>
              <w:rPr>
                <w:rFonts w:ascii="仿宋_GB2312" w:hAnsi="仿宋_GB2312" w:eastAsia="仿宋_GB2312" w:cs="仿宋_GB2312"/>
              </w:rPr>
              <w:t xml:space="preserve"> 仁义路 起点：虎秀路 终点：南前路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12436.6700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29</w:t>
            </w:r>
          </w:p>
        </w:tc>
        <w:tc>
          <w:tcPr>
            <w:tcW w:w="755" w:type="dxa"/>
          </w:tcPr>
          <w:p>
            <w:pPr>
              <w:pStyle w:val="6"/>
              <w:jc w:val="left"/>
            </w:pPr>
            <w:r>
              <w:rPr>
                <w:rFonts w:ascii="仿宋_GB2312" w:hAnsi="仿宋_GB2312" w:eastAsia="仿宋_GB2312" w:cs="仿宋_GB2312"/>
              </w:rPr>
              <w:t xml:space="preserve"> 旗山路 /五都路 起点：侠客谷 终点：旗麓南大道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36235.9500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30</w:t>
            </w:r>
          </w:p>
        </w:tc>
        <w:tc>
          <w:tcPr>
            <w:tcW w:w="755" w:type="dxa"/>
          </w:tcPr>
          <w:p>
            <w:pPr>
              <w:pStyle w:val="6"/>
              <w:jc w:val="left"/>
            </w:pPr>
            <w:r>
              <w:rPr>
                <w:rFonts w:ascii="仿宋_GB2312" w:hAnsi="仿宋_GB2312" w:eastAsia="仿宋_GB2312" w:cs="仿宋_GB2312"/>
              </w:rPr>
              <w:t xml:space="preserve"> 旗山路 /五都路 起点：侠客谷 终点：旗麓南大道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31</w:t>
            </w:r>
          </w:p>
        </w:tc>
        <w:tc>
          <w:tcPr>
            <w:tcW w:w="755" w:type="dxa"/>
          </w:tcPr>
          <w:p>
            <w:pPr>
              <w:pStyle w:val="6"/>
              <w:jc w:val="left"/>
            </w:pPr>
            <w:r>
              <w:rPr>
                <w:rFonts w:ascii="仿宋_GB2312" w:hAnsi="仿宋_GB2312" w:eastAsia="仿宋_GB2312" w:cs="仿宋_GB2312"/>
              </w:rPr>
              <w:t xml:space="preserve"> 文城路 起点：五都支路 终点：断头路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1241.3200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32</w:t>
            </w:r>
          </w:p>
        </w:tc>
        <w:tc>
          <w:tcPr>
            <w:tcW w:w="755" w:type="dxa"/>
          </w:tcPr>
          <w:p>
            <w:pPr>
              <w:pStyle w:val="6"/>
              <w:jc w:val="left"/>
            </w:pPr>
            <w:r>
              <w:rPr>
                <w:rFonts w:ascii="仿宋_GB2312" w:hAnsi="仿宋_GB2312" w:eastAsia="仿宋_GB2312" w:cs="仿宋_GB2312"/>
              </w:rPr>
              <w:t xml:space="preserve"> 文城路 起点：五都支路 终点：断头路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33</w:t>
            </w:r>
          </w:p>
        </w:tc>
        <w:tc>
          <w:tcPr>
            <w:tcW w:w="755" w:type="dxa"/>
          </w:tcPr>
          <w:p>
            <w:pPr>
              <w:pStyle w:val="6"/>
              <w:jc w:val="left"/>
            </w:pPr>
            <w:r>
              <w:rPr>
                <w:rFonts w:ascii="仿宋_GB2312" w:hAnsi="仿宋_GB2312" w:eastAsia="仿宋_GB2312" w:cs="仿宋_GB2312"/>
              </w:rPr>
              <w:t xml:space="preserve"> 山前路 起点：旗麓南大道 终点：虎秀路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1572.5500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34</w:t>
            </w:r>
          </w:p>
        </w:tc>
        <w:tc>
          <w:tcPr>
            <w:tcW w:w="755" w:type="dxa"/>
          </w:tcPr>
          <w:p>
            <w:pPr>
              <w:pStyle w:val="6"/>
              <w:jc w:val="left"/>
            </w:pPr>
            <w:r>
              <w:rPr>
                <w:rFonts w:ascii="仿宋_GB2312" w:hAnsi="仿宋_GB2312" w:eastAsia="仿宋_GB2312" w:cs="仿宋_GB2312"/>
              </w:rPr>
              <w:t xml:space="preserve"> 山前路 起点：旗麓南大道 终点：虎秀路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35</w:t>
            </w:r>
          </w:p>
        </w:tc>
        <w:tc>
          <w:tcPr>
            <w:tcW w:w="755" w:type="dxa"/>
          </w:tcPr>
          <w:p>
            <w:pPr>
              <w:pStyle w:val="6"/>
              <w:jc w:val="left"/>
            </w:pPr>
            <w:r>
              <w:rPr>
                <w:rFonts w:ascii="仿宋_GB2312" w:hAnsi="仿宋_GB2312" w:eastAsia="仿宋_GB2312" w:cs="仿宋_GB2312"/>
              </w:rPr>
              <w:t xml:space="preserve"> 上井路 起点：智慧大道 终点：断头路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36</w:t>
            </w:r>
          </w:p>
        </w:tc>
        <w:tc>
          <w:tcPr>
            <w:tcW w:w="755" w:type="dxa"/>
          </w:tcPr>
          <w:p>
            <w:pPr>
              <w:pStyle w:val="6"/>
              <w:jc w:val="left"/>
            </w:pPr>
            <w:r>
              <w:rPr>
                <w:rFonts w:ascii="仿宋_GB2312" w:hAnsi="仿宋_GB2312" w:eastAsia="仿宋_GB2312" w:cs="仿宋_GB2312"/>
              </w:rPr>
              <w:t xml:space="preserve"> 五都支路 起点：五都路 终点：虎秀路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37</w:t>
            </w:r>
          </w:p>
        </w:tc>
        <w:tc>
          <w:tcPr>
            <w:tcW w:w="755" w:type="dxa"/>
          </w:tcPr>
          <w:p>
            <w:pPr>
              <w:pStyle w:val="6"/>
              <w:jc w:val="left"/>
            </w:pPr>
            <w:r>
              <w:rPr>
                <w:rFonts w:ascii="仿宋_GB2312" w:hAnsi="仿宋_GB2312" w:eastAsia="仿宋_GB2312" w:cs="仿宋_GB2312"/>
              </w:rPr>
              <w:t xml:space="preserve"> 忠孝路 起点：虎秀路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3285.2000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38</w:t>
            </w:r>
          </w:p>
        </w:tc>
        <w:tc>
          <w:tcPr>
            <w:tcW w:w="755" w:type="dxa"/>
          </w:tcPr>
          <w:p>
            <w:pPr>
              <w:pStyle w:val="6"/>
              <w:jc w:val="left"/>
            </w:pPr>
            <w:r>
              <w:rPr>
                <w:rFonts w:ascii="仿宋_GB2312" w:hAnsi="仿宋_GB2312" w:eastAsia="仿宋_GB2312" w:cs="仿宋_GB2312"/>
              </w:rPr>
              <w:t xml:space="preserve"> 南前路 起点：忠观路 终点：第一中心小学校门口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816.6400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39</w:t>
            </w:r>
          </w:p>
        </w:tc>
        <w:tc>
          <w:tcPr>
            <w:tcW w:w="755" w:type="dxa"/>
          </w:tcPr>
          <w:p>
            <w:pPr>
              <w:pStyle w:val="6"/>
              <w:jc w:val="left"/>
            </w:pPr>
            <w:r>
              <w:rPr>
                <w:rFonts w:ascii="仿宋_GB2312" w:hAnsi="仿宋_GB2312" w:eastAsia="仿宋_GB2312" w:cs="仿宋_GB2312"/>
              </w:rPr>
              <w:t xml:space="preserve"> 南前路 起点：忠观路 终点：第一中心小学校门口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40</w:t>
            </w:r>
          </w:p>
        </w:tc>
        <w:tc>
          <w:tcPr>
            <w:tcW w:w="755" w:type="dxa"/>
          </w:tcPr>
          <w:p>
            <w:pPr>
              <w:pStyle w:val="6"/>
              <w:jc w:val="left"/>
            </w:pPr>
            <w:r>
              <w:rPr>
                <w:rFonts w:ascii="仿宋_GB2312" w:hAnsi="仿宋_GB2312" w:eastAsia="仿宋_GB2312" w:cs="仿宋_GB2312"/>
              </w:rPr>
              <w:t xml:space="preserve"> 虎秀路 起点：五都路 终点：断头路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13958.8700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41</w:t>
            </w:r>
          </w:p>
        </w:tc>
        <w:tc>
          <w:tcPr>
            <w:tcW w:w="755" w:type="dxa"/>
          </w:tcPr>
          <w:p>
            <w:pPr>
              <w:pStyle w:val="6"/>
              <w:jc w:val="left"/>
            </w:pPr>
            <w:r>
              <w:rPr>
                <w:rFonts w:ascii="仿宋_GB2312" w:hAnsi="仿宋_GB2312" w:eastAsia="仿宋_GB2312" w:cs="仿宋_GB2312"/>
              </w:rPr>
              <w:t xml:space="preserve"> 虎秀路 起点：五都路 终点：断头路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1095.0000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42</w:t>
            </w:r>
          </w:p>
        </w:tc>
        <w:tc>
          <w:tcPr>
            <w:tcW w:w="755" w:type="dxa"/>
          </w:tcPr>
          <w:p>
            <w:pPr>
              <w:pStyle w:val="6"/>
              <w:jc w:val="left"/>
            </w:pPr>
            <w:r>
              <w:rPr>
                <w:rFonts w:ascii="仿宋_GB2312" w:hAnsi="仿宋_GB2312" w:eastAsia="仿宋_GB2312" w:cs="仿宋_GB2312"/>
              </w:rPr>
              <w:t xml:space="preserve"> 鑫兴路 起点：K1+123 终点：K1+497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43</w:t>
            </w:r>
          </w:p>
        </w:tc>
        <w:tc>
          <w:tcPr>
            <w:tcW w:w="755" w:type="dxa"/>
          </w:tcPr>
          <w:p>
            <w:pPr>
              <w:pStyle w:val="6"/>
              <w:jc w:val="left"/>
            </w:pPr>
            <w:r>
              <w:rPr>
                <w:rFonts w:ascii="仿宋_GB2312" w:hAnsi="仿宋_GB2312" w:eastAsia="仿宋_GB2312" w:cs="仿宋_GB2312"/>
              </w:rPr>
              <w:t xml:space="preserve"> 龙好路 起点：旗麓南大道 终点：规划口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1199.1300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44</w:t>
            </w:r>
          </w:p>
        </w:tc>
        <w:tc>
          <w:tcPr>
            <w:tcW w:w="755" w:type="dxa"/>
          </w:tcPr>
          <w:p>
            <w:pPr>
              <w:pStyle w:val="6"/>
              <w:jc w:val="left"/>
            </w:pPr>
            <w:r>
              <w:rPr>
                <w:rFonts w:ascii="仿宋_GB2312" w:hAnsi="仿宋_GB2312" w:eastAsia="仿宋_GB2312" w:cs="仿宋_GB2312"/>
              </w:rPr>
              <w:t xml:space="preserve"> 龙好路 起点：旗麓南大道 终点：规划口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45</w:t>
            </w:r>
          </w:p>
        </w:tc>
        <w:tc>
          <w:tcPr>
            <w:tcW w:w="755" w:type="dxa"/>
          </w:tcPr>
          <w:p>
            <w:pPr>
              <w:pStyle w:val="6"/>
              <w:jc w:val="left"/>
            </w:pPr>
            <w:r>
              <w:rPr>
                <w:rFonts w:ascii="仿宋_GB2312" w:hAnsi="仿宋_GB2312" w:eastAsia="仿宋_GB2312" w:cs="仿宋_GB2312"/>
              </w:rPr>
              <w:t xml:space="preserve"> 新南大道 起点：13 号路 终点：大樟溪东大道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3171.8300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46</w:t>
            </w:r>
          </w:p>
        </w:tc>
        <w:tc>
          <w:tcPr>
            <w:tcW w:w="755" w:type="dxa"/>
          </w:tcPr>
          <w:p>
            <w:pPr>
              <w:pStyle w:val="6"/>
              <w:jc w:val="left"/>
            </w:pPr>
            <w:r>
              <w:rPr>
                <w:rFonts w:ascii="仿宋_GB2312" w:hAnsi="仿宋_GB2312" w:eastAsia="仿宋_GB2312" w:cs="仿宋_GB2312"/>
              </w:rPr>
              <w:t xml:space="preserve"> 新南大道 起点：13 号路 终点：大樟溪东大道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395.0000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47</w:t>
            </w:r>
          </w:p>
        </w:tc>
        <w:tc>
          <w:tcPr>
            <w:tcW w:w="755" w:type="dxa"/>
          </w:tcPr>
          <w:p>
            <w:pPr>
              <w:pStyle w:val="6"/>
              <w:jc w:val="left"/>
            </w:pPr>
            <w:r>
              <w:rPr>
                <w:rFonts w:ascii="仿宋_GB2312" w:hAnsi="仿宋_GB2312" w:eastAsia="仿宋_GB2312" w:cs="仿宋_GB2312"/>
              </w:rPr>
              <w:t xml:space="preserve"> 新南大道 起点：2号路 终点：S203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20026.7200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48</w:t>
            </w:r>
          </w:p>
        </w:tc>
        <w:tc>
          <w:tcPr>
            <w:tcW w:w="755" w:type="dxa"/>
          </w:tcPr>
          <w:p>
            <w:pPr>
              <w:pStyle w:val="6"/>
              <w:jc w:val="left"/>
            </w:pPr>
            <w:r>
              <w:rPr>
                <w:rFonts w:ascii="仿宋_GB2312" w:hAnsi="仿宋_GB2312" w:eastAsia="仿宋_GB2312" w:cs="仿宋_GB2312"/>
              </w:rPr>
              <w:t xml:space="preserve"> 尧溪路 起点：虎秀路 终点：大樟溪东大道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4580.2600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49</w:t>
            </w:r>
          </w:p>
        </w:tc>
        <w:tc>
          <w:tcPr>
            <w:tcW w:w="755" w:type="dxa"/>
          </w:tcPr>
          <w:p>
            <w:pPr>
              <w:pStyle w:val="6"/>
              <w:jc w:val="left"/>
            </w:pPr>
            <w:r>
              <w:rPr>
                <w:rFonts w:ascii="仿宋_GB2312" w:hAnsi="仿宋_GB2312" w:eastAsia="仿宋_GB2312" w:cs="仿宋_GB2312"/>
              </w:rPr>
              <w:t xml:space="preserve"> 尧溪路 起点：虎秀路 终点：大樟溪东大道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864.0000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50</w:t>
            </w:r>
          </w:p>
        </w:tc>
        <w:tc>
          <w:tcPr>
            <w:tcW w:w="755" w:type="dxa"/>
          </w:tcPr>
          <w:p>
            <w:pPr>
              <w:pStyle w:val="6"/>
              <w:jc w:val="left"/>
            </w:pPr>
            <w:r>
              <w:rPr>
                <w:rFonts w:ascii="仿宋_GB2312" w:hAnsi="仿宋_GB2312" w:eastAsia="仿宋_GB2312" w:cs="仿宋_GB2312"/>
              </w:rPr>
              <w:t xml:space="preserve"> 尧溪路 起点：11 号路 终点：S203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40329.5300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51</w:t>
            </w:r>
          </w:p>
        </w:tc>
        <w:tc>
          <w:tcPr>
            <w:tcW w:w="755" w:type="dxa"/>
          </w:tcPr>
          <w:p>
            <w:pPr>
              <w:pStyle w:val="6"/>
              <w:jc w:val="left"/>
            </w:pPr>
            <w:r>
              <w:rPr>
                <w:rFonts w:ascii="仿宋_GB2312" w:hAnsi="仿宋_GB2312" w:eastAsia="仿宋_GB2312" w:cs="仿宋_GB2312"/>
              </w:rPr>
              <w:t xml:space="preserve"> 芯园路 起点：智慧大道 终点：大樟溪东大道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393.0000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52</w:t>
            </w:r>
          </w:p>
        </w:tc>
        <w:tc>
          <w:tcPr>
            <w:tcW w:w="755" w:type="dxa"/>
          </w:tcPr>
          <w:p>
            <w:pPr>
              <w:pStyle w:val="6"/>
              <w:jc w:val="left"/>
            </w:pPr>
            <w:r>
              <w:rPr>
                <w:rFonts w:ascii="仿宋_GB2312" w:hAnsi="仿宋_GB2312" w:eastAsia="仿宋_GB2312" w:cs="仿宋_GB2312"/>
              </w:rPr>
              <w:t xml:space="preserve"> 庐隐路 起点：智慧大道 终点：10 号路 B 段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53</w:t>
            </w:r>
          </w:p>
        </w:tc>
        <w:tc>
          <w:tcPr>
            <w:tcW w:w="755" w:type="dxa"/>
          </w:tcPr>
          <w:p>
            <w:pPr>
              <w:pStyle w:val="6"/>
              <w:jc w:val="left"/>
            </w:pPr>
            <w:r>
              <w:rPr>
                <w:rFonts w:ascii="仿宋_GB2312" w:hAnsi="仿宋_GB2312" w:eastAsia="仿宋_GB2312" w:cs="仿宋_GB2312"/>
              </w:rPr>
              <w:t xml:space="preserve"> 江滨路华威物流园便道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8068.4700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54</w:t>
            </w:r>
          </w:p>
        </w:tc>
        <w:tc>
          <w:tcPr>
            <w:tcW w:w="755" w:type="dxa"/>
          </w:tcPr>
          <w:p>
            <w:pPr>
              <w:pStyle w:val="6"/>
              <w:jc w:val="left"/>
            </w:pPr>
            <w:r>
              <w:rPr>
                <w:rFonts w:ascii="仿宋_GB2312" w:hAnsi="仿宋_GB2312" w:eastAsia="仿宋_GB2312" w:cs="仿宋_GB2312"/>
              </w:rPr>
              <w:t xml:space="preserve"> 高岐河智慧体育公园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46151.5200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55</w:t>
            </w:r>
          </w:p>
        </w:tc>
        <w:tc>
          <w:tcPr>
            <w:tcW w:w="755" w:type="dxa"/>
          </w:tcPr>
          <w:p>
            <w:pPr>
              <w:pStyle w:val="6"/>
              <w:jc w:val="left"/>
            </w:pPr>
            <w:r>
              <w:rPr>
                <w:rFonts w:ascii="仿宋_GB2312" w:hAnsi="仿宋_GB2312" w:eastAsia="仿宋_GB2312" w:cs="仿宋_GB2312"/>
              </w:rPr>
              <w:t xml:space="preserve"> 元峰河公园 起点：后山溪 终点：环湖路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69073.8700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56</w:t>
            </w:r>
          </w:p>
        </w:tc>
        <w:tc>
          <w:tcPr>
            <w:tcW w:w="755" w:type="dxa"/>
          </w:tcPr>
          <w:p>
            <w:pPr>
              <w:pStyle w:val="6"/>
              <w:jc w:val="left"/>
            </w:pPr>
            <w:r>
              <w:rPr>
                <w:rFonts w:ascii="仿宋_GB2312" w:hAnsi="仿宋_GB2312" w:eastAsia="仿宋_GB2312" w:cs="仿宋_GB2312"/>
              </w:rPr>
              <w:t xml:space="preserve"> 水西林 起点：后山溪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8524.3300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57</w:t>
            </w:r>
          </w:p>
        </w:tc>
        <w:tc>
          <w:tcPr>
            <w:tcW w:w="755" w:type="dxa"/>
          </w:tcPr>
          <w:p>
            <w:pPr>
              <w:pStyle w:val="6"/>
              <w:jc w:val="left"/>
            </w:pPr>
            <w:r>
              <w:rPr>
                <w:rFonts w:ascii="仿宋_GB2312" w:hAnsi="仿宋_GB2312" w:eastAsia="仿宋_GB2312" w:cs="仿宋_GB2312"/>
              </w:rPr>
              <w:t xml:space="preserve"> 锦溪公园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5583.0400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58</w:t>
            </w:r>
          </w:p>
        </w:tc>
        <w:tc>
          <w:tcPr>
            <w:tcW w:w="755" w:type="dxa"/>
          </w:tcPr>
          <w:p>
            <w:pPr>
              <w:pStyle w:val="6"/>
              <w:jc w:val="left"/>
            </w:pPr>
            <w:r>
              <w:rPr>
                <w:rFonts w:ascii="仿宋_GB2312" w:hAnsi="仿宋_GB2312" w:eastAsia="仿宋_GB2312" w:cs="仿宋_GB2312"/>
              </w:rPr>
              <w:t xml:space="preserve"> 登山道公园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2650.1800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59</w:t>
            </w:r>
          </w:p>
        </w:tc>
        <w:tc>
          <w:tcPr>
            <w:tcW w:w="755" w:type="dxa"/>
          </w:tcPr>
          <w:p>
            <w:pPr>
              <w:pStyle w:val="6"/>
              <w:jc w:val="left"/>
            </w:pPr>
            <w:r>
              <w:rPr>
                <w:rFonts w:ascii="仿宋_GB2312" w:hAnsi="仿宋_GB2312" w:eastAsia="仿宋_GB2312" w:cs="仿宋_GB2312"/>
              </w:rPr>
              <w:t xml:space="preserve"> 南港桥下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14880.3400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60</w:t>
            </w:r>
          </w:p>
        </w:tc>
        <w:tc>
          <w:tcPr>
            <w:tcW w:w="755" w:type="dxa"/>
          </w:tcPr>
          <w:p>
            <w:pPr>
              <w:pStyle w:val="6"/>
              <w:jc w:val="left"/>
            </w:pPr>
            <w:r>
              <w:rPr>
                <w:rFonts w:ascii="仿宋_GB2312" w:hAnsi="仿宋_GB2312" w:eastAsia="仿宋_GB2312" w:cs="仿宋_GB2312"/>
              </w:rPr>
              <w:t xml:space="preserve"> 湾边互通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1445.3600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61</w:t>
            </w:r>
          </w:p>
        </w:tc>
        <w:tc>
          <w:tcPr>
            <w:tcW w:w="755" w:type="dxa"/>
          </w:tcPr>
          <w:p>
            <w:pPr>
              <w:pStyle w:val="6"/>
              <w:jc w:val="left"/>
            </w:pPr>
            <w:r>
              <w:rPr>
                <w:rFonts w:ascii="仿宋_GB2312" w:hAnsi="仿宋_GB2312" w:eastAsia="仿宋_GB2312" w:cs="仿宋_GB2312"/>
              </w:rPr>
              <w:t xml:space="preserve"> 湾边互通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62</w:t>
            </w:r>
          </w:p>
        </w:tc>
        <w:tc>
          <w:tcPr>
            <w:tcW w:w="755" w:type="dxa"/>
          </w:tcPr>
          <w:p>
            <w:pPr>
              <w:pStyle w:val="6"/>
              <w:jc w:val="left"/>
            </w:pPr>
            <w:r>
              <w:rPr>
                <w:rFonts w:ascii="仿宋_GB2312" w:hAnsi="仿宋_GB2312" w:eastAsia="仿宋_GB2312" w:cs="仿宋_GB2312"/>
              </w:rPr>
              <w:t xml:space="preserve"> 高新区南元路提升改造工程 起点：旗山大道 终点：环湖路 道路长度：792.1米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39.0000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63</w:t>
            </w:r>
          </w:p>
        </w:tc>
        <w:tc>
          <w:tcPr>
            <w:tcW w:w="755" w:type="dxa"/>
          </w:tcPr>
          <w:p>
            <w:pPr>
              <w:pStyle w:val="6"/>
              <w:jc w:val="left"/>
            </w:pPr>
            <w:r>
              <w:rPr>
                <w:rFonts w:ascii="仿宋_GB2312" w:hAnsi="仿宋_GB2312" w:eastAsia="仿宋_GB2312" w:cs="仿宋_GB2312"/>
              </w:rPr>
              <w:t xml:space="preserve"> 高新区南元路提升改造工程 起点：旗山大道 终点：环湖路 道路长度：792.1米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64</w:t>
            </w:r>
          </w:p>
        </w:tc>
        <w:tc>
          <w:tcPr>
            <w:tcW w:w="755" w:type="dxa"/>
          </w:tcPr>
          <w:p>
            <w:pPr>
              <w:pStyle w:val="6"/>
              <w:jc w:val="left"/>
            </w:pPr>
            <w:r>
              <w:rPr>
                <w:rFonts w:ascii="仿宋_GB2312" w:hAnsi="仿宋_GB2312" w:eastAsia="仿宋_GB2312" w:cs="仿宋_GB2312"/>
              </w:rPr>
              <w:t xml:space="preserve"> 福州市生物医药和机电产业园17 号路道路工程（一期K0+331.61~K0+850）起点：15 号路 终点：K0+850 道路长度：518.4米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1354.8300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65</w:t>
            </w:r>
          </w:p>
        </w:tc>
        <w:tc>
          <w:tcPr>
            <w:tcW w:w="755" w:type="dxa"/>
          </w:tcPr>
          <w:p>
            <w:pPr>
              <w:pStyle w:val="6"/>
              <w:jc w:val="left"/>
            </w:pPr>
            <w:r>
              <w:rPr>
                <w:rFonts w:ascii="仿宋_GB2312" w:hAnsi="仿宋_GB2312" w:eastAsia="仿宋_GB2312" w:cs="仿宋_GB2312"/>
              </w:rPr>
              <w:t xml:space="preserve"> 福州市生物医药和机电产业园17 号路道路工程（一期K0+331.61~K0+850）起点：15 号路 终点：K0+850 道路长度：518.4米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66</w:t>
            </w:r>
          </w:p>
        </w:tc>
        <w:tc>
          <w:tcPr>
            <w:tcW w:w="755" w:type="dxa"/>
          </w:tcPr>
          <w:p>
            <w:pPr>
              <w:pStyle w:val="6"/>
              <w:jc w:val="left"/>
            </w:pPr>
            <w:r>
              <w:rPr>
                <w:rFonts w:ascii="仿宋_GB2312" w:hAnsi="仿宋_GB2312" w:eastAsia="仿宋_GB2312" w:cs="仿宋_GB2312"/>
              </w:rPr>
              <w:t xml:space="preserve"> 福州高新区117县道（南港大桥－新保路）段道路两侧环境整治工程 起点：南港大桥 终点：新保路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11506.2300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67</w:t>
            </w:r>
          </w:p>
        </w:tc>
        <w:tc>
          <w:tcPr>
            <w:tcW w:w="755" w:type="dxa"/>
          </w:tcPr>
          <w:p>
            <w:pPr>
              <w:pStyle w:val="6"/>
              <w:jc w:val="left"/>
            </w:pPr>
            <w:r>
              <w:rPr>
                <w:rFonts w:ascii="仿宋_GB2312" w:hAnsi="仿宋_GB2312" w:eastAsia="仿宋_GB2312" w:cs="仿宋_GB2312"/>
              </w:rPr>
              <w:t xml:space="preserve"> 南港路 起点：南港路连接线接线一 终点：六十份洲互通 道路长度：627米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450.0000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68</w:t>
            </w:r>
          </w:p>
        </w:tc>
        <w:tc>
          <w:tcPr>
            <w:tcW w:w="755" w:type="dxa"/>
          </w:tcPr>
          <w:p>
            <w:pPr>
              <w:pStyle w:val="6"/>
              <w:jc w:val="left"/>
            </w:pPr>
            <w:r>
              <w:rPr>
                <w:rFonts w:ascii="仿宋_GB2312" w:hAnsi="仿宋_GB2312" w:eastAsia="仿宋_GB2312" w:cs="仿宋_GB2312"/>
              </w:rPr>
              <w:t xml:space="preserve"> 南港路 起点：南港路连接线接线一 终点：六十份洲互通 道路长度：627米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200.0000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69</w:t>
            </w:r>
          </w:p>
        </w:tc>
        <w:tc>
          <w:tcPr>
            <w:tcW w:w="755" w:type="dxa"/>
          </w:tcPr>
          <w:p>
            <w:pPr>
              <w:pStyle w:val="6"/>
              <w:jc w:val="left"/>
            </w:pPr>
            <w:r>
              <w:rPr>
                <w:rFonts w:ascii="仿宋_GB2312" w:hAnsi="仿宋_GB2312" w:eastAsia="仿宋_GB2312" w:cs="仿宋_GB2312"/>
              </w:rPr>
              <w:t xml:space="preserve"> 南港路连接线 起点：接线一：旗山大道；接线二：南港路；接线三：南港路 终点：接线一：南港路；接线二：六十份洲互通；接线三：接线二 道路长度：接线一：200 米（桥梁）接线二：518 米 接线三：261米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585.0000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70</w:t>
            </w:r>
          </w:p>
        </w:tc>
        <w:tc>
          <w:tcPr>
            <w:tcW w:w="755" w:type="dxa"/>
          </w:tcPr>
          <w:p>
            <w:pPr>
              <w:pStyle w:val="6"/>
              <w:jc w:val="left"/>
            </w:pPr>
            <w:r>
              <w:rPr>
                <w:rFonts w:ascii="仿宋_GB2312" w:hAnsi="仿宋_GB2312" w:eastAsia="仿宋_GB2312" w:cs="仿宋_GB2312"/>
              </w:rPr>
              <w:t xml:space="preserve"> 南港路连接线 起点：接线一：旗山大道；接线二：南港路；接线三：南港路 终点：接线一：南港路；接线二：六十份洲互通；接线三：接线二 道路长度：接线一：200 米（桥梁）接线二：518 米 接线三：261米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260.0000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71</w:t>
            </w:r>
          </w:p>
        </w:tc>
        <w:tc>
          <w:tcPr>
            <w:tcW w:w="755" w:type="dxa"/>
          </w:tcPr>
          <w:p>
            <w:pPr>
              <w:pStyle w:val="6"/>
              <w:jc w:val="left"/>
            </w:pPr>
            <w:r>
              <w:rPr>
                <w:rFonts w:ascii="仿宋_GB2312" w:hAnsi="仿宋_GB2312" w:eastAsia="仿宋_GB2312" w:cs="仿宋_GB2312"/>
              </w:rPr>
              <w:t xml:space="preserve"> 新建桐南桥及配套道路 起点：福建省莲花服装实业有限责任公司附近现状村道 终点：尧溪路与新南大道交叉口附近 道路长度：1292.5米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4945.0000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72</w:t>
            </w:r>
          </w:p>
        </w:tc>
        <w:tc>
          <w:tcPr>
            <w:tcW w:w="755" w:type="dxa"/>
          </w:tcPr>
          <w:p>
            <w:pPr>
              <w:pStyle w:val="6"/>
              <w:jc w:val="left"/>
            </w:pPr>
            <w:r>
              <w:rPr>
                <w:rFonts w:ascii="仿宋_GB2312" w:hAnsi="仿宋_GB2312" w:eastAsia="仿宋_GB2312" w:cs="仿宋_GB2312"/>
              </w:rPr>
              <w:t xml:space="preserve"> 新建桐南桥及配套道路 起点：福建省莲花服装实业有限责任公司附近现状村道 终点：尧溪路与新南大道交叉口附近 道路长度：1292.5米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73</w:t>
            </w:r>
          </w:p>
        </w:tc>
        <w:tc>
          <w:tcPr>
            <w:tcW w:w="755" w:type="dxa"/>
          </w:tcPr>
          <w:p>
            <w:pPr>
              <w:pStyle w:val="6"/>
              <w:jc w:val="left"/>
            </w:pPr>
            <w:r>
              <w:rPr>
                <w:rFonts w:ascii="仿宋_GB2312" w:hAnsi="仿宋_GB2312" w:eastAsia="仿宋_GB2312" w:cs="仿宋_GB2312"/>
              </w:rPr>
              <w:t xml:space="preserve"> 五后溪上游段河道建设工程（桥梁工程） 起点：117 县道 终点：117 县道 道路长度：88米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577.0000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74</w:t>
            </w:r>
          </w:p>
        </w:tc>
        <w:tc>
          <w:tcPr>
            <w:tcW w:w="755" w:type="dxa"/>
          </w:tcPr>
          <w:p>
            <w:pPr>
              <w:pStyle w:val="6"/>
              <w:jc w:val="left"/>
            </w:pPr>
            <w:r>
              <w:rPr>
                <w:rFonts w:ascii="仿宋_GB2312" w:hAnsi="仿宋_GB2312" w:eastAsia="仿宋_GB2312" w:cs="仿宋_GB2312"/>
              </w:rPr>
              <w:t xml:space="preserve"> 五后溪上游段河道建设工程（桥梁工程） 起点：117 县道 终点：117 县道 道路长度：88米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75</w:t>
            </w:r>
          </w:p>
        </w:tc>
        <w:tc>
          <w:tcPr>
            <w:tcW w:w="755" w:type="dxa"/>
          </w:tcPr>
          <w:p>
            <w:pPr>
              <w:pStyle w:val="6"/>
              <w:jc w:val="left"/>
            </w:pPr>
            <w:r>
              <w:rPr>
                <w:rFonts w:ascii="仿宋_GB2312" w:hAnsi="仿宋_GB2312" w:eastAsia="仿宋_GB2312" w:cs="仿宋_GB2312"/>
              </w:rPr>
              <w:t xml:space="preserve"> 两园 5 号路道路工程 起点：虎秀路 终点：智慧大道 道路长度：1600.0米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2788.0000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76</w:t>
            </w:r>
          </w:p>
        </w:tc>
        <w:tc>
          <w:tcPr>
            <w:tcW w:w="755" w:type="dxa"/>
          </w:tcPr>
          <w:p>
            <w:pPr>
              <w:pStyle w:val="6"/>
              <w:jc w:val="left"/>
            </w:pPr>
            <w:r>
              <w:rPr>
                <w:rFonts w:ascii="仿宋_GB2312" w:hAnsi="仿宋_GB2312" w:eastAsia="仿宋_GB2312" w:cs="仿宋_GB2312"/>
              </w:rPr>
              <w:t xml:space="preserve"> 两园 5 号路道路工程 起点：虎秀路 终点：智慧大道 道路长度：1600.0米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426.0000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项目编号：[350121]YZC[GK]2026001</w:t>
      </w:r>
    </w:p>
    <w:p>
      <w:pPr>
        <w:pStyle w:val="6"/>
        <w:spacing w:line="375" w:lineRule="exact"/>
        <w:jc w:val="left"/>
      </w:pPr>
      <w:r>
        <w:rPr>
          <w:rFonts w:ascii="仿宋_GB2312" w:hAnsi="仿宋_GB2312" w:eastAsia="仿宋_GB2312" w:cs="仿宋_GB2312"/>
        </w:rPr>
        <w:t>项目名称：2026-2027年度南屿镇和上街镇（7个村居）市政园林绿化养护项目</w:t>
      </w:r>
    </w:p>
    <w:p>
      <w:pPr>
        <w:pStyle w:val="6"/>
        <w:spacing w:line="375" w:lineRule="exact"/>
        <w:jc w:val="left"/>
      </w:pPr>
      <w:r>
        <w:rPr>
          <w:rFonts w:ascii="仿宋_GB2312" w:hAnsi="仿宋_GB2312" w:eastAsia="仿宋_GB2312" w:cs="仿宋_GB2312"/>
        </w:rPr>
        <w:t>采购包：2( 南屿镇和上街镇（7个村居）市政园林绿化社会化养护项目上街镇（7个村居）片区（标段二）)</w:t>
      </w:r>
    </w:p>
    <w:p>
      <w:pPr>
        <w:pStyle w:val="6"/>
        <w:spacing w:line="375" w:lineRule="exact"/>
        <w:jc w:val="left"/>
      </w:pPr>
      <w:r>
        <w:rPr>
          <w:rFonts w:ascii="仿宋_GB2312" w:hAnsi="仿宋_GB2312" w:eastAsia="仿宋_GB2312" w:cs="仿宋_GB2312"/>
        </w:rPr>
        <w:t>投标人（供应商）名称：</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南屿镇和上街镇（7个村居）市政园林绿化社会化养护项目上街镇（7个村居）片区（标段二）</w:t>
            </w:r>
          </w:p>
        </w:tc>
        <w:tc>
          <w:tcPr>
            <w:tcW w:w="1661" w:type="dxa"/>
          </w:tcPr>
          <w:p>
            <w:pPr>
              <w:pStyle w:val="6"/>
              <w:jc w:val="left"/>
            </w:pPr>
            <w:r>
              <w:rPr>
                <w:rFonts w:ascii="仿宋_GB2312" w:hAnsi="仿宋_GB2312" w:eastAsia="仿宋_GB2312" w:cs="仿宋_GB2312"/>
              </w:rPr>
              <w:t xml:space="preserve"> 6377000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项目编号：[350121]YZC[GK]2026001</w:t>
      </w:r>
    </w:p>
    <w:p>
      <w:pPr>
        <w:pStyle w:val="6"/>
        <w:jc w:val="left"/>
      </w:pPr>
      <w:r>
        <w:rPr>
          <w:rFonts w:ascii="仿宋_GB2312" w:hAnsi="仿宋_GB2312" w:eastAsia="仿宋_GB2312" w:cs="仿宋_GB2312"/>
        </w:rPr>
        <w:t>项目名称：2026-2027年度南屿镇和上街镇（7个村居）市政园林绿化养护项目</w:t>
      </w:r>
    </w:p>
    <w:p>
      <w:pPr>
        <w:pStyle w:val="6"/>
        <w:jc w:val="left"/>
      </w:pPr>
      <w:r>
        <w:rPr>
          <w:rFonts w:ascii="仿宋_GB2312" w:hAnsi="仿宋_GB2312" w:eastAsia="仿宋_GB2312" w:cs="仿宋_GB2312"/>
        </w:rPr>
        <w:t>采购包： 南屿镇和上街镇（7个村居）市政园林绿化社会化养护项目上街镇（7个村居）片区（标段二）</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南屿镇和上街镇（7个村居）市政园林绿化社会化养护项目上街镇（7个村居）片区（标段二）</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916"/>
        <w:gridCol w:w="703"/>
        <w:gridCol w:w="704"/>
        <w:gridCol w:w="704"/>
        <w:gridCol w:w="704"/>
        <w:gridCol w:w="682"/>
        <w:gridCol w:w="704"/>
        <w:gridCol w:w="1316"/>
        <w:gridCol w:w="682"/>
        <w:gridCol w:w="7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序号</w:t>
            </w:r>
          </w:p>
        </w:tc>
        <w:tc>
          <w:tcPr>
            <w:tcW w:w="755" w:type="dxa"/>
          </w:tcPr>
          <w:p>
            <w:pPr>
              <w:pStyle w:val="6"/>
              <w:jc w:val="left"/>
            </w:pPr>
            <w:r>
              <w:rPr>
                <w:rFonts w:ascii="仿宋_GB2312" w:hAnsi="仿宋_GB2312" w:eastAsia="仿宋_GB2312" w:cs="仿宋_GB2312"/>
              </w:rPr>
              <w:t xml:space="preserve"> 服务名称</w:t>
            </w:r>
          </w:p>
        </w:tc>
        <w:tc>
          <w:tcPr>
            <w:tcW w:w="755" w:type="dxa"/>
          </w:tcPr>
          <w:p>
            <w:pPr>
              <w:pStyle w:val="6"/>
              <w:jc w:val="left"/>
            </w:pPr>
            <w:r>
              <w:rPr>
                <w:rFonts w:ascii="仿宋_GB2312" w:hAnsi="仿宋_GB2312" w:eastAsia="仿宋_GB2312" w:cs="仿宋_GB2312"/>
              </w:rPr>
              <w:t xml:space="preserve"> 服务范围</w:t>
            </w:r>
          </w:p>
        </w:tc>
        <w:tc>
          <w:tcPr>
            <w:tcW w:w="755" w:type="dxa"/>
          </w:tcPr>
          <w:p>
            <w:pPr>
              <w:pStyle w:val="6"/>
              <w:jc w:val="left"/>
            </w:pPr>
            <w:r>
              <w:rPr>
                <w:rFonts w:ascii="仿宋_GB2312" w:hAnsi="仿宋_GB2312" w:eastAsia="仿宋_GB2312" w:cs="仿宋_GB2312"/>
              </w:rPr>
              <w:t xml:space="preserve"> 服务要求</w:t>
            </w:r>
          </w:p>
        </w:tc>
        <w:tc>
          <w:tcPr>
            <w:tcW w:w="755" w:type="dxa"/>
          </w:tcPr>
          <w:p>
            <w:pPr>
              <w:pStyle w:val="6"/>
              <w:jc w:val="left"/>
            </w:pPr>
            <w:r>
              <w:rPr>
                <w:rFonts w:ascii="仿宋_GB2312" w:hAnsi="仿宋_GB2312" w:eastAsia="仿宋_GB2312" w:cs="仿宋_GB2312"/>
              </w:rPr>
              <w:t xml:space="preserve"> 服务时间</w:t>
            </w:r>
          </w:p>
        </w:tc>
        <w:tc>
          <w:tcPr>
            <w:tcW w:w="755" w:type="dxa"/>
          </w:tcPr>
          <w:p>
            <w:pPr>
              <w:pStyle w:val="6"/>
              <w:jc w:val="left"/>
            </w:pPr>
            <w:r>
              <w:rPr>
                <w:rFonts w:ascii="仿宋_GB2312" w:hAnsi="仿宋_GB2312" w:eastAsia="仿宋_GB2312" w:cs="仿宋_GB2312"/>
              </w:rPr>
              <w:t xml:space="preserve"> 服务标准</w:t>
            </w:r>
          </w:p>
        </w:tc>
        <w:tc>
          <w:tcPr>
            <w:tcW w:w="755" w:type="dxa"/>
          </w:tcPr>
          <w:p>
            <w:pPr>
              <w:pStyle w:val="6"/>
              <w:jc w:val="left"/>
            </w:pPr>
            <w:r>
              <w:rPr>
                <w:rFonts w:ascii="仿宋_GB2312" w:hAnsi="仿宋_GB2312" w:eastAsia="仿宋_GB2312" w:cs="仿宋_GB2312"/>
              </w:rPr>
              <w:t xml:space="preserve"> 最高限价</w:t>
            </w:r>
          </w:p>
        </w:tc>
        <w:tc>
          <w:tcPr>
            <w:tcW w:w="755" w:type="dxa"/>
          </w:tcPr>
          <w:p>
            <w:pPr>
              <w:pStyle w:val="6"/>
              <w:jc w:val="left"/>
            </w:pPr>
            <w:r>
              <w:rPr>
                <w:rFonts w:ascii="仿宋_GB2312" w:hAnsi="仿宋_GB2312" w:eastAsia="仿宋_GB2312" w:cs="仿宋_GB2312"/>
              </w:rPr>
              <w:t xml:space="preserve"> 单价</w:t>
            </w:r>
          </w:p>
        </w:tc>
        <w:tc>
          <w:tcPr>
            <w:tcW w:w="755" w:type="dxa"/>
          </w:tcPr>
          <w:p>
            <w:pPr>
              <w:pStyle w:val="6"/>
              <w:jc w:val="left"/>
            </w:pPr>
            <w:r>
              <w:rPr>
                <w:rFonts w:ascii="仿宋_GB2312" w:hAnsi="仿宋_GB2312" w:eastAsia="仿宋_GB2312" w:cs="仿宋_GB2312"/>
              </w:rPr>
              <w:t xml:space="preserve"> 数量</w:t>
            </w:r>
          </w:p>
        </w:tc>
        <w:tc>
          <w:tcPr>
            <w:tcW w:w="755" w:type="dxa"/>
          </w:tcPr>
          <w:p>
            <w:pPr>
              <w:pStyle w:val="6"/>
              <w:jc w:val="left"/>
            </w:pPr>
            <w:r>
              <w:rPr>
                <w:rFonts w:ascii="仿宋_GB2312" w:hAnsi="仿宋_GB2312" w:eastAsia="仿宋_GB2312" w:cs="仿宋_GB2312"/>
              </w:rPr>
              <w:t xml:space="preserve"> 计量单位</w:t>
            </w:r>
          </w:p>
        </w:tc>
        <w:tc>
          <w:tcPr>
            <w:tcW w:w="755" w:type="dxa"/>
          </w:tcPr>
          <w:p>
            <w:pPr>
              <w:pStyle w:val="6"/>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w:t>
            </w:r>
          </w:p>
        </w:tc>
        <w:tc>
          <w:tcPr>
            <w:tcW w:w="755" w:type="dxa"/>
          </w:tcPr>
          <w:p>
            <w:pPr>
              <w:pStyle w:val="6"/>
              <w:jc w:val="left"/>
            </w:pPr>
            <w:r>
              <w:rPr>
                <w:rFonts w:ascii="仿宋_GB2312" w:hAnsi="仿宋_GB2312" w:eastAsia="仿宋_GB2312" w:cs="仿宋_GB2312"/>
              </w:rPr>
              <w:t xml:space="preserve"> 乌龙江中大道 起点：建平路 终点：新保路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172668.5400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w:t>
            </w:r>
          </w:p>
        </w:tc>
        <w:tc>
          <w:tcPr>
            <w:tcW w:w="755" w:type="dxa"/>
          </w:tcPr>
          <w:p>
            <w:pPr>
              <w:pStyle w:val="6"/>
              <w:jc w:val="left"/>
            </w:pPr>
            <w:r>
              <w:rPr>
                <w:rFonts w:ascii="仿宋_GB2312" w:hAnsi="仿宋_GB2312" w:eastAsia="仿宋_GB2312" w:cs="仿宋_GB2312"/>
              </w:rPr>
              <w:t xml:space="preserve"> 乌龙江中大道 起点：建平路 终点：新保路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1105.0000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w:t>
            </w:r>
          </w:p>
        </w:tc>
        <w:tc>
          <w:tcPr>
            <w:tcW w:w="755" w:type="dxa"/>
          </w:tcPr>
          <w:p>
            <w:pPr>
              <w:pStyle w:val="6"/>
              <w:jc w:val="left"/>
            </w:pPr>
            <w:r>
              <w:rPr>
                <w:rFonts w:ascii="仿宋_GB2312" w:hAnsi="仿宋_GB2312" w:eastAsia="仿宋_GB2312" w:cs="仿宋_GB2312"/>
              </w:rPr>
              <w:t xml:space="preserve"> 高新大道 起点：建平路 终点：断头路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46309.0400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w:t>
            </w:r>
          </w:p>
        </w:tc>
        <w:tc>
          <w:tcPr>
            <w:tcW w:w="755" w:type="dxa"/>
          </w:tcPr>
          <w:p>
            <w:pPr>
              <w:pStyle w:val="6"/>
              <w:jc w:val="left"/>
            </w:pPr>
            <w:r>
              <w:rPr>
                <w:rFonts w:ascii="仿宋_GB2312" w:hAnsi="仿宋_GB2312" w:eastAsia="仿宋_GB2312" w:cs="仿宋_GB2312"/>
              </w:rPr>
              <w:t xml:space="preserve"> 高新大道 起点：建平路 终点：断头路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1209.0000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w:t>
            </w:r>
          </w:p>
        </w:tc>
        <w:tc>
          <w:tcPr>
            <w:tcW w:w="755" w:type="dxa"/>
          </w:tcPr>
          <w:p>
            <w:pPr>
              <w:pStyle w:val="6"/>
              <w:jc w:val="left"/>
            </w:pPr>
            <w:r>
              <w:rPr>
                <w:rFonts w:ascii="仿宋_GB2312" w:hAnsi="仿宋_GB2312" w:eastAsia="仿宋_GB2312" w:cs="仿宋_GB2312"/>
              </w:rPr>
              <w:t xml:space="preserve"> 高新大道 起点：创意路 终点：科技东路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10847.2100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w:t>
            </w:r>
          </w:p>
        </w:tc>
        <w:tc>
          <w:tcPr>
            <w:tcW w:w="755" w:type="dxa"/>
          </w:tcPr>
          <w:p>
            <w:pPr>
              <w:pStyle w:val="6"/>
              <w:jc w:val="left"/>
            </w:pPr>
            <w:r>
              <w:rPr>
                <w:rFonts w:ascii="仿宋_GB2312" w:hAnsi="仿宋_GB2312" w:eastAsia="仿宋_GB2312" w:cs="仿宋_GB2312"/>
              </w:rPr>
              <w:t xml:space="preserve"> 新港大道 起点：创意路 终点：规划路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89155.4100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w:t>
            </w:r>
          </w:p>
        </w:tc>
        <w:tc>
          <w:tcPr>
            <w:tcW w:w="755" w:type="dxa"/>
          </w:tcPr>
          <w:p>
            <w:pPr>
              <w:pStyle w:val="6"/>
              <w:jc w:val="left"/>
            </w:pPr>
            <w:r>
              <w:rPr>
                <w:rFonts w:ascii="仿宋_GB2312" w:hAnsi="仿宋_GB2312" w:eastAsia="仿宋_GB2312" w:cs="仿宋_GB2312"/>
              </w:rPr>
              <w:t xml:space="preserve"> 新港大道 起点：创意路 终点：规划路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1362.0000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w:t>
            </w:r>
          </w:p>
        </w:tc>
        <w:tc>
          <w:tcPr>
            <w:tcW w:w="755" w:type="dxa"/>
          </w:tcPr>
          <w:p>
            <w:pPr>
              <w:pStyle w:val="6"/>
              <w:jc w:val="left"/>
            </w:pPr>
            <w:r>
              <w:rPr>
                <w:rFonts w:ascii="仿宋_GB2312" w:hAnsi="仿宋_GB2312" w:eastAsia="仿宋_GB2312" w:cs="仿宋_GB2312"/>
              </w:rPr>
              <w:t xml:space="preserve"> 新港大道 起点：厚庭排涝站 终点：葛岐排涝站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34732.3900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w:t>
            </w:r>
          </w:p>
        </w:tc>
        <w:tc>
          <w:tcPr>
            <w:tcW w:w="755" w:type="dxa"/>
          </w:tcPr>
          <w:p>
            <w:pPr>
              <w:pStyle w:val="6"/>
              <w:jc w:val="left"/>
            </w:pPr>
            <w:r>
              <w:rPr>
                <w:rFonts w:ascii="仿宋_GB2312" w:hAnsi="仿宋_GB2312" w:eastAsia="仿宋_GB2312" w:cs="仿宋_GB2312"/>
              </w:rPr>
              <w:t xml:space="preserve"> 新港大道 起点：建平路匝道 终点：明德东路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5557.4800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w:t>
            </w:r>
          </w:p>
        </w:tc>
        <w:tc>
          <w:tcPr>
            <w:tcW w:w="755" w:type="dxa"/>
          </w:tcPr>
          <w:p>
            <w:pPr>
              <w:pStyle w:val="6"/>
              <w:jc w:val="left"/>
            </w:pPr>
            <w:r>
              <w:rPr>
                <w:rFonts w:ascii="仿宋_GB2312" w:hAnsi="仿宋_GB2312" w:eastAsia="仿宋_GB2312" w:cs="仿宋_GB2312"/>
              </w:rPr>
              <w:t xml:space="preserve"> 新港大道 其他绿地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44307.1200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11</w:t>
            </w:r>
          </w:p>
        </w:tc>
        <w:tc>
          <w:tcPr>
            <w:tcW w:w="755" w:type="dxa"/>
          </w:tcPr>
          <w:p>
            <w:pPr>
              <w:pStyle w:val="6"/>
              <w:jc w:val="left"/>
            </w:pPr>
            <w:r>
              <w:rPr>
                <w:rFonts w:ascii="仿宋_GB2312" w:hAnsi="仿宋_GB2312" w:eastAsia="仿宋_GB2312" w:cs="仿宋_GB2312"/>
              </w:rPr>
              <w:t xml:space="preserve"> 建平路 起点：橘园洲桥头 终点：广兴路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18960.2700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12</w:t>
            </w:r>
          </w:p>
        </w:tc>
        <w:tc>
          <w:tcPr>
            <w:tcW w:w="755" w:type="dxa"/>
          </w:tcPr>
          <w:p>
            <w:pPr>
              <w:pStyle w:val="6"/>
              <w:jc w:val="left"/>
            </w:pPr>
            <w:r>
              <w:rPr>
                <w:rFonts w:ascii="仿宋_GB2312" w:hAnsi="仿宋_GB2312" w:eastAsia="仿宋_GB2312" w:cs="仿宋_GB2312"/>
              </w:rPr>
              <w:t xml:space="preserve"> 建平路 数字峰会场地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4724.3900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13</w:t>
            </w:r>
          </w:p>
        </w:tc>
        <w:tc>
          <w:tcPr>
            <w:tcW w:w="755" w:type="dxa"/>
          </w:tcPr>
          <w:p>
            <w:pPr>
              <w:pStyle w:val="6"/>
              <w:jc w:val="left"/>
            </w:pPr>
            <w:r>
              <w:rPr>
                <w:rFonts w:ascii="仿宋_GB2312" w:hAnsi="仿宋_GB2312" w:eastAsia="仿宋_GB2312" w:cs="仿宋_GB2312"/>
              </w:rPr>
              <w:t xml:space="preserve"> 科技东路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9665.4800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14</w:t>
            </w:r>
          </w:p>
        </w:tc>
        <w:tc>
          <w:tcPr>
            <w:tcW w:w="755" w:type="dxa"/>
          </w:tcPr>
          <w:p>
            <w:pPr>
              <w:pStyle w:val="6"/>
              <w:jc w:val="left"/>
            </w:pPr>
            <w:r>
              <w:rPr>
                <w:rFonts w:ascii="仿宋_GB2312" w:hAnsi="仿宋_GB2312" w:eastAsia="仿宋_GB2312" w:cs="仿宋_GB2312"/>
              </w:rPr>
              <w:t xml:space="preserve"> 科技东路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15</w:t>
            </w:r>
          </w:p>
        </w:tc>
        <w:tc>
          <w:tcPr>
            <w:tcW w:w="755" w:type="dxa"/>
          </w:tcPr>
          <w:p>
            <w:pPr>
              <w:pStyle w:val="6"/>
              <w:jc w:val="left"/>
            </w:pPr>
            <w:r>
              <w:rPr>
                <w:rFonts w:ascii="仿宋_GB2312" w:hAnsi="仿宋_GB2312" w:eastAsia="仿宋_GB2312" w:cs="仿宋_GB2312"/>
              </w:rPr>
              <w:t xml:space="preserve"> 新保路 起点：乌龙江南大道 终点：旗麓南大道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12826.3600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16</w:t>
            </w:r>
          </w:p>
        </w:tc>
        <w:tc>
          <w:tcPr>
            <w:tcW w:w="755" w:type="dxa"/>
          </w:tcPr>
          <w:p>
            <w:pPr>
              <w:pStyle w:val="6"/>
              <w:jc w:val="left"/>
            </w:pPr>
            <w:r>
              <w:rPr>
                <w:rFonts w:ascii="仿宋_GB2312" w:hAnsi="仿宋_GB2312" w:eastAsia="仿宋_GB2312" w:cs="仿宋_GB2312"/>
              </w:rPr>
              <w:t xml:space="preserve"> 新保路 起点：乌龙江南大道 终点：旗麓南大道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17</w:t>
            </w:r>
          </w:p>
        </w:tc>
        <w:tc>
          <w:tcPr>
            <w:tcW w:w="755" w:type="dxa"/>
          </w:tcPr>
          <w:p>
            <w:pPr>
              <w:pStyle w:val="6"/>
              <w:jc w:val="left"/>
            </w:pPr>
            <w:r>
              <w:rPr>
                <w:rFonts w:ascii="仿宋_GB2312" w:hAnsi="仿宋_GB2312" w:eastAsia="仿宋_GB2312" w:cs="仿宋_GB2312"/>
              </w:rPr>
              <w:t xml:space="preserve"> 新保路 起点：浦上大桥西桥头 终点：旗麓北大道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1208.3600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18</w:t>
            </w:r>
          </w:p>
        </w:tc>
        <w:tc>
          <w:tcPr>
            <w:tcW w:w="755" w:type="dxa"/>
          </w:tcPr>
          <w:p>
            <w:pPr>
              <w:pStyle w:val="6"/>
              <w:jc w:val="left"/>
            </w:pPr>
            <w:r>
              <w:rPr>
                <w:rFonts w:ascii="仿宋_GB2312" w:hAnsi="仿宋_GB2312" w:eastAsia="仿宋_GB2312" w:cs="仿宋_GB2312"/>
              </w:rPr>
              <w:t xml:space="preserve"> 新保路 起点：浦上大桥西桥头 终点：旗麓北大道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110.0000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19</w:t>
            </w:r>
          </w:p>
        </w:tc>
        <w:tc>
          <w:tcPr>
            <w:tcW w:w="755" w:type="dxa"/>
          </w:tcPr>
          <w:p>
            <w:pPr>
              <w:pStyle w:val="6"/>
              <w:jc w:val="left"/>
            </w:pPr>
            <w:r>
              <w:rPr>
                <w:rFonts w:ascii="仿宋_GB2312" w:hAnsi="仿宋_GB2312" w:eastAsia="仿宋_GB2312" w:cs="仿宋_GB2312"/>
              </w:rPr>
              <w:t xml:space="preserve"> 新保路 其他绿地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17955.1400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20</w:t>
            </w:r>
          </w:p>
        </w:tc>
        <w:tc>
          <w:tcPr>
            <w:tcW w:w="755" w:type="dxa"/>
          </w:tcPr>
          <w:p>
            <w:pPr>
              <w:pStyle w:val="6"/>
              <w:jc w:val="left"/>
            </w:pPr>
            <w:r>
              <w:rPr>
                <w:rFonts w:ascii="仿宋_GB2312" w:hAnsi="仿宋_GB2312" w:eastAsia="仿宋_GB2312" w:cs="仿宋_GB2312"/>
              </w:rPr>
              <w:t xml:space="preserve"> 广兴路 起点：建平路 终点：明德路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1306.9200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21</w:t>
            </w:r>
          </w:p>
        </w:tc>
        <w:tc>
          <w:tcPr>
            <w:tcW w:w="755" w:type="dxa"/>
          </w:tcPr>
          <w:p>
            <w:pPr>
              <w:pStyle w:val="6"/>
              <w:jc w:val="left"/>
            </w:pPr>
            <w:r>
              <w:rPr>
                <w:rFonts w:ascii="仿宋_GB2312" w:hAnsi="仿宋_GB2312" w:eastAsia="仿宋_GB2312" w:cs="仿宋_GB2312"/>
              </w:rPr>
              <w:t xml:space="preserve"> 广兴路 起点：建平路 终点：明德路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99.0000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22</w:t>
            </w:r>
          </w:p>
        </w:tc>
        <w:tc>
          <w:tcPr>
            <w:tcW w:w="755" w:type="dxa"/>
          </w:tcPr>
          <w:p>
            <w:pPr>
              <w:pStyle w:val="6"/>
              <w:jc w:val="left"/>
            </w:pPr>
            <w:r>
              <w:rPr>
                <w:rFonts w:ascii="仿宋_GB2312" w:hAnsi="仿宋_GB2312" w:eastAsia="仿宋_GB2312" w:cs="仿宋_GB2312"/>
              </w:rPr>
              <w:t xml:space="preserve"> 贤林路 起点：广兴路 终点：明德路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163.0000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23</w:t>
            </w:r>
          </w:p>
        </w:tc>
        <w:tc>
          <w:tcPr>
            <w:tcW w:w="755" w:type="dxa"/>
          </w:tcPr>
          <w:p>
            <w:pPr>
              <w:pStyle w:val="6"/>
              <w:jc w:val="left"/>
            </w:pPr>
            <w:r>
              <w:rPr>
                <w:rFonts w:ascii="仿宋_GB2312" w:hAnsi="仿宋_GB2312" w:eastAsia="仿宋_GB2312" w:cs="仿宋_GB2312"/>
              </w:rPr>
              <w:t xml:space="preserve"> 高新一路 起点：创意路 终点：创新路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80.0600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24</w:t>
            </w:r>
          </w:p>
        </w:tc>
        <w:tc>
          <w:tcPr>
            <w:tcW w:w="755" w:type="dxa"/>
          </w:tcPr>
          <w:p>
            <w:pPr>
              <w:pStyle w:val="6"/>
              <w:jc w:val="left"/>
            </w:pPr>
            <w:r>
              <w:rPr>
                <w:rFonts w:ascii="仿宋_GB2312" w:hAnsi="仿宋_GB2312" w:eastAsia="仿宋_GB2312" w:cs="仿宋_GB2312"/>
              </w:rPr>
              <w:t xml:space="preserve"> 高新一路 起点：创意路 终点：创新路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268.0000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25</w:t>
            </w:r>
          </w:p>
        </w:tc>
        <w:tc>
          <w:tcPr>
            <w:tcW w:w="755" w:type="dxa"/>
          </w:tcPr>
          <w:p>
            <w:pPr>
              <w:pStyle w:val="6"/>
              <w:jc w:val="left"/>
            </w:pPr>
            <w:r>
              <w:rPr>
                <w:rFonts w:ascii="仿宋_GB2312" w:hAnsi="仿宋_GB2312" w:eastAsia="仿宋_GB2312" w:cs="仿宋_GB2312"/>
              </w:rPr>
              <w:t xml:space="preserve"> 金瑛路 起点：创新路 终点：龙凤路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26</w:t>
            </w:r>
          </w:p>
        </w:tc>
        <w:tc>
          <w:tcPr>
            <w:tcW w:w="755" w:type="dxa"/>
          </w:tcPr>
          <w:p>
            <w:pPr>
              <w:pStyle w:val="6"/>
              <w:jc w:val="left"/>
            </w:pPr>
            <w:r>
              <w:rPr>
                <w:rFonts w:ascii="仿宋_GB2312" w:hAnsi="仿宋_GB2312" w:eastAsia="仿宋_GB2312" w:cs="仿宋_GB2312"/>
              </w:rPr>
              <w:t xml:space="preserve"> 履丰北路 起点：知舟路 终点：履丰南路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523.0000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27</w:t>
            </w:r>
          </w:p>
        </w:tc>
        <w:tc>
          <w:tcPr>
            <w:tcW w:w="755" w:type="dxa"/>
          </w:tcPr>
          <w:p>
            <w:pPr>
              <w:pStyle w:val="6"/>
              <w:jc w:val="left"/>
            </w:pPr>
            <w:r>
              <w:rPr>
                <w:rFonts w:ascii="仿宋_GB2312" w:hAnsi="仿宋_GB2312" w:eastAsia="仿宋_GB2312" w:cs="仿宋_GB2312"/>
              </w:rPr>
              <w:t xml:space="preserve"> 履丰南路 起点：履丰北路 终点：将军庙路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28</w:t>
            </w:r>
          </w:p>
        </w:tc>
        <w:tc>
          <w:tcPr>
            <w:tcW w:w="755" w:type="dxa"/>
          </w:tcPr>
          <w:p>
            <w:pPr>
              <w:pStyle w:val="6"/>
              <w:jc w:val="left"/>
            </w:pPr>
            <w:r>
              <w:rPr>
                <w:rFonts w:ascii="仿宋_GB2312" w:hAnsi="仿宋_GB2312" w:eastAsia="仿宋_GB2312" w:cs="仿宋_GB2312"/>
              </w:rPr>
              <w:t xml:space="preserve"> 创业路 起点：创意路 终点：创新路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369.5700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29</w:t>
            </w:r>
          </w:p>
        </w:tc>
        <w:tc>
          <w:tcPr>
            <w:tcW w:w="755" w:type="dxa"/>
          </w:tcPr>
          <w:p>
            <w:pPr>
              <w:pStyle w:val="6"/>
              <w:jc w:val="left"/>
            </w:pPr>
            <w:r>
              <w:rPr>
                <w:rFonts w:ascii="仿宋_GB2312" w:hAnsi="仿宋_GB2312" w:eastAsia="仿宋_GB2312" w:cs="仿宋_GB2312"/>
              </w:rPr>
              <w:t xml:space="preserve"> 创业路 起点：创意路 终点：创新路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236.0000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30</w:t>
            </w:r>
          </w:p>
        </w:tc>
        <w:tc>
          <w:tcPr>
            <w:tcW w:w="755" w:type="dxa"/>
          </w:tcPr>
          <w:p>
            <w:pPr>
              <w:pStyle w:val="6"/>
              <w:jc w:val="left"/>
            </w:pPr>
            <w:r>
              <w:rPr>
                <w:rFonts w:ascii="仿宋_GB2312" w:hAnsi="仿宋_GB2312" w:eastAsia="仿宋_GB2312" w:cs="仿宋_GB2312"/>
              </w:rPr>
              <w:t xml:space="preserve"> 创业南路 起点：创新路 终点：龙凤路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31</w:t>
            </w:r>
          </w:p>
        </w:tc>
        <w:tc>
          <w:tcPr>
            <w:tcW w:w="755" w:type="dxa"/>
          </w:tcPr>
          <w:p>
            <w:pPr>
              <w:pStyle w:val="6"/>
              <w:jc w:val="left"/>
            </w:pPr>
            <w:r>
              <w:rPr>
                <w:rFonts w:ascii="仿宋_GB2312" w:hAnsi="仿宋_GB2312" w:eastAsia="仿宋_GB2312" w:cs="仿宋_GB2312"/>
              </w:rPr>
              <w:t xml:space="preserve"> 柴排路 起点：竹缆路 终点：湖滨北路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320.0000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32</w:t>
            </w:r>
          </w:p>
        </w:tc>
        <w:tc>
          <w:tcPr>
            <w:tcW w:w="755" w:type="dxa"/>
          </w:tcPr>
          <w:p>
            <w:pPr>
              <w:pStyle w:val="6"/>
              <w:jc w:val="left"/>
            </w:pPr>
            <w:r>
              <w:rPr>
                <w:rFonts w:ascii="仿宋_GB2312" w:hAnsi="仿宋_GB2312" w:eastAsia="仿宋_GB2312" w:cs="仿宋_GB2312"/>
              </w:rPr>
              <w:t xml:space="preserve"> 双庙路 起点：湖滨路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33</w:t>
            </w:r>
          </w:p>
        </w:tc>
        <w:tc>
          <w:tcPr>
            <w:tcW w:w="755" w:type="dxa"/>
          </w:tcPr>
          <w:p>
            <w:pPr>
              <w:pStyle w:val="6"/>
              <w:jc w:val="left"/>
            </w:pPr>
            <w:r>
              <w:rPr>
                <w:rFonts w:ascii="仿宋_GB2312" w:hAnsi="仿宋_GB2312" w:eastAsia="仿宋_GB2312" w:cs="仿宋_GB2312"/>
              </w:rPr>
              <w:t xml:space="preserve"> 江景路 起点：马洲路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34</w:t>
            </w:r>
          </w:p>
        </w:tc>
        <w:tc>
          <w:tcPr>
            <w:tcW w:w="755" w:type="dxa"/>
          </w:tcPr>
          <w:p>
            <w:pPr>
              <w:pStyle w:val="6"/>
              <w:jc w:val="left"/>
            </w:pPr>
            <w:r>
              <w:rPr>
                <w:rFonts w:ascii="仿宋_GB2312" w:hAnsi="仿宋_GB2312" w:eastAsia="仿宋_GB2312" w:cs="仿宋_GB2312"/>
              </w:rPr>
              <w:t xml:space="preserve"> 明德路 起点：广兴路 终点：乌龙江中大道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7847.3900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35</w:t>
            </w:r>
          </w:p>
        </w:tc>
        <w:tc>
          <w:tcPr>
            <w:tcW w:w="755" w:type="dxa"/>
          </w:tcPr>
          <w:p>
            <w:pPr>
              <w:pStyle w:val="6"/>
              <w:jc w:val="left"/>
            </w:pPr>
            <w:r>
              <w:rPr>
                <w:rFonts w:ascii="仿宋_GB2312" w:hAnsi="仿宋_GB2312" w:eastAsia="仿宋_GB2312" w:cs="仿宋_GB2312"/>
              </w:rPr>
              <w:t xml:space="preserve"> 明德路 起点：广兴路 终点：乌龙江中大道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36</w:t>
            </w:r>
          </w:p>
        </w:tc>
        <w:tc>
          <w:tcPr>
            <w:tcW w:w="755" w:type="dxa"/>
          </w:tcPr>
          <w:p>
            <w:pPr>
              <w:pStyle w:val="6"/>
              <w:jc w:val="left"/>
            </w:pPr>
            <w:r>
              <w:rPr>
                <w:rFonts w:ascii="仿宋_GB2312" w:hAnsi="仿宋_GB2312" w:eastAsia="仿宋_GB2312" w:cs="仿宋_GB2312"/>
              </w:rPr>
              <w:t xml:space="preserve"> 明德东路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4231.8000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37</w:t>
            </w:r>
          </w:p>
        </w:tc>
        <w:tc>
          <w:tcPr>
            <w:tcW w:w="755" w:type="dxa"/>
          </w:tcPr>
          <w:p>
            <w:pPr>
              <w:pStyle w:val="6"/>
              <w:jc w:val="left"/>
            </w:pPr>
            <w:r>
              <w:rPr>
                <w:rFonts w:ascii="仿宋_GB2312" w:hAnsi="仿宋_GB2312" w:eastAsia="仿宋_GB2312" w:cs="仿宋_GB2312"/>
              </w:rPr>
              <w:t xml:space="preserve"> 明德东路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357.0000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38</w:t>
            </w:r>
          </w:p>
        </w:tc>
        <w:tc>
          <w:tcPr>
            <w:tcW w:w="755" w:type="dxa"/>
          </w:tcPr>
          <w:p>
            <w:pPr>
              <w:pStyle w:val="6"/>
              <w:jc w:val="left"/>
            </w:pPr>
            <w:r>
              <w:rPr>
                <w:rFonts w:ascii="仿宋_GB2312" w:hAnsi="仿宋_GB2312" w:eastAsia="仿宋_GB2312" w:cs="仿宋_GB2312"/>
              </w:rPr>
              <w:t xml:space="preserve"> 创意路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586.4300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39</w:t>
            </w:r>
          </w:p>
        </w:tc>
        <w:tc>
          <w:tcPr>
            <w:tcW w:w="755" w:type="dxa"/>
          </w:tcPr>
          <w:p>
            <w:pPr>
              <w:pStyle w:val="6"/>
              <w:jc w:val="left"/>
            </w:pPr>
            <w:r>
              <w:rPr>
                <w:rFonts w:ascii="仿宋_GB2312" w:hAnsi="仿宋_GB2312" w:eastAsia="仿宋_GB2312" w:cs="仿宋_GB2312"/>
              </w:rPr>
              <w:t xml:space="preserve"> 创意路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334.0000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40</w:t>
            </w:r>
          </w:p>
        </w:tc>
        <w:tc>
          <w:tcPr>
            <w:tcW w:w="755" w:type="dxa"/>
          </w:tcPr>
          <w:p>
            <w:pPr>
              <w:pStyle w:val="6"/>
              <w:jc w:val="left"/>
            </w:pPr>
            <w:r>
              <w:rPr>
                <w:rFonts w:ascii="仿宋_GB2312" w:hAnsi="仿宋_GB2312" w:eastAsia="仿宋_GB2312" w:cs="仿宋_GB2312"/>
              </w:rPr>
              <w:t xml:space="preserve"> 建平路（小） 起点：高新大道 终点：创意路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331.7200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41</w:t>
            </w:r>
          </w:p>
        </w:tc>
        <w:tc>
          <w:tcPr>
            <w:tcW w:w="755" w:type="dxa"/>
          </w:tcPr>
          <w:p>
            <w:pPr>
              <w:pStyle w:val="6"/>
              <w:jc w:val="left"/>
            </w:pPr>
            <w:r>
              <w:rPr>
                <w:rFonts w:ascii="仿宋_GB2312" w:hAnsi="仿宋_GB2312" w:eastAsia="仿宋_GB2312" w:cs="仿宋_GB2312"/>
              </w:rPr>
              <w:t xml:space="preserve"> 建平路（小） 起点：高新大道 终点：创意路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175.0000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42</w:t>
            </w:r>
          </w:p>
        </w:tc>
        <w:tc>
          <w:tcPr>
            <w:tcW w:w="755" w:type="dxa"/>
          </w:tcPr>
          <w:p>
            <w:pPr>
              <w:pStyle w:val="6"/>
              <w:jc w:val="left"/>
            </w:pPr>
            <w:r>
              <w:rPr>
                <w:rFonts w:ascii="仿宋_GB2312" w:hAnsi="仿宋_GB2312" w:eastAsia="仿宋_GB2312" w:cs="仿宋_GB2312"/>
              </w:rPr>
              <w:t xml:space="preserve"> 科技一路 起点：高新一路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1087.5100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43</w:t>
            </w:r>
          </w:p>
        </w:tc>
        <w:tc>
          <w:tcPr>
            <w:tcW w:w="755" w:type="dxa"/>
          </w:tcPr>
          <w:p>
            <w:pPr>
              <w:pStyle w:val="6"/>
              <w:jc w:val="left"/>
            </w:pPr>
            <w:r>
              <w:rPr>
                <w:rFonts w:ascii="仿宋_GB2312" w:hAnsi="仿宋_GB2312" w:eastAsia="仿宋_GB2312" w:cs="仿宋_GB2312"/>
              </w:rPr>
              <w:t xml:space="preserve"> 科技一路 起点：高新一路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200.0000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44</w:t>
            </w:r>
          </w:p>
        </w:tc>
        <w:tc>
          <w:tcPr>
            <w:tcW w:w="755" w:type="dxa"/>
          </w:tcPr>
          <w:p>
            <w:pPr>
              <w:pStyle w:val="6"/>
              <w:jc w:val="left"/>
            </w:pPr>
            <w:r>
              <w:rPr>
                <w:rFonts w:ascii="仿宋_GB2312" w:hAnsi="仿宋_GB2312" w:eastAsia="仿宋_GB2312" w:cs="仿宋_GB2312"/>
              </w:rPr>
              <w:t xml:space="preserve"> 创新路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2868.5600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45</w:t>
            </w:r>
          </w:p>
        </w:tc>
        <w:tc>
          <w:tcPr>
            <w:tcW w:w="755" w:type="dxa"/>
          </w:tcPr>
          <w:p>
            <w:pPr>
              <w:pStyle w:val="6"/>
              <w:jc w:val="left"/>
            </w:pPr>
            <w:r>
              <w:rPr>
                <w:rFonts w:ascii="仿宋_GB2312" w:hAnsi="仿宋_GB2312" w:eastAsia="仿宋_GB2312" w:cs="仿宋_GB2312"/>
              </w:rPr>
              <w:t xml:space="preserve"> 创新路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222.0000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46</w:t>
            </w:r>
          </w:p>
        </w:tc>
        <w:tc>
          <w:tcPr>
            <w:tcW w:w="755" w:type="dxa"/>
          </w:tcPr>
          <w:p>
            <w:pPr>
              <w:pStyle w:val="6"/>
              <w:jc w:val="left"/>
            </w:pPr>
            <w:r>
              <w:rPr>
                <w:rFonts w:ascii="仿宋_GB2312" w:hAnsi="仿宋_GB2312" w:eastAsia="仿宋_GB2312" w:cs="仿宋_GB2312"/>
              </w:rPr>
              <w:t xml:space="preserve"> 知舟路 起点：旗山大道 终点：乌龙江大道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47</w:t>
            </w:r>
          </w:p>
        </w:tc>
        <w:tc>
          <w:tcPr>
            <w:tcW w:w="755" w:type="dxa"/>
          </w:tcPr>
          <w:p>
            <w:pPr>
              <w:pStyle w:val="6"/>
              <w:jc w:val="left"/>
            </w:pPr>
            <w:r>
              <w:rPr>
                <w:rFonts w:ascii="仿宋_GB2312" w:hAnsi="仿宋_GB2312" w:eastAsia="仿宋_GB2312" w:cs="仿宋_GB2312"/>
              </w:rPr>
              <w:t xml:space="preserve"> 科技支路 起点：旗山大道 终点：乌龙江大道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48</w:t>
            </w:r>
          </w:p>
        </w:tc>
        <w:tc>
          <w:tcPr>
            <w:tcW w:w="755" w:type="dxa"/>
          </w:tcPr>
          <w:p>
            <w:pPr>
              <w:pStyle w:val="6"/>
              <w:jc w:val="left"/>
            </w:pPr>
            <w:r>
              <w:rPr>
                <w:rFonts w:ascii="仿宋_GB2312" w:hAnsi="仿宋_GB2312" w:eastAsia="仿宋_GB2312" w:cs="仿宋_GB2312"/>
              </w:rPr>
              <w:t xml:space="preserve"> 龙凤路 起点：旗山大道 终点：乌龙江大道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169.0000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49</w:t>
            </w:r>
          </w:p>
        </w:tc>
        <w:tc>
          <w:tcPr>
            <w:tcW w:w="755" w:type="dxa"/>
          </w:tcPr>
          <w:p>
            <w:pPr>
              <w:pStyle w:val="6"/>
              <w:jc w:val="left"/>
            </w:pPr>
            <w:r>
              <w:rPr>
                <w:rFonts w:ascii="仿宋_GB2312" w:hAnsi="仿宋_GB2312" w:eastAsia="仿宋_GB2312" w:cs="仿宋_GB2312"/>
              </w:rPr>
              <w:t xml:space="preserve"> 马保路 起点：学府南路 终点：旗麓北大道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50</w:t>
            </w:r>
          </w:p>
        </w:tc>
        <w:tc>
          <w:tcPr>
            <w:tcW w:w="755" w:type="dxa"/>
          </w:tcPr>
          <w:p>
            <w:pPr>
              <w:pStyle w:val="6"/>
              <w:jc w:val="left"/>
            </w:pPr>
            <w:r>
              <w:rPr>
                <w:rFonts w:ascii="仿宋_GB2312" w:hAnsi="仿宋_GB2312" w:eastAsia="仿宋_GB2312" w:cs="仿宋_GB2312"/>
              </w:rPr>
              <w:t xml:space="preserve"> 学府南路 起点：广贤路 终点：旗山大道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10323.6600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51</w:t>
            </w:r>
          </w:p>
        </w:tc>
        <w:tc>
          <w:tcPr>
            <w:tcW w:w="755" w:type="dxa"/>
          </w:tcPr>
          <w:p>
            <w:pPr>
              <w:pStyle w:val="6"/>
              <w:jc w:val="left"/>
            </w:pPr>
            <w:r>
              <w:rPr>
                <w:rFonts w:ascii="仿宋_GB2312" w:hAnsi="仿宋_GB2312" w:eastAsia="仿宋_GB2312" w:cs="仿宋_GB2312"/>
              </w:rPr>
              <w:t xml:space="preserve"> 学府南路 起点：广贤路 终点：旗山大道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446.0000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52</w:t>
            </w:r>
          </w:p>
        </w:tc>
        <w:tc>
          <w:tcPr>
            <w:tcW w:w="755" w:type="dxa"/>
          </w:tcPr>
          <w:p>
            <w:pPr>
              <w:pStyle w:val="6"/>
              <w:jc w:val="left"/>
            </w:pPr>
            <w:r>
              <w:rPr>
                <w:rFonts w:ascii="仿宋_GB2312" w:hAnsi="仿宋_GB2312" w:eastAsia="仿宋_GB2312" w:cs="仿宋_GB2312"/>
              </w:rPr>
              <w:t xml:space="preserve"> 学园路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7708.4400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53</w:t>
            </w:r>
          </w:p>
        </w:tc>
        <w:tc>
          <w:tcPr>
            <w:tcW w:w="755" w:type="dxa"/>
          </w:tcPr>
          <w:p>
            <w:pPr>
              <w:pStyle w:val="6"/>
              <w:jc w:val="left"/>
            </w:pPr>
            <w:r>
              <w:rPr>
                <w:rFonts w:ascii="仿宋_GB2312" w:hAnsi="仿宋_GB2312" w:eastAsia="仿宋_GB2312" w:cs="仿宋_GB2312"/>
              </w:rPr>
              <w:t xml:space="preserve"> 学园路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54</w:t>
            </w:r>
          </w:p>
        </w:tc>
        <w:tc>
          <w:tcPr>
            <w:tcW w:w="755" w:type="dxa"/>
          </w:tcPr>
          <w:p>
            <w:pPr>
              <w:pStyle w:val="6"/>
              <w:jc w:val="left"/>
            </w:pPr>
            <w:r>
              <w:rPr>
                <w:rFonts w:ascii="仿宋_GB2312" w:hAnsi="仿宋_GB2312" w:eastAsia="仿宋_GB2312" w:cs="仿宋_GB2312"/>
              </w:rPr>
              <w:t xml:space="preserve"> 莉园洲路 起点：乌龙江中大道 终点：新港大道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1878.1300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55</w:t>
            </w:r>
          </w:p>
        </w:tc>
        <w:tc>
          <w:tcPr>
            <w:tcW w:w="755" w:type="dxa"/>
          </w:tcPr>
          <w:p>
            <w:pPr>
              <w:pStyle w:val="6"/>
              <w:jc w:val="left"/>
            </w:pPr>
            <w:r>
              <w:rPr>
                <w:rFonts w:ascii="仿宋_GB2312" w:hAnsi="仿宋_GB2312" w:eastAsia="仿宋_GB2312" w:cs="仿宋_GB2312"/>
              </w:rPr>
              <w:t xml:space="preserve"> 莉园洲路 起点：乌龙江中大道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223.0000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56</w:t>
            </w:r>
          </w:p>
        </w:tc>
        <w:tc>
          <w:tcPr>
            <w:tcW w:w="755" w:type="dxa"/>
          </w:tcPr>
          <w:p>
            <w:pPr>
              <w:pStyle w:val="6"/>
              <w:jc w:val="left"/>
            </w:pPr>
            <w:r>
              <w:rPr>
                <w:rFonts w:ascii="仿宋_GB2312" w:hAnsi="仿宋_GB2312" w:eastAsia="仿宋_GB2312" w:cs="仿宋_GB2312"/>
              </w:rPr>
              <w:t xml:space="preserve"> 将军庙路 起点：乌龙江南大道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214.0000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57</w:t>
            </w:r>
          </w:p>
        </w:tc>
        <w:tc>
          <w:tcPr>
            <w:tcW w:w="755" w:type="dxa"/>
          </w:tcPr>
          <w:p>
            <w:pPr>
              <w:pStyle w:val="6"/>
              <w:jc w:val="left"/>
            </w:pPr>
            <w:r>
              <w:rPr>
                <w:rFonts w:ascii="仿宋_GB2312" w:hAnsi="仿宋_GB2312" w:eastAsia="仿宋_GB2312" w:cs="仿宋_GB2312"/>
              </w:rPr>
              <w:t xml:space="preserve"> 朝晖路 起点：马排路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58</w:t>
            </w:r>
          </w:p>
        </w:tc>
        <w:tc>
          <w:tcPr>
            <w:tcW w:w="755" w:type="dxa"/>
          </w:tcPr>
          <w:p>
            <w:pPr>
              <w:pStyle w:val="6"/>
              <w:jc w:val="left"/>
            </w:pPr>
            <w:r>
              <w:rPr>
                <w:rFonts w:ascii="仿宋_GB2312" w:hAnsi="仿宋_GB2312" w:eastAsia="仿宋_GB2312" w:cs="仿宋_GB2312"/>
              </w:rPr>
              <w:t xml:space="preserve"> 马洲路 起点：高新大道 终点：湖滨路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289.0000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59</w:t>
            </w:r>
          </w:p>
        </w:tc>
        <w:tc>
          <w:tcPr>
            <w:tcW w:w="755" w:type="dxa"/>
          </w:tcPr>
          <w:p>
            <w:pPr>
              <w:pStyle w:val="6"/>
              <w:jc w:val="left"/>
            </w:pPr>
            <w:r>
              <w:rPr>
                <w:rFonts w:ascii="仿宋_GB2312" w:hAnsi="仿宋_GB2312" w:eastAsia="仿宋_GB2312" w:cs="仿宋_GB2312"/>
              </w:rPr>
              <w:t xml:space="preserve"> 湖滨路 起点：乌龙江南大道 终点：新港大道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441.0000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60</w:t>
            </w:r>
          </w:p>
        </w:tc>
        <w:tc>
          <w:tcPr>
            <w:tcW w:w="755" w:type="dxa"/>
          </w:tcPr>
          <w:p>
            <w:pPr>
              <w:pStyle w:val="6"/>
              <w:jc w:val="left"/>
            </w:pPr>
            <w:r>
              <w:rPr>
                <w:rFonts w:ascii="仿宋_GB2312" w:hAnsi="仿宋_GB2312" w:eastAsia="仿宋_GB2312" w:cs="仿宋_GB2312"/>
              </w:rPr>
              <w:t xml:space="preserve"> 董屿路 起点：明德东路 终点：建平路 (佛桥亭路 起点：董屿路 终点：董屿路)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1364.0000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61</w:t>
            </w:r>
          </w:p>
        </w:tc>
        <w:tc>
          <w:tcPr>
            <w:tcW w:w="755" w:type="dxa"/>
          </w:tcPr>
          <w:p>
            <w:pPr>
              <w:pStyle w:val="6"/>
              <w:jc w:val="left"/>
            </w:pPr>
            <w:r>
              <w:rPr>
                <w:rFonts w:ascii="仿宋_GB2312" w:hAnsi="仿宋_GB2312" w:eastAsia="仿宋_GB2312" w:cs="仿宋_GB2312"/>
              </w:rPr>
              <w:t xml:space="preserve"> 董屿路 起点：明德东路 终点：建平路 (佛桥亭路 起点：董屿路 终点：董屿路)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415.0000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62</w:t>
            </w:r>
          </w:p>
        </w:tc>
        <w:tc>
          <w:tcPr>
            <w:tcW w:w="755" w:type="dxa"/>
          </w:tcPr>
          <w:p>
            <w:pPr>
              <w:pStyle w:val="6"/>
              <w:jc w:val="left"/>
            </w:pPr>
            <w:r>
              <w:rPr>
                <w:rFonts w:ascii="仿宋_GB2312" w:hAnsi="仿宋_GB2312" w:eastAsia="仿宋_GB2312" w:cs="仿宋_GB2312"/>
              </w:rPr>
              <w:t xml:space="preserve"> 轮船港公园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67506.2700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63</w:t>
            </w:r>
          </w:p>
        </w:tc>
        <w:tc>
          <w:tcPr>
            <w:tcW w:w="755" w:type="dxa"/>
          </w:tcPr>
          <w:p>
            <w:pPr>
              <w:pStyle w:val="6"/>
              <w:jc w:val="left"/>
            </w:pPr>
            <w:r>
              <w:rPr>
                <w:rFonts w:ascii="仿宋_GB2312" w:hAnsi="仿宋_GB2312" w:eastAsia="仿宋_GB2312" w:cs="仿宋_GB2312"/>
              </w:rPr>
              <w:t xml:space="preserve"> 乌龙江南岸浦上桥下公园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9408.9300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64</w:t>
            </w:r>
          </w:p>
        </w:tc>
        <w:tc>
          <w:tcPr>
            <w:tcW w:w="755" w:type="dxa"/>
          </w:tcPr>
          <w:p>
            <w:pPr>
              <w:pStyle w:val="6"/>
              <w:jc w:val="left"/>
            </w:pPr>
            <w:r>
              <w:rPr>
                <w:rFonts w:ascii="仿宋_GB2312" w:hAnsi="仿宋_GB2312" w:eastAsia="仿宋_GB2312" w:cs="仿宋_GB2312"/>
              </w:rPr>
              <w:t xml:space="preserve"> 马排体育运动公园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8562.8900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65</w:t>
            </w:r>
          </w:p>
        </w:tc>
        <w:tc>
          <w:tcPr>
            <w:tcW w:w="755" w:type="dxa"/>
          </w:tcPr>
          <w:p>
            <w:pPr>
              <w:pStyle w:val="6"/>
              <w:jc w:val="left"/>
            </w:pPr>
            <w:r>
              <w:rPr>
                <w:rFonts w:ascii="仿宋_GB2312" w:hAnsi="仿宋_GB2312" w:eastAsia="仿宋_GB2312" w:cs="仿宋_GB2312"/>
              </w:rPr>
              <w:t xml:space="preserve"> 橘园洲桥下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59954.8300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66</w:t>
            </w:r>
          </w:p>
        </w:tc>
        <w:tc>
          <w:tcPr>
            <w:tcW w:w="755" w:type="dxa"/>
          </w:tcPr>
          <w:p>
            <w:pPr>
              <w:pStyle w:val="6"/>
              <w:jc w:val="left"/>
            </w:pPr>
            <w:r>
              <w:rPr>
                <w:rFonts w:ascii="仿宋_GB2312" w:hAnsi="仿宋_GB2312" w:eastAsia="仿宋_GB2312" w:cs="仿宋_GB2312"/>
              </w:rPr>
              <w:t xml:space="preserve"> （三角梅）建平路 起点：广兴路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1200.0000</w:t>
            </w:r>
          </w:p>
        </w:tc>
        <w:tc>
          <w:tcPr>
            <w:tcW w:w="755" w:type="dxa"/>
          </w:tcPr>
          <w:p>
            <w:pPr>
              <w:pStyle w:val="6"/>
              <w:jc w:val="left"/>
            </w:pPr>
            <w:r>
              <w:rPr>
                <w:rFonts w:ascii="仿宋_GB2312" w:hAnsi="仿宋_GB2312" w:eastAsia="仿宋_GB2312" w:cs="仿宋_GB2312"/>
              </w:rPr>
              <w:t xml:space="preserve"> 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67</w:t>
            </w:r>
          </w:p>
        </w:tc>
        <w:tc>
          <w:tcPr>
            <w:tcW w:w="755" w:type="dxa"/>
          </w:tcPr>
          <w:p>
            <w:pPr>
              <w:pStyle w:val="6"/>
              <w:jc w:val="left"/>
            </w:pPr>
            <w:r>
              <w:rPr>
                <w:rFonts w:ascii="仿宋_GB2312" w:hAnsi="仿宋_GB2312" w:eastAsia="仿宋_GB2312" w:cs="仿宋_GB2312"/>
              </w:rPr>
              <w:t xml:space="preserve"> （三角梅）乌龙江大道厚庭排涝站段/新港大道</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157.9200</w:t>
            </w:r>
          </w:p>
        </w:tc>
        <w:tc>
          <w:tcPr>
            <w:tcW w:w="755" w:type="dxa"/>
          </w:tcPr>
          <w:p>
            <w:pPr>
              <w:pStyle w:val="6"/>
              <w:jc w:val="left"/>
            </w:pPr>
            <w:r>
              <w:rPr>
                <w:rFonts w:ascii="仿宋_GB2312" w:hAnsi="仿宋_GB2312" w:eastAsia="仿宋_GB2312" w:cs="仿宋_GB2312"/>
              </w:rPr>
              <w:t xml:space="preserve"> 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68</w:t>
            </w:r>
          </w:p>
        </w:tc>
        <w:tc>
          <w:tcPr>
            <w:tcW w:w="755" w:type="dxa"/>
          </w:tcPr>
          <w:p>
            <w:pPr>
              <w:pStyle w:val="6"/>
              <w:jc w:val="left"/>
            </w:pPr>
            <w:r>
              <w:rPr>
                <w:rFonts w:ascii="仿宋_GB2312" w:hAnsi="仿宋_GB2312" w:eastAsia="仿宋_GB2312" w:cs="仿宋_GB2312"/>
              </w:rPr>
              <w:t xml:space="preserve"> （三角梅）浦上西段/高新大道</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781.1700</w:t>
            </w:r>
          </w:p>
        </w:tc>
        <w:tc>
          <w:tcPr>
            <w:tcW w:w="755" w:type="dxa"/>
          </w:tcPr>
          <w:p>
            <w:pPr>
              <w:pStyle w:val="6"/>
              <w:jc w:val="left"/>
            </w:pPr>
            <w:r>
              <w:rPr>
                <w:rFonts w:ascii="仿宋_GB2312" w:hAnsi="仿宋_GB2312" w:eastAsia="仿宋_GB2312" w:cs="仿宋_GB2312"/>
              </w:rPr>
              <w:t xml:space="preserve"> 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69</w:t>
            </w:r>
          </w:p>
        </w:tc>
        <w:tc>
          <w:tcPr>
            <w:tcW w:w="755" w:type="dxa"/>
          </w:tcPr>
          <w:p>
            <w:pPr>
              <w:pStyle w:val="6"/>
              <w:jc w:val="left"/>
            </w:pPr>
            <w:r>
              <w:rPr>
                <w:rFonts w:ascii="仿宋_GB2312" w:hAnsi="仿宋_GB2312" w:eastAsia="仿宋_GB2312" w:cs="仿宋_GB2312"/>
              </w:rPr>
              <w:t xml:space="preserve"> （三角梅）学府南路 起点：广贤路 终点：旗山大道</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299.0000</w:t>
            </w:r>
          </w:p>
        </w:tc>
        <w:tc>
          <w:tcPr>
            <w:tcW w:w="755" w:type="dxa"/>
          </w:tcPr>
          <w:p>
            <w:pPr>
              <w:pStyle w:val="6"/>
              <w:jc w:val="left"/>
            </w:pPr>
            <w:r>
              <w:rPr>
                <w:rFonts w:ascii="仿宋_GB2312" w:hAnsi="仿宋_GB2312" w:eastAsia="仿宋_GB2312" w:cs="仿宋_GB2312"/>
              </w:rPr>
              <w:t xml:space="preserve"> 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70</w:t>
            </w:r>
          </w:p>
        </w:tc>
        <w:tc>
          <w:tcPr>
            <w:tcW w:w="755" w:type="dxa"/>
          </w:tcPr>
          <w:p>
            <w:pPr>
              <w:pStyle w:val="6"/>
              <w:jc w:val="left"/>
            </w:pPr>
            <w:r>
              <w:rPr>
                <w:rFonts w:ascii="仿宋_GB2312" w:hAnsi="仿宋_GB2312" w:eastAsia="仿宋_GB2312" w:cs="仿宋_GB2312"/>
              </w:rPr>
              <w:t xml:space="preserve"> （时花）科技东路与高新大道交叉口渠化岛</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323.6900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71</w:t>
            </w:r>
          </w:p>
        </w:tc>
        <w:tc>
          <w:tcPr>
            <w:tcW w:w="755" w:type="dxa"/>
          </w:tcPr>
          <w:p>
            <w:pPr>
              <w:pStyle w:val="6"/>
              <w:jc w:val="left"/>
            </w:pPr>
            <w:r>
              <w:rPr>
                <w:rFonts w:ascii="仿宋_GB2312" w:hAnsi="仿宋_GB2312" w:eastAsia="仿宋_GB2312" w:cs="仿宋_GB2312"/>
              </w:rPr>
              <w:t xml:space="preserve"> （时花）科技东路与旗山大道交叉口渠化岛</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184.6700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72</w:t>
            </w:r>
          </w:p>
        </w:tc>
        <w:tc>
          <w:tcPr>
            <w:tcW w:w="755" w:type="dxa"/>
          </w:tcPr>
          <w:p>
            <w:pPr>
              <w:pStyle w:val="6"/>
              <w:jc w:val="left"/>
            </w:pPr>
            <w:r>
              <w:rPr>
                <w:rFonts w:ascii="仿宋_GB2312" w:hAnsi="仿宋_GB2312" w:eastAsia="仿宋_GB2312" w:cs="仿宋_GB2312"/>
              </w:rPr>
              <w:t xml:space="preserve"> （时花）科技东路与乌龙江大道交叉口渠化岛</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209.5800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73</w:t>
            </w:r>
          </w:p>
        </w:tc>
        <w:tc>
          <w:tcPr>
            <w:tcW w:w="755" w:type="dxa"/>
          </w:tcPr>
          <w:p>
            <w:pPr>
              <w:pStyle w:val="6"/>
              <w:jc w:val="left"/>
            </w:pPr>
            <w:r>
              <w:rPr>
                <w:rFonts w:ascii="仿宋_GB2312" w:hAnsi="仿宋_GB2312" w:eastAsia="仿宋_GB2312" w:cs="仿宋_GB2312"/>
              </w:rPr>
              <w:t xml:space="preserve"> （时花）乌龙江大道显示屏下花化</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154.9700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74</w:t>
            </w:r>
          </w:p>
        </w:tc>
        <w:tc>
          <w:tcPr>
            <w:tcW w:w="755" w:type="dxa"/>
          </w:tcPr>
          <w:p>
            <w:pPr>
              <w:pStyle w:val="6"/>
              <w:jc w:val="left"/>
            </w:pPr>
            <w:r>
              <w:rPr>
                <w:rFonts w:ascii="仿宋_GB2312" w:hAnsi="仿宋_GB2312" w:eastAsia="仿宋_GB2312" w:cs="仿宋_GB2312"/>
              </w:rPr>
              <w:t xml:space="preserve"> （时花）董屿站门口草地</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260.0000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75</w:t>
            </w:r>
          </w:p>
        </w:tc>
        <w:tc>
          <w:tcPr>
            <w:tcW w:w="755" w:type="dxa"/>
          </w:tcPr>
          <w:p>
            <w:pPr>
              <w:pStyle w:val="6"/>
              <w:jc w:val="left"/>
            </w:pPr>
            <w:r>
              <w:rPr>
                <w:rFonts w:ascii="仿宋_GB2312" w:hAnsi="仿宋_GB2312" w:eastAsia="仿宋_GB2312" w:cs="仿宋_GB2312"/>
              </w:rPr>
              <w:t xml:space="preserve"> 乌龙江畔（十里江湾）项目南侧绿化工程 起点：高新大道 终点：乌龙江大道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6000.0000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76</w:t>
            </w:r>
          </w:p>
        </w:tc>
        <w:tc>
          <w:tcPr>
            <w:tcW w:w="755" w:type="dxa"/>
          </w:tcPr>
          <w:p>
            <w:pPr>
              <w:pStyle w:val="6"/>
              <w:jc w:val="left"/>
            </w:pPr>
            <w:r>
              <w:rPr>
                <w:rFonts w:ascii="仿宋_GB2312" w:hAnsi="仿宋_GB2312" w:eastAsia="仿宋_GB2312" w:cs="仿宋_GB2312"/>
              </w:rPr>
              <w:t xml:space="preserve"> 科技西路整治工程 起点：117 县道 终点：学府南路 道路长度：800米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3200.0000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77</w:t>
            </w:r>
          </w:p>
        </w:tc>
        <w:tc>
          <w:tcPr>
            <w:tcW w:w="755" w:type="dxa"/>
          </w:tcPr>
          <w:p>
            <w:pPr>
              <w:pStyle w:val="6"/>
              <w:jc w:val="left"/>
            </w:pPr>
            <w:r>
              <w:rPr>
                <w:rFonts w:ascii="仿宋_GB2312" w:hAnsi="仿宋_GB2312" w:eastAsia="仿宋_GB2312" w:cs="仿宋_GB2312"/>
              </w:rPr>
              <w:t xml:space="preserve"> 科技西路整治工程 起点：117 县道 终点：学府南路 道路长度：800米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317.0000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78</w:t>
            </w:r>
          </w:p>
        </w:tc>
        <w:tc>
          <w:tcPr>
            <w:tcW w:w="755" w:type="dxa"/>
          </w:tcPr>
          <w:p>
            <w:pPr>
              <w:pStyle w:val="6"/>
              <w:jc w:val="left"/>
            </w:pPr>
            <w:r>
              <w:rPr>
                <w:rFonts w:ascii="仿宋_GB2312" w:hAnsi="仿宋_GB2312" w:eastAsia="仿宋_GB2312" w:cs="仿宋_GB2312"/>
              </w:rPr>
              <w:t xml:space="preserve"> 高新三路 起点：科技三路，往南延伸，沿线与规划路、新洲路、新洲一路、新洲二路、新洲三路、新洲四路相交处 终点：学园路 道路长度：954.5米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715.0000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79</w:t>
            </w:r>
          </w:p>
        </w:tc>
        <w:tc>
          <w:tcPr>
            <w:tcW w:w="755" w:type="dxa"/>
          </w:tcPr>
          <w:p>
            <w:pPr>
              <w:pStyle w:val="6"/>
              <w:jc w:val="left"/>
            </w:pPr>
            <w:r>
              <w:rPr>
                <w:rFonts w:ascii="仿宋_GB2312" w:hAnsi="仿宋_GB2312" w:eastAsia="仿宋_GB2312" w:cs="仿宋_GB2312"/>
              </w:rPr>
              <w:t xml:space="preserve"> 高新三路 起点：科技三路，往南延伸，沿线与规划路、新洲路、新洲一路、新洲二路、新洲三路、新洲四路相交处 终点：学园路 道路长度：954.5米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235.0000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80</w:t>
            </w:r>
          </w:p>
        </w:tc>
        <w:tc>
          <w:tcPr>
            <w:tcW w:w="755" w:type="dxa"/>
          </w:tcPr>
          <w:p>
            <w:pPr>
              <w:pStyle w:val="6"/>
              <w:jc w:val="left"/>
            </w:pPr>
            <w:r>
              <w:rPr>
                <w:rFonts w:ascii="仿宋_GB2312" w:hAnsi="仿宋_GB2312" w:eastAsia="仿宋_GB2312" w:cs="仿宋_GB2312"/>
              </w:rPr>
              <w:t xml:space="preserve"> 新洲支路 起点：新洲一、二、四路起于高新三路 终点：终点止于高新大道；新洲三路起于旗山大道，终点止于高新大道 道路长度：新洲一路 274.5米 新洲二路 228.3米 新洲三路 345.7米 新洲四路 226. 1米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666.0000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81</w:t>
            </w:r>
          </w:p>
        </w:tc>
        <w:tc>
          <w:tcPr>
            <w:tcW w:w="755" w:type="dxa"/>
          </w:tcPr>
          <w:p>
            <w:pPr>
              <w:pStyle w:val="6"/>
              <w:jc w:val="left"/>
            </w:pPr>
            <w:r>
              <w:rPr>
                <w:rFonts w:ascii="仿宋_GB2312" w:hAnsi="仿宋_GB2312" w:eastAsia="仿宋_GB2312" w:cs="仿宋_GB2312"/>
              </w:rPr>
              <w:t xml:space="preserve"> 新洲支路 起点：新洲一、二、四路起于高新三路 终点：终点止于高新大道；新洲三路起于旗山大道，终点止于高新大道 道路长度：新洲一路 274.5米 新洲二路 228.3米 新洲三路 345.7米 新洲四路 226. 1米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296.0000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82</w:t>
            </w:r>
          </w:p>
        </w:tc>
        <w:tc>
          <w:tcPr>
            <w:tcW w:w="755" w:type="dxa"/>
          </w:tcPr>
          <w:p>
            <w:pPr>
              <w:pStyle w:val="6"/>
              <w:jc w:val="left"/>
            </w:pPr>
            <w:r>
              <w:rPr>
                <w:rFonts w:ascii="仿宋_GB2312" w:hAnsi="仿宋_GB2312" w:eastAsia="仿宋_GB2312" w:cs="仿宋_GB2312"/>
              </w:rPr>
              <w:t xml:space="preserve"> 新洲路 起点：旗山大道 终点：乌龙江大道 道路长度：821米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5498.0000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83</w:t>
            </w:r>
          </w:p>
        </w:tc>
        <w:tc>
          <w:tcPr>
            <w:tcW w:w="755" w:type="dxa"/>
          </w:tcPr>
          <w:p>
            <w:pPr>
              <w:pStyle w:val="6"/>
              <w:jc w:val="left"/>
            </w:pPr>
            <w:r>
              <w:rPr>
                <w:rFonts w:ascii="仿宋_GB2312" w:hAnsi="仿宋_GB2312" w:eastAsia="仿宋_GB2312" w:cs="仿宋_GB2312"/>
              </w:rPr>
              <w:t xml:space="preserve"> 新洲路 起点：旗山大道 终点：乌龙江大道 道路长度：821米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229.0000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84</w:t>
            </w:r>
          </w:p>
        </w:tc>
        <w:tc>
          <w:tcPr>
            <w:tcW w:w="755" w:type="dxa"/>
          </w:tcPr>
          <w:p>
            <w:pPr>
              <w:pStyle w:val="6"/>
              <w:jc w:val="left"/>
            </w:pPr>
            <w:r>
              <w:rPr>
                <w:rFonts w:ascii="仿宋_GB2312" w:hAnsi="仿宋_GB2312" w:eastAsia="仿宋_GB2312" w:cs="仿宋_GB2312"/>
              </w:rPr>
              <w:t xml:space="preserve"> 新洲路段旗山大道东侧品质提升工程 师大东门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3000.0000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85</w:t>
            </w:r>
          </w:p>
        </w:tc>
        <w:tc>
          <w:tcPr>
            <w:tcW w:w="755" w:type="dxa"/>
          </w:tcPr>
          <w:p>
            <w:pPr>
              <w:pStyle w:val="6"/>
              <w:jc w:val="left"/>
            </w:pPr>
            <w:r>
              <w:rPr>
                <w:rFonts w:ascii="仿宋_GB2312" w:hAnsi="仿宋_GB2312" w:eastAsia="仿宋_GB2312" w:cs="仿宋_GB2312"/>
              </w:rPr>
              <w:t xml:space="preserve"> 国贸学原北侧景观工程 起点：浦上路 终点：高新大道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11000.0000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86</w:t>
            </w:r>
          </w:p>
        </w:tc>
        <w:tc>
          <w:tcPr>
            <w:tcW w:w="755" w:type="dxa"/>
          </w:tcPr>
          <w:p>
            <w:pPr>
              <w:pStyle w:val="6"/>
              <w:jc w:val="left"/>
            </w:pPr>
            <w:r>
              <w:rPr>
                <w:rFonts w:ascii="仿宋_GB2312" w:hAnsi="仿宋_GB2312" w:eastAsia="仿宋_GB2312" w:cs="仿宋_GB2312"/>
              </w:rPr>
              <w:t xml:space="preserve"> 国贸学原东侧绿地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3948.9200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87</w:t>
            </w:r>
          </w:p>
        </w:tc>
        <w:tc>
          <w:tcPr>
            <w:tcW w:w="755" w:type="dxa"/>
          </w:tcPr>
          <w:p>
            <w:pPr>
              <w:pStyle w:val="6"/>
              <w:jc w:val="left"/>
            </w:pPr>
            <w:r>
              <w:rPr>
                <w:rFonts w:ascii="仿宋_GB2312" w:hAnsi="仿宋_GB2312" w:eastAsia="仿宋_GB2312" w:cs="仿宋_GB2312"/>
              </w:rPr>
              <w:t xml:space="preserve"> 葛岐桥 起点：葛岐排涝站北 终点：葛岐排涝站南 道路长度：100.0米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3715.0000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88</w:t>
            </w:r>
          </w:p>
        </w:tc>
        <w:tc>
          <w:tcPr>
            <w:tcW w:w="755" w:type="dxa"/>
          </w:tcPr>
          <w:p>
            <w:pPr>
              <w:pStyle w:val="6"/>
              <w:jc w:val="left"/>
            </w:pPr>
            <w:r>
              <w:rPr>
                <w:rFonts w:ascii="仿宋_GB2312" w:hAnsi="仿宋_GB2312" w:eastAsia="仿宋_GB2312" w:cs="仿宋_GB2312"/>
              </w:rPr>
              <w:t xml:space="preserve"> 葛岐桥 起点：葛岐排涝站北 终点：葛岐排涝站南 道路长度：100.0米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89</w:t>
            </w:r>
          </w:p>
        </w:tc>
        <w:tc>
          <w:tcPr>
            <w:tcW w:w="755" w:type="dxa"/>
          </w:tcPr>
          <w:p>
            <w:pPr>
              <w:pStyle w:val="6"/>
              <w:jc w:val="left"/>
            </w:pPr>
            <w:r>
              <w:rPr>
                <w:rFonts w:ascii="仿宋_GB2312" w:hAnsi="仿宋_GB2312" w:eastAsia="仿宋_GB2312" w:cs="仿宋_GB2312"/>
              </w:rPr>
              <w:t xml:space="preserve"> 橘园洲桥下生态休闲空间建设工程 橘园洲桥下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20000.0000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90</w:t>
            </w:r>
          </w:p>
        </w:tc>
        <w:tc>
          <w:tcPr>
            <w:tcW w:w="755" w:type="dxa"/>
          </w:tcPr>
          <w:p>
            <w:pPr>
              <w:pStyle w:val="6"/>
              <w:jc w:val="left"/>
            </w:pPr>
            <w:r>
              <w:rPr>
                <w:rFonts w:ascii="仿宋_GB2312" w:hAnsi="仿宋_GB2312" w:eastAsia="仿宋_GB2312" w:cs="仿宋_GB2312"/>
              </w:rPr>
              <w:t xml:space="preserve"> 翔龙花园西侧景观绿化改造工程 翔龙花园商业体外侧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1830.0000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91</w:t>
            </w:r>
          </w:p>
        </w:tc>
        <w:tc>
          <w:tcPr>
            <w:tcW w:w="755" w:type="dxa"/>
          </w:tcPr>
          <w:p>
            <w:pPr>
              <w:pStyle w:val="6"/>
              <w:jc w:val="left"/>
            </w:pPr>
            <w:r>
              <w:rPr>
                <w:rFonts w:ascii="仿宋_GB2312" w:hAnsi="仿宋_GB2312" w:eastAsia="仿宋_GB2312" w:cs="仿宋_GB2312"/>
              </w:rPr>
              <w:t xml:space="preserve"> 榕高新 2020-02 号地块东侧景观绿化改造工程 榕高新 2020-02 号地块东侧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1120.0000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92</w:t>
            </w:r>
          </w:p>
        </w:tc>
        <w:tc>
          <w:tcPr>
            <w:tcW w:w="755" w:type="dxa"/>
          </w:tcPr>
          <w:p>
            <w:pPr>
              <w:pStyle w:val="6"/>
              <w:jc w:val="left"/>
            </w:pPr>
            <w:r>
              <w:rPr>
                <w:rFonts w:ascii="仿宋_GB2312" w:hAnsi="仿宋_GB2312" w:eastAsia="仿宋_GB2312" w:cs="仿宋_GB2312"/>
              </w:rPr>
              <w:t xml:space="preserve"> 中国东南（福建）科学城精神堡垒建设工程 橘园洲大桥西桥头北侧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275.0000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93</w:t>
            </w:r>
          </w:p>
        </w:tc>
        <w:tc>
          <w:tcPr>
            <w:tcW w:w="755" w:type="dxa"/>
          </w:tcPr>
          <w:p>
            <w:pPr>
              <w:pStyle w:val="6"/>
              <w:jc w:val="left"/>
            </w:pPr>
            <w:r>
              <w:rPr>
                <w:rFonts w:ascii="仿宋_GB2312" w:hAnsi="仿宋_GB2312" w:eastAsia="仿宋_GB2312" w:cs="仿宋_GB2312"/>
              </w:rPr>
              <w:t xml:space="preserve"> 马排三路 起点：接滨北一路 终点：接乌龙江大道 道路长度：151.3米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112.0000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94</w:t>
            </w:r>
          </w:p>
        </w:tc>
        <w:tc>
          <w:tcPr>
            <w:tcW w:w="755" w:type="dxa"/>
          </w:tcPr>
          <w:p>
            <w:pPr>
              <w:pStyle w:val="6"/>
              <w:jc w:val="left"/>
            </w:pPr>
            <w:r>
              <w:rPr>
                <w:rFonts w:ascii="仿宋_GB2312" w:hAnsi="仿宋_GB2312" w:eastAsia="仿宋_GB2312" w:cs="仿宋_GB2312"/>
              </w:rPr>
              <w:t xml:space="preserve"> 马排三路 起点：接滨北一路 终点：接乌龙江大道 道路长度：151.3米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53.0000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95</w:t>
            </w:r>
          </w:p>
        </w:tc>
        <w:tc>
          <w:tcPr>
            <w:tcW w:w="755" w:type="dxa"/>
          </w:tcPr>
          <w:p>
            <w:pPr>
              <w:pStyle w:val="6"/>
              <w:jc w:val="left"/>
            </w:pPr>
            <w:r>
              <w:rPr>
                <w:rFonts w:ascii="仿宋_GB2312" w:hAnsi="仿宋_GB2312" w:eastAsia="仿宋_GB2312" w:cs="仿宋_GB2312"/>
              </w:rPr>
              <w:t xml:space="preserve"> 新马花园配套道路 起点：高岐路 终点：新保路 道路长度：1070.0米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432.0000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96</w:t>
            </w:r>
          </w:p>
        </w:tc>
        <w:tc>
          <w:tcPr>
            <w:tcW w:w="755" w:type="dxa"/>
          </w:tcPr>
          <w:p>
            <w:pPr>
              <w:pStyle w:val="6"/>
              <w:jc w:val="left"/>
            </w:pPr>
            <w:r>
              <w:rPr>
                <w:rFonts w:ascii="仿宋_GB2312" w:hAnsi="仿宋_GB2312" w:eastAsia="仿宋_GB2312" w:cs="仿宋_GB2312"/>
              </w:rPr>
              <w:t xml:space="preserve"> 新马花园配套道路 起点：高岐路 终点：新保路 道路长度：1070.0米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216.0000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97</w:t>
            </w:r>
          </w:p>
        </w:tc>
        <w:tc>
          <w:tcPr>
            <w:tcW w:w="755" w:type="dxa"/>
          </w:tcPr>
          <w:p>
            <w:pPr>
              <w:pStyle w:val="6"/>
              <w:jc w:val="left"/>
            </w:pPr>
            <w:r>
              <w:rPr>
                <w:rFonts w:ascii="仿宋_GB2312" w:hAnsi="仿宋_GB2312" w:eastAsia="仿宋_GB2312" w:cs="仿宋_GB2312"/>
              </w:rPr>
              <w:t xml:space="preserve"> 高新一路延伸段（未施工段落） 起点：创新路 终点：科技三路 道路长度：90.0米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70.0000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98</w:t>
            </w:r>
          </w:p>
        </w:tc>
        <w:tc>
          <w:tcPr>
            <w:tcW w:w="755" w:type="dxa"/>
          </w:tcPr>
          <w:p>
            <w:pPr>
              <w:pStyle w:val="6"/>
              <w:jc w:val="left"/>
            </w:pPr>
            <w:r>
              <w:rPr>
                <w:rFonts w:ascii="仿宋_GB2312" w:hAnsi="仿宋_GB2312" w:eastAsia="仿宋_GB2312" w:cs="仿宋_GB2312"/>
              </w:rPr>
              <w:t xml:space="preserve"> 高新一路延伸段（未施工段落） 起点：创新路 终点：科技三路 道路长度：90.0米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31.0000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99</w:t>
            </w:r>
          </w:p>
        </w:tc>
        <w:tc>
          <w:tcPr>
            <w:tcW w:w="755" w:type="dxa"/>
          </w:tcPr>
          <w:p>
            <w:pPr>
              <w:pStyle w:val="6"/>
              <w:jc w:val="left"/>
            </w:pPr>
            <w:r>
              <w:rPr>
                <w:rFonts w:ascii="仿宋_GB2312" w:hAnsi="仿宋_GB2312" w:eastAsia="仿宋_GB2312" w:cs="仿宋_GB2312"/>
              </w:rPr>
              <w:t xml:space="preserve"> 湖滨二路 起点：相交于滨北二路 终点：湖滨北路 道路长度：415.4米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108.0000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100</w:t>
            </w:r>
          </w:p>
        </w:tc>
        <w:tc>
          <w:tcPr>
            <w:tcW w:w="755" w:type="dxa"/>
          </w:tcPr>
          <w:p>
            <w:pPr>
              <w:pStyle w:val="6"/>
              <w:jc w:val="left"/>
            </w:pPr>
            <w:r>
              <w:rPr>
                <w:rFonts w:ascii="仿宋_GB2312" w:hAnsi="仿宋_GB2312" w:eastAsia="仿宋_GB2312" w:cs="仿宋_GB2312"/>
              </w:rPr>
              <w:t xml:space="preserve"> 湖滨三路 起点：相交于滨北二路 终点：湖滨北路 道路长度：437.9米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101</w:t>
            </w:r>
          </w:p>
        </w:tc>
        <w:tc>
          <w:tcPr>
            <w:tcW w:w="755" w:type="dxa"/>
          </w:tcPr>
          <w:p>
            <w:pPr>
              <w:pStyle w:val="6"/>
              <w:jc w:val="left"/>
            </w:pPr>
            <w:r>
              <w:rPr>
                <w:rFonts w:ascii="仿宋_GB2312" w:hAnsi="仿宋_GB2312" w:eastAsia="仿宋_GB2312" w:cs="仿宋_GB2312"/>
              </w:rPr>
              <w:t xml:space="preserve"> 滨北三路 起点：现状高新大道 终点：现状乌龙江大道 道路长度：658米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182.0000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102</w:t>
            </w:r>
          </w:p>
        </w:tc>
        <w:tc>
          <w:tcPr>
            <w:tcW w:w="755" w:type="dxa"/>
          </w:tcPr>
          <w:p>
            <w:pPr>
              <w:pStyle w:val="6"/>
              <w:jc w:val="left"/>
            </w:pPr>
            <w:r>
              <w:rPr>
                <w:rFonts w:ascii="仿宋_GB2312" w:hAnsi="仿宋_GB2312" w:eastAsia="仿宋_GB2312" w:cs="仿宋_GB2312"/>
              </w:rPr>
              <w:t xml:space="preserve"> 学园支路 起点：学园一路：高新大道 终点：学园一路：乌龙江大道 道路长度：351.8米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126.0000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103</w:t>
            </w:r>
          </w:p>
        </w:tc>
        <w:tc>
          <w:tcPr>
            <w:tcW w:w="755" w:type="dxa"/>
          </w:tcPr>
          <w:p>
            <w:pPr>
              <w:pStyle w:val="6"/>
              <w:jc w:val="left"/>
            </w:pPr>
            <w:r>
              <w:rPr>
                <w:rFonts w:ascii="仿宋_GB2312" w:hAnsi="仿宋_GB2312" w:eastAsia="仿宋_GB2312" w:cs="仿宋_GB2312"/>
              </w:rPr>
              <w:t xml:space="preserve"> 学园支路 起点：学园一路：高新大道 终点：学园一路：乌龙江大道 道路长度：351.8米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81.0000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104</w:t>
            </w:r>
          </w:p>
        </w:tc>
        <w:tc>
          <w:tcPr>
            <w:tcW w:w="755" w:type="dxa"/>
          </w:tcPr>
          <w:p>
            <w:pPr>
              <w:pStyle w:val="6"/>
              <w:jc w:val="left"/>
            </w:pPr>
            <w:r>
              <w:rPr>
                <w:rFonts w:ascii="仿宋_GB2312" w:hAnsi="仿宋_GB2312" w:eastAsia="仿宋_GB2312" w:cs="仿宋_GB2312"/>
              </w:rPr>
              <w:t xml:space="preserve"> 学园支路 起点：竹榄路：高新大道 终点：竹榄路：乌龙江大道 道路长度：403.4米 行道树 绿化面积</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118.0000</w:t>
            </w:r>
          </w:p>
        </w:tc>
        <w:tc>
          <w:tcPr>
            <w:tcW w:w="755" w:type="dxa"/>
          </w:tcPr>
          <w:p>
            <w:pPr>
              <w:pStyle w:val="6"/>
              <w:jc w:val="left"/>
            </w:pPr>
            <w:r>
              <w:rPr>
                <w:rFonts w:ascii="仿宋_GB2312" w:hAnsi="仿宋_GB2312" w:eastAsia="仿宋_GB2312" w:cs="仿宋_GB2312"/>
              </w:rPr>
              <w:t xml:space="preserve"> 平方米</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105</w:t>
            </w:r>
          </w:p>
        </w:tc>
        <w:tc>
          <w:tcPr>
            <w:tcW w:w="755" w:type="dxa"/>
          </w:tcPr>
          <w:p>
            <w:pPr>
              <w:pStyle w:val="6"/>
              <w:jc w:val="left"/>
            </w:pPr>
            <w:r>
              <w:rPr>
                <w:rFonts w:ascii="仿宋_GB2312" w:hAnsi="仿宋_GB2312" w:eastAsia="仿宋_GB2312" w:cs="仿宋_GB2312"/>
              </w:rPr>
              <w:t xml:space="preserve"> 学园支路 起点：竹榄路：高新大道 终点：竹榄路：乌龙江大道 道路长度：403.4米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104.0000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106</w:t>
            </w:r>
          </w:p>
        </w:tc>
        <w:tc>
          <w:tcPr>
            <w:tcW w:w="755" w:type="dxa"/>
          </w:tcPr>
          <w:p>
            <w:pPr>
              <w:pStyle w:val="6"/>
              <w:jc w:val="left"/>
            </w:pPr>
            <w:r>
              <w:rPr>
                <w:rFonts w:ascii="仿宋_GB2312" w:hAnsi="仿宋_GB2312" w:eastAsia="仿宋_GB2312" w:cs="仿宋_GB2312"/>
              </w:rPr>
              <w:t xml:space="preserve"> 学园支路 起点：学园三路：接高新二路 终点：学园三路：接高岐支路 道路长度：537.58米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121.0000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pPr>
            <w:r>
              <w:rPr>
                <w:rFonts w:ascii="仿宋_GB2312" w:hAnsi="仿宋_GB2312" w:eastAsia="仿宋_GB2312" w:cs="仿宋_GB2312"/>
              </w:rPr>
              <w:t xml:space="preserve"> 107</w:t>
            </w:r>
          </w:p>
        </w:tc>
        <w:tc>
          <w:tcPr>
            <w:tcW w:w="755" w:type="dxa"/>
          </w:tcPr>
          <w:p>
            <w:pPr>
              <w:pStyle w:val="6"/>
              <w:jc w:val="left"/>
            </w:pPr>
            <w:r>
              <w:rPr>
                <w:rFonts w:ascii="仿宋_GB2312" w:hAnsi="仿宋_GB2312" w:eastAsia="仿宋_GB2312" w:cs="仿宋_GB2312"/>
              </w:rPr>
              <w:t xml:space="preserve"> 高新大道接线工程及高岐路接线工程 起点：接线一：相交于高新大道 终点：接线一：湖滨一路 道路长度：159米 起点：接线二：相交于高新大道 终点：接线二：高岐支路 道路长度：309米 起点：接线三：相交于高岐路 终点：接线三：马排路 道路长度：249.4米 行道树</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{供应商响应}</w:t>
            </w:r>
          </w:p>
        </w:tc>
        <w:tc>
          <w:tcPr>
            <w:tcW w:w="755" w:type="dxa"/>
          </w:tcPr>
          <w:p>
            <w:pPr>
              <w:pStyle w:val="6"/>
              <w:jc w:val="left"/>
            </w:pPr>
            <w:r>
              <w:rPr>
                <w:rFonts w:ascii="仿宋_GB2312" w:hAnsi="仿宋_GB2312" w:eastAsia="仿宋_GB2312" w:cs="仿宋_GB2312"/>
              </w:rPr>
              <w:t xml:space="preserve"> -</w:t>
            </w:r>
          </w:p>
        </w:tc>
        <w:tc>
          <w:tcPr>
            <w:tcW w:w="755" w:type="dxa"/>
          </w:tcPr>
          <w:p>
            <w:pPr>
              <w:pStyle w:val="6"/>
              <w:jc w:val="left"/>
            </w:pPr>
            <w:r>
              <w:rPr>
                <w:rFonts w:ascii="仿宋_GB2312" w:hAnsi="仿宋_GB2312" w:eastAsia="仿宋_GB2312" w:cs="仿宋_GB2312"/>
              </w:rPr>
              <w:t xml:space="preserve"> {=总价/数量}  元</w:t>
            </w:r>
          </w:p>
        </w:tc>
        <w:tc>
          <w:tcPr>
            <w:tcW w:w="755" w:type="dxa"/>
          </w:tcPr>
          <w:p>
            <w:pPr>
              <w:pStyle w:val="6"/>
              <w:jc w:val="left"/>
            </w:pPr>
            <w:r>
              <w:rPr>
                <w:rFonts w:ascii="仿宋_GB2312" w:hAnsi="仿宋_GB2312" w:eastAsia="仿宋_GB2312" w:cs="仿宋_GB2312"/>
              </w:rPr>
              <w:t xml:space="preserve"> 143.0000</w:t>
            </w:r>
          </w:p>
        </w:tc>
        <w:tc>
          <w:tcPr>
            <w:tcW w:w="755" w:type="dxa"/>
          </w:tcPr>
          <w:p>
            <w:pPr>
              <w:pStyle w:val="6"/>
              <w:jc w:val="left"/>
            </w:pPr>
            <w:r>
              <w:rPr>
                <w:rFonts w:ascii="仿宋_GB2312" w:hAnsi="仿宋_GB2312" w:eastAsia="仿宋_GB2312" w:cs="仿宋_GB2312"/>
              </w:rPr>
              <w:t xml:space="preserve"> 株</w:t>
            </w:r>
          </w:p>
        </w:tc>
        <w:tc>
          <w:tcPr>
            <w:tcW w:w="755" w:type="dxa"/>
          </w:tcPr>
          <w:p>
            <w:pPr>
              <w:pStyle w:val="6"/>
              <w:jc w:val="left"/>
            </w:pPr>
            <w:r>
              <w:rPr>
                <w:rFonts w:ascii="仿宋_GB2312" w:hAnsi="仿宋_GB2312" w:eastAsia="仿宋_GB2312" w:cs="仿宋_GB2312"/>
              </w:rPr>
              <w:t xml:space="preserve"> {供应商响应}  元</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三、招标文件规定的价格扣除证明材料（若有）</w:t>
      </w:r>
    </w:p>
    <w:p>
      <w:pPr>
        <w:pStyle w:val="6"/>
        <w:jc w:val="center"/>
        <w:outlineLvl w:val="3"/>
      </w:pPr>
      <w:r>
        <w:rPr>
          <w:rFonts w:ascii="仿宋_GB2312" w:hAnsi="仿宋_GB2312" w:eastAsia="仿宋_GB2312" w:cs="仿宋_GB2312"/>
          <w:b/>
          <w:sz w:val="24"/>
        </w:rPr>
        <w:t>三-1优先类节能产品、环境标志产品价格扣除证明材料（若有）</w:t>
      </w:r>
    </w:p>
    <w:p>
      <w:pPr>
        <w:pStyle w:val="6"/>
        <w:jc w:val="center"/>
        <w:outlineLvl w:val="3"/>
      </w:pPr>
      <w:r>
        <w:rPr>
          <w:rFonts w:ascii="仿宋_GB2312" w:hAnsi="仿宋_GB2312" w:eastAsia="仿宋_GB2312" w:cs="仿宋_GB2312"/>
          <w:b/>
          <w:sz w:val="24"/>
        </w:rPr>
        <w:t>三-1-①优先类节能产品、环境标志产品统计表（价格扣除适用，若有）</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6"/>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产品名称</w:t>
            </w:r>
          </w:p>
        </w:tc>
        <w:tc>
          <w:tcPr>
            <w:tcW w:w="1187" w:type="dxa"/>
          </w:tcPr>
          <w:p>
            <w:pPr>
              <w:pStyle w:val="6"/>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pPr>
              <w:pStyle w:val="6"/>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6"/>
              <w:jc w:val="left"/>
            </w:pPr>
            <w:r>
              <w:rPr>
                <w:rFonts w:ascii="仿宋_GB2312" w:hAnsi="仿宋_GB2312" w:eastAsia="仿宋_GB2312" w:cs="仿宋_GB2312"/>
              </w:rPr>
              <w:t>…</w:t>
            </w:r>
          </w:p>
          <w:p>
            <w:pPr>
              <w:pStyle w:val="6"/>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备注</w:t>
            </w:r>
          </w:p>
        </w:tc>
        <w:tc>
          <w:tcPr>
            <w:tcW w:w="3561" w:type="dxa"/>
            <w:gridSpan w:val="3"/>
          </w:tcPr>
          <w:p>
            <w:pPr>
              <w:pStyle w:val="6"/>
              <w:jc w:val="left"/>
            </w:pPr>
          </w:p>
        </w:tc>
      </w:tr>
    </w:tbl>
    <w:p>
      <w:pPr>
        <w:pStyle w:val="6"/>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6"/>
        <w:ind w:firstLine="480"/>
        <w:jc w:val="left"/>
      </w:pPr>
      <w:r>
        <w:rPr>
          <w:rFonts w:ascii="仿宋_GB2312" w:hAnsi="仿宋_GB2312" w:eastAsia="仿宋_GB2312" w:cs="仿宋_GB2312"/>
        </w:rPr>
        <w:t>3、具体统计、计算：</w:t>
      </w:r>
    </w:p>
    <w:p>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6"/>
        <w:ind w:firstLine="480"/>
        <w:jc w:val="left"/>
      </w:pPr>
      <w:r>
        <w:rPr>
          <w:rFonts w:ascii="仿宋_GB2312" w:hAnsi="仿宋_GB2312" w:eastAsia="仿宋_GB2312" w:cs="仿宋_GB2312"/>
        </w:rPr>
        <w:t>3.2计算结果若除不尽，可四舍五入保留到小数点后两位。</w:t>
      </w:r>
    </w:p>
    <w:p>
      <w:pPr>
        <w:pStyle w:val="6"/>
        <w:ind w:firstLine="480"/>
        <w:jc w:val="left"/>
      </w:pPr>
      <w:r>
        <w:rPr>
          <w:rFonts w:ascii="仿宋_GB2312" w:hAnsi="仿宋_GB2312" w:eastAsia="仿宋_GB2312" w:cs="仿宋_GB2312"/>
        </w:rPr>
        <w:t>3.3投标人(供应商)按照采购文件要求认真统计、计算。</w:t>
      </w:r>
    </w:p>
    <w:p>
      <w:pPr>
        <w:pStyle w:val="6"/>
        <w:ind w:firstLine="480"/>
        <w:jc w:val="left"/>
      </w:pPr>
      <w:r>
        <w:rPr>
          <w:rFonts w:ascii="仿宋_GB2312" w:hAnsi="仿宋_GB2312" w:eastAsia="仿宋_GB2312" w:cs="仿宋_GB2312"/>
        </w:rPr>
        <w:t>3.4若无节能、环境标志产品，不填写本表。</w:t>
      </w:r>
    </w:p>
    <w:p>
      <w:pPr>
        <w:pStyle w:val="6"/>
        <w:ind w:firstLine="480"/>
        <w:jc w:val="left"/>
      </w:pPr>
      <w:r>
        <w:rPr>
          <w:rFonts w:ascii="仿宋_GB2312" w:hAnsi="仿宋_GB2312" w:eastAsia="仿宋_GB2312" w:cs="仿宋_GB2312"/>
        </w:rPr>
        <w:t>3.5强制类节能产品不享受价格扣除。</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三-1-②优先类节能产品、环境标志产品证明材料（价格扣除适用，若有）</w:t>
      </w:r>
    </w:p>
    <w:p>
      <w:pPr>
        <w:pStyle w:val="6"/>
        <w:jc w:val="center"/>
        <w:outlineLvl w:val="3"/>
      </w:pPr>
      <w:r>
        <w:rPr>
          <w:rFonts w:ascii="仿宋_GB2312" w:hAnsi="仿宋_GB2312" w:eastAsia="仿宋_GB2312" w:cs="仿宋_GB2312"/>
          <w:b/>
          <w:sz w:val="24"/>
        </w:rPr>
        <w:t>三-2小型、微型企业产品等价格扣除证明材料（若有）</w:t>
      </w:r>
    </w:p>
    <w:p>
      <w:pPr>
        <w:pStyle w:val="6"/>
        <w:jc w:val="center"/>
        <w:outlineLvl w:val="3"/>
      </w:pPr>
      <w:r>
        <w:rPr>
          <w:rFonts w:ascii="仿宋_GB2312" w:hAnsi="仿宋_GB2312" w:eastAsia="仿宋_GB2312" w:cs="仿宋_GB2312"/>
          <w:b/>
          <w:sz w:val="24"/>
        </w:rPr>
        <w:t>三-2-①中小企业声明函（价格扣除适用，若有）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三-2-②小型、微型企业等证明材料（价格扣除适用，若有）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残疾人福利性单位声明函（价格扣除适用，若有）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三-3招标文件规定的其他价格扣除证明材料（若有）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封面格式(技术商务部分)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（技术商务部分）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一、标的说明一览表</w:t>
      </w:r>
    </w:p>
    <w:p>
      <w:pPr>
        <w:pStyle w:val="6"/>
        <w:ind w:firstLine="480"/>
        <w:jc w:val="left"/>
      </w:pPr>
      <w:r>
        <w:rPr>
          <w:rFonts w:ascii="仿宋_GB2312" w:hAnsi="仿宋_GB2312" w:eastAsia="仿宋_GB2312" w:cs="仿宋_GB2312"/>
        </w:rPr>
        <w:t>二、技术和服务要求响应表</w:t>
      </w:r>
    </w:p>
    <w:p>
      <w:pPr>
        <w:pStyle w:val="6"/>
        <w:ind w:firstLine="480"/>
        <w:jc w:val="left"/>
      </w:pPr>
      <w:r>
        <w:rPr>
          <w:rFonts w:ascii="仿宋_GB2312" w:hAnsi="仿宋_GB2312" w:eastAsia="仿宋_GB2312" w:cs="仿宋_GB2312"/>
        </w:rPr>
        <w:t>三、商务条件响应表</w:t>
      </w:r>
    </w:p>
    <w:p>
      <w:pPr>
        <w:pStyle w:val="6"/>
        <w:ind w:firstLine="480"/>
        <w:jc w:val="left"/>
      </w:pPr>
      <w:r>
        <w:rPr>
          <w:rFonts w:ascii="仿宋_GB2312" w:hAnsi="仿宋_GB2312" w:eastAsia="仿宋_GB2312" w:cs="仿宋_GB2312"/>
        </w:rPr>
        <w:t>四、投标人提交的其他资料（若有）</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一、标的说明一览表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投标标的</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规格</w:t>
            </w:r>
          </w:p>
        </w:tc>
        <w:tc>
          <w:tcPr>
            <w:tcW w:w="1187" w:type="dxa"/>
          </w:tcPr>
          <w:p>
            <w:pPr>
              <w:pStyle w:val="6"/>
              <w:jc w:val="left"/>
            </w:pPr>
            <w:r>
              <w:rPr>
                <w:rFonts w:ascii="仿宋_GB2312" w:hAnsi="仿宋_GB2312" w:eastAsia="仿宋_GB2312" w:cs="仿宋_GB2312"/>
              </w:rPr>
              <w:t>来源地</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tc>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二、技术和服务要求响应表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技术和服务要求</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三、商务条件响应表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商务条件</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1.1“商务条件”项下填写的内容应与招标文件第五章“商务条件”的内容保持一致。</w:t>
      </w:r>
    </w:p>
    <w:p>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四、投标人提交的其他资料（若有）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6"/>
        <w:rPr>
          <w:rFonts w:hint="eastAsia"/>
          <w:lang w:val="en-US" w:eastAsia="zh-Han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6269123A"/>
    <w:rsid w:val="6B16419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2173</Words>
  <Characters>2454</Characters>
  <Lines>0</Lines>
  <Paragraphs>0</Paragraphs>
  <TotalTime>1</TotalTime>
  <ScaleCrop>false</ScaleCrop>
  <LinksUpToDate>false</LinksUpToDate>
  <CharactersWithSpaces>2494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2026-06-09T07:37:24Z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1DF11BE3B0614F7593793AC4C15C213C_12</vt:lpwstr>
  </property>
  <property fmtid="{D5CDD505-2E9C-101B-9397-08002B2CF9AE}" pid="4" name="KSOTemplateDocerSaveRecord">
    <vt:lpwstr>eyJoZGlkIjoiNDMwOGE5Y2I0OGU4ZGYyZmI5ODFjOGFiYTNjZDc3NjAiLCJ1c2VySWQiOiI1MDk5ODQyOTAifQ==</vt:lpwstr>
  </property>
</Properties>
</file>