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1D0AD">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县人大常委会机关</w:t>
      </w:r>
    </w:p>
    <w:p w14:paraId="3059D729">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关于巡察整改</w:t>
      </w:r>
      <w:r>
        <w:rPr>
          <w:rFonts w:hint="eastAsia" w:ascii="方正小标宋简体" w:hAnsi="方正小标宋简体" w:eastAsia="方正小标宋简体" w:cs="方正小标宋简体"/>
          <w:sz w:val="44"/>
          <w:szCs w:val="44"/>
          <w:lang w:eastAsia="zh-CN"/>
        </w:rPr>
        <w:t>进展</w:t>
      </w:r>
      <w:r>
        <w:rPr>
          <w:rFonts w:hint="eastAsia" w:ascii="方正小标宋简体" w:hAnsi="方正小标宋简体" w:eastAsia="方正小标宋简体" w:cs="方正小标宋简体"/>
          <w:sz w:val="44"/>
          <w:szCs w:val="44"/>
        </w:rPr>
        <w:t>情况的通报</w:t>
      </w:r>
    </w:p>
    <w:p w14:paraId="2E7ECB71">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宋体" w:hAnsi="宋体" w:cs="Times New Roman"/>
          <w:sz w:val="40"/>
          <w:szCs w:val="40"/>
        </w:rPr>
      </w:pPr>
    </w:p>
    <w:p w14:paraId="39CBC7C0">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根据县委巡察工作统一部署，县委巡察二组于2025年7月29日至8月27日对县人大常委会机关开展巡察，并于2026年2月5日反馈了巡察意见。按照党务公开原则和巡察工作有关要求，现将巡察整改情况予以公布。</w:t>
      </w:r>
    </w:p>
    <w:p w14:paraId="52EB59A3">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xml:space="preserve"> 一、提高政治站位，压紧压实巡察整改政治责任</w:t>
      </w:r>
    </w:p>
    <w:p w14:paraId="55694591">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县人大常委会机关把巡察整改作为重大政治任务，坚持高位推动、周密部署、闭环落实，全力推动整改工作扎实有序、见底见效。</w:t>
      </w:r>
      <w:r>
        <w:rPr>
          <w:rFonts w:hint="eastAsia" w:ascii="仿宋_GB2312" w:eastAsia="仿宋_GB2312" w:cs="宋体"/>
          <w:b/>
          <w:bCs/>
          <w:sz w:val="32"/>
          <w:szCs w:val="32"/>
        </w:rPr>
        <w:t>一是迅速动员部署，凝聚整改合力。</w:t>
      </w:r>
      <w:r>
        <w:rPr>
          <w:rFonts w:hint="eastAsia" w:ascii="仿宋_GB2312" w:eastAsia="仿宋_GB2312" w:cs="宋体"/>
          <w:sz w:val="32"/>
          <w:szCs w:val="32"/>
        </w:rPr>
        <w:t>巡察意见反馈后，常委会党组第一时间召开专题会议，传达学习反馈意见，深刻剖析问题根源，研究部署整改工作。</w:t>
      </w:r>
      <w:r>
        <w:rPr>
          <w:rFonts w:hint="eastAsia" w:ascii="仿宋_GB2312" w:eastAsia="仿宋_GB2312" w:cs="宋体"/>
          <w:sz w:val="32"/>
          <w:szCs w:val="32"/>
          <w:lang w:val="en-US" w:eastAsia="zh-CN"/>
        </w:rPr>
        <w:t>2026年</w:t>
      </w:r>
      <w:r>
        <w:rPr>
          <w:rFonts w:hint="eastAsia" w:ascii="仿宋_GB2312" w:eastAsia="仿宋_GB2312" w:cs="宋体"/>
          <w:sz w:val="32"/>
          <w:szCs w:val="32"/>
        </w:rPr>
        <w:t>2月12日，召开县人大常委会机关巡察整改动员部署会，通报问题清单、明确整改要求，引导全体干部职工提高政治站位、强化责任担当，以最坚决的态度、最务实的作风抓好整改工作。</w:t>
      </w:r>
      <w:r>
        <w:rPr>
          <w:rFonts w:hint="eastAsia" w:ascii="仿宋_GB2312" w:eastAsia="仿宋_GB2312" w:cs="宋体"/>
          <w:b/>
          <w:bCs/>
          <w:sz w:val="32"/>
          <w:szCs w:val="32"/>
        </w:rPr>
        <w:t>二是健全组织机构，压实整改责任。</w:t>
      </w:r>
      <w:r>
        <w:rPr>
          <w:rFonts w:hint="eastAsia" w:ascii="仿宋_GB2312" w:eastAsia="仿宋_GB2312" w:cs="宋体"/>
          <w:sz w:val="32"/>
          <w:szCs w:val="32"/>
        </w:rPr>
        <w:t>成立由常委会党组成员、副主任叶常青任组长，相关负责同志任副组长，各有关专委、工委（局）主要负责同志为成员的巡察整改工作领导小组，全面统筹整改工作。领导小组下设办公室，负责日常联络、任务分解、进度跟踪、材料汇总和督促检查。</w:t>
      </w:r>
      <w:r>
        <w:rPr>
          <w:rFonts w:hint="eastAsia" w:ascii="仿宋_GB2312" w:eastAsia="仿宋_GB2312" w:cs="宋体"/>
          <w:b/>
          <w:bCs/>
          <w:sz w:val="32"/>
          <w:szCs w:val="32"/>
        </w:rPr>
        <w:t>三是细化整改方案，明确任务路径。</w:t>
      </w:r>
      <w:r>
        <w:rPr>
          <w:rFonts w:hint="eastAsia" w:ascii="仿宋_GB2312" w:eastAsia="仿宋_GB2312" w:cs="宋体"/>
          <w:sz w:val="32"/>
          <w:szCs w:val="32"/>
        </w:rPr>
        <w:t>对照反馈3个方面10个具体问题，制定印发《关于落实县委巡察二组巡察县人大常委会机关反馈意见的整改方案》，将整改任务细化分解为具体整改措施，逐项明确责任领导、责任部门、整改时限和目标要求，建立问题、任务、责任“三张清单”，实行台账式管理、项目化推进、销号式落实。</w:t>
      </w:r>
      <w:r>
        <w:rPr>
          <w:rFonts w:hint="eastAsia" w:ascii="仿宋_GB2312" w:eastAsia="仿宋_GB2312" w:cs="宋体"/>
          <w:b/>
          <w:bCs/>
          <w:sz w:val="32"/>
          <w:szCs w:val="32"/>
        </w:rPr>
        <w:t>四是强化督导问效，确保整改落地。</w:t>
      </w:r>
      <w:r>
        <w:rPr>
          <w:rFonts w:hint="eastAsia" w:ascii="仿宋_GB2312" w:eastAsia="仿宋_GB2312" w:cs="宋体"/>
          <w:sz w:val="32"/>
          <w:szCs w:val="32"/>
        </w:rPr>
        <w:t xml:space="preserve">定期研判整改进展，协调解决堵点难点问题。主动接受派驻纪检监察组全程监督，坚持开门整改，及时通报整改进展，自觉接受党员干部和群众监督，切实做到整改不到位不销号、问题不解决不松手、成效不明显不收兵，确保巡察整改各项任务不折不扣落实到位。目前集中整改阶段任务已全面完成。 </w:t>
      </w:r>
    </w:p>
    <w:p w14:paraId="22079D64">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黑体" w:hAnsi="黑体" w:eastAsia="黑体" w:cs="黑体"/>
          <w:sz w:val="32"/>
          <w:szCs w:val="32"/>
        </w:rPr>
        <w:t>二、巡察反馈问题的整改情况</w:t>
      </w:r>
    </w:p>
    <w:p w14:paraId="66F0D5A1">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（一）贯彻落实党的路线方针政策和党中央决策部署及省、市、县委工作要求方面</w:t>
      </w:r>
    </w:p>
    <w:p w14:paraId="47A24763">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1.针对深学细悟笃行习近平新时代中国特色社会主义思想和党的二十大精神不够到位问题（理论学习不够深入、学用结合不够紧密）。一是强化理论武装制度化。严格执行“第一议题”制度，完善党组理论学习中心组和机关党支部学习计划，坚持每月至少组织1次机关集体学习或专题辅导，每季度至少开展1次专题研讨。围绕学习贯彻习近平法治思想、习近平总书记关于坚持和完善人民代表大会制度的思想、习近平总书记关于树立和践行正确政绩观的重要论述等主题开展集体学习6次、专题研讨1次，参学率100%，推动理论学习入脑入心、走深走实。二是推动学用结合实效化。坚持用党的创新理论统领和指导履职全过程，把学习成果转化为监督工作思路、重点调研方向、建议督办的落实举措。紧扣县委决策部署科学制定年度监督计划，围绕中心工作与民生关切确定民生实事人大代表票决、非遗文化传承与发展等11项重点调研课题；对专项工作报告的审议意见和县十九届人大五次会议的226件代表建议实行清单化管理、闭环式督办，切实把学习成效转化为依法履职、服务大局的整改成果与实践成效。</w:t>
      </w:r>
    </w:p>
    <w:p w14:paraId="71E8F1FD">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2.针对人大监督问效机制需要进一步完善问题（服务常委会履职质效有待提升、监督刚性还不够强、代表建议办理实效有待提升）。一是提升监督议题精准度。通过发函、调研、座谈等方式，广泛征求“一府一委两院”、人大代表及部分群众的年度监督议题建议，最终确定的监督议题，涉及教育、医疗、养老、环境、社会治理等民生领域，占比超40%，监督靶向更加精准。将“优化支持生育政策”“医保基金管理”“老年人权益保障”等社会高度关注的问题纳入年度监督重点。二是强化审议意见闭环管理。健全“审议意见清单+跟踪督办+效果评估”机制，梳理汇总常委会会议专项工作报告的审议意见，形成具体清单，明确承办单位、办理时限和反馈要求。有关专委、工委（局）启动跟踪督办程序，通过听取汇报、实地检查等方式，推动审议意见落地见效。三是压实代表建议办理责任。县十九届人大五次会议的226件代表建议已全部交办，并梳理确定10件重点督办建议，由常委会领导牵头督办。</w:t>
      </w:r>
      <w:r>
        <w:rPr>
          <w:rFonts w:hint="eastAsia" w:ascii="仿宋_GB2312" w:eastAsia="仿宋_GB2312" w:cs="宋体"/>
          <w:sz w:val="32"/>
          <w:szCs w:val="32"/>
          <w:lang w:eastAsia="zh-CN"/>
        </w:rPr>
        <w:t>已于</w:t>
      </w:r>
      <w:r>
        <w:rPr>
          <w:rFonts w:hint="eastAsia" w:ascii="仿宋_GB2312" w:eastAsia="仿宋_GB2312" w:cs="宋体"/>
          <w:sz w:val="32"/>
          <w:szCs w:val="32"/>
          <w:lang w:val="en-US" w:eastAsia="zh-CN"/>
        </w:rPr>
        <w:t>5</w:t>
      </w:r>
      <w:r>
        <w:rPr>
          <w:rFonts w:hint="eastAsia" w:ascii="仿宋_GB2312" w:eastAsia="仿宋_GB2312" w:cs="宋体"/>
          <w:sz w:val="32"/>
          <w:szCs w:val="32"/>
        </w:rPr>
        <w:t>月听取县政府关于县十九届人大五次会议代表建议（意见）办理情况报告，适时召开专项领域局长与代表“面对面”的代表建议督办交流会以及代表建议“不满意件”督办会，切实推动代表建议办理从“答复满意”向“结果满意”提升。</w:t>
      </w:r>
    </w:p>
    <w:p w14:paraId="37A3B959">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3.针对履职基础保障存在薄弱环节问题（调查研究广度不足、调研成果转化率不高、台账管理不够规范）。一是改进调研方式。对照年度调研视察工作安排，科学统筹调研时间、路线与频次，明确要求视察调研要尽量覆盖山区及半山区乡镇、基层一线点位，适当延长在基层的停留时间，确保有充足时间与基层干部、群众面对面交流。今年以来，围绕乡村振兴、业委会规范化管理工作等监督议题共开展调研视察活动10次，覆盖小箬、鸿尾、竹岐、白沙等山区以及半山区乡镇调研点位4个，蹲点调研时间均不少于半天，推动调研重心下移、力量下沉。二是促进成果转化。围绕基层治理难题、民生痛点、产业堵点等民生关切，优化2026年调研议题设置，重点向业委会规范化管理、台胞台企创业就业要素保障、茉莉花茶产业发展等实操性议题倾斜。由常委会领导牵头，对监督议题实行清单化管理，调研中同步跟踪进展、研判对策，后续形成报告并通过审议意见、专题报告等形式，推动成果转化为具体政策举措，破解调研与履职“两张皮”问题。三是规范台账管理。建立台账定期更新和长效管理机制，全面梳理完善代表履职档案、代表建议办理台账以及群众来信来访登记处理台账，严格落实“一人一档”“一事一账”管理要求。动态更新294名县人大代表个人信息，依托代表履职平台补充完善2025年以来履职活动登记，累计登记市代表履职活动179场次、县代表履职活动187场次。同步优化信访登记表单，参照市人大分类标准将信访事项划分为人大工作、政府工作等7大类，精简冗余栏目、统一登记口径，逐项补齐信访人基本信息、具体诉求、办理要求等关键要素，实现登记规范、要素齐全、全程可溯。</w:t>
      </w:r>
    </w:p>
    <w:p w14:paraId="17AB0EBB">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4.针对风险防范意识有待增强问题（意识形态工作抓得不牢、保密工作责任制落实不到位）。一是抓实意识形态工作整改。坚持立行立改，修订并印发《闽侯县人民代表大会常务委员会新闻发布工作制度》，进一步规范发布流程、压实管理责任。严格执行信息发布“三审三校”制度，严把微信公众号等宣传阵地政治关、内容关。着力丰富宣传供给、优化内容策划，选定《关于打造“侯官文化＋生态”沉浸式体验带的优化建议》《关于推进“一院一品”基层特色医疗专科建设的建议》等10件重点督办建议，加大代表意见建议办理进展与成效的信息发布。二是从严落实保密工作整改。时刻紧绷保密之弦，强化组织领导，及时调整更新机关保密工作领导小组人员名单，同步完善保密硬件设施与设备配置。狠抓规范管理，明确专职保密员负责涉密文件统一管理，全部存入专用保密柜，实行收发、传阅、存档、销毁全流程闭环管理；3月5日</w:t>
      </w:r>
      <w:r>
        <w:rPr>
          <w:rFonts w:hint="eastAsia" w:ascii="仿宋_GB2312" w:eastAsia="仿宋_GB2312" w:cs="宋体"/>
          <w:sz w:val="32"/>
          <w:szCs w:val="32"/>
          <w:lang w:eastAsia="zh-CN"/>
        </w:rPr>
        <w:t>已</w:t>
      </w:r>
      <w:r>
        <w:rPr>
          <w:rFonts w:hint="eastAsia" w:ascii="仿宋_GB2312" w:eastAsia="仿宋_GB2312" w:cs="宋体"/>
          <w:sz w:val="32"/>
          <w:szCs w:val="32"/>
        </w:rPr>
        <w:t>完成计算机台账更新，精准核定非涉密计算机43台、涉密计算机1台，做到底数清、管理严。常态化开展保密警示教育，学习上级文件精神，通报涉密文件管理典型案例，集中观看保密公益宣传片《方寸之间》，坚决筑牢保密安全屏障。</w:t>
      </w:r>
    </w:p>
    <w:p w14:paraId="3B20A71F">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（二）群众身边不正之风和腐败问题方面</w:t>
      </w:r>
    </w:p>
    <w:p w14:paraId="284A1A4B">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1.针对落实党风廉政建设责任不够有力问题（廉政风险点排查工作认识不足、队伍教育监督存在短板、派驻纪检监察组履行监督责任不够到位）。一是全面推进廉政风险排查防控。迅速对照问题整改，对机关各委办（局）、各岗位重点工作环节开展拉网式廉政风险排查，通过深入查摆权力运行、内部管理等方面的薄弱环节和风险隐患，梳理形成廉政风险识别及防控清单。年初结合上级工作要求，对重要岗位干部开展专项廉政风险排查，逐项细化防控举措、压实岗位责任，推动风险防控常态化、精准化。二是从严抓实干部队伍教育监督管理。将廉政教育纳入机关干部、人大代表教育培训必修内容，结合2025年度民主生活会、组织生活会开展全覆盖谈心谈话，做实党员干部日常监督提醒。4月10日组织机关全体党员干部参观“致敬英雄——纪念吴石烈士专题书画展”，深化廉洁从政教育。常态化开展基层一线人大代表联系提醒，坚持对苗头性、倾向性问题抓早抓小、防微杜渐，持续筑牢拒腐防变思想防线。三是主动接受派驻纪检监察组监督。定期会商党风廉政建设工作、通报重要情况，配合派驻纪检监察组开展警示教育，组织全体干部职工观看警示教育片《破窗》，用身边案例教育身边人，切实提升警示教育针对性、实效性。</w:t>
      </w:r>
    </w:p>
    <w:p w14:paraId="4933C323">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2.针对工作主动性、创新性有待进一步提升问题（“双联系”不够密切，乡镇（街道）代表活动室功能发挥不足）。一是持续深化“双联系”工作。健全完善代表联系工作机制，制定年度代表工作计划，将常委会组成人员联系人大代表、人大代表联系人民群众工作纳入年度重点任务，逐项明确活动形式、工作标准和责任要求。坚持常态化深入基层一线，通过实地走访、调研座谈、电话沟通等方式密切联系代表群众，邀请代表列席常委会会议、参与调研视察等活动，广泛听取意见建议。二是激活基层代表活动室履职效能。以每月12日代表主题活动日为载体，指导各乡镇（街道）人大代表联络站（活动室）制定并上报全年主题活动计划，将联系群众、征集民意、政策宣讲、学习交流、视察调研、述职评议等内容纳入月度活动安排，实现“每月有主题、次次有内容、活动有记录”，有效破解活动形式单一、阵地作用弱化的问题。三是拓展全过程人民民主实践平台。依托福州市全过程人民民主实践中心，由常委会各工委（局）联合各乡镇（街道）人大，统筹开展年度主题履职活动，推动基层联络站的日常活动与中心专题活动有机结合，进一步丰富代表履职场景，拓宽联系群众渠道，建强代表联系群众主阵地。</w:t>
      </w:r>
    </w:p>
    <w:p w14:paraId="52439A0D">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eastAsia="仿宋_GB2312" w:cs="宋体"/>
          <w:sz w:val="32"/>
          <w:szCs w:val="32"/>
        </w:rPr>
      </w:pPr>
      <w:r>
        <w:rPr>
          <w:rFonts w:hint="eastAsia" w:ascii="仿宋_GB2312" w:eastAsia="仿宋_GB2312" w:cs="宋体"/>
          <w:sz w:val="32"/>
          <w:szCs w:val="32"/>
        </w:rPr>
        <w:t>3.针对财经制度执行不到位问题（报销审核把关不严、工会账户管理不规范、会计科目登记错误）。一是规范经费报销审核工作。对照财务报销有关规定，全面梳理餐费、职工住院慰问、老干部慰问金等报销额度标准，组织财务人员开展专题学习并在日常报销中严格执行。对历史报销凭证进行全面核查，职工生病、生育慰问等事项的报销均已补齐佐证材料，发票明细与活动方案不符的事项也已完成核对整改。优化税费缴纳流程，明确专人负责个税计算、申报与核验，每笔费用发放前完成个税核查，确保税费处理合规。坚持常态化开展财务报销审核自查自纠，持续强化制度执行，坚决杜绝同类问题再次发生。二是规范工会经费账户管理。严格执行工会经费管理相关规定，清晰界定行政经费与工会经费支出边界，实行分账核算、独立管理，明确工会会员慰问、福利保障等支出全部纳入工会账户核算，杜绝经费混户列支、违规使用问题。规范工会库存现金管理，明确现金保管、缴存时限及管理要求，严防现金违规滞留。三是完成会计账务调整规范。针对会计科目登记错误问题，已按会计制度规定完成账务调整，通过往来科目规范核算相关支出。组织财务人员加强财会专业知识学习与继续教育，明确会计科目使用规范，提升账务处理精准度，从源头防范科目登记错误问题。</w:t>
      </w:r>
    </w:p>
    <w:p w14:paraId="61AE75BE">
      <w:pPr>
        <w:pStyle w:val="4"/>
        <w:keepNext w:val="0"/>
        <w:keepLines w:val="0"/>
        <w:pageBreakBefore w:val="0"/>
        <w:widowControl/>
        <w:kinsoku/>
        <w:wordWrap/>
        <w:overflowPunct/>
        <w:topLinePunct w:val="0"/>
        <w:autoSpaceDE/>
        <w:autoSpaceDN/>
        <w:bidi w:val="0"/>
        <w:adjustRightInd/>
        <w:snapToGrid/>
        <w:spacing w:beforeAutospacing="0" w:afterAutospacing="0"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针对固定资产管理不规范问题。一是完成资产全面清查与台账整改。严格按照县财政局固定资产清查工作要求，委托第三方机构开展全面清查摸排，已于2025年8月下旬完成了全部资产清查任务，同时对未及时登记入账的资产完成补登入账，并对已移交县机关事务管理中心的资产完成核减处理。二是细化资产流动动态管理。对办公桌、办公椅等资产逐一登记使用部门、使用人、使用时间及存放位置信息，完善固定资产盘点台账，实现资产流动的动态管控。三是落实资产常态化管控举措。规范资产信息录入，确保资产名称、取得日期、规格型号、存放地点等信息准确完整；健全固定资产盘点台账，定期开展资产盘点，及时更新资产变更调度信息，明晰各部门资产管理职责权限，做到资产账、实物账、使用台账账账相符、账实一致。</w:t>
      </w:r>
    </w:p>
    <w:p w14:paraId="56D8EE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rPr>
        <w:t xml:space="preserve">（三）党组织和党员队伍建设情况方面 </w:t>
      </w:r>
    </w:p>
    <w:p w14:paraId="3D9BFB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针对党建与业务融合深度不足问题。一是强化理论引领，在支委会及支部专题学习会上学习党章及《中国共产党党和国家机关基层组织工作条例》等党内法规及习近平总书记关于全过程人民民主的重要论述。二是把推动党建与业务深度融合列入机关党建工作计划，明确党建与业务融合的具体举措，组织党员代表积极参加视察调研、执法检查、建议督办等工作。3月4日结合乡村振兴专题询问会前调研同步开展助力乡村振兴志愿服务，以实地走访、政策宣讲等方式，精准对接民生实事、产业发展等重点工作，夯实乡村发展基础。三是结合首邑人大“542136”工作法打造特色品牌，聚焦代表建议办理、民生实事监督等人大重点工作，以品牌引领提升党建与业务融合质效。</w:t>
      </w:r>
    </w:p>
    <w:p w14:paraId="4A4033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针对党建工作规范性不够问题（“三会一课”制度落实不严格、组织生活质量有待提升、党费未足额核定缴交）。一是强化制度学习与记录规范。组织党务干部认真学习《中国共产党支部工作条例（试行）》、习近平总书记关于党的建设的重要思想及“三会一课”、组织生活会等党内法规，确保熟练掌握党建工作规范。严格执行“三会一课”、机关党总支会议等制度，指定专人负责会议记录，明确议题、参会人员花名册、会议内容、决议事项等标准，杜绝要素缺失。同步开展记录自查、立行立改，补全2024年11—12月党员大会议题、2020—2025年参会人员花名册。二是提升组织生活质量与闭环管理。规范谈心谈话、民主生活会、组织生活会、民主评议等流程，强化批评与自我批评，统一印制谈心谈话表格并督促记录，规范材料收集归档。补全2021、2024年缺失的登记表、测评表，补签2020—2021年党支部书记签字并补盖评定等次印章。健全整改闭环，2025年度组织生活会后要求党员制定个人整改清单、专人跟踪督办，同时补全2024年部分党员缺失的问题整改清单。三是规范党费核定与长效管理。以党章及党费收缴管理规定为依据，组织专人全面核查2019年度党费核定及缴交情况，明确未足额金额并督促相关党员补缴到位共计81.1元，已报县直机关党工委备案。建立长效机制，明确专人负责党费核定、收缴、登记、公开，每年根据工资变动及时调整缴纳标准，全程公开接受党员监督。</w:t>
      </w:r>
    </w:p>
    <w:p w14:paraId="065DCC6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三、巡察反馈问题线索的处理情况</w:t>
      </w:r>
    </w:p>
    <w:p w14:paraId="2F69B9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县委巡察二组反馈的问题线索，已按有关规定依规依纪处置到位。 </w:t>
      </w:r>
    </w:p>
    <w:p w14:paraId="2764C7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sz w:val="32"/>
          <w:szCs w:val="32"/>
        </w:rPr>
      </w:pPr>
      <w:r>
        <w:rPr>
          <w:rFonts w:hint="eastAsia" w:ascii="黑体" w:hAnsi="黑体" w:eastAsia="黑体" w:cs="黑体"/>
          <w:color w:val="000000"/>
          <w:sz w:val="32"/>
          <w:szCs w:val="32"/>
        </w:rPr>
        <w:t>四、需要进一步整改的事项及措施</w:t>
      </w:r>
    </w:p>
    <w:p w14:paraId="5E3F540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过集中整改，县人大常委会机关巡察反馈问题整改取得阶段性成效，但部分工作还需要持续推进、长期坚持。下一步，我们将持续巩固拓展巡察整改成果，坚持标本兼治、长效常治，以整改实效推动人大工作高质量发展。一是持续强化政治引领，筑牢思想根基。始终把政治建设摆在首位，持续深学笃行习近平新时代中国特色社会主义思想，严格执行“第一议题”制度，不断提高政治判断力、政治领悟力、政治执行力，确保人大工作始终沿着正确政治方向前进。二是持续狠抓整改巩固，防止问题反弹。坚持标准不降、力度不减，对已完成整改任务开展“回头看”，逐项核查巩固成效；对长期坚持任务紧盯不放、持续推进，健全常态化整改机制，确保问题不反弹、不回潮。三是持续健全制度体系，强化制度执行。坚持当下改与长久立相结合，梳理完善各项制度机制，强化制度刚性执行，形成靠制度管人、按规矩办事、依程序履职的长效机制。四是持续深化成果转化，服务发展大局。把巡察整改与依法履职、践行全过程人民民主、加强“四个机关”建设紧密结合，聚焦县委中心工作，精准行使监督权、决定权、任免权，密切联系群众，积极担当作为，不断提升人大工作规范化、制度化水平，为加快打造闽都智造引擎和现代化滨江活力新城，努力在中国式现代化闽侯实践中贡献人大力量。</w:t>
      </w:r>
    </w:p>
    <w:p w14:paraId="63CA92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p>
    <w:p w14:paraId="6CA88880">
      <w:pPr>
        <w:keepNext w:val="0"/>
        <w:keepLines w:val="0"/>
        <w:pageBreakBefore w:val="0"/>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闽侯县人大常委会</w:t>
      </w:r>
      <w:r>
        <w:rPr>
          <w:rFonts w:hint="eastAsia" w:ascii="仿宋_GB2312" w:hAnsi="仿宋_GB2312" w:eastAsia="仿宋_GB2312" w:cs="仿宋_GB2312"/>
          <w:color w:val="000000"/>
          <w:sz w:val="32"/>
          <w:szCs w:val="32"/>
          <w:lang w:eastAsia="zh-CN"/>
        </w:rPr>
        <w:t>办公室</w:t>
      </w:r>
    </w:p>
    <w:p w14:paraId="58B8B719">
      <w:pPr>
        <w:keepNext w:val="0"/>
        <w:keepLines w:val="0"/>
        <w:pageBreakBefore w:val="0"/>
        <w:kinsoku/>
        <w:wordWrap/>
        <w:overflowPunct/>
        <w:topLinePunct w:val="0"/>
        <w:autoSpaceDE/>
        <w:autoSpaceDN/>
        <w:bidi w:val="0"/>
        <w:adjustRightInd/>
        <w:snapToGrid/>
        <w:spacing w:line="600" w:lineRule="exact"/>
        <w:jc w:val="center"/>
        <w:textAlignment w:val="auto"/>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2026年10月</w:t>
      </w: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日</w:t>
      </w:r>
    </w:p>
    <w:sectPr>
      <w:footerReference r:id="rId3" w:type="default"/>
      <w:pgSz w:w="11906" w:h="16838"/>
      <w:pgMar w:top="1587" w:right="1587" w:bottom="158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E315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706AE7">
                          <w:pPr>
                            <w:pStyle w:val="2"/>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REUCndAQAAvgMAAA4AAAAAAAAA&#10;AQAgAAAAHgEAAGRycy9lMm9Eb2MueG1sUEsFBgAAAAAGAAYAWQEAAG0FAAAAAA==&#10;">
              <v:fill on="f" focussize="0,0"/>
              <v:stroke on="f"/>
              <v:imagedata o:title=""/>
              <o:lock v:ext="edit" aspectratio="f"/>
              <v:textbox inset="0mm,0mm,0mm,0mm" style="mso-fit-shape-to-text:t;">
                <w:txbxContent>
                  <w:p w14:paraId="1A706AE7">
                    <w:pPr>
                      <w:pStyle w:val="2"/>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B73E508"/>
    <w:rsid w:val="24262553"/>
    <w:rsid w:val="4FFE5788"/>
    <w:rsid w:val="5A7E4398"/>
    <w:rsid w:val="753B9911"/>
    <w:rsid w:val="7FFFE751"/>
    <w:rsid w:val="AB73E508"/>
    <w:rsid w:val="BFFD1580"/>
    <w:rsid w:val="FDF722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rFonts w:cs="Times New Roman"/>
      <w:kern w:val="0"/>
      <w:sz w:val="24"/>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19</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2026-10-16T10:20:00Z</dcterms:created>
  <dc:creator>unis</dc:creator>
  <cp:lastModifiedBy>WPS</cp:lastModifiedBy>
  <cp:lastPrinted>2026-10-16T07:30:43Z</cp:lastPrinted>
  <dcterms:modified xsi:type="dcterms:W3CDTF">2026-10-27T08:14:29Z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520BB48A612641ECA70FFE6F93E5E5E5_13</vt:lpwstr>
  </property>
</Properties>
</file>