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780"/>
        </w:tabs>
        <w:rPr>
          <w:rFonts w:hint="eastAsia" w:ascii="仿宋_GB2312" w:hAnsi="仿宋_GB2312" w:eastAsia="仿宋_GB2312" w:cs="仿宋_GB2312"/>
          <w:color w:val="auto"/>
          <w:sz w:val="36"/>
          <w:szCs w:val="36"/>
          <w:highlight w:val="none"/>
          <w:lang w:eastAsia="zh-CN"/>
        </w:rPr>
      </w:pPr>
      <w:r>
        <w:rPr>
          <w:rFonts w:hint="eastAsia" w:ascii="仿宋_GB2312" w:hAnsi="仿宋_GB2312" w:eastAsia="仿宋_GB2312" w:cs="仿宋_GB2312"/>
          <w:color w:val="auto"/>
          <w:sz w:val="36"/>
          <w:szCs w:val="36"/>
          <w:highlight w:val="none"/>
          <w:lang w:eastAsia="zh-CN"/>
        </w:rPr>
        <w:tab/>
      </w:r>
    </w:p>
    <w:p>
      <w:pPr>
        <w:rPr>
          <w:rFonts w:ascii="仿宋_GB2312" w:hAnsi="仿宋_GB2312" w:eastAsia="仿宋_GB2312" w:cs="仿宋_GB2312"/>
          <w:color w:val="auto"/>
          <w:sz w:val="36"/>
          <w:szCs w:val="36"/>
          <w:highlight w:val="none"/>
        </w:rPr>
      </w:pPr>
    </w:p>
    <w:p>
      <w:pPr>
        <w:adjustRightInd w:val="0"/>
        <w:snapToGrid w:val="0"/>
        <w:jc w:val="center"/>
        <w:outlineLvl w:val="0"/>
        <w:rPr>
          <w:rFonts w:ascii="方正小标宋_GBK" w:eastAsia="方正小标宋_GBK"/>
          <w:bCs/>
          <w:color w:val="auto"/>
          <w:sz w:val="72"/>
          <w:szCs w:val="72"/>
          <w:highlight w:val="none"/>
        </w:rPr>
      </w:pPr>
      <w:bookmarkStart w:id="0" w:name="_Toc289"/>
      <w:r>
        <w:rPr>
          <w:rFonts w:hint="eastAsia" w:ascii="方正小标宋_GBK" w:eastAsia="方正小标宋_GBK"/>
          <w:bCs/>
          <w:color w:val="auto"/>
          <w:sz w:val="72"/>
          <w:szCs w:val="72"/>
          <w:highlight w:val="none"/>
        </w:rPr>
        <w:t>建设项目环境影响报告表</w:t>
      </w:r>
      <w:bookmarkEnd w:id="0"/>
    </w:p>
    <w:p>
      <w:pPr>
        <w:adjustRightInd w:val="0"/>
        <w:snapToGrid w:val="0"/>
        <w:spacing w:before="192" w:beforeLines="80"/>
        <w:jc w:val="center"/>
        <w:rPr>
          <w:rFonts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pPr>
        <w:adjustRightInd w:val="0"/>
        <w:snapToGrid w:val="0"/>
        <w:spacing w:line="288" w:lineRule="auto"/>
        <w:jc w:val="center"/>
        <w:rPr>
          <w:rFonts w:ascii="华文仿宋" w:hAnsi="华文仿宋" w:eastAsia="华文仿宋" w:cs="华文仿宋"/>
          <w:color w:val="auto"/>
          <w:kern w:val="44"/>
          <w:sz w:val="44"/>
          <w:szCs w:val="44"/>
          <w:highlight w:val="none"/>
        </w:rPr>
      </w:pPr>
    </w:p>
    <w:p>
      <w:pPr>
        <w:jc w:val="center"/>
        <w:rPr>
          <w:rFonts w:eastAsia="仿宋"/>
          <w:color w:val="auto"/>
          <w:sz w:val="52"/>
          <w:szCs w:val="52"/>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adjustRightInd w:val="0"/>
        <w:snapToGrid w:val="0"/>
        <w:spacing w:line="288" w:lineRule="auto"/>
        <w:ind w:left="2877" w:leftChars="513" w:hanging="1800" w:hangingChars="500"/>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 xml:space="preserve">项目名称： </w:t>
      </w:r>
      <w:r>
        <w:rPr>
          <w:rFonts w:hint="eastAsia" w:ascii="仿宋_GB2312" w:eastAsia="仿宋_GB2312"/>
          <w:color w:val="auto"/>
          <w:sz w:val="36"/>
          <w:szCs w:val="36"/>
          <w:highlight w:val="none"/>
          <w:u w:val="single"/>
        </w:rPr>
        <w:t>福建师范大学旗山校区海峡柔性电子（未来科技）学院综合楼</w:t>
      </w:r>
      <w:r>
        <w:rPr>
          <w:rFonts w:hint="eastAsia" w:ascii="仿宋_GB2312" w:eastAsia="仿宋_GB2312"/>
          <w:color w:val="auto"/>
          <w:sz w:val="36"/>
          <w:szCs w:val="36"/>
          <w:highlight w:val="none"/>
          <w:u w:val="single"/>
          <w:lang w:eastAsia="zh-CN"/>
        </w:rPr>
        <w:t>、球差电镜实验室</w:t>
      </w:r>
      <w:r>
        <w:rPr>
          <w:rFonts w:hint="eastAsia" w:ascii="仿宋_GB2312" w:eastAsia="仿宋_GB2312"/>
          <w:color w:val="auto"/>
          <w:sz w:val="36"/>
          <w:szCs w:val="36"/>
          <w:highlight w:val="none"/>
          <w:u w:val="single"/>
        </w:rPr>
        <w:t xml:space="preserve">项目                         </w:t>
      </w:r>
    </w:p>
    <w:p>
      <w:pPr>
        <w:adjustRightInd w:val="0"/>
        <w:snapToGrid w:val="0"/>
        <w:spacing w:line="288" w:lineRule="auto"/>
        <w:ind w:firstLine="1040"/>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建设单位（盖章）：</w:t>
      </w:r>
      <w:r>
        <w:rPr>
          <w:rFonts w:hint="eastAsia" w:ascii="仿宋_GB2312" w:eastAsia="仿宋_GB2312"/>
          <w:color w:val="auto"/>
          <w:sz w:val="36"/>
          <w:szCs w:val="36"/>
          <w:highlight w:val="none"/>
          <w:u w:val="single"/>
        </w:rPr>
        <w:t xml:space="preserve">福建师范大学                   </w:t>
      </w:r>
    </w:p>
    <w:p>
      <w:pPr>
        <w:adjustRightInd w:val="0"/>
        <w:snapToGrid w:val="0"/>
        <w:spacing w:line="288" w:lineRule="auto"/>
        <w:ind w:firstLine="1040"/>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编制日期：</w:t>
      </w:r>
      <w:r>
        <w:rPr>
          <w:rFonts w:hint="eastAsia" w:ascii="仿宋_GB2312" w:eastAsia="仿宋_GB2312"/>
          <w:color w:val="auto"/>
          <w:sz w:val="36"/>
          <w:szCs w:val="36"/>
          <w:highlight w:val="none"/>
          <w:u w:val="single"/>
        </w:rPr>
        <w:t xml:space="preserve"> 二〇二</w:t>
      </w:r>
      <w:r>
        <w:rPr>
          <w:rFonts w:hint="eastAsia" w:ascii="仿宋_GB2312" w:eastAsia="仿宋_GB2312"/>
          <w:color w:val="auto"/>
          <w:sz w:val="36"/>
          <w:szCs w:val="36"/>
          <w:highlight w:val="none"/>
          <w:u w:val="single"/>
          <w:lang w:val="en-US" w:eastAsia="zh-CN"/>
        </w:rPr>
        <w:t>四</w:t>
      </w:r>
      <w:r>
        <w:rPr>
          <w:rFonts w:hint="eastAsia" w:ascii="仿宋_GB2312" w:eastAsia="仿宋_GB2312"/>
          <w:color w:val="auto"/>
          <w:sz w:val="36"/>
          <w:szCs w:val="36"/>
          <w:highlight w:val="none"/>
          <w:u w:val="single"/>
        </w:rPr>
        <w:t>年</w:t>
      </w:r>
      <w:r>
        <w:rPr>
          <w:rFonts w:hint="eastAsia" w:ascii="仿宋_GB2312" w:eastAsia="仿宋_GB2312"/>
          <w:color w:val="auto"/>
          <w:sz w:val="36"/>
          <w:szCs w:val="36"/>
          <w:highlight w:val="none"/>
          <w:u w:val="single"/>
          <w:lang w:val="en-US" w:eastAsia="zh-CN"/>
        </w:rPr>
        <w:t>二</w:t>
      </w:r>
      <w:r>
        <w:rPr>
          <w:rFonts w:hint="eastAsia" w:ascii="仿宋_GB2312" w:eastAsia="仿宋_GB2312"/>
          <w:color w:val="auto"/>
          <w:sz w:val="36"/>
          <w:szCs w:val="36"/>
          <w:highlight w:val="none"/>
          <w:u w:val="single"/>
        </w:rPr>
        <w:t>月</w:t>
      </w:r>
      <w:r>
        <w:rPr>
          <w:rFonts w:ascii="仿宋_GB2312" w:eastAsia="仿宋_GB2312"/>
          <w:color w:val="auto"/>
          <w:sz w:val="36"/>
          <w:szCs w:val="36"/>
          <w:highlight w:val="none"/>
          <w:u w:val="single"/>
        </w:rPr>
        <w:t xml:space="preserve">                         </w:t>
      </w:r>
      <w:r>
        <w:rPr>
          <w:rFonts w:hint="eastAsia" w:ascii="仿宋_GB2312" w:eastAsia="仿宋_GB2312"/>
          <w:color w:val="auto"/>
          <w:sz w:val="36"/>
          <w:szCs w:val="36"/>
          <w:highlight w:val="none"/>
          <w:u w:val="single"/>
        </w:rPr>
        <w:t xml:space="preserve"> </w:t>
      </w:r>
    </w:p>
    <w:p>
      <w:pPr>
        <w:adjustRightInd w:val="0"/>
        <w:snapToGrid w:val="0"/>
        <w:spacing w:line="288" w:lineRule="auto"/>
        <w:ind w:firstLine="1040"/>
        <w:rPr>
          <w:rFonts w:ascii="仿宋_GB2312" w:eastAsia="仿宋_GB2312"/>
          <w:color w:val="auto"/>
          <w:sz w:val="36"/>
          <w:szCs w:val="36"/>
          <w:highlight w:val="none"/>
          <w:u w:val="single"/>
        </w:rPr>
      </w:pPr>
      <w:bookmarkStart w:id="1" w:name="_Hlk57884087"/>
    </w:p>
    <w:p>
      <w:pPr>
        <w:adjustRightInd w:val="0"/>
        <w:snapToGrid w:val="0"/>
        <w:spacing w:line="288" w:lineRule="auto"/>
        <w:ind w:firstLine="1040"/>
        <w:rPr>
          <w:rFonts w:ascii="仿宋_GB2312" w:eastAsia="仿宋_GB2312"/>
          <w:color w:val="auto"/>
          <w:sz w:val="36"/>
          <w:szCs w:val="36"/>
          <w:highlight w:val="none"/>
        </w:rPr>
      </w:pPr>
    </w:p>
    <w:p>
      <w:pPr>
        <w:adjustRightInd w:val="0"/>
        <w:snapToGrid w:val="0"/>
        <w:spacing w:line="288" w:lineRule="auto"/>
        <w:ind w:firstLine="1040"/>
        <w:rPr>
          <w:rFonts w:ascii="仿宋_GB2312" w:eastAsia="仿宋_GB2312"/>
          <w:color w:val="auto"/>
          <w:sz w:val="36"/>
          <w:szCs w:val="36"/>
          <w:highlight w:val="none"/>
        </w:rPr>
      </w:pPr>
    </w:p>
    <w:p>
      <w:pPr>
        <w:adjustRightInd w:val="0"/>
        <w:snapToGrid w:val="0"/>
        <w:spacing w:line="288" w:lineRule="auto"/>
        <w:ind w:firstLine="1040"/>
        <w:rPr>
          <w:rFonts w:ascii="仿宋_GB2312" w:eastAsia="仿宋_GB2312"/>
          <w:color w:val="auto"/>
          <w:sz w:val="36"/>
          <w:szCs w:val="36"/>
          <w:highlight w:val="none"/>
        </w:rPr>
      </w:pPr>
    </w:p>
    <w:bookmarkEnd w:id="1"/>
    <w:p>
      <w:pPr>
        <w:adjustRightInd w:val="0"/>
        <w:snapToGrid w:val="0"/>
        <w:spacing w:line="288" w:lineRule="auto"/>
        <w:jc w:val="center"/>
        <w:rPr>
          <w:rFonts w:ascii="楷体_GB2312" w:eastAsia="楷体_GB2312"/>
          <w:color w:val="auto"/>
          <w:sz w:val="36"/>
          <w:szCs w:val="36"/>
          <w:highlight w:val="none"/>
        </w:rPr>
      </w:pPr>
    </w:p>
    <w:p>
      <w:pPr>
        <w:adjustRightInd w:val="0"/>
        <w:snapToGrid w:val="0"/>
        <w:spacing w:line="288" w:lineRule="auto"/>
        <w:jc w:val="center"/>
        <w:rPr>
          <w:rFonts w:ascii="楷体_GB2312" w:eastAsia="楷体_GB2312"/>
          <w:color w:val="auto"/>
          <w:sz w:val="36"/>
          <w:szCs w:val="36"/>
          <w:highlight w:val="none"/>
        </w:rPr>
      </w:pPr>
    </w:p>
    <w:p>
      <w:pPr>
        <w:adjustRightInd w:val="0"/>
        <w:snapToGrid w:val="0"/>
        <w:spacing w:line="288" w:lineRule="auto"/>
        <w:jc w:val="center"/>
        <w:rPr>
          <w:rFonts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pPr>
        <w:adjustRightInd w:val="0"/>
        <w:snapToGrid w:val="0"/>
        <w:spacing w:line="288" w:lineRule="auto"/>
        <w:ind w:firstLine="1040"/>
        <w:rPr>
          <w:rFonts w:ascii="仿宋_GB2312" w:eastAsia="仿宋_GB2312"/>
          <w:color w:val="auto"/>
          <w:sz w:val="36"/>
          <w:szCs w:val="36"/>
          <w:highlight w:val="none"/>
        </w:rPr>
        <w:sectPr>
          <w:headerReference r:id="rId3" w:type="default"/>
          <w:footerReference r:id="rId4" w:type="default"/>
          <w:footerReference r:id="rId5" w:type="even"/>
          <w:pgSz w:w="11906" w:h="16838"/>
          <w:pgMar w:top="1701" w:right="1531" w:bottom="1701" w:left="1531" w:header="851" w:footer="1077" w:gutter="0"/>
          <w:pgNumType w:start="3"/>
          <w:cols w:space="720" w:num="1"/>
          <w:docGrid w:linePitch="312" w:charSpace="0"/>
        </w:sectPr>
      </w:pPr>
    </w:p>
    <w:p>
      <w:pPr>
        <w:rPr>
          <w:rFonts w:hint="eastAsia" w:ascii="仿宋" w:hAnsi="仿宋" w:eastAsia="仿宋" w:cs="仿宋"/>
          <w:b/>
          <w:bCs/>
          <w:color w:val="auto"/>
          <w:sz w:val="40"/>
          <w:szCs w:val="40"/>
          <w:highlight w:val="none"/>
        </w:rPr>
      </w:pPr>
      <w:r>
        <w:rPr>
          <w:rFonts w:hint="eastAsia" w:ascii="仿宋" w:hAnsi="仿宋" w:eastAsia="仿宋" w:cs="仿宋"/>
          <w:b/>
          <w:bCs/>
          <w:color w:val="auto"/>
          <w:sz w:val="40"/>
          <w:szCs w:val="40"/>
          <w:highlight w:val="none"/>
        </w:rPr>
        <w:drawing>
          <wp:inline distT="0" distB="0" distL="114300" distR="114300">
            <wp:extent cx="5610225" cy="7924165"/>
            <wp:effectExtent l="0" t="0" r="9525" b="635"/>
            <wp:docPr id="13" name="图片 13" descr="承诺书扫描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承诺书扫描件_00"/>
                    <pic:cNvPicPr>
                      <a:picLocks noChangeAspect="1"/>
                    </pic:cNvPicPr>
                  </pic:nvPicPr>
                  <pic:blipFill>
                    <a:blip r:embed="rId11"/>
                    <a:stretch>
                      <a:fillRect/>
                    </a:stretch>
                  </pic:blipFill>
                  <pic:spPr>
                    <a:xfrm>
                      <a:off x="0" y="0"/>
                      <a:ext cx="5610225" cy="7924165"/>
                    </a:xfrm>
                    <a:prstGeom prst="rect">
                      <a:avLst/>
                    </a:prstGeom>
                  </pic:spPr>
                </pic:pic>
              </a:graphicData>
            </a:graphic>
          </wp:inline>
        </w:drawing>
      </w:r>
    </w:p>
    <w:p>
      <w:pPr>
        <w:rPr>
          <w:rFonts w:hint="eastAsia" w:ascii="仿宋" w:hAnsi="仿宋" w:eastAsia="仿宋" w:cs="仿宋"/>
          <w:b/>
          <w:bCs/>
          <w:color w:val="auto"/>
          <w:sz w:val="40"/>
          <w:szCs w:val="40"/>
          <w:highlight w:val="none"/>
        </w:rPr>
      </w:pPr>
      <w:r>
        <w:rPr>
          <w:rFonts w:hint="eastAsia" w:ascii="仿宋" w:hAnsi="仿宋" w:eastAsia="仿宋" w:cs="仿宋"/>
          <w:b/>
          <w:bCs/>
          <w:color w:val="auto"/>
          <w:sz w:val="40"/>
          <w:szCs w:val="40"/>
          <w:highlight w:val="none"/>
        </w:rPr>
        <w:br w:type="page"/>
      </w:r>
    </w:p>
    <w:p>
      <w:pPr>
        <w:rPr>
          <w:rFonts w:hint="eastAsia" w:ascii="仿宋" w:hAnsi="仿宋" w:eastAsia="仿宋" w:cs="仿宋"/>
          <w:b/>
          <w:bCs/>
          <w:color w:val="auto"/>
          <w:sz w:val="40"/>
          <w:szCs w:val="40"/>
          <w:highlight w:val="none"/>
        </w:rPr>
      </w:pPr>
      <w:r>
        <w:rPr>
          <w:color w:val="auto"/>
        </w:rPr>
        <w:drawing>
          <wp:inline distT="0" distB="0" distL="114300" distR="114300">
            <wp:extent cx="7326630" cy="5205730"/>
            <wp:effectExtent l="0" t="0" r="13970" b="762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2"/>
                    <a:stretch>
                      <a:fillRect/>
                    </a:stretch>
                  </pic:blipFill>
                  <pic:spPr>
                    <a:xfrm rot="-5400000">
                      <a:off x="0" y="0"/>
                      <a:ext cx="7326630" cy="5205730"/>
                    </a:xfrm>
                    <a:prstGeom prst="rect">
                      <a:avLst/>
                    </a:prstGeom>
                    <a:noFill/>
                    <a:ln>
                      <a:noFill/>
                    </a:ln>
                  </pic:spPr>
                </pic:pic>
              </a:graphicData>
            </a:graphic>
          </wp:inline>
        </w:drawing>
      </w:r>
    </w:p>
    <w:p>
      <w:pPr>
        <w:rPr>
          <w:rFonts w:hint="eastAsia" w:ascii="仿宋" w:hAnsi="仿宋" w:eastAsia="仿宋" w:cs="仿宋"/>
          <w:b/>
          <w:bCs/>
          <w:color w:val="auto"/>
          <w:sz w:val="40"/>
          <w:szCs w:val="40"/>
          <w:highlight w:val="none"/>
        </w:rPr>
      </w:pPr>
      <w:r>
        <w:rPr>
          <w:rFonts w:hint="eastAsia" w:ascii="仿宋" w:hAnsi="仿宋" w:eastAsia="仿宋" w:cs="仿宋"/>
          <w:b/>
          <w:bCs/>
          <w:color w:val="auto"/>
          <w:sz w:val="40"/>
          <w:szCs w:val="40"/>
          <w:highlight w:val="none"/>
        </w:rPr>
        <w:br w:type="page"/>
      </w:r>
    </w:p>
    <w:p>
      <w:pPr>
        <w:rPr>
          <w:rFonts w:hint="eastAsia" w:eastAsia="宋体"/>
          <w:color w:val="auto"/>
          <w:lang w:eastAsia="zh-CN"/>
        </w:rPr>
      </w:pPr>
      <w:r>
        <w:rPr>
          <w:rFonts w:hint="eastAsia" w:eastAsia="宋体"/>
          <w:color w:val="auto"/>
          <w:lang w:eastAsia="zh-CN"/>
        </w:rPr>
        <w:drawing>
          <wp:inline distT="0" distB="0" distL="114300" distR="114300">
            <wp:extent cx="5609590" cy="3989705"/>
            <wp:effectExtent l="0" t="0" r="10160" b="10795"/>
            <wp:docPr id="71" name="图片 71" descr="899699851d20a90a326af5e68e83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899699851d20a90a326af5e68e83d91"/>
                    <pic:cNvPicPr>
                      <a:picLocks noChangeAspect="1"/>
                    </pic:cNvPicPr>
                  </pic:nvPicPr>
                  <pic:blipFill>
                    <a:blip r:embed="rId13"/>
                    <a:stretch>
                      <a:fillRect/>
                    </a:stretch>
                  </pic:blipFill>
                  <pic:spPr>
                    <a:xfrm>
                      <a:off x="0" y="0"/>
                      <a:ext cx="5609590" cy="3989705"/>
                    </a:xfrm>
                    <a:prstGeom prst="rect">
                      <a:avLst/>
                    </a:prstGeom>
                  </pic:spPr>
                </pic:pic>
              </a:graphicData>
            </a:graphic>
          </wp:inline>
        </w:drawing>
      </w:r>
      <w:r>
        <w:rPr>
          <w:rFonts w:hint="eastAsia" w:eastAsia="宋体"/>
          <w:color w:val="auto"/>
          <w:lang w:eastAsia="zh-CN"/>
        </w:rPr>
        <w:br w:type="page"/>
      </w:r>
    </w:p>
    <w:p>
      <w:pPr>
        <w:rPr>
          <w:rFonts w:hint="eastAsia" w:ascii="仿宋" w:hAnsi="仿宋" w:eastAsia="仿宋" w:cs="仿宋"/>
          <w:b/>
          <w:bCs/>
          <w:color w:val="auto"/>
          <w:sz w:val="40"/>
          <w:szCs w:val="40"/>
          <w:highlight w:val="none"/>
        </w:rPr>
      </w:pP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527685</wp:posOffset>
                </wp:positionH>
                <wp:positionV relativeFrom="paragraph">
                  <wp:posOffset>3738880</wp:posOffset>
                </wp:positionV>
                <wp:extent cx="4276725" cy="371475"/>
                <wp:effectExtent l="13970" t="13970" r="14605" b="14605"/>
                <wp:wrapNone/>
                <wp:docPr id="70" name="矩形 70"/>
                <wp:cNvGraphicFramePr/>
                <a:graphic xmlns:a="http://schemas.openxmlformats.org/drawingml/2006/main">
                  <a:graphicData uri="http://schemas.microsoft.com/office/word/2010/wordprocessingShape">
                    <wps:wsp>
                      <wps:cNvSpPr/>
                      <wps:spPr>
                        <a:xfrm>
                          <a:off x="0" y="0"/>
                          <a:ext cx="4276725" cy="371475"/>
                        </a:xfrm>
                        <a:prstGeom prst="rect">
                          <a:avLst/>
                        </a:prstGeom>
                        <a:noFill/>
                        <a:ln w="285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1.55pt;margin-top:294.4pt;height:29.25pt;width:336.75pt;z-index:251667456;mso-width-relative:page;mso-height-relative:page;" filled="f" stroked="t" coordsize="21600,21600" o:gfxdata="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oSYydgAAAAKAQAADwAAAAAAAAABACAAAAAiAAAAZHJzL2Rvd25yZXYu&#10;eG1sUEsBAhQAFAAAAAgAh07iQDF9/tf7AQAA+AMAAA4AAAAAAAAAAQAgAAAAJwEAAGRycy9lMm9E&#10;b2MueG1sUEsFBgAAAAAGAAYAWQEAAJQFAAAAAA==&#10;">
                <v:fill on="f" focussize="0,0"/>
                <v:stroke weight="2.25pt" color="#FF0000" joinstyle="miter"/>
                <v:imagedata o:title=""/>
                <o:lock v:ext="edit" aspectratio="f"/>
              </v:rect>
            </w:pict>
          </mc:Fallback>
        </mc:AlternateContent>
      </w:r>
      <w:r>
        <w:rPr>
          <w:rFonts w:hint="eastAsia" w:eastAsia="宋体"/>
          <w:color w:val="auto"/>
          <w:lang w:eastAsia="zh-CN"/>
        </w:rPr>
        <w:drawing>
          <wp:inline distT="0" distB="0" distL="114300" distR="114300">
            <wp:extent cx="5615305" cy="7945755"/>
            <wp:effectExtent l="0" t="0" r="4445" b="17145"/>
            <wp:docPr id="69" name="图片 8" descr="2020年8月21日备案的环评文件编制技术单位_ 环评管理_ 福建省生态环境厅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descr="2020年8月21日备案的环评文件编制技术单位_ 环评管理_ 福建省生态环境厅_00"/>
                    <pic:cNvPicPr>
                      <a:picLocks noChangeAspect="1"/>
                    </pic:cNvPicPr>
                  </pic:nvPicPr>
                  <pic:blipFill>
                    <a:blip r:embed="rId14"/>
                    <a:stretch>
                      <a:fillRect/>
                    </a:stretch>
                  </pic:blipFill>
                  <pic:spPr>
                    <a:xfrm>
                      <a:off x="0" y="0"/>
                      <a:ext cx="5615305" cy="7945755"/>
                    </a:xfrm>
                    <a:prstGeom prst="rect">
                      <a:avLst/>
                    </a:prstGeom>
                    <a:noFill/>
                    <a:ln>
                      <a:noFill/>
                    </a:ln>
                  </pic:spPr>
                </pic:pic>
              </a:graphicData>
            </a:graphic>
          </wp:inline>
        </w:drawing>
      </w:r>
      <w:r>
        <w:rPr>
          <w:rFonts w:hint="eastAsia" w:ascii="仿宋" w:hAnsi="仿宋" w:eastAsia="仿宋" w:cs="仿宋"/>
          <w:b/>
          <w:bCs/>
          <w:color w:val="auto"/>
          <w:sz w:val="40"/>
          <w:szCs w:val="40"/>
          <w:highlight w:val="none"/>
        </w:rPr>
        <w:br w:type="page"/>
      </w:r>
    </w:p>
    <w:p>
      <w:pPr>
        <w:jc w:val="center"/>
        <w:rPr>
          <w:b/>
          <w:bCs/>
          <w:color w:val="auto"/>
          <w:sz w:val="40"/>
          <w:szCs w:val="40"/>
          <w:highlight w:val="none"/>
        </w:rPr>
      </w:pPr>
      <w:r>
        <w:rPr>
          <w:rFonts w:hint="eastAsia" w:ascii="仿宋" w:hAnsi="仿宋" w:eastAsia="仿宋" w:cs="仿宋"/>
          <w:b/>
          <w:bCs/>
          <w:color w:val="auto"/>
          <w:sz w:val="40"/>
          <w:szCs w:val="40"/>
          <w:highlight w:val="none"/>
        </w:rPr>
        <w:t>目录</w:t>
      </w:r>
    </w:p>
    <w:p>
      <w:pPr>
        <w:pStyle w:val="26"/>
        <w:tabs>
          <w:tab w:val="right" w:leader="dot" w:pos="8844"/>
        </w:tabs>
        <w:spacing w:line="360" w:lineRule="auto"/>
        <w:rPr>
          <w:rFonts w:ascii="仿宋" w:hAnsi="仿宋" w:eastAsia="仿宋" w:cs="仿宋"/>
          <w:b/>
          <w:bCs/>
          <w:color w:val="auto"/>
          <w:sz w:val="32"/>
          <w:szCs w:val="32"/>
          <w:highlight w:val="none"/>
        </w:rPr>
      </w:pPr>
      <w:r>
        <w:rPr>
          <w:b/>
          <w:bCs/>
          <w:color w:val="auto"/>
          <w:highlight w:val="none"/>
        </w:rPr>
        <w:fldChar w:fldCharType="begin"/>
      </w:r>
      <w:r>
        <w:rPr>
          <w:b/>
          <w:bCs/>
          <w:color w:val="auto"/>
          <w:highlight w:val="none"/>
        </w:rPr>
        <w:instrText xml:space="preserve">TOC \o "1-1" \h \u </w:instrText>
      </w:r>
      <w:r>
        <w:rPr>
          <w:b/>
          <w:bCs/>
          <w:color w:val="auto"/>
          <w:highlight w:val="none"/>
        </w:rPr>
        <w:fldChar w:fldCharType="separate"/>
      </w:r>
      <w:r>
        <w:rPr>
          <w:color w:val="auto"/>
          <w:highlight w:val="none"/>
        </w:rPr>
        <w:fldChar w:fldCharType="begin"/>
      </w:r>
      <w:r>
        <w:rPr>
          <w:color w:val="auto"/>
          <w:highlight w:val="none"/>
        </w:rPr>
        <w:instrText xml:space="preserve"> HYPERLINK \l "_Toc18772" </w:instrText>
      </w:r>
      <w:r>
        <w:rPr>
          <w:color w:val="auto"/>
          <w:highlight w:val="none"/>
        </w:rPr>
        <w:fldChar w:fldCharType="separate"/>
      </w:r>
      <w:r>
        <w:rPr>
          <w:rFonts w:hint="eastAsia" w:ascii="仿宋" w:hAnsi="仿宋" w:eastAsia="仿宋" w:cs="仿宋"/>
          <w:b/>
          <w:bCs/>
          <w:snapToGrid w:val="0"/>
          <w:color w:val="auto"/>
          <w:sz w:val="32"/>
          <w:szCs w:val="32"/>
          <w:highlight w:val="none"/>
        </w:rPr>
        <w:t>一、建设项目基本情况</w:t>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lang w:val="en-US" w:eastAsia="zh-CN"/>
        </w:rPr>
        <w:t>1</w:t>
      </w:r>
      <w:r>
        <w:rPr>
          <w:rFonts w:hint="eastAsia" w:ascii="仿宋" w:hAnsi="仿宋" w:eastAsia="仿宋" w:cs="仿宋"/>
          <w:b/>
          <w:bCs/>
          <w:color w:val="auto"/>
          <w:sz w:val="32"/>
          <w:szCs w:val="32"/>
          <w:highlight w:val="none"/>
        </w:rPr>
        <w:fldChar w:fldCharType="end"/>
      </w:r>
    </w:p>
    <w:p>
      <w:pPr>
        <w:pStyle w:val="26"/>
        <w:tabs>
          <w:tab w:val="right" w:leader="dot" w:pos="8844"/>
        </w:tabs>
        <w:spacing w:line="360" w:lineRule="auto"/>
        <w:rPr>
          <w:rFonts w:ascii="仿宋" w:hAnsi="仿宋" w:eastAsia="仿宋" w:cs="仿宋"/>
          <w:b/>
          <w:bCs/>
          <w:color w:val="auto"/>
          <w:sz w:val="32"/>
          <w:szCs w:val="32"/>
          <w:highlight w:val="none"/>
        </w:rPr>
      </w:pPr>
      <w:r>
        <w:rPr>
          <w:color w:val="auto"/>
          <w:highlight w:val="none"/>
        </w:rPr>
        <w:fldChar w:fldCharType="begin"/>
      </w:r>
      <w:r>
        <w:rPr>
          <w:color w:val="auto"/>
          <w:highlight w:val="none"/>
        </w:rPr>
        <w:instrText xml:space="preserve"> HYPERLINK \l "_Toc3444" </w:instrText>
      </w:r>
      <w:r>
        <w:rPr>
          <w:color w:val="auto"/>
          <w:highlight w:val="none"/>
        </w:rPr>
        <w:fldChar w:fldCharType="separate"/>
      </w:r>
      <w:r>
        <w:rPr>
          <w:rFonts w:hint="eastAsia" w:ascii="仿宋" w:hAnsi="仿宋" w:eastAsia="仿宋" w:cs="仿宋"/>
          <w:b/>
          <w:bCs/>
          <w:snapToGrid w:val="0"/>
          <w:color w:val="auto"/>
          <w:sz w:val="32"/>
          <w:szCs w:val="32"/>
          <w:highlight w:val="none"/>
        </w:rPr>
        <w:t>二、建设项目工程分析</w:t>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fldChar w:fldCharType="begin"/>
      </w:r>
      <w:r>
        <w:rPr>
          <w:rFonts w:hint="eastAsia" w:ascii="仿宋" w:hAnsi="仿宋" w:eastAsia="仿宋" w:cs="仿宋"/>
          <w:b/>
          <w:bCs/>
          <w:color w:val="auto"/>
          <w:sz w:val="32"/>
          <w:szCs w:val="32"/>
          <w:highlight w:val="none"/>
        </w:rPr>
        <w:instrText xml:space="preserve"> PAGEREF _Toc3444 \h </w:instrText>
      </w:r>
      <w:r>
        <w:rPr>
          <w:rFonts w:hint="eastAsia" w:ascii="仿宋" w:hAnsi="仿宋" w:eastAsia="仿宋" w:cs="仿宋"/>
          <w:b/>
          <w:bCs/>
          <w:color w:val="auto"/>
          <w:sz w:val="32"/>
          <w:szCs w:val="32"/>
          <w:highlight w:val="none"/>
        </w:rPr>
        <w:fldChar w:fldCharType="separate"/>
      </w:r>
      <w:r>
        <w:rPr>
          <w:rFonts w:hint="eastAsia" w:ascii="仿宋" w:hAnsi="仿宋" w:eastAsia="仿宋" w:cs="仿宋"/>
          <w:b/>
          <w:bCs/>
          <w:color w:val="auto"/>
          <w:sz w:val="32"/>
          <w:szCs w:val="32"/>
          <w:highlight w:val="none"/>
        </w:rPr>
        <w:t>6</w:t>
      </w:r>
      <w:r>
        <w:rPr>
          <w:rFonts w:hint="eastAsia" w:ascii="仿宋" w:hAnsi="仿宋" w:eastAsia="仿宋" w:cs="仿宋"/>
          <w:b/>
          <w:bCs/>
          <w:color w:val="auto"/>
          <w:sz w:val="32"/>
          <w:szCs w:val="32"/>
          <w:highlight w:val="none"/>
        </w:rPr>
        <w:fldChar w:fldCharType="end"/>
      </w:r>
      <w:r>
        <w:rPr>
          <w:rFonts w:hint="eastAsia" w:ascii="仿宋" w:hAnsi="仿宋" w:eastAsia="仿宋" w:cs="仿宋"/>
          <w:b/>
          <w:bCs/>
          <w:color w:val="auto"/>
          <w:sz w:val="32"/>
          <w:szCs w:val="32"/>
          <w:highlight w:val="none"/>
        </w:rPr>
        <w:fldChar w:fldCharType="end"/>
      </w:r>
    </w:p>
    <w:p>
      <w:pPr>
        <w:pStyle w:val="26"/>
        <w:tabs>
          <w:tab w:val="right" w:leader="dot" w:pos="8844"/>
        </w:tabs>
        <w:spacing w:line="360" w:lineRule="auto"/>
        <w:rPr>
          <w:rFonts w:ascii="仿宋" w:hAnsi="仿宋" w:eastAsia="仿宋" w:cs="仿宋"/>
          <w:b/>
          <w:bCs/>
          <w:color w:val="auto"/>
          <w:sz w:val="32"/>
          <w:szCs w:val="32"/>
          <w:highlight w:val="none"/>
        </w:rPr>
      </w:pPr>
      <w:r>
        <w:rPr>
          <w:color w:val="auto"/>
          <w:highlight w:val="none"/>
        </w:rPr>
        <w:fldChar w:fldCharType="begin"/>
      </w:r>
      <w:r>
        <w:rPr>
          <w:color w:val="auto"/>
          <w:highlight w:val="none"/>
        </w:rPr>
        <w:instrText xml:space="preserve"> HYPERLINK \l "_Toc21208" </w:instrText>
      </w:r>
      <w:r>
        <w:rPr>
          <w:color w:val="auto"/>
          <w:highlight w:val="none"/>
        </w:rPr>
        <w:fldChar w:fldCharType="separate"/>
      </w:r>
      <w:r>
        <w:rPr>
          <w:rFonts w:hint="eastAsia" w:ascii="仿宋" w:hAnsi="仿宋" w:eastAsia="仿宋" w:cs="仿宋"/>
          <w:b/>
          <w:bCs/>
          <w:snapToGrid w:val="0"/>
          <w:color w:val="auto"/>
          <w:sz w:val="32"/>
          <w:szCs w:val="32"/>
          <w:highlight w:val="none"/>
        </w:rPr>
        <w:t>三、区域环境质量现状、环境保护目标及评价标准</w:t>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fldChar w:fldCharType="begin"/>
      </w:r>
      <w:r>
        <w:rPr>
          <w:rFonts w:hint="eastAsia" w:ascii="仿宋" w:hAnsi="仿宋" w:eastAsia="仿宋" w:cs="仿宋"/>
          <w:b/>
          <w:bCs/>
          <w:color w:val="auto"/>
          <w:sz w:val="32"/>
          <w:szCs w:val="32"/>
          <w:highlight w:val="none"/>
        </w:rPr>
        <w:instrText xml:space="preserve"> PAGEREF _Toc21208 \h </w:instrText>
      </w:r>
      <w:r>
        <w:rPr>
          <w:rFonts w:hint="eastAsia" w:ascii="仿宋" w:hAnsi="仿宋" w:eastAsia="仿宋" w:cs="仿宋"/>
          <w:b/>
          <w:bCs/>
          <w:color w:val="auto"/>
          <w:sz w:val="32"/>
          <w:szCs w:val="32"/>
          <w:highlight w:val="none"/>
        </w:rPr>
        <w:fldChar w:fldCharType="separate"/>
      </w:r>
      <w:r>
        <w:rPr>
          <w:rFonts w:hint="eastAsia" w:ascii="仿宋" w:hAnsi="仿宋" w:eastAsia="仿宋" w:cs="仿宋"/>
          <w:b/>
          <w:bCs/>
          <w:color w:val="auto"/>
          <w:sz w:val="32"/>
          <w:szCs w:val="32"/>
          <w:highlight w:val="none"/>
        </w:rPr>
        <w:t>31</w:t>
      </w:r>
      <w:r>
        <w:rPr>
          <w:rFonts w:hint="eastAsia" w:ascii="仿宋" w:hAnsi="仿宋" w:eastAsia="仿宋" w:cs="仿宋"/>
          <w:b/>
          <w:bCs/>
          <w:color w:val="auto"/>
          <w:sz w:val="32"/>
          <w:szCs w:val="32"/>
          <w:highlight w:val="none"/>
        </w:rPr>
        <w:fldChar w:fldCharType="end"/>
      </w:r>
      <w:r>
        <w:rPr>
          <w:rFonts w:hint="eastAsia" w:ascii="仿宋" w:hAnsi="仿宋" w:eastAsia="仿宋" w:cs="仿宋"/>
          <w:b/>
          <w:bCs/>
          <w:color w:val="auto"/>
          <w:sz w:val="32"/>
          <w:szCs w:val="32"/>
          <w:highlight w:val="none"/>
        </w:rPr>
        <w:fldChar w:fldCharType="end"/>
      </w:r>
    </w:p>
    <w:p>
      <w:pPr>
        <w:pStyle w:val="26"/>
        <w:tabs>
          <w:tab w:val="right" w:leader="dot" w:pos="8844"/>
        </w:tabs>
        <w:spacing w:line="360" w:lineRule="auto"/>
        <w:rPr>
          <w:rFonts w:ascii="仿宋" w:hAnsi="仿宋" w:eastAsia="仿宋" w:cs="仿宋"/>
          <w:b/>
          <w:bCs/>
          <w:color w:val="auto"/>
          <w:sz w:val="32"/>
          <w:szCs w:val="32"/>
          <w:highlight w:val="none"/>
        </w:rPr>
      </w:pPr>
      <w:r>
        <w:rPr>
          <w:color w:val="auto"/>
          <w:highlight w:val="none"/>
        </w:rPr>
        <w:fldChar w:fldCharType="begin"/>
      </w:r>
      <w:r>
        <w:rPr>
          <w:color w:val="auto"/>
          <w:highlight w:val="none"/>
        </w:rPr>
        <w:instrText xml:space="preserve"> HYPERLINK \l "_Toc21904" </w:instrText>
      </w:r>
      <w:r>
        <w:rPr>
          <w:color w:val="auto"/>
          <w:highlight w:val="none"/>
        </w:rPr>
        <w:fldChar w:fldCharType="separate"/>
      </w:r>
      <w:r>
        <w:rPr>
          <w:rFonts w:hint="eastAsia" w:ascii="仿宋" w:hAnsi="仿宋" w:eastAsia="仿宋" w:cs="仿宋"/>
          <w:b/>
          <w:bCs/>
          <w:snapToGrid w:val="0"/>
          <w:color w:val="auto"/>
          <w:sz w:val="32"/>
          <w:szCs w:val="32"/>
          <w:highlight w:val="none"/>
        </w:rPr>
        <w:t>四、主要环境影响和保护措施</w:t>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fldChar w:fldCharType="begin"/>
      </w:r>
      <w:r>
        <w:rPr>
          <w:rFonts w:hint="eastAsia" w:ascii="仿宋" w:hAnsi="仿宋" w:eastAsia="仿宋" w:cs="仿宋"/>
          <w:b/>
          <w:bCs/>
          <w:color w:val="auto"/>
          <w:sz w:val="32"/>
          <w:szCs w:val="32"/>
          <w:highlight w:val="none"/>
        </w:rPr>
        <w:instrText xml:space="preserve"> PAGEREF _Toc21904 \h </w:instrText>
      </w:r>
      <w:r>
        <w:rPr>
          <w:rFonts w:hint="eastAsia" w:ascii="仿宋" w:hAnsi="仿宋" w:eastAsia="仿宋" w:cs="仿宋"/>
          <w:b/>
          <w:bCs/>
          <w:color w:val="auto"/>
          <w:sz w:val="32"/>
          <w:szCs w:val="32"/>
          <w:highlight w:val="none"/>
        </w:rPr>
        <w:fldChar w:fldCharType="separate"/>
      </w:r>
      <w:r>
        <w:rPr>
          <w:rFonts w:hint="eastAsia" w:ascii="仿宋" w:hAnsi="仿宋" w:eastAsia="仿宋" w:cs="仿宋"/>
          <w:b/>
          <w:bCs/>
          <w:color w:val="auto"/>
          <w:sz w:val="32"/>
          <w:szCs w:val="32"/>
          <w:highlight w:val="none"/>
        </w:rPr>
        <w:t>45</w:t>
      </w:r>
      <w:r>
        <w:rPr>
          <w:rFonts w:hint="eastAsia" w:ascii="仿宋" w:hAnsi="仿宋" w:eastAsia="仿宋" w:cs="仿宋"/>
          <w:b/>
          <w:bCs/>
          <w:color w:val="auto"/>
          <w:sz w:val="32"/>
          <w:szCs w:val="32"/>
          <w:highlight w:val="none"/>
        </w:rPr>
        <w:fldChar w:fldCharType="end"/>
      </w:r>
      <w:r>
        <w:rPr>
          <w:rFonts w:hint="eastAsia" w:ascii="仿宋" w:hAnsi="仿宋" w:eastAsia="仿宋" w:cs="仿宋"/>
          <w:b/>
          <w:bCs/>
          <w:color w:val="auto"/>
          <w:sz w:val="32"/>
          <w:szCs w:val="32"/>
          <w:highlight w:val="none"/>
        </w:rPr>
        <w:fldChar w:fldCharType="end"/>
      </w:r>
    </w:p>
    <w:p>
      <w:pPr>
        <w:pStyle w:val="26"/>
        <w:tabs>
          <w:tab w:val="right" w:leader="dot" w:pos="8844"/>
        </w:tabs>
        <w:spacing w:line="360" w:lineRule="auto"/>
        <w:rPr>
          <w:rFonts w:ascii="仿宋" w:hAnsi="仿宋" w:eastAsia="仿宋" w:cs="仿宋"/>
          <w:b/>
          <w:bCs/>
          <w:color w:val="auto"/>
          <w:sz w:val="32"/>
          <w:szCs w:val="32"/>
          <w:highlight w:val="none"/>
        </w:rPr>
      </w:pPr>
      <w:r>
        <w:rPr>
          <w:color w:val="auto"/>
          <w:highlight w:val="none"/>
        </w:rPr>
        <w:fldChar w:fldCharType="begin"/>
      </w:r>
      <w:r>
        <w:rPr>
          <w:color w:val="auto"/>
          <w:highlight w:val="none"/>
        </w:rPr>
        <w:instrText xml:space="preserve"> HYPERLINK \l "_Toc31791" </w:instrText>
      </w:r>
      <w:r>
        <w:rPr>
          <w:color w:val="auto"/>
          <w:highlight w:val="none"/>
        </w:rPr>
        <w:fldChar w:fldCharType="separate"/>
      </w:r>
      <w:r>
        <w:rPr>
          <w:rFonts w:hint="eastAsia" w:ascii="仿宋" w:hAnsi="仿宋" w:eastAsia="仿宋" w:cs="仿宋"/>
          <w:b/>
          <w:bCs/>
          <w:snapToGrid w:val="0"/>
          <w:color w:val="auto"/>
          <w:sz w:val="32"/>
          <w:szCs w:val="32"/>
          <w:highlight w:val="none"/>
        </w:rPr>
        <w:t>五、环境保护措施监督检查清单</w:t>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fldChar w:fldCharType="begin"/>
      </w:r>
      <w:r>
        <w:rPr>
          <w:rFonts w:hint="eastAsia" w:ascii="仿宋" w:hAnsi="仿宋" w:eastAsia="仿宋" w:cs="仿宋"/>
          <w:b/>
          <w:bCs/>
          <w:color w:val="auto"/>
          <w:sz w:val="32"/>
          <w:szCs w:val="32"/>
          <w:highlight w:val="none"/>
        </w:rPr>
        <w:instrText xml:space="preserve"> PAGEREF _Toc31791 \h </w:instrText>
      </w:r>
      <w:r>
        <w:rPr>
          <w:rFonts w:hint="eastAsia" w:ascii="仿宋" w:hAnsi="仿宋" w:eastAsia="仿宋" w:cs="仿宋"/>
          <w:b/>
          <w:bCs/>
          <w:color w:val="auto"/>
          <w:sz w:val="32"/>
          <w:szCs w:val="32"/>
          <w:highlight w:val="none"/>
        </w:rPr>
        <w:fldChar w:fldCharType="separate"/>
      </w:r>
      <w:r>
        <w:rPr>
          <w:rFonts w:hint="eastAsia" w:ascii="仿宋" w:hAnsi="仿宋" w:eastAsia="仿宋" w:cs="仿宋"/>
          <w:b/>
          <w:bCs/>
          <w:color w:val="auto"/>
          <w:sz w:val="32"/>
          <w:szCs w:val="32"/>
          <w:highlight w:val="none"/>
        </w:rPr>
        <w:t>72</w:t>
      </w:r>
      <w:r>
        <w:rPr>
          <w:rFonts w:hint="eastAsia" w:ascii="仿宋" w:hAnsi="仿宋" w:eastAsia="仿宋" w:cs="仿宋"/>
          <w:b/>
          <w:bCs/>
          <w:color w:val="auto"/>
          <w:sz w:val="32"/>
          <w:szCs w:val="32"/>
          <w:highlight w:val="none"/>
        </w:rPr>
        <w:fldChar w:fldCharType="end"/>
      </w:r>
      <w:r>
        <w:rPr>
          <w:rFonts w:hint="eastAsia" w:ascii="仿宋" w:hAnsi="仿宋" w:eastAsia="仿宋" w:cs="仿宋"/>
          <w:b/>
          <w:bCs/>
          <w:color w:val="auto"/>
          <w:sz w:val="32"/>
          <w:szCs w:val="32"/>
          <w:highlight w:val="none"/>
        </w:rPr>
        <w:fldChar w:fldCharType="end"/>
      </w:r>
    </w:p>
    <w:p>
      <w:pPr>
        <w:pStyle w:val="26"/>
        <w:tabs>
          <w:tab w:val="right" w:leader="dot" w:pos="8844"/>
        </w:tabs>
        <w:spacing w:line="360" w:lineRule="auto"/>
        <w:rPr>
          <w:rFonts w:ascii="仿宋" w:hAnsi="仿宋" w:eastAsia="仿宋" w:cs="仿宋"/>
          <w:b/>
          <w:bCs/>
          <w:color w:val="auto"/>
          <w:sz w:val="32"/>
          <w:szCs w:val="32"/>
          <w:highlight w:val="none"/>
        </w:rPr>
      </w:pPr>
      <w:r>
        <w:rPr>
          <w:color w:val="auto"/>
          <w:highlight w:val="none"/>
        </w:rPr>
        <w:fldChar w:fldCharType="begin"/>
      </w:r>
      <w:r>
        <w:rPr>
          <w:color w:val="auto"/>
          <w:highlight w:val="none"/>
        </w:rPr>
        <w:instrText xml:space="preserve"> HYPERLINK \l "_Toc17837" </w:instrText>
      </w:r>
      <w:r>
        <w:rPr>
          <w:color w:val="auto"/>
          <w:highlight w:val="none"/>
        </w:rPr>
        <w:fldChar w:fldCharType="separate"/>
      </w:r>
      <w:r>
        <w:rPr>
          <w:rFonts w:hint="eastAsia" w:ascii="仿宋" w:hAnsi="仿宋" w:eastAsia="仿宋" w:cs="仿宋"/>
          <w:b/>
          <w:bCs/>
          <w:snapToGrid w:val="0"/>
          <w:color w:val="auto"/>
          <w:sz w:val="32"/>
          <w:szCs w:val="32"/>
          <w:highlight w:val="none"/>
        </w:rPr>
        <w:t>六、结论</w:t>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fldChar w:fldCharType="begin"/>
      </w:r>
      <w:r>
        <w:rPr>
          <w:rFonts w:hint="eastAsia" w:ascii="仿宋" w:hAnsi="仿宋" w:eastAsia="仿宋" w:cs="仿宋"/>
          <w:b/>
          <w:bCs/>
          <w:color w:val="auto"/>
          <w:sz w:val="32"/>
          <w:szCs w:val="32"/>
          <w:highlight w:val="none"/>
        </w:rPr>
        <w:instrText xml:space="preserve"> PAGEREF _Toc17837 \h </w:instrText>
      </w:r>
      <w:r>
        <w:rPr>
          <w:rFonts w:hint="eastAsia" w:ascii="仿宋" w:hAnsi="仿宋" w:eastAsia="仿宋" w:cs="仿宋"/>
          <w:b/>
          <w:bCs/>
          <w:color w:val="auto"/>
          <w:sz w:val="32"/>
          <w:szCs w:val="32"/>
          <w:highlight w:val="none"/>
        </w:rPr>
        <w:fldChar w:fldCharType="separate"/>
      </w:r>
      <w:r>
        <w:rPr>
          <w:rFonts w:hint="eastAsia" w:ascii="仿宋" w:hAnsi="仿宋" w:eastAsia="仿宋" w:cs="仿宋"/>
          <w:b/>
          <w:bCs/>
          <w:color w:val="auto"/>
          <w:sz w:val="32"/>
          <w:szCs w:val="32"/>
          <w:highlight w:val="none"/>
        </w:rPr>
        <w:t>78</w:t>
      </w:r>
      <w:r>
        <w:rPr>
          <w:rFonts w:hint="eastAsia" w:ascii="仿宋" w:hAnsi="仿宋" w:eastAsia="仿宋" w:cs="仿宋"/>
          <w:b/>
          <w:bCs/>
          <w:color w:val="auto"/>
          <w:sz w:val="32"/>
          <w:szCs w:val="32"/>
          <w:highlight w:val="none"/>
        </w:rPr>
        <w:fldChar w:fldCharType="end"/>
      </w:r>
      <w:r>
        <w:rPr>
          <w:rFonts w:hint="eastAsia" w:ascii="仿宋" w:hAnsi="仿宋" w:eastAsia="仿宋" w:cs="仿宋"/>
          <w:b/>
          <w:bCs/>
          <w:color w:val="auto"/>
          <w:sz w:val="32"/>
          <w:szCs w:val="32"/>
          <w:highlight w:val="none"/>
        </w:rPr>
        <w:fldChar w:fldCharType="end"/>
      </w:r>
    </w:p>
    <w:p>
      <w:pPr>
        <w:pStyle w:val="26"/>
        <w:tabs>
          <w:tab w:val="right" w:leader="dot" w:pos="8844"/>
        </w:tabs>
        <w:spacing w:line="360" w:lineRule="auto"/>
        <w:rPr>
          <w:b/>
          <w:bCs/>
          <w:color w:val="auto"/>
          <w:highlight w:val="none"/>
        </w:rPr>
      </w:pPr>
      <w:r>
        <w:rPr>
          <w:color w:val="auto"/>
          <w:highlight w:val="none"/>
        </w:rPr>
        <w:fldChar w:fldCharType="begin"/>
      </w:r>
      <w:r>
        <w:rPr>
          <w:color w:val="auto"/>
          <w:highlight w:val="none"/>
        </w:rPr>
        <w:instrText xml:space="preserve"> HYPERLINK \l "_Toc5135" </w:instrText>
      </w:r>
      <w:r>
        <w:rPr>
          <w:color w:val="auto"/>
          <w:highlight w:val="none"/>
        </w:rPr>
        <w:fldChar w:fldCharType="separate"/>
      </w:r>
      <w:r>
        <w:rPr>
          <w:rFonts w:hint="eastAsia" w:ascii="仿宋" w:hAnsi="仿宋" w:eastAsia="仿宋" w:cs="仿宋"/>
          <w:b/>
          <w:bCs/>
          <w:snapToGrid w:val="0"/>
          <w:color w:val="auto"/>
          <w:sz w:val="32"/>
          <w:szCs w:val="32"/>
          <w:highlight w:val="none"/>
        </w:rPr>
        <w:t>附表</w:t>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fldChar w:fldCharType="begin"/>
      </w:r>
      <w:r>
        <w:rPr>
          <w:rFonts w:hint="eastAsia" w:ascii="仿宋" w:hAnsi="仿宋" w:eastAsia="仿宋" w:cs="仿宋"/>
          <w:b/>
          <w:bCs/>
          <w:color w:val="auto"/>
          <w:sz w:val="32"/>
          <w:szCs w:val="32"/>
          <w:highlight w:val="none"/>
        </w:rPr>
        <w:instrText xml:space="preserve"> PAGEREF _Toc5135 \h </w:instrText>
      </w:r>
      <w:r>
        <w:rPr>
          <w:rFonts w:hint="eastAsia" w:ascii="仿宋" w:hAnsi="仿宋" w:eastAsia="仿宋" w:cs="仿宋"/>
          <w:b/>
          <w:bCs/>
          <w:color w:val="auto"/>
          <w:sz w:val="32"/>
          <w:szCs w:val="32"/>
          <w:highlight w:val="none"/>
        </w:rPr>
        <w:fldChar w:fldCharType="separate"/>
      </w:r>
      <w:r>
        <w:rPr>
          <w:rFonts w:hint="eastAsia" w:ascii="仿宋" w:hAnsi="仿宋" w:eastAsia="仿宋" w:cs="仿宋"/>
          <w:b/>
          <w:bCs/>
          <w:color w:val="auto"/>
          <w:sz w:val="32"/>
          <w:szCs w:val="32"/>
          <w:highlight w:val="none"/>
        </w:rPr>
        <w:t>79</w:t>
      </w:r>
      <w:r>
        <w:rPr>
          <w:rFonts w:hint="eastAsia" w:ascii="仿宋" w:hAnsi="仿宋" w:eastAsia="仿宋" w:cs="仿宋"/>
          <w:b/>
          <w:bCs/>
          <w:color w:val="auto"/>
          <w:sz w:val="32"/>
          <w:szCs w:val="32"/>
          <w:highlight w:val="none"/>
        </w:rPr>
        <w:fldChar w:fldCharType="end"/>
      </w:r>
      <w:r>
        <w:rPr>
          <w:rFonts w:hint="eastAsia" w:ascii="仿宋" w:hAnsi="仿宋" w:eastAsia="仿宋" w:cs="仿宋"/>
          <w:b/>
          <w:bCs/>
          <w:color w:val="auto"/>
          <w:sz w:val="32"/>
          <w:szCs w:val="32"/>
          <w:highlight w:val="none"/>
        </w:rPr>
        <w:fldChar w:fldCharType="end"/>
      </w:r>
    </w:p>
    <w:p>
      <w:pPr>
        <w:spacing w:line="360" w:lineRule="auto"/>
        <w:rPr>
          <w:b/>
          <w:bCs/>
          <w:color w:val="auto"/>
          <w:highlight w:val="none"/>
        </w:rPr>
      </w:pPr>
      <w:r>
        <w:rPr>
          <w:b/>
          <w:bCs/>
          <w:color w:val="auto"/>
          <w:highlight w:val="none"/>
        </w:rPr>
        <w:fldChar w:fldCharType="end"/>
      </w:r>
      <w:bookmarkStart w:id="2" w:name="_Toc18772"/>
    </w:p>
    <w:p>
      <w:pPr>
        <w:spacing w:line="432" w:lineRule="auto"/>
        <w:rPr>
          <w:rFonts w:ascii="仿宋" w:hAnsi="仿宋" w:eastAsia="仿宋" w:cs="仿宋"/>
          <w:b/>
          <w:bCs/>
          <w:snapToGrid w:val="0"/>
          <w:color w:val="auto"/>
          <w:kern w:val="0"/>
          <w:sz w:val="28"/>
          <w:szCs w:val="28"/>
          <w:highlight w:val="none"/>
        </w:rPr>
      </w:pPr>
      <w:r>
        <w:rPr>
          <w:rFonts w:hint="eastAsia" w:ascii="仿宋" w:hAnsi="仿宋" w:eastAsia="仿宋" w:cs="仿宋"/>
          <w:b/>
          <w:bCs/>
          <w:snapToGrid w:val="0"/>
          <w:color w:val="auto"/>
          <w:kern w:val="0"/>
          <w:sz w:val="28"/>
          <w:szCs w:val="28"/>
          <w:highlight w:val="none"/>
        </w:rPr>
        <w:t>附件</w:t>
      </w:r>
    </w:p>
    <w:p>
      <w:pPr>
        <w:pStyle w:val="4"/>
        <w:spacing w:before="0" w:after="0" w:line="360" w:lineRule="auto"/>
        <w:ind w:right="0"/>
        <w:rPr>
          <w:b/>
          <w:bCs/>
          <w:color w:val="auto"/>
          <w:highlight w:val="none"/>
        </w:rPr>
      </w:pPr>
      <w:r>
        <w:rPr>
          <w:rFonts w:hint="eastAsia" w:ascii="仿宋" w:hAnsi="仿宋" w:eastAsia="仿宋" w:cs="仿宋"/>
          <w:b/>
          <w:bCs/>
          <w:snapToGrid w:val="0"/>
          <w:color w:val="auto"/>
          <w:sz w:val="28"/>
          <w:szCs w:val="28"/>
          <w:highlight w:val="none"/>
        </w:rPr>
        <w:t>1、项目委托书</w:t>
      </w:r>
    </w:p>
    <w:p>
      <w:pPr>
        <w:pStyle w:val="9"/>
        <w:spacing w:line="360" w:lineRule="auto"/>
        <w:ind w:firstLine="0" w:firstLineChars="0"/>
        <w:rPr>
          <w:rFonts w:hint="eastAsia" w:ascii="仿宋" w:hAnsi="仿宋" w:eastAsia="仿宋" w:cs="仿宋"/>
          <w:b/>
          <w:bCs/>
          <w:snapToGrid w:val="0"/>
          <w:color w:val="auto"/>
          <w:kern w:val="0"/>
          <w:sz w:val="28"/>
          <w:szCs w:val="28"/>
          <w:highlight w:val="none"/>
          <w:lang w:eastAsia="zh-CN"/>
        </w:rPr>
      </w:pPr>
      <w:r>
        <w:rPr>
          <w:rFonts w:hint="eastAsia" w:ascii="仿宋" w:hAnsi="仿宋" w:eastAsia="仿宋" w:cs="仿宋"/>
          <w:b/>
          <w:bCs/>
          <w:snapToGrid w:val="0"/>
          <w:color w:val="auto"/>
          <w:sz w:val="28"/>
          <w:szCs w:val="28"/>
          <w:highlight w:val="none"/>
        </w:rPr>
        <w:t>2、</w:t>
      </w:r>
      <w:r>
        <w:rPr>
          <w:rFonts w:hint="eastAsia" w:ascii="仿宋" w:hAnsi="仿宋" w:eastAsia="仿宋" w:cs="仿宋"/>
          <w:b/>
          <w:bCs/>
          <w:snapToGrid w:val="0"/>
          <w:color w:val="auto"/>
          <w:kern w:val="0"/>
          <w:sz w:val="28"/>
          <w:szCs w:val="28"/>
          <w:highlight w:val="none"/>
        </w:rPr>
        <w:t>项目</w:t>
      </w:r>
      <w:r>
        <w:rPr>
          <w:rFonts w:hint="eastAsia" w:ascii="仿宋" w:hAnsi="仿宋" w:eastAsia="仿宋" w:cs="仿宋"/>
          <w:b/>
          <w:bCs/>
          <w:snapToGrid w:val="0"/>
          <w:color w:val="auto"/>
          <w:kern w:val="0"/>
          <w:sz w:val="28"/>
          <w:szCs w:val="28"/>
          <w:highlight w:val="none"/>
          <w:lang w:eastAsia="zh-CN"/>
        </w:rPr>
        <w:t>建议书暨可行性研究报告函复</w:t>
      </w:r>
    </w:p>
    <w:p>
      <w:pPr>
        <w:pStyle w:val="9"/>
        <w:spacing w:line="360" w:lineRule="auto"/>
        <w:ind w:firstLine="0" w:firstLineChars="0"/>
        <w:rPr>
          <w:rFonts w:hint="default" w:ascii="仿宋" w:hAnsi="仿宋" w:eastAsia="仿宋" w:cs="仿宋"/>
          <w:b/>
          <w:bCs/>
          <w:snapToGrid w:val="0"/>
          <w:color w:val="auto"/>
          <w:kern w:val="0"/>
          <w:sz w:val="28"/>
          <w:szCs w:val="28"/>
          <w:highlight w:val="none"/>
          <w:lang w:val="en-US" w:eastAsia="zh-CN"/>
        </w:rPr>
      </w:pPr>
      <w:r>
        <w:rPr>
          <w:rFonts w:hint="eastAsia" w:ascii="仿宋" w:hAnsi="仿宋" w:eastAsia="仿宋" w:cs="仿宋"/>
          <w:b/>
          <w:bCs/>
          <w:snapToGrid w:val="0"/>
          <w:color w:val="auto"/>
          <w:kern w:val="0"/>
          <w:sz w:val="28"/>
          <w:szCs w:val="28"/>
          <w:highlight w:val="none"/>
          <w:lang w:val="en-US" w:eastAsia="zh-CN"/>
        </w:rPr>
        <w:t>3、项目备案情况</w:t>
      </w:r>
    </w:p>
    <w:p>
      <w:pPr>
        <w:pStyle w:val="9"/>
        <w:spacing w:line="360" w:lineRule="auto"/>
        <w:ind w:firstLine="0" w:firstLineChars="0"/>
        <w:rPr>
          <w:rFonts w:hint="eastAsia" w:ascii="仿宋" w:hAnsi="仿宋" w:eastAsia="仿宋" w:cs="仿宋"/>
          <w:b/>
          <w:bCs/>
          <w:snapToGrid w:val="0"/>
          <w:color w:val="auto"/>
          <w:kern w:val="0"/>
          <w:sz w:val="28"/>
          <w:szCs w:val="28"/>
          <w:highlight w:val="none"/>
          <w:lang w:val="en-US" w:eastAsia="zh-CN"/>
        </w:rPr>
      </w:pPr>
      <w:r>
        <w:rPr>
          <w:rFonts w:hint="eastAsia" w:ascii="仿宋" w:hAnsi="仿宋" w:eastAsia="仿宋" w:cs="仿宋"/>
          <w:b/>
          <w:bCs/>
          <w:snapToGrid w:val="0"/>
          <w:color w:val="auto"/>
          <w:kern w:val="0"/>
          <w:sz w:val="28"/>
          <w:szCs w:val="28"/>
          <w:highlight w:val="none"/>
          <w:lang w:val="en-US" w:eastAsia="zh-CN"/>
        </w:rPr>
        <w:t>4、营业执照及法人身份证</w:t>
      </w:r>
    </w:p>
    <w:p>
      <w:pPr>
        <w:pStyle w:val="9"/>
        <w:spacing w:line="360" w:lineRule="auto"/>
        <w:ind w:firstLine="0" w:firstLineChars="0"/>
        <w:rPr>
          <w:rFonts w:ascii="仿宋" w:hAnsi="仿宋" w:eastAsia="仿宋" w:cs="仿宋"/>
          <w:b/>
          <w:bCs/>
          <w:snapToGrid w:val="0"/>
          <w:color w:val="auto"/>
          <w:kern w:val="0"/>
          <w:sz w:val="28"/>
          <w:szCs w:val="28"/>
          <w:highlight w:val="none"/>
        </w:rPr>
      </w:pPr>
      <w:r>
        <w:rPr>
          <w:rFonts w:hint="eastAsia" w:ascii="仿宋" w:hAnsi="仿宋" w:eastAsia="仿宋" w:cs="仿宋"/>
          <w:b/>
          <w:bCs/>
          <w:snapToGrid w:val="0"/>
          <w:color w:val="auto"/>
          <w:kern w:val="0"/>
          <w:sz w:val="28"/>
          <w:szCs w:val="28"/>
          <w:highlight w:val="none"/>
          <w:lang w:val="en-US" w:eastAsia="zh-CN"/>
        </w:rPr>
        <w:t>5</w:t>
      </w:r>
      <w:r>
        <w:rPr>
          <w:rFonts w:hint="eastAsia" w:ascii="仿宋" w:hAnsi="仿宋" w:eastAsia="仿宋" w:cs="仿宋"/>
          <w:b/>
          <w:bCs/>
          <w:snapToGrid w:val="0"/>
          <w:color w:val="auto"/>
          <w:kern w:val="0"/>
          <w:sz w:val="28"/>
          <w:szCs w:val="28"/>
          <w:highlight w:val="none"/>
        </w:rPr>
        <w:t>、危废委托处置协议</w:t>
      </w:r>
    </w:p>
    <w:p>
      <w:pPr>
        <w:pStyle w:val="9"/>
        <w:spacing w:line="360" w:lineRule="auto"/>
        <w:ind w:firstLine="0" w:firstLineChars="0"/>
        <w:rPr>
          <w:rFonts w:ascii="仿宋" w:hAnsi="仿宋" w:eastAsia="仿宋" w:cs="仿宋"/>
          <w:b/>
          <w:bCs/>
          <w:snapToGrid w:val="0"/>
          <w:color w:val="auto"/>
          <w:kern w:val="0"/>
          <w:sz w:val="28"/>
          <w:szCs w:val="28"/>
          <w:highlight w:val="none"/>
        </w:rPr>
      </w:pPr>
      <w:r>
        <w:rPr>
          <w:rFonts w:hint="eastAsia" w:ascii="仿宋" w:hAnsi="仿宋" w:eastAsia="仿宋" w:cs="仿宋"/>
          <w:b/>
          <w:bCs/>
          <w:snapToGrid w:val="0"/>
          <w:color w:val="auto"/>
          <w:kern w:val="0"/>
          <w:sz w:val="28"/>
          <w:szCs w:val="28"/>
          <w:highlight w:val="none"/>
          <w:lang w:val="en-US" w:eastAsia="zh-CN"/>
        </w:rPr>
        <w:t>6</w:t>
      </w:r>
      <w:r>
        <w:rPr>
          <w:rFonts w:hint="eastAsia" w:ascii="仿宋" w:hAnsi="仿宋" w:eastAsia="仿宋" w:cs="仿宋"/>
          <w:b/>
          <w:bCs/>
          <w:snapToGrid w:val="0"/>
          <w:color w:val="auto"/>
          <w:kern w:val="0"/>
          <w:sz w:val="28"/>
          <w:szCs w:val="28"/>
          <w:highlight w:val="none"/>
        </w:rPr>
        <w:t>、监测报告</w:t>
      </w:r>
    </w:p>
    <w:p>
      <w:pPr>
        <w:pStyle w:val="9"/>
        <w:spacing w:line="360" w:lineRule="auto"/>
        <w:ind w:firstLine="0" w:firstLineChars="0"/>
        <w:rPr>
          <w:rFonts w:ascii="仿宋" w:hAnsi="仿宋" w:eastAsia="仿宋" w:cs="仿宋"/>
          <w:b/>
          <w:bCs/>
          <w:snapToGrid w:val="0"/>
          <w:color w:val="auto"/>
          <w:kern w:val="0"/>
          <w:sz w:val="28"/>
          <w:szCs w:val="28"/>
          <w:highlight w:val="none"/>
        </w:rPr>
      </w:pPr>
      <w:r>
        <w:rPr>
          <w:rFonts w:hint="eastAsia" w:ascii="仿宋" w:hAnsi="仿宋" w:eastAsia="仿宋" w:cs="仿宋"/>
          <w:b/>
          <w:bCs/>
          <w:snapToGrid w:val="0"/>
          <w:color w:val="auto"/>
          <w:kern w:val="0"/>
          <w:sz w:val="28"/>
          <w:szCs w:val="28"/>
          <w:highlight w:val="none"/>
          <w:lang w:val="en-US" w:eastAsia="zh-CN"/>
        </w:rPr>
        <w:t>7</w:t>
      </w:r>
      <w:r>
        <w:rPr>
          <w:rFonts w:hint="eastAsia" w:ascii="仿宋" w:hAnsi="仿宋" w:eastAsia="仿宋" w:cs="仿宋"/>
          <w:b/>
          <w:bCs/>
          <w:snapToGrid w:val="0"/>
          <w:color w:val="auto"/>
          <w:kern w:val="0"/>
          <w:sz w:val="28"/>
          <w:szCs w:val="28"/>
          <w:highlight w:val="none"/>
        </w:rPr>
        <w:t>、项目地理位置位置图</w:t>
      </w:r>
    </w:p>
    <w:p>
      <w:pPr>
        <w:pStyle w:val="9"/>
        <w:spacing w:line="360" w:lineRule="auto"/>
        <w:ind w:firstLine="0" w:firstLineChars="0"/>
        <w:rPr>
          <w:rFonts w:ascii="仿宋" w:hAnsi="仿宋" w:eastAsia="仿宋" w:cs="仿宋"/>
          <w:b/>
          <w:bCs/>
          <w:snapToGrid w:val="0"/>
          <w:color w:val="auto"/>
          <w:kern w:val="0"/>
          <w:sz w:val="28"/>
          <w:szCs w:val="28"/>
          <w:highlight w:val="none"/>
        </w:rPr>
      </w:pPr>
      <w:r>
        <w:rPr>
          <w:rFonts w:hint="eastAsia" w:ascii="仿宋" w:hAnsi="仿宋" w:eastAsia="仿宋" w:cs="仿宋"/>
          <w:b/>
          <w:bCs/>
          <w:snapToGrid w:val="0"/>
          <w:color w:val="auto"/>
          <w:kern w:val="0"/>
          <w:sz w:val="28"/>
          <w:szCs w:val="28"/>
          <w:highlight w:val="none"/>
          <w:lang w:val="en-US" w:eastAsia="zh-CN"/>
        </w:rPr>
        <w:t>8</w:t>
      </w:r>
      <w:r>
        <w:rPr>
          <w:rFonts w:hint="eastAsia" w:ascii="仿宋" w:hAnsi="仿宋" w:eastAsia="仿宋" w:cs="仿宋"/>
          <w:b/>
          <w:bCs/>
          <w:snapToGrid w:val="0"/>
          <w:color w:val="auto"/>
          <w:kern w:val="0"/>
          <w:sz w:val="28"/>
          <w:szCs w:val="28"/>
          <w:highlight w:val="none"/>
        </w:rPr>
        <w:t>、项目平面布置图</w:t>
      </w:r>
    </w:p>
    <w:p>
      <w:pPr>
        <w:pStyle w:val="9"/>
        <w:spacing w:line="360" w:lineRule="auto"/>
        <w:ind w:firstLine="0" w:firstLineChars="0"/>
        <w:rPr>
          <w:rFonts w:ascii="仿宋" w:hAnsi="仿宋" w:eastAsia="仿宋" w:cs="仿宋"/>
          <w:b/>
          <w:bCs/>
          <w:snapToGrid w:val="0"/>
          <w:color w:val="auto"/>
          <w:kern w:val="0"/>
          <w:sz w:val="28"/>
          <w:szCs w:val="28"/>
          <w:highlight w:val="none"/>
        </w:rPr>
      </w:pPr>
      <w:r>
        <w:rPr>
          <w:rFonts w:hint="eastAsia" w:ascii="仿宋" w:hAnsi="仿宋" w:eastAsia="仿宋" w:cs="仿宋"/>
          <w:b/>
          <w:bCs/>
          <w:snapToGrid w:val="0"/>
          <w:color w:val="auto"/>
          <w:kern w:val="0"/>
          <w:sz w:val="28"/>
          <w:szCs w:val="28"/>
          <w:highlight w:val="none"/>
          <w:lang w:val="en-US" w:eastAsia="zh-CN"/>
        </w:rPr>
        <w:t>9</w:t>
      </w:r>
      <w:r>
        <w:rPr>
          <w:rFonts w:hint="eastAsia" w:ascii="仿宋" w:hAnsi="仿宋" w:eastAsia="仿宋" w:cs="仿宋"/>
          <w:b/>
          <w:bCs/>
          <w:snapToGrid w:val="0"/>
          <w:color w:val="auto"/>
          <w:kern w:val="0"/>
          <w:sz w:val="28"/>
          <w:szCs w:val="28"/>
          <w:highlight w:val="none"/>
        </w:rPr>
        <w:t>、项目位置示意图</w:t>
      </w:r>
    </w:p>
    <w:p>
      <w:pPr>
        <w:pStyle w:val="9"/>
        <w:spacing w:line="360" w:lineRule="auto"/>
        <w:ind w:firstLine="0" w:firstLineChars="0"/>
        <w:rPr>
          <w:rFonts w:ascii="仿宋" w:hAnsi="仿宋" w:eastAsia="仿宋" w:cs="仿宋"/>
          <w:b/>
          <w:bCs/>
          <w:snapToGrid w:val="0"/>
          <w:color w:val="auto"/>
          <w:kern w:val="0"/>
          <w:sz w:val="28"/>
          <w:szCs w:val="28"/>
          <w:highlight w:val="none"/>
        </w:rPr>
      </w:pPr>
      <w:r>
        <w:rPr>
          <w:rFonts w:hint="eastAsia" w:ascii="仿宋" w:hAnsi="仿宋" w:eastAsia="仿宋" w:cs="仿宋"/>
          <w:b/>
          <w:bCs/>
          <w:snapToGrid w:val="0"/>
          <w:color w:val="auto"/>
          <w:kern w:val="0"/>
          <w:sz w:val="28"/>
          <w:szCs w:val="28"/>
          <w:highlight w:val="none"/>
          <w:lang w:val="en-US" w:eastAsia="zh-CN"/>
        </w:rPr>
        <w:t>10</w:t>
      </w:r>
      <w:r>
        <w:rPr>
          <w:rFonts w:hint="eastAsia" w:ascii="仿宋" w:hAnsi="仿宋" w:eastAsia="仿宋" w:cs="仿宋"/>
          <w:b/>
          <w:bCs/>
          <w:snapToGrid w:val="0"/>
          <w:color w:val="auto"/>
          <w:kern w:val="0"/>
          <w:sz w:val="28"/>
          <w:szCs w:val="28"/>
          <w:highlight w:val="none"/>
        </w:rPr>
        <w:t>、项目雨污管网</w:t>
      </w:r>
      <w:r>
        <w:rPr>
          <w:rFonts w:hint="eastAsia" w:ascii="仿宋" w:hAnsi="仿宋" w:eastAsia="仿宋" w:cs="仿宋"/>
          <w:b/>
          <w:bCs/>
          <w:snapToGrid w:val="0"/>
          <w:color w:val="auto"/>
          <w:kern w:val="0"/>
          <w:sz w:val="28"/>
          <w:szCs w:val="28"/>
          <w:highlight w:val="none"/>
          <w:lang w:eastAsia="zh-CN"/>
        </w:rPr>
        <w:t>及环保设施布置</w:t>
      </w:r>
      <w:r>
        <w:rPr>
          <w:rFonts w:hint="eastAsia" w:ascii="仿宋" w:hAnsi="仿宋" w:eastAsia="仿宋" w:cs="仿宋"/>
          <w:b/>
          <w:bCs/>
          <w:snapToGrid w:val="0"/>
          <w:color w:val="auto"/>
          <w:kern w:val="0"/>
          <w:sz w:val="28"/>
          <w:szCs w:val="28"/>
          <w:highlight w:val="none"/>
        </w:rPr>
        <w:t>图</w:t>
      </w:r>
    </w:p>
    <w:p>
      <w:pPr>
        <w:pStyle w:val="9"/>
        <w:spacing w:line="360" w:lineRule="auto"/>
        <w:ind w:firstLine="0" w:firstLineChars="0"/>
        <w:rPr>
          <w:rFonts w:ascii="仿宋" w:hAnsi="仿宋" w:eastAsia="仿宋" w:cs="仿宋"/>
          <w:b/>
          <w:bCs/>
          <w:snapToGrid w:val="0"/>
          <w:color w:val="auto"/>
          <w:kern w:val="0"/>
          <w:sz w:val="28"/>
          <w:szCs w:val="28"/>
          <w:highlight w:val="none"/>
        </w:rPr>
      </w:pPr>
      <w:r>
        <w:rPr>
          <w:rFonts w:hint="eastAsia" w:ascii="仿宋" w:hAnsi="仿宋" w:eastAsia="仿宋" w:cs="仿宋"/>
          <w:b/>
          <w:bCs/>
          <w:snapToGrid w:val="0"/>
          <w:color w:val="auto"/>
          <w:kern w:val="0"/>
          <w:sz w:val="28"/>
          <w:szCs w:val="28"/>
          <w:highlight w:val="none"/>
        </w:rPr>
        <w:t>1</w:t>
      </w:r>
      <w:r>
        <w:rPr>
          <w:rFonts w:hint="eastAsia" w:ascii="仿宋" w:hAnsi="仿宋" w:eastAsia="仿宋" w:cs="仿宋"/>
          <w:b/>
          <w:bCs/>
          <w:snapToGrid w:val="0"/>
          <w:color w:val="auto"/>
          <w:kern w:val="0"/>
          <w:sz w:val="28"/>
          <w:szCs w:val="28"/>
          <w:highlight w:val="none"/>
          <w:lang w:val="en-US" w:eastAsia="zh-CN"/>
        </w:rPr>
        <w:t>1</w:t>
      </w:r>
      <w:r>
        <w:rPr>
          <w:rFonts w:hint="eastAsia" w:ascii="仿宋" w:hAnsi="仿宋" w:eastAsia="仿宋" w:cs="仿宋"/>
          <w:b/>
          <w:bCs/>
          <w:snapToGrid w:val="0"/>
          <w:color w:val="auto"/>
          <w:kern w:val="0"/>
          <w:sz w:val="28"/>
          <w:szCs w:val="28"/>
          <w:highlight w:val="none"/>
        </w:rPr>
        <w:t>、综合楼各层平面布置图</w:t>
      </w:r>
    </w:p>
    <w:p>
      <w:pPr>
        <w:pStyle w:val="9"/>
        <w:spacing w:line="360" w:lineRule="auto"/>
        <w:ind w:firstLine="0" w:firstLineChars="0"/>
        <w:rPr>
          <w:rFonts w:ascii="仿宋" w:hAnsi="仿宋" w:eastAsia="仿宋" w:cs="仿宋"/>
          <w:b/>
          <w:bCs/>
          <w:snapToGrid w:val="0"/>
          <w:color w:val="auto"/>
          <w:kern w:val="0"/>
          <w:sz w:val="28"/>
          <w:szCs w:val="28"/>
          <w:highlight w:val="none"/>
        </w:rPr>
      </w:pPr>
      <w:r>
        <w:rPr>
          <w:rFonts w:hint="eastAsia" w:ascii="仿宋" w:hAnsi="仿宋" w:eastAsia="仿宋" w:cs="仿宋"/>
          <w:b/>
          <w:bCs/>
          <w:snapToGrid w:val="0"/>
          <w:color w:val="auto"/>
          <w:kern w:val="0"/>
          <w:sz w:val="28"/>
          <w:szCs w:val="28"/>
          <w:highlight w:val="none"/>
        </w:rPr>
        <w:t>1</w:t>
      </w:r>
      <w:r>
        <w:rPr>
          <w:rFonts w:hint="eastAsia" w:ascii="仿宋" w:hAnsi="仿宋" w:eastAsia="仿宋" w:cs="仿宋"/>
          <w:b/>
          <w:bCs/>
          <w:snapToGrid w:val="0"/>
          <w:color w:val="auto"/>
          <w:kern w:val="0"/>
          <w:sz w:val="28"/>
          <w:szCs w:val="28"/>
          <w:highlight w:val="none"/>
          <w:lang w:val="en-US" w:eastAsia="zh-CN"/>
        </w:rPr>
        <w:t>2</w:t>
      </w:r>
      <w:r>
        <w:rPr>
          <w:rFonts w:hint="eastAsia" w:ascii="仿宋" w:hAnsi="仿宋" w:eastAsia="仿宋" w:cs="仿宋"/>
          <w:b/>
          <w:bCs/>
          <w:snapToGrid w:val="0"/>
          <w:color w:val="auto"/>
          <w:kern w:val="0"/>
          <w:sz w:val="28"/>
          <w:szCs w:val="28"/>
          <w:highlight w:val="none"/>
        </w:rPr>
        <w:t>、项目监测点位示意图</w:t>
      </w:r>
    </w:p>
    <w:p>
      <w:pPr>
        <w:pStyle w:val="9"/>
        <w:spacing w:line="360" w:lineRule="auto"/>
        <w:ind w:firstLine="0" w:firstLineChars="0"/>
        <w:rPr>
          <w:rFonts w:hint="eastAsia" w:ascii="仿宋" w:hAnsi="仿宋" w:eastAsia="仿宋" w:cs="仿宋"/>
          <w:b/>
          <w:bCs/>
          <w:snapToGrid w:val="0"/>
          <w:color w:val="auto"/>
          <w:kern w:val="0"/>
          <w:sz w:val="28"/>
          <w:szCs w:val="28"/>
          <w:highlight w:val="none"/>
        </w:rPr>
      </w:pPr>
      <w:r>
        <w:rPr>
          <w:rFonts w:hint="eastAsia" w:ascii="仿宋" w:hAnsi="仿宋" w:eastAsia="仿宋" w:cs="仿宋"/>
          <w:b/>
          <w:bCs/>
          <w:snapToGrid w:val="0"/>
          <w:color w:val="auto"/>
          <w:kern w:val="0"/>
          <w:sz w:val="28"/>
          <w:szCs w:val="28"/>
          <w:highlight w:val="none"/>
        </w:rPr>
        <w:t>1</w:t>
      </w:r>
      <w:r>
        <w:rPr>
          <w:rFonts w:hint="eastAsia" w:ascii="仿宋" w:hAnsi="仿宋" w:eastAsia="仿宋" w:cs="仿宋"/>
          <w:b/>
          <w:bCs/>
          <w:snapToGrid w:val="0"/>
          <w:color w:val="auto"/>
          <w:kern w:val="0"/>
          <w:sz w:val="28"/>
          <w:szCs w:val="28"/>
          <w:highlight w:val="none"/>
          <w:lang w:val="en-US" w:eastAsia="zh-CN"/>
        </w:rPr>
        <w:t>3</w:t>
      </w:r>
      <w:r>
        <w:rPr>
          <w:rFonts w:hint="eastAsia" w:ascii="仿宋" w:hAnsi="仿宋" w:eastAsia="仿宋" w:cs="仿宋"/>
          <w:b/>
          <w:bCs/>
          <w:snapToGrid w:val="0"/>
          <w:color w:val="auto"/>
          <w:kern w:val="0"/>
          <w:sz w:val="28"/>
          <w:szCs w:val="28"/>
          <w:highlight w:val="none"/>
        </w:rPr>
        <w:t>、项目周边敏感目标图</w:t>
      </w:r>
    </w:p>
    <w:p>
      <w:pPr>
        <w:pStyle w:val="9"/>
        <w:spacing w:line="360" w:lineRule="auto"/>
        <w:ind w:firstLine="0" w:firstLineChars="0"/>
        <w:rPr>
          <w:rFonts w:hint="default" w:ascii="仿宋" w:hAnsi="仿宋" w:eastAsia="仿宋" w:cs="仿宋"/>
          <w:b/>
          <w:bCs/>
          <w:snapToGrid w:val="0"/>
          <w:color w:val="auto"/>
          <w:kern w:val="0"/>
          <w:sz w:val="28"/>
          <w:szCs w:val="28"/>
          <w:highlight w:val="none"/>
          <w:lang w:val="en-US" w:eastAsia="zh-CN"/>
        </w:rPr>
        <w:sectPr>
          <w:footerReference r:id="rId6" w:type="default"/>
          <w:pgSz w:w="11906" w:h="16838"/>
          <w:pgMar w:top="1701" w:right="1531" w:bottom="1701" w:left="1531" w:header="851" w:footer="1077" w:gutter="0"/>
          <w:pgNumType w:start="1"/>
          <w:cols w:space="720" w:num="1"/>
          <w:docGrid w:linePitch="312" w:charSpace="0"/>
        </w:sectPr>
      </w:pPr>
      <w:r>
        <w:rPr>
          <w:rFonts w:hint="eastAsia" w:ascii="仿宋" w:hAnsi="仿宋" w:eastAsia="仿宋" w:cs="仿宋"/>
          <w:b/>
          <w:bCs/>
          <w:snapToGrid w:val="0"/>
          <w:color w:val="auto"/>
          <w:kern w:val="0"/>
          <w:sz w:val="28"/>
          <w:szCs w:val="28"/>
          <w:highlight w:val="none"/>
          <w:lang w:val="en-US" w:eastAsia="zh-CN"/>
        </w:rPr>
        <w:t>14、专家审查意见及复审意见</w:t>
      </w:r>
    </w:p>
    <w:p>
      <w:pPr>
        <w:pStyle w:val="17"/>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一、建设项目基本情况</w:t>
      </w:r>
      <w:bookmarkEnd w:id="2"/>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66"/>
        <w:gridCol w:w="1953"/>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66"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建设项目名称</w:t>
            </w:r>
          </w:p>
        </w:tc>
        <w:tc>
          <w:tcPr>
            <w:tcW w:w="6804" w:type="dxa"/>
            <w:gridSpan w:val="3"/>
            <w:vAlign w:val="center"/>
          </w:tcPr>
          <w:p>
            <w:pPr>
              <w:adjustRightInd w:val="0"/>
              <w:snapToGrid w:val="0"/>
              <w:jc w:val="center"/>
              <w:rPr>
                <w:color w:val="auto"/>
                <w:sz w:val="24"/>
                <w:highlight w:val="none"/>
              </w:rPr>
            </w:pPr>
            <w:r>
              <w:rPr>
                <w:rFonts w:hint="eastAsia"/>
                <w:color w:val="auto"/>
                <w:sz w:val="24"/>
                <w:highlight w:val="none"/>
              </w:rPr>
              <w:t>福建师范大学旗山校区海峡柔性电子（未来科技）学院综合楼、球差电镜实验室项目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66"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项目代码</w:t>
            </w:r>
          </w:p>
        </w:tc>
        <w:tc>
          <w:tcPr>
            <w:tcW w:w="6804" w:type="dxa"/>
            <w:gridSpan w:val="3"/>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2209-350000-04-01-391430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66"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建设单位联系人</w:t>
            </w:r>
          </w:p>
        </w:tc>
        <w:tc>
          <w:tcPr>
            <w:tcW w:w="1953" w:type="dxa"/>
            <w:vAlign w:val="center"/>
          </w:tcPr>
          <w:p>
            <w:pPr>
              <w:adjustRightInd w:val="0"/>
              <w:snapToGrid w:val="0"/>
              <w:jc w:val="center"/>
              <w:rPr>
                <w:color w:val="auto"/>
                <w:sz w:val="24"/>
                <w:highlight w:val="none"/>
              </w:rPr>
            </w:pPr>
          </w:p>
        </w:tc>
        <w:tc>
          <w:tcPr>
            <w:tcW w:w="2212" w:type="dxa"/>
            <w:vAlign w:val="center"/>
          </w:tcPr>
          <w:p>
            <w:pPr>
              <w:adjustRightInd w:val="0"/>
              <w:snapToGrid w:val="0"/>
              <w:jc w:val="center"/>
              <w:rPr>
                <w:color w:val="auto"/>
                <w:sz w:val="24"/>
                <w:highlight w:val="none"/>
              </w:rPr>
            </w:pPr>
            <w:r>
              <w:rPr>
                <w:color w:val="auto"/>
                <w:sz w:val="24"/>
                <w:highlight w:val="none"/>
              </w:rPr>
              <w:t>联系方式</w:t>
            </w:r>
          </w:p>
        </w:tc>
        <w:tc>
          <w:tcPr>
            <w:tcW w:w="2639" w:type="dxa"/>
            <w:vAlign w:val="center"/>
          </w:tcPr>
          <w:p>
            <w:pPr>
              <w:adjustRightInd w:val="0"/>
              <w:snapToGrid w:val="0"/>
              <w:jc w:val="center"/>
              <w:rPr>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2066"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建设地点</w:t>
            </w:r>
          </w:p>
        </w:tc>
        <w:tc>
          <w:tcPr>
            <w:tcW w:w="6804" w:type="dxa"/>
            <w:gridSpan w:val="3"/>
            <w:vAlign w:val="center"/>
          </w:tcPr>
          <w:p>
            <w:pPr>
              <w:adjustRightInd w:val="0"/>
              <w:snapToGrid w:val="0"/>
              <w:jc w:val="center"/>
              <w:rPr>
                <w:color w:val="auto"/>
                <w:sz w:val="24"/>
                <w:highlight w:val="none"/>
              </w:rPr>
            </w:pPr>
            <w:r>
              <w:rPr>
                <w:color w:val="auto"/>
                <w:sz w:val="24"/>
                <w:highlight w:val="none"/>
                <w:u w:val="single"/>
              </w:rPr>
              <w:t>福建</w:t>
            </w:r>
            <w:r>
              <w:rPr>
                <w:color w:val="auto"/>
                <w:sz w:val="24"/>
                <w:highlight w:val="none"/>
              </w:rPr>
              <w:t>省</w:t>
            </w:r>
            <w:r>
              <w:rPr>
                <w:color w:val="auto"/>
                <w:sz w:val="24"/>
                <w:highlight w:val="none"/>
                <w:u w:val="single"/>
              </w:rPr>
              <w:t>福州</w:t>
            </w:r>
            <w:r>
              <w:rPr>
                <w:color w:val="auto"/>
                <w:sz w:val="24"/>
                <w:highlight w:val="none"/>
              </w:rPr>
              <w:t>市</w:t>
            </w:r>
            <w:r>
              <w:rPr>
                <w:rFonts w:hint="eastAsia"/>
                <w:color w:val="auto"/>
                <w:sz w:val="24"/>
                <w:highlight w:val="none"/>
                <w:u w:val="single"/>
              </w:rPr>
              <w:t>闽侯</w:t>
            </w:r>
            <w:r>
              <w:rPr>
                <w:color w:val="auto"/>
                <w:sz w:val="24"/>
                <w:highlight w:val="none"/>
              </w:rPr>
              <w:t>县</w:t>
            </w:r>
            <w:r>
              <w:rPr>
                <w:rFonts w:hint="eastAsia"/>
                <w:color w:val="auto"/>
                <w:sz w:val="24"/>
                <w:highlight w:val="none"/>
                <w:u w:val="single"/>
              </w:rPr>
              <w:t>上街镇福建师范大学旗山校区内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66"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地理坐标</w:t>
            </w:r>
          </w:p>
        </w:tc>
        <w:tc>
          <w:tcPr>
            <w:tcW w:w="6804" w:type="dxa"/>
            <w:gridSpan w:val="3"/>
            <w:vAlign w:val="center"/>
          </w:tcPr>
          <w:p>
            <w:pPr>
              <w:jc w:val="center"/>
              <w:rPr>
                <w:color w:val="auto"/>
                <w:sz w:val="24"/>
                <w:highlight w:val="none"/>
              </w:rPr>
            </w:pPr>
            <w:r>
              <w:rPr>
                <w:color w:val="auto"/>
                <w:sz w:val="24"/>
                <w:highlight w:val="none"/>
              </w:rPr>
              <w:t>（</w:t>
            </w:r>
            <w:r>
              <w:rPr>
                <w:rFonts w:hint="eastAsia"/>
                <w:color w:val="auto"/>
                <w:sz w:val="24"/>
                <w:highlight w:val="none"/>
                <w:u w:val="single"/>
              </w:rPr>
              <w:t>119</w:t>
            </w:r>
            <w:r>
              <w:rPr>
                <w:color w:val="auto"/>
                <w:sz w:val="24"/>
                <w:highlight w:val="none"/>
              </w:rPr>
              <w:t>度</w:t>
            </w:r>
            <w:r>
              <w:rPr>
                <w:color w:val="auto"/>
                <w:sz w:val="24"/>
                <w:highlight w:val="none"/>
                <w:u w:val="single"/>
              </w:rPr>
              <w:t xml:space="preserve"> </w:t>
            </w:r>
            <w:r>
              <w:rPr>
                <w:rFonts w:hint="eastAsia"/>
                <w:color w:val="auto"/>
                <w:sz w:val="24"/>
                <w:highlight w:val="none"/>
                <w:u w:val="single"/>
              </w:rPr>
              <w:t>12</w:t>
            </w:r>
            <w:r>
              <w:rPr>
                <w:color w:val="auto"/>
                <w:sz w:val="24"/>
                <w:highlight w:val="none"/>
                <w:u w:val="single"/>
              </w:rPr>
              <w:t xml:space="preserve"> </w:t>
            </w:r>
            <w:r>
              <w:rPr>
                <w:color w:val="auto"/>
                <w:sz w:val="24"/>
                <w:highlight w:val="none"/>
              </w:rPr>
              <w:t>分</w:t>
            </w:r>
            <w:r>
              <w:rPr>
                <w:color w:val="auto"/>
                <w:sz w:val="24"/>
                <w:highlight w:val="none"/>
                <w:u w:val="single"/>
              </w:rPr>
              <w:t xml:space="preserve"> </w:t>
            </w:r>
            <w:r>
              <w:rPr>
                <w:rFonts w:hint="eastAsia"/>
                <w:color w:val="auto"/>
                <w:sz w:val="24"/>
                <w:highlight w:val="none"/>
                <w:u w:val="single"/>
              </w:rPr>
              <w:t>52.89</w:t>
            </w:r>
            <w:r>
              <w:rPr>
                <w:color w:val="auto"/>
                <w:sz w:val="24"/>
                <w:highlight w:val="none"/>
                <w:u w:val="single"/>
              </w:rPr>
              <w:t xml:space="preserve"> </w:t>
            </w:r>
            <w:r>
              <w:rPr>
                <w:color w:val="auto"/>
                <w:sz w:val="24"/>
                <w:highlight w:val="none"/>
              </w:rPr>
              <w:t>秒，</w:t>
            </w:r>
            <w:r>
              <w:rPr>
                <w:color w:val="auto"/>
                <w:sz w:val="24"/>
                <w:highlight w:val="none"/>
                <w:u w:val="single"/>
              </w:rPr>
              <w:t xml:space="preserve"> </w:t>
            </w:r>
            <w:r>
              <w:rPr>
                <w:rFonts w:hint="eastAsia"/>
                <w:color w:val="auto"/>
                <w:sz w:val="24"/>
                <w:highlight w:val="none"/>
                <w:u w:val="single"/>
              </w:rPr>
              <w:t>26</w:t>
            </w:r>
            <w:r>
              <w:rPr>
                <w:color w:val="auto"/>
                <w:sz w:val="24"/>
                <w:highlight w:val="none"/>
                <w:u w:val="single"/>
              </w:rPr>
              <w:t xml:space="preserve"> </w:t>
            </w:r>
            <w:r>
              <w:rPr>
                <w:color w:val="auto"/>
                <w:sz w:val="24"/>
                <w:highlight w:val="none"/>
              </w:rPr>
              <w:t>度</w:t>
            </w:r>
            <w:r>
              <w:rPr>
                <w:color w:val="auto"/>
                <w:sz w:val="24"/>
                <w:highlight w:val="none"/>
                <w:u w:val="single"/>
              </w:rPr>
              <w:t xml:space="preserve"> </w:t>
            </w:r>
            <w:r>
              <w:rPr>
                <w:rFonts w:hint="eastAsia"/>
                <w:color w:val="auto"/>
                <w:sz w:val="24"/>
                <w:highlight w:val="none"/>
                <w:u w:val="single"/>
              </w:rPr>
              <w:t>1</w:t>
            </w:r>
            <w:r>
              <w:rPr>
                <w:color w:val="auto"/>
                <w:sz w:val="24"/>
                <w:highlight w:val="none"/>
                <w:u w:val="single"/>
              </w:rPr>
              <w:t xml:space="preserve"> </w:t>
            </w:r>
            <w:r>
              <w:rPr>
                <w:color w:val="auto"/>
                <w:sz w:val="24"/>
                <w:highlight w:val="none"/>
              </w:rPr>
              <w:t>分</w:t>
            </w:r>
            <w:r>
              <w:rPr>
                <w:color w:val="auto"/>
                <w:sz w:val="24"/>
                <w:highlight w:val="none"/>
                <w:u w:val="single"/>
              </w:rPr>
              <w:t xml:space="preserve"> </w:t>
            </w:r>
            <w:r>
              <w:rPr>
                <w:rFonts w:hint="eastAsia"/>
                <w:color w:val="auto"/>
                <w:sz w:val="24"/>
                <w:highlight w:val="none"/>
                <w:u w:val="single"/>
              </w:rPr>
              <w:t>27.00</w:t>
            </w:r>
            <w:r>
              <w:rPr>
                <w:color w:val="auto"/>
                <w:sz w:val="24"/>
                <w:highlight w:val="none"/>
                <w:u w:val="single"/>
              </w:rPr>
              <w:t xml:space="preserve"> </w:t>
            </w:r>
            <w:r>
              <w:rPr>
                <w:color w:val="auto"/>
                <w:sz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066"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国民经济</w:t>
            </w:r>
          </w:p>
          <w:p>
            <w:pPr>
              <w:adjustRightInd w:val="0"/>
              <w:snapToGrid w:val="0"/>
              <w:jc w:val="center"/>
              <w:rPr>
                <w:color w:val="auto"/>
                <w:sz w:val="24"/>
                <w:highlight w:val="none"/>
              </w:rPr>
            </w:pPr>
            <w:r>
              <w:rPr>
                <w:color w:val="auto"/>
                <w:sz w:val="24"/>
                <w:highlight w:val="none"/>
              </w:rPr>
              <w:t>行业类别</w:t>
            </w:r>
          </w:p>
        </w:tc>
        <w:tc>
          <w:tcPr>
            <w:tcW w:w="1953" w:type="dxa"/>
            <w:vAlign w:val="center"/>
          </w:tcPr>
          <w:p>
            <w:pPr>
              <w:adjustRightInd w:val="0"/>
              <w:snapToGrid w:val="0"/>
              <w:jc w:val="center"/>
              <w:rPr>
                <w:color w:val="auto"/>
                <w:sz w:val="24"/>
                <w:highlight w:val="none"/>
              </w:rPr>
            </w:pPr>
            <w:r>
              <w:rPr>
                <w:rFonts w:hint="eastAsia"/>
                <w:color w:val="auto"/>
                <w:sz w:val="24"/>
                <w:highlight w:val="none"/>
              </w:rPr>
              <w:t>P8341 普通高等教育</w:t>
            </w:r>
          </w:p>
        </w:tc>
        <w:tc>
          <w:tcPr>
            <w:tcW w:w="2212" w:type="dxa"/>
            <w:vAlign w:val="center"/>
          </w:tcPr>
          <w:p>
            <w:pPr>
              <w:adjustRightInd w:val="0"/>
              <w:snapToGrid w:val="0"/>
              <w:jc w:val="center"/>
              <w:rPr>
                <w:color w:val="auto"/>
                <w:sz w:val="24"/>
                <w:highlight w:val="none"/>
              </w:rPr>
            </w:pPr>
            <w:bookmarkStart w:id="3" w:name="_Hlk49843745"/>
            <w:r>
              <w:rPr>
                <w:color w:val="auto"/>
                <w:sz w:val="24"/>
                <w:highlight w:val="none"/>
              </w:rPr>
              <w:t>建设项目</w:t>
            </w:r>
          </w:p>
          <w:p>
            <w:pPr>
              <w:adjustRightInd w:val="0"/>
              <w:snapToGrid w:val="0"/>
              <w:jc w:val="center"/>
              <w:rPr>
                <w:color w:val="auto"/>
                <w:sz w:val="24"/>
                <w:highlight w:val="none"/>
              </w:rPr>
            </w:pPr>
            <w:r>
              <w:rPr>
                <w:color w:val="auto"/>
                <w:sz w:val="24"/>
                <w:highlight w:val="none"/>
              </w:rPr>
              <w:t>行业类别</w:t>
            </w:r>
            <w:bookmarkEnd w:id="3"/>
          </w:p>
        </w:tc>
        <w:tc>
          <w:tcPr>
            <w:tcW w:w="2639" w:type="dxa"/>
            <w:vAlign w:val="center"/>
          </w:tcPr>
          <w:p>
            <w:pPr>
              <w:adjustRightInd w:val="0"/>
              <w:snapToGrid w:val="0"/>
              <w:jc w:val="center"/>
              <w:rPr>
                <w:color w:val="auto"/>
                <w:sz w:val="24"/>
                <w:highlight w:val="none"/>
              </w:rPr>
            </w:pPr>
            <w:r>
              <w:rPr>
                <w:rFonts w:hint="eastAsia"/>
                <w:color w:val="auto"/>
                <w:sz w:val="24"/>
                <w:highlight w:val="none"/>
              </w:rPr>
              <w:t>五十、社会事业与服务业-110 学校、福利院、养老院（建筑面积5000平方米及以上的）-有化学、生物实验室的学校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066"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建设性质</w:t>
            </w:r>
          </w:p>
        </w:tc>
        <w:tc>
          <w:tcPr>
            <w:tcW w:w="1953" w:type="dxa"/>
            <w:vAlign w:val="center"/>
          </w:tcPr>
          <w:p>
            <w:pPr>
              <w:jc w:val="left"/>
              <w:rPr>
                <w:color w:val="auto"/>
                <w:sz w:val="24"/>
                <w:highlight w:val="none"/>
              </w:rPr>
            </w:pPr>
            <w:r>
              <w:rPr>
                <w:rFonts w:hint="eastAsia"/>
                <w:color w:val="auto"/>
                <w:sz w:val="24"/>
                <w:highlight w:val="none"/>
              </w:rPr>
              <w:sym w:font="Wingdings 2" w:char="0052"/>
            </w:r>
            <w:r>
              <w:rPr>
                <w:color w:val="auto"/>
                <w:sz w:val="24"/>
                <w:highlight w:val="none"/>
              </w:rPr>
              <w:t>新建（迁建）</w:t>
            </w:r>
          </w:p>
          <w:p>
            <w:pPr>
              <w:jc w:val="left"/>
              <w:rPr>
                <w:color w:val="auto"/>
                <w:sz w:val="24"/>
                <w:highlight w:val="none"/>
              </w:rPr>
            </w:pPr>
            <w:r>
              <w:rPr>
                <w:color w:val="auto"/>
                <w:sz w:val="24"/>
                <w:highlight w:val="none"/>
              </w:rPr>
              <w:sym w:font="Wingdings 2" w:char="00A3"/>
            </w:r>
            <w:r>
              <w:rPr>
                <w:color w:val="auto"/>
                <w:sz w:val="24"/>
                <w:highlight w:val="none"/>
              </w:rPr>
              <w:t>改建</w:t>
            </w:r>
          </w:p>
          <w:p>
            <w:pPr>
              <w:jc w:val="left"/>
              <w:rPr>
                <w:color w:val="auto"/>
                <w:sz w:val="24"/>
                <w:highlight w:val="none"/>
              </w:rPr>
            </w:pPr>
            <w:r>
              <w:rPr>
                <w:color w:val="auto"/>
                <w:sz w:val="24"/>
                <w:highlight w:val="none"/>
              </w:rPr>
              <w:sym w:font="Wingdings 2" w:char="00A3"/>
            </w:r>
            <w:r>
              <w:rPr>
                <w:color w:val="auto"/>
                <w:sz w:val="24"/>
                <w:highlight w:val="none"/>
              </w:rPr>
              <w:t>扩建</w:t>
            </w:r>
          </w:p>
          <w:p>
            <w:pPr>
              <w:jc w:val="left"/>
              <w:rPr>
                <w:color w:val="auto"/>
                <w:sz w:val="24"/>
                <w:highlight w:val="none"/>
              </w:rPr>
            </w:pPr>
            <w:r>
              <w:rPr>
                <w:color w:val="auto"/>
                <w:sz w:val="24"/>
                <w:highlight w:val="none"/>
              </w:rPr>
              <w:sym w:font="Wingdings 2" w:char="00A3"/>
            </w:r>
            <w:r>
              <w:rPr>
                <w:color w:val="auto"/>
                <w:sz w:val="24"/>
                <w:highlight w:val="none"/>
              </w:rPr>
              <w:t>技术改造</w:t>
            </w:r>
          </w:p>
        </w:tc>
        <w:tc>
          <w:tcPr>
            <w:tcW w:w="2212" w:type="dxa"/>
            <w:vAlign w:val="center"/>
          </w:tcPr>
          <w:p>
            <w:pPr>
              <w:adjustRightInd w:val="0"/>
              <w:snapToGrid w:val="0"/>
              <w:jc w:val="center"/>
              <w:rPr>
                <w:color w:val="auto"/>
                <w:sz w:val="24"/>
                <w:highlight w:val="none"/>
              </w:rPr>
            </w:pPr>
            <w:r>
              <w:rPr>
                <w:color w:val="auto"/>
                <w:sz w:val="24"/>
                <w:highlight w:val="none"/>
              </w:rPr>
              <w:t>建设项目</w:t>
            </w:r>
          </w:p>
          <w:p>
            <w:pPr>
              <w:adjustRightInd w:val="0"/>
              <w:snapToGrid w:val="0"/>
              <w:jc w:val="center"/>
              <w:rPr>
                <w:color w:val="auto"/>
                <w:sz w:val="24"/>
                <w:highlight w:val="none"/>
              </w:rPr>
            </w:pPr>
            <w:r>
              <w:rPr>
                <w:color w:val="auto"/>
                <w:sz w:val="24"/>
                <w:highlight w:val="none"/>
              </w:rPr>
              <w:t>申报情形</w:t>
            </w:r>
          </w:p>
        </w:tc>
        <w:tc>
          <w:tcPr>
            <w:tcW w:w="2639" w:type="dxa"/>
            <w:vAlign w:val="center"/>
          </w:tcPr>
          <w:p>
            <w:pPr>
              <w:jc w:val="left"/>
              <w:rPr>
                <w:color w:val="auto"/>
                <w:sz w:val="24"/>
                <w:highlight w:val="none"/>
              </w:rPr>
            </w:pPr>
            <w:r>
              <w:rPr>
                <w:rFonts w:hint="eastAsia"/>
                <w:color w:val="auto"/>
                <w:sz w:val="24"/>
                <w:highlight w:val="none"/>
              </w:rPr>
              <w:t>☑</w:t>
            </w:r>
            <w:r>
              <w:rPr>
                <w:color w:val="auto"/>
                <w:sz w:val="24"/>
                <w:highlight w:val="none"/>
              </w:rPr>
              <w:t xml:space="preserve">首次申报项目             </w:t>
            </w:r>
          </w:p>
          <w:p>
            <w:pPr>
              <w:jc w:val="left"/>
              <w:rPr>
                <w:color w:val="auto"/>
                <w:sz w:val="24"/>
                <w:highlight w:val="none"/>
              </w:rPr>
            </w:pPr>
            <w:r>
              <w:rPr>
                <w:color w:val="auto"/>
                <w:sz w:val="24"/>
                <w:highlight w:val="none"/>
              </w:rPr>
              <w:t>□不予批准后再次申报项目</w:t>
            </w:r>
          </w:p>
          <w:p>
            <w:pPr>
              <w:jc w:val="left"/>
              <w:rPr>
                <w:color w:val="auto"/>
                <w:sz w:val="24"/>
                <w:highlight w:val="none"/>
              </w:rPr>
            </w:pPr>
            <w:r>
              <w:rPr>
                <w:color w:val="auto"/>
                <w:sz w:val="24"/>
                <w:highlight w:val="none"/>
              </w:rPr>
              <w:t xml:space="preserve">□超五年重新审核项目     </w:t>
            </w:r>
          </w:p>
          <w:p>
            <w:pPr>
              <w:jc w:val="left"/>
              <w:rPr>
                <w:color w:val="auto"/>
                <w:sz w:val="24"/>
                <w:highlight w:val="none"/>
              </w:rPr>
            </w:pPr>
            <w:r>
              <w:rPr>
                <w:color w:val="auto"/>
                <w:sz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066"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项目审批（核准/</w:t>
            </w:r>
          </w:p>
          <w:p>
            <w:pPr>
              <w:adjustRightInd w:val="0"/>
              <w:snapToGrid w:val="0"/>
              <w:jc w:val="center"/>
              <w:rPr>
                <w:color w:val="auto"/>
                <w:sz w:val="24"/>
                <w:highlight w:val="none"/>
              </w:rPr>
            </w:pPr>
            <w:r>
              <w:rPr>
                <w:color w:val="auto"/>
                <w:sz w:val="24"/>
                <w:highlight w:val="none"/>
              </w:rPr>
              <w:t>备案）部门（选填）</w:t>
            </w:r>
          </w:p>
        </w:tc>
        <w:tc>
          <w:tcPr>
            <w:tcW w:w="1953" w:type="dxa"/>
            <w:vAlign w:val="center"/>
          </w:tcPr>
          <w:p>
            <w:pPr>
              <w:adjustRightInd w:val="0"/>
              <w:snapToGrid w:val="0"/>
              <w:jc w:val="center"/>
              <w:rPr>
                <w:rFonts w:hint="eastAsia" w:eastAsia="宋体"/>
                <w:color w:val="auto"/>
                <w:sz w:val="24"/>
                <w:highlight w:val="none"/>
                <w:lang w:val="en-US" w:eastAsia="zh-CN"/>
              </w:rPr>
            </w:pPr>
            <w:r>
              <w:rPr>
                <w:rFonts w:hint="eastAsia"/>
                <w:color w:val="auto"/>
                <w:sz w:val="24"/>
                <w:highlight w:val="none"/>
                <w:lang w:val="en-US" w:eastAsia="zh-CN"/>
              </w:rPr>
              <w:t>福建省发展和改革委员会</w:t>
            </w:r>
          </w:p>
        </w:tc>
        <w:tc>
          <w:tcPr>
            <w:tcW w:w="2212" w:type="dxa"/>
            <w:vAlign w:val="center"/>
          </w:tcPr>
          <w:p>
            <w:pPr>
              <w:adjustRightInd w:val="0"/>
              <w:snapToGrid w:val="0"/>
              <w:jc w:val="center"/>
              <w:rPr>
                <w:color w:val="auto"/>
                <w:sz w:val="24"/>
                <w:highlight w:val="none"/>
              </w:rPr>
            </w:pPr>
            <w:r>
              <w:rPr>
                <w:color w:val="auto"/>
                <w:sz w:val="24"/>
                <w:highlight w:val="none"/>
              </w:rPr>
              <w:t>项目审批（核准/</w:t>
            </w:r>
          </w:p>
          <w:p>
            <w:pPr>
              <w:adjustRightInd w:val="0"/>
              <w:snapToGrid w:val="0"/>
              <w:jc w:val="center"/>
              <w:rPr>
                <w:color w:val="auto"/>
                <w:sz w:val="24"/>
                <w:highlight w:val="none"/>
              </w:rPr>
            </w:pPr>
            <w:r>
              <w:rPr>
                <w:color w:val="auto"/>
                <w:sz w:val="24"/>
                <w:highlight w:val="none"/>
              </w:rPr>
              <w:t>备案）文号（选填）</w:t>
            </w:r>
          </w:p>
        </w:tc>
        <w:tc>
          <w:tcPr>
            <w:tcW w:w="2639" w:type="dxa"/>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省发改网审社会函[2022]199号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66"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总投资（万元）</w:t>
            </w:r>
          </w:p>
        </w:tc>
        <w:tc>
          <w:tcPr>
            <w:tcW w:w="1953" w:type="dxa"/>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rPr>
              <w:t>20</w:t>
            </w:r>
            <w:r>
              <w:rPr>
                <w:rFonts w:hint="eastAsia"/>
                <w:color w:val="auto"/>
                <w:sz w:val="24"/>
                <w:highlight w:val="none"/>
                <w:lang w:val="en-US" w:eastAsia="zh-CN"/>
              </w:rPr>
              <w:t>116.39</w:t>
            </w:r>
          </w:p>
        </w:tc>
        <w:tc>
          <w:tcPr>
            <w:tcW w:w="2212"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环保投资（万元）</w:t>
            </w:r>
          </w:p>
        </w:tc>
        <w:tc>
          <w:tcPr>
            <w:tcW w:w="2639" w:type="dxa"/>
            <w:vAlign w:val="center"/>
          </w:tcPr>
          <w:p>
            <w:pPr>
              <w:adjustRightInd w:val="0"/>
              <w:snapToGrid w:val="0"/>
              <w:jc w:val="center"/>
              <w:rPr>
                <w:color w:val="auto"/>
                <w:sz w:val="24"/>
                <w:highlight w:val="none"/>
              </w:rPr>
            </w:pPr>
            <w:r>
              <w:rPr>
                <w:rFonts w:hint="eastAsia"/>
                <w:color w:val="auto"/>
                <w:sz w:val="24"/>
                <w:highlight w:val="none"/>
              </w:rPr>
              <w:t>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66"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环保投资占比（%）</w:t>
            </w:r>
          </w:p>
        </w:tc>
        <w:tc>
          <w:tcPr>
            <w:tcW w:w="1953" w:type="dxa"/>
            <w:vAlign w:val="center"/>
          </w:tcPr>
          <w:p>
            <w:pPr>
              <w:adjustRightInd w:val="0"/>
              <w:snapToGrid w:val="0"/>
              <w:jc w:val="center"/>
              <w:rPr>
                <w:color w:val="auto"/>
                <w:sz w:val="24"/>
                <w:highlight w:val="none"/>
              </w:rPr>
            </w:pPr>
            <w:r>
              <w:rPr>
                <w:rFonts w:hint="eastAsia"/>
                <w:color w:val="auto"/>
                <w:sz w:val="24"/>
                <w:highlight w:val="none"/>
              </w:rPr>
              <w:t>0.7%</w:t>
            </w:r>
          </w:p>
        </w:tc>
        <w:tc>
          <w:tcPr>
            <w:tcW w:w="2212"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施工工期</w:t>
            </w:r>
          </w:p>
        </w:tc>
        <w:tc>
          <w:tcPr>
            <w:tcW w:w="2639" w:type="dxa"/>
            <w:vAlign w:val="center"/>
          </w:tcPr>
          <w:p>
            <w:pPr>
              <w:adjustRightInd w:val="0"/>
              <w:snapToGrid w:val="0"/>
              <w:jc w:val="center"/>
              <w:rPr>
                <w:color w:val="auto"/>
                <w:sz w:val="24"/>
                <w:highlight w:val="none"/>
              </w:rPr>
            </w:pPr>
            <w:r>
              <w:rPr>
                <w:rFonts w:hint="eastAsia"/>
                <w:color w:val="auto"/>
                <w:sz w:val="24"/>
                <w:highlight w:val="none"/>
              </w:rPr>
              <w:t>2年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66"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是否开工建设</w:t>
            </w:r>
          </w:p>
        </w:tc>
        <w:tc>
          <w:tcPr>
            <w:tcW w:w="1953" w:type="dxa"/>
            <w:vAlign w:val="center"/>
          </w:tcPr>
          <w:p>
            <w:pPr>
              <w:adjustRightInd w:val="0"/>
              <w:snapToGrid w:val="0"/>
              <w:rPr>
                <w:color w:val="auto"/>
                <w:sz w:val="24"/>
                <w:highlight w:val="none"/>
              </w:rPr>
            </w:pPr>
            <w:r>
              <w:rPr>
                <w:color w:val="auto"/>
                <w:sz w:val="24"/>
                <w:highlight w:val="none"/>
              </w:rPr>
              <w:sym w:font="Wingdings 2" w:char="0052"/>
            </w:r>
            <w:r>
              <w:rPr>
                <w:color w:val="auto"/>
                <w:sz w:val="24"/>
                <w:highlight w:val="none"/>
              </w:rPr>
              <w:t>否</w:t>
            </w:r>
          </w:p>
          <w:p>
            <w:pPr>
              <w:adjustRightInd w:val="0"/>
              <w:snapToGrid w:val="0"/>
              <w:rPr>
                <w:color w:val="auto"/>
                <w:sz w:val="24"/>
                <w:highlight w:val="none"/>
              </w:rPr>
            </w:pPr>
            <w:r>
              <w:rPr>
                <w:rFonts w:hint="eastAsia"/>
                <w:color w:val="auto"/>
                <w:sz w:val="24"/>
                <w:highlight w:val="none"/>
              </w:rPr>
              <w:t>□</w:t>
            </w:r>
            <w:r>
              <w:rPr>
                <w:color w:val="auto"/>
                <w:sz w:val="24"/>
                <w:highlight w:val="none"/>
              </w:rPr>
              <w:t>是</w:t>
            </w:r>
          </w:p>
        </w:tc>
        <w:tc>
          <w:tcPr>
            <w:tcW w:w="2212" w:type="dxa"/>
            <w:tcMar>
              <w:top w:w="16" w:type="dxa"/>
              <w:left w:w="16" w:type="dxa"/>
              <w:right w:w="16" w:type="dxa"/>
            </w:tcMar>
            <w:vAlign w:val="center"/>
          </w:tcPr>
          <w:p>
            <w:pPr>
              <w:adjustRightInd w:val="0"/>
              <w:snapToGrid w:val="0"/>
              <w:jc w:val="center"/>
              <w:rPr>
                <w:color w:val="auto"/>
                <w:sz w:val="24"/>
                <w:highlight w:val="none"/>
              </w:rPr>
            </w:pPr>
            <w:r>
              <w:rPr>
                <w:color w:val="auto"/>
                <w:spacing w:val="-6"/>
                <w:sz w:val="24"/>
                <w:highlight w:val="none"/>
              </w:rPr>
              <w:t>用地面积（m</w:t>
            </w:r>
            <w:r>
              <w:rPr>
                <w:color w:val="auto"/>
                <w:spacing w:val="-6"/>
                <w:sz w:val="24"/>
                <w:highlight w:val="none"/>
                <w:vertAlign w:val="superscript"/>
              </w:rPr>
              <w:t>2</w:t>
            </w:r>
            <w:r>
              <w:rPr>
                <w:color w:val="auto"/>
                <w:spacing w:val="-6"/>
                <w:sz w:val="24"/>
                <w:highlight w:val="none"/>
              </w:rPr>
              <w:t>）</w:t>
            </w:r>
          </w:p>
        </w:tc>
        <w:tc>
          <w:tcPr>
            <w:tcW w:w="2639" w:type="dxa"/>
            <w:vAlign w:val="center"/>
          </w:tcPr>
          <w:p>
            <w:pPr>
              <w:adjustRightInd w:val="0"/>
              <w:snapToGrid w:val="0"/>
              <w:jc w:val="center"/>
              <w:rPr>
                <w:color w:val="auto"/>
                <w:sz w:val="24"/>
                <w:highlight w:val="none"/>
              </w:rPr>
            </w:pPr>
            <w:r>
              <w:rPr>
                <w:rFonts w:hint="eastAsia"/>
                <w:color w:val="auto"/>
                <w:sz w:val="24"/>
                <w:highlight w:val="none"/>
              </w:rPr>
              <w:t>34810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66" w:type="dxa"/>
            <w:vAlign w:val="center"/>
          </w:tcPr>
          <w:p>
            <w:pPr>
              <w:autoSpaceDE w:val="0"/>
              <w:autoSpaceDN w:val="0"/>
              <w:adjustRightInd w:val="0"/>
              <w:snapToGrid w:val="0"/>
              <w:jc w:val="center"/>
              <w:rPr>
                <w:color w:val="auto"/>
                <w:kern w:val="0"/>
                <w:sz w:val="24"/>
                <w:highlight w:val="none"/>
              </w:rPr>
            </w:pPr>
            <w:r>
              <w:rPr>
                <w:color w:val="auto"/>
                <w:kern w:val="0"/>
                <w:sz w:val="24"/>
                <w:highlight w:val="none"/>
              </w:rPr>
              <w:t>专项评价设置情况</w:t>
            </w:r>
          </w:p>
        </w:tc>
        <w:tc>
          <w:tcPr>
            <w:tcW w:w="6804" w:type="dxa"/>
            <w:gridSpan w:val="3"/>
            <w:vAlign w:val="center"/>
          </w:tcPr>
          <w:p>
            <w:pPr>
              <w:adjustRightInd w:val="0"/>
              <w:snapToGrid w:val="0"/>
              <w:spacing w:line="360" w:lineRule="auto"/>
              <w:ind w:firstLine="480" w:firstLineChars="200"/>
              <w:rPr>
                <w:color w:val="auto"/>
                <w:sz w:val="24"/>
                <w:szCs w:val="32"/>
              </w:rPr>
            </w:pPr>
            <w:r>
              <w:rPr>
                <w:rFonts w:hint="eastAsia"/>
                <w:color w:val="auto"/>
                <w:sz w:val="24"/>
                <w:szCs w:val="32"/>
              </w:rPr>
              <w:t>项目从事</w:t>
            </w:r>
            <w:r>
              <w:rPr>
                <w:rFonts w:hint="eastAsia"/>
                <w:color w:val="auto"/>
                <w:sz w:val="24"/>
                <w:highlight w:val="none"/>
              </w:rPr>
              <w:t>普通高等教育</w:t>
            </w:r>
            <w:r>
              <w:rPr>
                <w:rFonts w:hint="eastAsia"/>
                <w:color w:val="auto"/>
                <w:sz w:val="24"/>
                <w:szCs w:val="32"/>
              </w:rPr>
              <w:t>，</w:t>
            </w:r>
            <w:r>
              <w:rPr>
                <w:rFonts w:hint="eastAsia"/>
                <w:color w:val="auto"/>
                <w:sz w:val="24"/>
                <w:szCs w:val="32"/>
                <w:lang w:eastAsia="zh-CN"/>
              </w:rPr>
              <w:t>根据《建设项目环境影响评价分类管理名录》（</w:t>
            </w:r>
            <w:r>
              <w:rPr>
                <w:rFonts w:hint="eastAsia"/>
                <w:color w:val="auto"/>
                <w:sz w:val="24"/>
                <w:szCs w:val="32"/>
                <w:lang w:val="en-US" w:eastAsia="zh-CN"/>
              </w:rPr>
              <w:t>2021年版）</w:t>
            </w:r>
            <w:r>
              <w:rPr>
                <w:rFonts w:hint="eastAsia"/>
                <w:color w:val="auto"/>
                <w:sz w:val="24"/>
                <w:szCs w:val="32"/>
                <w:lang w:eastAsia="zh-CN"/>
              </w:rPr>
              <w:t>，本项目属于</w:t>
            </w:r>
            <w:r>
              <w:rPr>
                <w:rFonts w:hint="eastAsia"/>
                <w:color w:val="auto"/>
                <w:sz w:val="24"/>
                <w:highlight w:val="none"/>
              </w:rPr>
              <w:t>有化学、生物实验室的学校</w:t>
            </w:r>
            <w:r>
              <w:rPr>
                <w:rFonts w:hint="eastAsia"/>
                <w:color w:val="auto"/>
                <w:sz w:val="24"/>
                <w:szCs w:val="32"/>
                <w:lang w:val="en-US" w:eastAsia="zh-CN"/>
              </w:rPr>
              <w:t>，应编制环境影响报告表。</w:t>
            </w:r>
            <w:r>
              <w:rPr>
                <w:rFonts w:hint="eastAsia"/>
                <w:color w:val="auto"/>
                <w:sz w:val="24"/>
                <w:szCs w:val="32"/>
                <w:lang w:eastAsia="zh-CN"/>
              </w:rPr>
              <w:t>项目专项评价设置情况如下表所示，根据下表，本项目无需设置专项评价</w:t>
            </w:r>
            <w:r>
              <w:rPr>
                <w:rFonts w:hint="eastAsia"/>
                <w:color w:val="auto"/>
                <w:sz w:val="24"/>
                <w:szCs w:val="32"/>
              </w:rPr>
              <w:t>。</w:t>
            </w:r>
          </w:p>
          <w:p>
            <w:pPr>
              <w:pStyle w:val="32"/>
              <w:rPr>
                <w:color w:val="auto"/>
              </w:rPr>
            </w:pPr>
            <w:r>
              <w:rPr>
                <w:rFonts w:hint="eastAsia"/>
                <w:color w:val="auto"/>
              </w:rPr>
              <w:t xml:space="preserve">表1.1.1 </w:t>
            </w:r>
            <w:r>
              <w:rPr>
                <w:color w:val="auto"/>
              </w:rPr>
              <w:t>专项评价设置原则表</w:t>
            </w:r>
          </w:p>
          <w:tbl>
            <w:tblPr>
              <w:tblStyle w:val="19"/>
              <w:tblW w:w="6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3070"/>
              <w:gridCol w:w="1533"/>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021" w:type="dxa"/>
                  <w:tcBorders>
                    <w:tl2br w:val="nil"/>
                    <w:tr2bl w:val="nil"/>
                  </w:tcBorders>
                  <w:vAlign w:val="center"/>
                </w:tcPr>
                <w:p>
                  <w:pPr>
                    <w:pStyle w:val="30"/>
                    <w:rPr>
                      <w:color w:val="auto"/>
                    </w:rPr>
                  </w:pPr>
                  <w:r>
                    <w:rPr>
                      <w:color w:val="auto"/>
                    </w:rPr>
                    <w:t>专项评价的类别</w:t>
                  </w:r>
                </w:p>
              </w:tc>
              <w:tc>
                <w:tcPr>
                  <w:tcW w:w="3070" w:type="dxa"/>
                  <w:tcBorders>
                    <w:tl2br w:val="nil"/>
                    <w:tr2bl w:val="nil"/>
                  </w:tcBorders>
                  <w:vAlign w:val="center"/>
                </w:tcPr>
                <w:p>
                  <w:pPr>
                    <w:pStyle w:val="30"/>
                    <w:rPr>
                      <w:color w:val="auto"/>
                    </w:rPr>
                  </w:pPr>
                  <w:r>
                    <w:rPr>
                      <w:rFonts w:hint="eastAsia"/>
                      <w:color w:val="auto"/>
                    </w:rPr>
                    <w:t>涉及项目类别</w:t>
                  </w:r>
                </w:p>
              </w:tc>
              <w:tc>
                <w:tcPr>
                  <w:tcW w:w="1533" w:type="dxa"/>
                  <w:tcBorders>
                    <w:tl2br w:val="nil"/>
                    <w:tr2bl w:val="nil"/>
                  </w:tcBorders>
                  <w:vAlign w:val="center"/>
                </w:tcPr>
                <w:p>
                  <w:pPr>
                    <w:pStyle w:val="30"/>
                    <w:rPr>
                      <w:color w:val="auto"/>
                    </w:rPr>
                  </w:pPr>
                  <w:r>
                    <w:rPr>
                      <w:color w:val="auto"/>
                    </w:rPr>
                    <w:t>项目情况</w:t>
                  </w:r>
                </w:p>
              </w:tc>
              <w:tc>
                <w:tcPr>
                  <w:tcW w:w="907" w:type="dxa"/>
                  <w:tcBorders>
                    <w:tl2br w:val="nil"/>
                    <w:tr2bl w:val="nil"/>
                  </w:tcBorders>
                  <w:vAlign w:val="center"/>
                </w:tcPr>
                <w:p>
                  <w:pPr>
                    <w:pStyle w:val="30"/>
                    <w:jc w:val="both"/>
                    <w:rPr>
                      <w:rFonts w:hint="eastAsia" w:eastAsia="宋体"/>
                      <w:color w:val="auto"/>
                      <w:lang w:eastAsia="zh-CN"/>
                    </w:rPr>
                  </w:pPr>
                  <w:r>
                    <w:rPr>
                      <w:rFonts w:hint="eastAsia"/>
                      <w:color w:val="auto"/>
                      <w:lang w:eastAsia="zh-CN"/>
                    </w:rPr>
                    <w:t>是否设置专项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21" w:type="dxa"/>
                  <w:tcBorders>
                    <w:tl2br w:val="nil"/>
                    <w:tr2bl w:val="nil"/>
                  </w:tcBorders>
                  <w:vAlign w:val="center"/>
                </w:tcPr>
                <w:p>
                  <w:pPr>
                    <w:pStyle w:val="30"/>
                    <w:rPr>
                      <w:color w:val="auto"/>
                    </w:rPr>
                  </w:pPr>
                  <w:r>
                    <w:rPr>
                      <w:rFonts w:hint="eastAsia"/>
                      <w:color w:val="auto"/>
                    </w:rPr>
                    <w:t>大气</w:t>
                  </w:r>
                </w:p>
              </w:tc>
              <w:tc>
                <w:tcPr>
                  <w:tcW w:w="3070" w:type="dxa"/>
                  <w:tcBorders>
                    <w:tl2br w:val="nil"/>
                    <w:tr2bl w:val="nil"/>
                  </w:tcBorders>
                  <w:vAlign w:val="center"/>
                </w:tcPr>
                <w:p>
                  <w:pPr>
                    <w:pStyle w:val="30"/>
                    <w:rPr>
                      <w:color w:val="auto"/>
                    </w:rPr>
                  </w:pPr>
                  <w:r>
                    <w:rPr>
                      <w:color w:val="auto"/>
                    </w:rPr>
                    <w:t>排放废气含有毒有害污染物、二噁英、苯并[a]芘、氰化物、氯气且厂界外500米范围内有环境空气保护目标的建设项目</w:t>
                  </w:r>
                </w:p>
              </w:tc>
              <w:tc>
                <w:tcPr>
                  <w:tcW w:w="1533" w:type="dxa"/>
                  <w:tcBorders>
                    <w:tl2br w:val="nil"/>
                    <w:tr2bl w:val="nil"/>
                  </w:tcBorders>
                  <w:vAlign w:val="center"/>
                </w:tcPr>
                <w:p>
                  <w:pPr>
                    <w:pStyle w:val="30"/>
                    <w:rPr>
                      <w:color w:val="auto"/>
                    </w:rPr>
                  </w:pPr>
                  <w:r>
                    <w:rPr>
                      <w:rFonts w:hint="eastAsia"/>
                      <w:color w:val="auto"/>
                    </w:rPr>
                    <w:t>本项目不排放</w:t>
                  </w:r>
                  <w:r>
                    <w:rPr>
                      <w:color w:val="auto"/>
                    </w:rPr>
                    <w:t>二噁英、苯并[a]芘、氰化物、氯气</w:t>
                  </w:r>
                  <w:r>
                    <w:rPr>
                      <w:rFonts w:hint="eastAsia"/>
                      <w:color w:val="auto"/>
                      <w:lang w:eastAsia="zh-CN"/>
                    </w:rPr>
                    <w:t>、</w:t>
                  </w:r>
                  <w:r>
                    <w:rPr>
                      <w:rFonts w:hint="eastAsia"/>
                      <w:color w:val="auto"/>
                    </w:rPr>
                    <w:t>有毒有害污染物</w:t>
                  </w:r>
                </w:p>
              </w:tc>
              <w:tc>
                <w:tcPr>
                  <w:tcW w:w="907" w:type="dxa"/>
                  <w:tcBorders>
                    <w:tl2br w:val="nil"/>
                    <w:tr2bl w:val="nil"/>
                  </w:tcBorders>
                  <w:vAlign w:val="center"/>
                </w:tcPr>
                <w:p>
                  <w:pPr>
                    <w:pStyle w:val="30"/>
                    <w:jc w:val="both"/>
                    <w:rPr>
                      <w:rFonts w:hint="eastAsia" w:eastAsia="宋体"/>
                      <w:color w:val="auto"/>
                      <w:lang w:eastAsia="zh-CN"/>
                    </w:rPr>
                  </w:pPr>
                  <w:r>
                    <w:rPr>
                      <w:rFonts w:hint="eastAsia"/>
                      <w:color w:val="auto"/>
                      <w:lang w:eastAsia="zh-CN"/>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21" w:type="dxa"/>
                  <w:tcBorders>
                    <w:tl2br w:val="nil"/>
                    <w:tr2bl w:val="nil"/>
                  </w:tcBorders>
                  <w:vAlign w:val="center"/>
                </w:tcPr>
                <w:p>
                  <w:pPr>
                    <w:pStyle w:val="30"/>
                    <w:rPr>
                      <w:color w:val="auto"/>
                    </w:rPr>
                  </w:pPr>
                  <w:r>
                    <w:rPr>
                      <w:rFonts w:hint="eastAsia"/>
                      <w:color w:val="auto"/>
                    </w:rPr>
                    <w:t>地表水</w:t>
                  </w:r>
                </w:p>
              </w:tc>
              <w:tc>
                <w:tcPr>
                  <w:tcW w:w="3070" w:type="dxa"/>
                  <w:tcBorders>
                    <w:tl2br w:val="nil"/>
                    <w:tr2bl w:val="nil"/>
                  </w:tcBorders>
                  <w:vAlign w:val="center"/>
                </w:tcPr>
                <w:p>
                  <w:pPr>
                    <w:pStyle w:val="30"/>
                    <w:rPr>
                      <w:color w:val="auto"/>
                    </w:rPr>
                  </w:pPr>
                  <w:r>
                    <w:rPr>
                      <w:color w:val="auto"/>
                    </w:rPr>
                    <w:t>新增工业废水直排建设项目（槽罐车外送污水处理厂的除外）；新增废水直排的污水集中处理厂</w:t>
                  </w:r>
                </w:p>
              </w:tc>
              <w:tc>
                <w:tcPr>
                  <w:tcW w:w="1533" w:type="dxa"/>
                  <w:tcBorders>
                    <w:tl2br w:val="nil"/>
                    <w:tr2bl w:val="nil"/>
                  </w:tcBorders>
                  <w:vAlign w:val="center"/>
                </w:tcPr>
                <w:p>
                  <w:pPr>
                    <w:pStyle w:val="30"/>
                    <w:rPr>
                      <w:color w:val="auto"/>
                    </w:rPr>
                  </w:pPr>
                  <w:r>
                    <w:rPr>
                      <w:rFonts w:hint="eastAsia"/>
                      <w:color w:val="auto"/>
                    </w:rPr>
                    <w:t>本项目</w:t>
                  </w:r>
                  <w:r>
                    <w:rPr>
                      <w:rFonts w:hint="eastAsia"/>
                      <w:color w:val="auto"/>
                      <w:lang w:eastAsia="zh-CN"/>
                    </w:rPr>
                    <w:t>废水经预处理后接入大学城污水处理厂处理，不直接排放</w:t>
                  </w:r>
                </w:p>
              </w:tc>
              <w:tc>
                <w:tcPr>
                  <w:tcW w:w="907" w:type="dxa"/>
                  <w:tcBorders>
                    <w:tl2br w:val="nil"/>
                    <w:tr2bl w:val="nil"/>
                  </w:tcBorders>
                  <w:vAlign w:val="center"/>
                </w:tcPr>
                <w:p>
                  <w:pPr>
                    <w:pStyle w:val="30"/>
                    <w:jc w:val="both"/>
                    <w:rPr>
                      <w:rFonts w:hint="eastAsia" w:eastAsia="宋体"/>
                      <w:color w:val="auto"/>
                      <w:lang w:eastAsia="zh-CN"/>
                    </w:rPr>
                  </w:pPr>
                  <w:r>
                    <w:rPr>
                      <w:rFonts w:hint="eastAsia"/>
                      <w:color w:val="auto"/>
                      <w:lang w:eastAsia="zh-CN"/>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021" w:type="dxa"/>
                  <w:tcBorders>
                    <w:tl2br w:val="nil"/>
                    <w:tr2bl w:val="nil"/>
                  </w:tcBorders>
                  <w:vAlign w:val="center"/>
                </w:tcPr>
                <w:p>
                  <w:pPr>
                    <w:pStyle w:val="30"/>
                    <w:rPr>
                      <w:color w:val="auto"/>
                    </w:rPr>
                  </w:pPr>
                  <w:r>
                    <w:rPr>
                      <w:rFonts w:hint="eastAsia"/>
                      <w:color w:val="auto"/>
                    </w:rPr>
                    <w:t>环境风险</w:t>
                  </w:r>
                </w:p>
              </w:tc>
              <w:tc>
                <w:tcPr>
                  <w:tcW w:w="3070" w:type="dxa"/>
                  <w:tcBorders>
                    <w:tl2br w:val="nil"/>
                    <w:tr2bl w:val="nil"/>
                  </w:tcBorders>
                  <w:vAlign w:val="center"/>
                </w:tcPr>
                <w:p>
                  <w:pPr>
                    <w:pStyle w:val="30"/>
                    <w:rPr>
                      <w:color w:val="auto"/>
                    </w:rPr>
                  </w:pPr>
                  <w:r>
                    <w:rPr>
                      <w:color w:val="auto"/>
                    </w:rPr>
                    <w:t>有毒有害和易燃易爆危险物质存储量超过临界量的建设项目</w:t>
                  </w:r>
                </w:p>
              </w:tc>
              <w:tc>
                <w:tcPr>
                  <w:tcW w:w="1533" w:type="dxa"/>
                  <w:tcBorders>
                    <w:tl2br w:val="nil"/>
                    <w:tr2bl w:val="nil"/>
                  </w:tcBorders>
                  <w:vAlign w:val="center"/>
                </w:tcPr>
                <w:p>
                  <w:pPr>
                    <w:pStyle w:val="30"/>
                    <w:rPr>
                      <w:rFonts w:hint="eastAsia" w:eastAsia="宋体"/>
                      <w:color w:val="auto"/>
                      <w:lang w:eastAsia="zh-CN"/>
                    </w:rPr>
                  </w:pPr>
                  <w:r>
                    <w:rPr>
                      <w:rFonts w:hint="eastAsia"/>
                      <w:color w:val="auto"/>
                    </w:rPr>
                    <w:t>本项目有毒有害和易燃易爆危险物质储存</w:t>
                  </w:r>
                  <w:r>
                    <w:rPr>
                      <w:rFonts w:hint="eastAsia"/>
                      <w:color w:val="auto"/>
                      <w:lang w:eastAsia="zh-CN"/>
                    </w:rPr>
                    <w:t>量未超过临界量</w:t>
                  </w:r>
                </w:p>
              </w:tc>
              <w:tc>
                <w:tcPr>
                  <w:tcW w:w="907" w:type="dxa"/>
                  <w:tcBorders>
                    <w:tl2br w:val="nil"/>
                    <w:tr2bl w:val="nil"/>
                  </w:tcBorders>
                  <w:vAlign w:val="center"/>
                </w:tcPr>
                <w:p>
                  <w:pPr>
                    <w:pStyle w:val="30"/>
                    <w:jc w:val="both"/>
                    <w:rPr>
                      <w:rFonts w:hint="eastAsia"/>
                      <w:color w:val="auto"/>
                    </w:rPr>
                  </w:pPr>
                  <w:r>
                    <w:rPr>
                      <w:rFonts w:hint="eastAsia"/>
                      <w:color w:val="auto"/>
                      <w:lang w:eastAsia="zh-CN"/>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021" w:type="dxa"/>
                  <w:tcBorders>
                    <w:tl2br w:val="nil"/>
                    <w:tr2bl w:val="nil"/>
                  </w:tcBorders>
                  <w:vAlign w:val="center"/>
                </w:tcPr>
                <w:p>
                  <w:pPr>
                    <w:pStyle w:val="30"/>
                    <w:rPr>
                      <w:color w:val="auto"/>
                    </w:rPr>
                  </w:pPr>
                  <w:r>
                    <w:rPr>
                      <w:rFonts w:hint="eastAsia"/>
                      <w:color w:val="auto"/>
                    </w:rPr>
                    <w:t>生态</w:t>
                  </w:r>
                </w:p>
              </w:tc>
              <w:tc>
                <w:tcPr>
                  <w:tcW w:w="3070" w:type="dxa"/>
                  <w:tcBorders>
                    <w:tl2br w:val="nil"/>
                    <w:tr2bl w:val="nil"/>
                  </w:tcBorders>
                  <w:vAlign w:val="center"/>
                </w:tcPr>
                <w:p>
                  <w:pPr>
                    <w:pStyle w:val="30"/>
                    <w:rPr>
                      <w:color w:val="auto"/>
                    </w:rPr>
                  </w:pPr>
                  <w:r>
                    <w:rPr>
                      <w:color w:val="auto"/>
                    </w:rPr>
                    <w:t>取水口下游 500 米范围内有重要水生生物的自然产卵场、索饵场、越冬场和洄游通道的新增河道取水的污染类建设项目</w:t>
                  </w:r>
                </w:p>
              </w:tc>
              <w:tc>
                <w:tcPr>
                  <w:tcW w:w="1533" w:type="dxa"/>
                  <w:tcBorders>
                    <w:tl2br w:val="nil"/>
                    <w:tr2bl w:val="nil"/>
                  </w:tcBorders>
                  <w:vAlign w:val="center"/>
                </w:tcPr>
                <w:p>
                  <w:pPr>
                    <w:pStyle w:val="30"/>
                    <w:rPr>
                      <w:color w:val="auto"/>
                    </w:rPr>
                  </w:pPr>
                  <w:r>
                    <w:rPr>
                      <w:rFonts w:hint="eastAsia"/>
                      <w:color w:val="auto"/>
                    </w:rPr>
                    <w:t>本项目不新增河道取水</w:t>
                  </w:r>
                </w:p>
              </w:tc>
              <w:tc>
                <w:tcPr>
                  <w:tcW w:w="907" w:type="dxa"/>
                  <w:tcBorders>
                    <w:tl2br w:val="nil"/>
                    <w:tr2bl w:val="nil"/>
                  </w:tcBorders>
                  <w:vAlign w:val="center"/>
                </w:tcPr>
                <w:p>
                  <w:pPr>
                    <w:pStyle w:val="30"/>
                    <w:jc w:val="both"/>
                    <w:rPr>
                      <w:rFonts w:hint="eastAsia"/>
                      <w:color w:val="auto"/>
                    </w:rPr>
                  </w:pPr>
                  <w:r>
                    <w:rPr>
                      <w:rFonts w:hint="eastAsia"/>
                      <w:color w:val="auto"/>
                      <w:lang w:eastAsia="zh-CN"/>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1" w:type="dxa"/>
                  <w:tcBorders>
                    <w:tl2br w:val="nil"/>
                    <w:tr2bl w:val="nil"/>
                  </w:tcBorders>
                  <w:vAlign w:val="center"/>
                </w:tcPr>
                <w:p>
                  <w:pPr>
                    <w:pStyle w:val="30"/>
                    <w:rPr>
                      <w:color w:val="auto"/>
                    </w:rPr>
                  </w:pPr>
                  <w:r>
                    <w:rPr>
                      <w:rFonts w:hint="eastAsia"/>
                      <w:color w:val="auto"/>
                    </w:rPr>
                    <w:t>海洋</w:t>
                  </w:r>
                </w:p>
              </w:tc>
              <w:tc>
                <w:tcPr>
                  <w:tcW w:w="3070" w:type="dxa"/>
                  <w:tcBorders>
                    <w:tl2br w:val="nil"/>
                    <w:tr2bl w:val="nil"/>
                  </w:tcBorders>
                  <w:vAlign w:val="center"/>
                </w:tcPr>
                <w:p>
                  <w:pPr>
                    <w:pStyle w:val="30"/>
                    <w:rPr>
                      <w:color w:val="auto"/>
                    </w:rPr>
                  </w:pPr>
                  <w:r>
                    <w:rPr>
                      <w:color w:val="auto"/>
                    </w:rPr>
                    <w:t>直接向海排放污染物的海洋工程建设项目</w:t>
                  </w:r>
                </w:p>
              </w:tc>
              <w:tc>
                <w:tcPr>
                  <w:tcW w:w="1533" w:type="dxa"/>
                  <w:tcBorders>
                    <w:tl2br w:val="nil"/>
                    <w:tr2bl w:val="nil"/>
                  </w:tcBorders>
                  <w:vAlign w:val="center"/>
                </w:tcPr>
                <w:p>
                  <w:pPr>
                    <w:pStyle w:val="30"/>
                    <w:rPr>
                      <w:color w:val="auto"/>
                    </w:rPr>
                  </w:pPr>
                  <w:r>
                    <w:rPr>
                      <w:rFonts w:hint="eastAsia"/>
                      <w:color w:val="auto"/>
                    </w:rPr>
                    <w:t>本项目未向海直接排放污染物</w:t>
                  </w:r>
                </w:p>
              </w:tc>
              <w:tc>
                <w:tcPr>
                  <w:tcW w:w="907" w:type="dxa"/>
                  <w:tcBorders>
                    <w:tl2br w:val="nil"/>
                    <w:tr2bl w:val="nil"/>
                  </w:tcBorders>
                  <w:vAlign w:val="center"/>
                </w:tcPr>
                <w:p>
                  <w:pPr>
                    <w:pStyle w:val="30"/>
                    <w:jc w:val="both"/>
                    <w:rPr>
                      <w:rFonts w:hint="eastAsia"/>
                      <w:color w:val="auto"/>
                    </w:rPr>
                  </w:pPr>
                  <w:r>
                    <w:rPr>
                      <w:rFonts w:hint="eastAsia"/>
                      <w:color w:val="auto"/>
                      <w:lang w:eastAsia="zh-CN"/>
                    </w:rPr>
                    <w:t>不设置</w:t>
                  </w:r>
                </w:p>
              </w:tc>
            </w:tr>
          </w:tbl>
          <w:p>
            <w:pPr>
              <w:autoSpaceDE w:val="0"/>
              <w:autoSpaceDN w:val="0"/>
              <w:adjustRightInd w:val="0"/>
              <w:snapToGrid w:val="0"/>
              <w:jc w:val="center"/>
              <w:rPr>
                <w:color w:val="auto"/>
                <w:kern w:val="0"/>
                <w:sz w:val="24"/>
                <w:highlight w:val="none"/>
              </w:rPr>
            </w:pPr>
            <w:r>
              <w:rPr>
                <w:rFonts w:hint="eastAsia"/>
                <w:color w:val="auto"/>
                <w:kern w:val="0"/>
                <w:sz w:val="24"/>
                <w:highlight w:val="non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66" w:type="dxa"/>
            <w:vAlign w:val="center"/>
          </w:tcPr>
          <w:p>
            <w:pPr>
              <w:autoSpaceDE w:val="0"/>
              <w:autoSpaceDN w:val="0"/>
              <w:adjustRightInd w:val="0"/>
              <w:snapToGrid w:val="0"/>
              <w:jc w:val="center"/>
              <w:rPr>
                <w:color w:val="auto"/>
                <w:kern w:val="0"/>
                <w:sz w:val="24"/>
                <w:highlight w:val="none"/>
              </w:rPr>
            </w:pPr>
            <w:r>
              <w:rPr>
                <w:color w:val="auto"/>
                <w:sz w:val="24"/>
                <w:highlight w:val="none"/>
              </w:rPr>
              <w:t>规划情况</w:t>
            </w:r>
          </w:p>
        </w:tc>
        <w:tc>
          <w:tcPr>
            <w:tcW w:w="6804" w:type="dxa"/>
            <w:gridSpan w:val="3"/>
            <w:vAlign w:val="center"/>
          </w:tcPr>
          <w:p>
            <w:pPr>
              <w:pStyle w:val="27"/>
              <w:spacing w:line="360" w:lineRule="auto"/>
              <w:jc w:val="center"/>
              <w:rPr>
                <w:rFonts w:hint="default" w:ascii="Times New Roman" w:hAnsi="Times New Roman" w:eastAsia="宋体"/>
                <w:color w:val="auto"/>
                <w:kern w:val="2"/>
                <w:szCs w:val="24"/>
                <w:highlight w:val="none"/>
              </w:rPr>
            </w:pPr>
            <w:r>
              <w:rPr>
                <w:rFonts w:ascii="Times New Roman" w:hAnsi="Times New Roman" w:eastAsia="宋体"/>
                <w:color w:val="auto"/>
                <w:kern w:val="2"/>
                <w:szCs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66" w:type="dxa"/>
            <w:vAlign w:val="center"/>
          </w:tcPr>
          <w:p>
            <w:pPr>
              <w:adjustRightInd w:val="0"/>
              <w:snapToGrid w:val="0"/>
              <w:jc w:val="center"/>
              <w:rPr>
                <w:color w:val="auto"/>
                <w:sz w:val="24"/>
                <w:highlight w:val="none"/>
              </w:rPr>
            </w:pPr>
            <w:r>
              <w:rPr>
                <w:color w:val="auto"/>
                <w:sz w:val="24"/>
                <w:highlight w:val="none"/>
              </w:rPr>
              <w:t>规划环境影响</w:t>
            </w:r>
          </w:p>
          <w:p>
            <w:pPr>
              <w:adjustRightInd w:val="0"/>
              <w:snapToGrid w:val="0"/>
              <w:jc w:val="center"/>
              <w:rPr>
                <w:color w:val="auto"/>
                <w:kern w:val="0"/>
                <w:sz w:val="24"/>
                <w:highlight w:val="none"/>
              </w:rPr>
            </w:pPr>
            <w:r>
              <w:rPr>
                <w:color w:val="auto"/>
                <w:sz w:val="24"/>
                <w:highlight w:val="none"/>
              </w:rPr>
              <w:t>评价情况</w:t>
            </w:r>
          </w:p>
        </w:tc>
        <w:tc>
          <w:tcPr>
            <w:tcW w:w="6804" w:type="dxa"/>
            <w:gridSpan w:val="3"/>
            <w:vAlign w:val="center"/>
          </w:tcPr>
          <w:p>
            <w:pPr>
              <w:pStyle w:val="27"/>
              <w:spacing w:line="360" w:lineRule="auto"/>
              <w:jc w:val="center"/>
              <w:rPr>
                <w:rFonts w:hint="default" w:ascii="Times New Roman" w:hAnsi="Times New Roman" w:eastAsia="宋体"/>
                <w:color w:val="auto"/>
                <w:kern w:val="2"/>
                <w:szCs w:val="24"/>
                <w:highlight w:val="none"/>
              </w:rPr>
            </w:pPr>
            <w:r>
              <w:rPr>
                <w:rFonts w:ascii="Times New Roman" w:hAnsi="Times New Roman"/>
                <w:color w:val="auto"/>
                <w:szCs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2066" w:type="dxa"/>
            <w:vAlign w:val="center"/>
          </w:tcPr>
          <w:p>
            <w:pPr>
              <w:autoSpaceDE w:val="0"/>
              <w:autoSpaceDN w:val="0"/>
              <w:adjustRightInd w:val="0"/>
              <w:snapToGrid w:val="0"/>
              <w:jc w:val="center"/>
              <w:rPr>
                <w:color w:val="auto"/>
                <w:kern w:val="0"/>
                <w:sz w:val="24"/>
                <w:highlight w:val="none"/>
              </w:rPr>
            </w:pPr>
            <w:r>
              <w:rPr>
                <w:color w:val="auto"/>
                <w:kern w:val="0"/>
                <w:sz w:val="24"/>
                <w:highlight w:val="none"/>
              </w:rPr>
              <w:t>规划及规划环境</w:t>
            </w:r>
          </w:p>
          <w:p>
            <w:pPr>
              <w:autoSpaceDE w:val="0"/>
              <w:autoSpaceDN w:val="0"/>
              <w:adjustRightInd w:val="0"/>
              <w:snapToGrid w:val="0"/>
              <w:jc w:val="center"/>
              <w:rPr>
                <w:color w:val="auto"/>
                <w:kern w:val="0"/>
                <w:sz w:val="24"/>
                <w:highlight w:val="none"/>
              </w:rPr>
            </w:pPr>
            <w:r>
              <w:rPr>
                <w:color w:val="auto"/>
                <w:kern w:val="0"/>
                <w:sz w:val="24"/>
                <w:highlight w:val="none"/>
              </w:rPr>
              <w:t>影响评价符合性分析</w:t>
            </w:r>
          </w:p>
        </w:tc>
        <w:tc>
          <w:tcPr>
            <w:tcW w:w="6804" w:type="dxa"/>
            <w:gridSpan w:val="3"/>
            <w:vAlign w:val="center"/>
          </w:tcPr>
          <w:p>
            <w:pPr>
              <w:pStyle w:val="28"/>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eastAsia="宋体"/>
                <w:color w:val="auto"/>
                <w:szCs w:val="24"/>
                <w:highlight w:val="none"/>
                <w:lang w:eastAsia="zh-CN"/>
              </w:rPr>
            </w:pPr>
            <w:r>
              <w:rPr>
                <w:rFonts w:hint="eastAsia"/>
                <w:color w:val="auto"/>
                <w:szCs w:val="24"/>
                <w:highlight w:val="none"/>
                <w:lang w:eastAsia="zh-CN"/>
              </w:rPr>
              <w:t>福建师范大学旗山校区未单独开展规划编制工作，但根据备案的校区总平蓝图，本项目所在用地属于教育园区用地，本项目属于</w:t>
            </w:r>
            <w:r>
              <w:rPr>
                <w:rFonts w:hint="eastAsia"/>
                <w:color w:val="auto"/>
                <w:highlight w:val="none"/>
              </w:rPr>
              <w:t>普通高等教育大学教学楼的建设</w:t>
            </w:r>
            <w:r>
              <w:rPr>
                <w:rFonts w:hint="eastAsia"/>
                <w:color w:val="auto"/>
                <w:highlight w:val="none"/>
                <w:lang w:eastAsia="zh-CN"/>
              </w:rPr>
              <w:t>，符合用地规划要求。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2066" w:type="dxa"/>
            <w:vAlign w:val="center"/>
          </w:tcPr>
          <w:p>
            <w:pPr>
              <w:autoSpaceDE w:val="0"/>
              <w:autoSpaceDN w:val="0"/>
              <w:adjustRightInd w:val="0"/>
              <w:snapToGrid w:val="0"/>
              <w:jc w:val="center"/>
              <w:rPr>
                <w:color w:val="auto"/>
                <w:kern w:val="0"/>
                <w:sz w:val="24"/>
                <w:highlight w:val="none"/>
              </w:rPr>
            </w:pPr>
            <w:r>
              <w:rPr>
                <w:color w:val="auto"/>
                <w:kern w:val="0"/>
                <w:sz w:val="24"/>
                <w:highlight w:val="none"/>
              </w:rPr>
              <w:t>其他符合性分析</w:t>
            </w:r>
          </w:p>
        </w:tc>
        <w:tc>
          <w:tcPr>
            <w:tcW w:w="6804" w:type="dxa"/>
            <w:gridSpan w:val="3"/>
            <w:vAlign w:val="center"/>
          </w:tcPr>
          <w:p>
            <w:pPr>
              <w:autoSpaceDE w:val="0"/>
              <w:autoSpaceDN w:val="0"/>
              <w:adjustRightInd w:val="0"/>
              <w:snapToGrid w:val="0"/>
              <w:spacing w:line="360" w:lineRule="auto"/>
              <w:ind w:firstLine="480" w:firstLineChars="200"/>
              <w:jc w:val="left"/>
              <w:rPr>
                <w:color w:val="auto"/>
                <w:sz w:val="24"/>
                <w:szCs w:val="32"/>
                <w:highlight w:val="none"/>
              </w:rPr>
            </w:pPr>
            <w:r>
              <w:rPr>
                <w:rFonts w:hint="eastAsia"/>
                <w:color w:val="auto"/>
                <w:sz w:val="24"/>
                <w:szCs w:val="32"/>
                <w:highlight w:val="none"/>
              </w:rPr>
              <w:t>1.与“三线一单”的符合性分析</w:t>
            </w:r>
          </w:p>
          <w:p>
            <w:pPr>
              <w:autoSpaceDE w:val="0"/>
              <w:autoSpaceDN w:val="0"/>
              <w:adjustRightInd w:val="0"/>
              <w:snapToGrid w:val="0"/>
              <w:spacing w:line="360" w:lineRule="auto"/>
              <w:ind w:firstLine="480" w:firstLineChars="200"/>
              <w:jc w:val="left"/>
              <w:rPr>
                <w:color w:val="auto"/>
                <w:sz w:val="24"/>
                <w:szCs w:val="32"/>
                <w:highlight w:val="none"/>
              </w:rPr>
            </w:pPr>
            <w:r>
              <w:rPr>
                <w:rFonts w:hint="eastAsia"/>
                <w:color w:val="auto"/>
                <w:sz w:val="24"/>
                <w:szCs w:val="32"/>
                <w:highlight w:val="none"/>
              </w:rPr>
              <w:t>根据《福州市人民政府关于实施“三线一单”生态分区管控的通知》（榕政综〔2021〕178号）文件要求，对本项目与福州市“三线一单”的符合性进行分析：</w:t>
            </w:r>
          </w:p>
          <w:p>
            <w:pPr>
              <w:autoSpaceDE w:val="0"/>
              <w:autoSpaceDN w:val="0"/>
              <w:adjustRightInd w:val="0"/>
              <w:snapToGrid w:val="0"/>
              <w:spacing w:line="360" w:lineRule="auto"/>
              <w:ind w:firstLine="480" w:firstLineChars="200"/>
              <w:jc w:val="left"/>
              <w:rPr>
                <w:color w:val="auto"/>
                <w:sz w:val="24"/>
                <w:szCs w:val="32"/>
                <w:highlight w:val="none"/>
              </w:rPr>
            </w:pPr>
            <w:r>
              <w:rPr>
                <w:rFonts w:hint="eastAsia"/>
                <w:color w:val="auto"/>
                <w:sz w:val="24"/>
                <w:szCs w:val="32"/>
                <w:highlight w:val="none"/>
              </w:rPr>
              <w:t>（1）生态保护红线与生态管控分区</w:t>
            </w:r>
          </w:p>
          <w:p>
            <w:pPr>
              <w:autoSpaceDE w:val="0"/>
              <w:autoSpaceDN w:val="0"/>
              <w:adjustRightInd w:val="0"/>
              <w:snapToGrid w:val="0"/>
              <w:spacing w:line="360" w:lineRule="auto"/>
              <w:ind w:firstLine="480" w:firstLineChars="200"/>
              <w:jc w:val="left"/>
              <w:rPr>
                <w:color w:val="auto"/>
                <w:sz w:val="24"/>
                <w:szCs w:val="32"/>
                <w:highlight w:val="none"/>
              </w:rPr>
            </w:pPr>
            <w:r>
              <w:rPr>
                <w:rFonts w:hint="eastAsia"/>
                <w:color w:val="auto"/>
                <w:sz w:val="24"/>
                <w:szCs w:val="32"/>
                <w:highlight w:val="none"/>
              </w:rPr>
              <w:t>本项目选址在福建师范大学旗山校区原有用地范围内，项目不在当地划定的生态保护红线、一般生态空间范围内，项目所在位置为水环境一般管控区、土壤环境一般管控区内。项目涉及大气环境受体敏感重点管控区，本项目不涉及新增二氧化硫、氮氧化物，排放的VOCs排放实行区域内倍量替代，对区域大气环境造成的影响不大。项目不涉及用海。本项目的建设可满足福州市生态保护红线与生态管控分区的要求。</w:t>
            </w:r>
          </w:p>
          <w:p>
            <w:pPr>
              <w:autoSpaceDE w:val="0"/>
              <w:autoSpaceDN w:val="0"/>
              <w:adjustRightInd w:val="0"/>
              <w:snapToGrid w:val="0"/>
              <w:spacing w:line="360" w:lineRule="auto"/>
              <w:ind w:firstLine="480" w:firstLineChars="200"/>
              <w:jc w:val="left"/>
              <w:rPr>
                <w:color w:val="auto"/>
                <w:sz w:val="24"/>
                <w:szCs w:val="32"/>
                <w:highlight w:val="none"/>
              </w:rPr>
            </w:pPr>
            <w:r>
              <w:rPr>
                <w:rFonts w:hint="eastAsia"/>
                <w:color w:val="auto"/>
                <w:sz w:val="24"/>
                <w:szCs w:val="32"/>
                <w:highlight w:val="none"/>
              </w:rPr>
              <w:t>（2）环境质量底线</w:t>
            </w:r>
          </w:p>
          <w:p>
            <w:pPr>
              <w:autoSpaceDE w:val="0"/>
              <w:autoSpaceDN w:val="0"/>
              <w:adjustRightInd w:val="0"/>
              <w:snapToGrid w:val="0"/>
              <w:spacing w:line="360" w:lineRule="auto"/>
              <w:ind w:firstLine="480" w:firstLineChars="200"/>
              <w:jc w:val="left"/>
              <w:rPr>
                <w:color w:val="auto"/>
                <w:sz w:val="24"/>
                <w:szCs w:val="32"/>
                <w:highlight w:val="none"/>
              </w:rPr>
            </w:pPr>
            <w:r>
              <w:rPr>
                <w:rFonts w:hint="eastAsia"/>
                <w:color w:val="auto"/>
                <w:sz w:val="24"/>
                <w:szCs w:val="32"/>
                <w:highlight w:val="none"/>
              </w:rPr>
              <w:t>本项目所在区域的大气环境、地表水环境、土壤环境质量可达到相应管控标准要求。</w:t>
            </w:r>
          </w:p>
          <w:p>
            <w:pPr>
              <w:autoSpaceDE w:val="0"/>
              <w:autoSpaceDN w:val="0"/>
              <w:adjustRightInd w:val="0"/>
              <w:snapToGrid w:val="0"/>
              <w:spacing w:line="360" w:lineRule="auto"/>
              <w:ind w:firstLine="480" w:firstLineChars="200"/>
              <w:jc w:val="left"/>
              <w:rPr>
                <w:color w:val="auto"/>
                <w:sz w:val="24"/>
                <w:szCs w:val="32"/>
                <w:highlight w:val="none"/>
              </w:rPr>
            </w:pPr>
            <w:r>
              <w:rPr>
                <w:rFonts w:hint="eastAsia"/>
                <w:color w:val="auto"/>
                <w:sz w:val="24"/>
                <w:szCs w:val="32"/>
                <w:highlight w:val="none"/>
              </w:rPr>
              <w:t>本项目产生的废气、废水、噪声采取治理措施后能够做到达标排放；项目产生的固体废物可做到无害化处理、处置。采取本环评提出的相关防治措施后，本项目排放的污染物对环境影响不大，不会突破区域环境质量底线。</w:t>
            </w:r>
          </w:p>
          <w:p>
            <w:pPr>
              <w:autoSpaceDE w:val="0"/>
              <w:autoSpaceDN w:val="0"/>
              <w:adjustRightInd w:val="0"/>
              <w:snapToGrid w:val="0"/>
              <w:spacing w:line="360" w:lineRule="auto"/>
              <w:ind w:firstLine="480" w:firstLineChars="200"/>
              <w:jc w:val="left"/>
              <w:rPr>
                <w:color w:val="auto"/>
                <w:sz w:val="24"/>
                <w:szCs w:val="32"/>
                <w:highlight w:val="none"/>
              </w:rPr>
            </w:pPr>
            <w:r>
              <w:rPr>
                <w:rFonts w:hint="eastAsia"/>
                <w:color w:val="auto"/>
                <w:sz w:val="24"/>
                <w:szCs w:val="32"/>
                <w:highlight w:val="none"/>
              </w:rPr>
              <w:t>（3）资源利用上线</w:t>
            </w:r>
          </w:p>
          <w:p>
            <w:pPr>
              <w:autoSpaceDE w:val="0"/>
              <w:autoSpaceDN w:val="0"/>
              <w:adjustRightInd w:val="0"/>
              <w:snapToGrid w:val="0"/>
              <w:spacing w:line="360" w:lineRule="auto"/>
              <w:ind w:firstLine="480" w:firstLineChars="200"/>
              <w:jc w:val="left"/>
              <w:rPr>
                <w:color w:val="auto"/>
                <w:sz w:val="24"/>
                <w:szCs w:val="32"/>
                <w:highlight w:val="none"/>
              </w:rPr>
            </w:pPr>
            <w:r>
              <w:rPr>
                <w:rFonts w:hint="eastAsia"/>
                <w:color w:val="auto"/>
                <w:sz w:val="24"/>
                <w:szCs w:val="32"/>
                <w:highlight w:val="none"/>
              </w:rPr>
              <w:t>项目用水主要来自市政供水管网，用电来自国家电网供给。项目在福建师范大学旗山校区用地范围内，不新增用地。综上，本项目的资源利用不会突破区域的资源利用上线。</w:t>
            </w:r>
          </w:p>
          <w:p>
            <w:pPr>
              <w:autoSpaceDE w:val="0"/>
              <w:autoSpaceDN w:val="0"/>
              <w:adjustRightInd w:val="0"/>
              <w:snapToGrid w:val="0"/>
              <w:spacing w:line="360" w:lineRule="auto"/>
              <w:ind w:firstLine="480" w:firstLineChars="200"/>
              <w:jc w:val="left"/>
              <w:rPr>
                <w:color w:val="auto"/>
                <w:sz w:val="24"/>
                <w:szCs w:val="32"/>
                <w:highlight w:val="none"/>
              </w:rPr>
            </w:pPr>
            <w:r>
              <w:rPr>
                <w:rFonts w:hint="eastAsia"/>
                <w:color w:val="auto"/>
                <w:sz w:val="24"/>
                <w:szCs w:val="32"/>
                <w:highlight w:val="none"/>
              </w:rPr>
              <w:t>（4）环境管控单元</w:t>
            </w:r>
          </w:p>
          <w:p>
            <w:pPr>
              <w:autoSpaceDE w:val="0"/>
              <w:autoSpaceDN w:val="0"/>
              <w:adjustRightInd w:val="0"/>
              <w:snapToGrid w:val="0"/>
              <w:spacing w:line="360" w:lineRule="auto"/>
              <w:ind w:firstLine="480" w:firstLineChars="200"/>
              <w:jc w:val="left"/>
              <w:rPr>
                <w:color w:val="auto"/>
                <w:sz w:val="24"/>
                <w:szCs w:val="32"/>
                <w:highlight w:val="none"/>
              </w:rPr>
            </w:pPr>
            <w:r>
              <w:rPr>
                <w:rFonts w:hint="eastAsia"/>
                <w:color w:val="auto"/>
                <w:sz w:val="24"/>
                <w:szCs w:val="32"/>
                <w:highlight w:val="none"/>
              </w:rPr>
              <w:t>对照闽侯县生态环境准入清单，本项目位于闽侯县重点管控单元。本项目与闽侯县重点管控单元要求的符合性分析如下表所示。</w:t>
            </w:r>
          </w:p>
          <w:p>
            <w:pPr>
              <w:pStyle w:val="29"/>
              <w:rPr>
                <w:color w:val="auto"/>
                <w:highlight w:val="none"/>
              </w:rPr>
            </w:pPr>
            <w:r>
              <w:rPr>
                <w:rFonts w:hint="eastAsia"/>
                <w:color w:val="auto"/>
                <w:highlight w:val="none"/>
              </w:rPr>
              <w:t>表1.1-1 项目与闽侯县重点管控单元符合性分析表</w:t>
            </w:r>
          </w:p>
          <w:tbl>
            <w:tblPr>
              <w:tblStyle w:val="19"/>
              <w:tblW w:w="6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2640"/>
              <w:gridCol w:w="2070"/>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2"/>
                  <w:vAlign w:val="center"/>
                </w:tcPr>
                <w:p>
                  <w:pPr>
                    <w:pStyle w:val="30"/>
                    <w:rPr>
                      <w:color w:val="auto"/>
                      <w:highlight w:val="none"/>
                    </w:rPr>
                  </w:pPr>
                  <w:r>
                    <w:rPr>
                      <w:rFonts w:hint="eastAsia"/>
                      <w:color w:val="auto"/>
                      <w:highlight w:val="none"/>
                    </w:rPr>
                    <w:t>福州市“三线一单”重点管控单元管控要求</w:t>
                  </w:r>
                </w:p>
              </w:tc>
              <w:tc>
                <w:tcPr>
                  <w:tcW w:w="2070" w:type="dxa"/>
                  <w:vAlign w:val="center"/>
                </w:tcPr>
                <w:p>
                  <w:pPr>
                    <w:pStyle w:val="9"/>
                    <w:adjustRightInd w:val="0"/>
                    <w:snapToGrid w:val="0"/>
                    <w:ind w:firstLine="0" w:firstLineChars="0"/>
                    <w:jc w:val="center"/>
                    <w:rPr>
                      <w:color w:val="auto"/>
                      <w:highlight w:val="none"/>
                    </w:rPr>
                  </w:pPr>
                  <w:r>
                    <w:rPr>
                      <w:rFonts w:hint="eastAsia"/>
                      <w:color w:val="auto"/>
                      <w:highlight w:val="none"/>
                    </w:rPr>
                    <w:t>本项目情况</w:t>
                  </w:r>
                </w:p>
              </w:tc>
              <w:tc>
                <w:tcPr>
                  <w:tcW w:w="946" w:type="dxa"/>
                  <w:vAlign w:val="center"/>
                </w:tcPr>
                <w:p>
                  <w:pPr>
                    <w:pStyle w:val="9"/>
                    <w:adjustRightInd w:val="0"/>
                    <w:snapToGrid w:val="0"/>
                    <w:ind w:firstLine="0" w:firstLineChars="0"/>
                    <w:jc w:val="center"/>
                    <w:rPr>
                      <w:color w:val="auto"/>
                      <w:highlight w:val="none"/>
                    </w:rPr>
                  </w:pPr>
                  <w:r>
                    <w:rPr>
                      <w:rFonts w:hint="eastAsia"/>
                      <w:color w:val="auto"/>
                      <w:highlight w:val="none"/>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restart"/>
                  <w:vAlign w:val="center"/>
                </w:tcPr>
                <w:p>
                  <w:pPr>
                    <w:pStyle w:val="9"/>
                    <w:adjustRightInd w:val="0"/>
                    <w:snapToGrid w:val="0"/>
                    <w:ind w:firstLine="0" w:firstLineChars="0"/>
                    <w:jc w:val="center"/>
                    <w:rPr>
                      <w:color w:val="auto"/>
                      <w:highlight w:val="none"/>
                    </w:rPr>
                  </w:pPr>
                  <w:r>
                    <w:rPr>
                      <w:rFonts w:hint="eastAsia"/>
                      <w:color w:val="auto"/>
                      <w:highlight w:val="none"/>
                    </w:rPr>
                    <w:t>空间布局约束</w:t>
                  </w:r>
                </w:p>
              </w:tc>
              <w:tc>
                <w:tcPr>
                  <w:tcW w:w="2640" w:type="dxa"/>
                  <w:vAlign w:val="center"/>
                </w:tcPr>
                <w:p>
                  <w:pPr>
                    <w:pStyle w:val="9"/>
                    <w:adjustRightInd w:val="0"/>
                    <w:snapToGrid w:val="0"/>
                    <w:ind w:firstLine="0" w:firstLineChars="0"/>
                    <w:jc w:val="center"/>
                    <w:rPr>
                      <w:color w:val="auto"/>
                      <w:highlight w:val="none"/>
                    </w:rPr>
                  </w:pPr>
                  <w:r>
                    <w:rPr>
                      <w:color w:val="auto"/>
                      <w:highlight w:val="none"/>
                    </w:rPr>
                    <w:t>1.严禁在人口聚集区新建涉及化学品和危险废物排放的项目。禁止在大气环境布局敏感重点管控区新建、扩建石化、化工、焦化、有色等高污染、高风险的涉气项目；城市建成区内现有化工、原料药制造等污染较重的企业应有序搬迁改造或依法关闭。</w:t>
                  </w:r>
                </w:p>
              </w:tc>
              <w:tc>
                <w:tcPr>
                  <w:tcW w:w="2070" w:type="dxa"/>
                  <w:vAlign w:val="center"/>
                </w:tcPr>
                <w:p>
                  <w:pPr>
                    <w:pStyle w:val="9"/>
                    <w:adjustRightInd w:val="0"/>
                    <w:snapToGrid w:val="0"/>
                    <w:ind w:firstLine="0" w:firstLineChars="0"/>
                    <w:jc w:val="center"/>
                    <w:rPr>
                      <w:color w:val="auto"/>
                      <w:highlight w:val="none"/>
                    </w:rPr>
                  </w:pPr>
                  <w:r>
                    <w:rPr>
                      <w:rFonts w:hint="eastAsia"/>
                      <w:color w:val="auto"/>
                      <w:highlight w:val="none"/>
                    </w:rPr>
                    <w:t>本项目为普通高等教育大学教学楼的建设。本项目会产生报废药品、</w:t>
                  </w:r>
                  <w:r>
                    <w:rPr>
                      <w:rFonts w:hint="eastAsia"/>
                      <w:color w:val="auto"/>
                      <w:highlight w:val="none"/>
                      <w:lang w:eastAsia="zh-CN"/>
                    </w:rPr>
                    <w:t>不合格产品</w:t>
                  </w:r>
                  <w:r>
                    <w:rPr>
                      <w:rFonts w:hint="eastAsia"/>
                      <w:color w:val="auto"/>
                      <w:highlight w:val="none"/>
                    </w:rPr>
                    <w:t>、高浓度废液等实验室危险废物及废活性炭等危险废物；项目产生的危险废物委托</w:t>
                  </w:r>
                  <w:r>
                    <w:rPr>
                      <w:rFonts w:hint="eastAsia"/>
                      <w:color w:val="auto"/>
                      <w:highlight w:val="none"/>
                      <w:lang w:eastAsia="zh-CN"/>
                    </w:rPr>
                    <w:t>有资质的单位</w:t>
                  </w:r>
                  <w:r>
                    <w:rPr>
                      <w:rFonts w:hint="eastAsia"/>
                      <w:color w:val="auto"/>
                      <w:highlight w:val="none"/>
                    </w:rPr>
                    <w:t>处置，项目不涉及化学品和危险废物排放。不属于</w:t>
                  </w:r>
                  <w:r>
                    <w:rPr>
                      <w:color w:val="auto"/>
                      <w:highlight w:val="none"/>
                    </w:rPr>
                    <w:t>石化、化工、焦化、有色等高污染、高风险的涉气项目</w:t>
                  </w:r>
                  <w:r>
                    <w:rPr>
                      <w:rFonts w:hint="eastAsia"/>
                      <w:color w:val="auto"/>
                      <w:highlight w:val="none"/>
                    </w:rPr>
                    <w:t>。本项目不属于</w:t>
                  </w:r>
                  <w:r>
                    <w:rPr>
                      <w:color w:val="auto"/>
                      <w:highlight w:val="none"/>
                    </w:rPr>
                    <w:t>化工、原料药制造等污染较重的</w:t>
                  </w:r>
                  <w:r>
                    <w:rPr>
                      <w:rFonts w:hint="eastAsia"/>
                      <w:color w:val="auto"/>
                      <w:highlight w:val="none"/>
                    </w:rPr>
                    <w:t>行业。</w:t>
                  </w:r>
                </w:p>
              </w:tc>
              <w:tc>
                <w:tcPr>
                  <w:tcW w:w="946" w:type="dxa"/>
                  <w:vAlign w:val="center"/>
                </w:tcPr>
                <w:p>
                  <w:pPr>
                    <w:pStyle w:val="9"/>
                    <w:adjustRightInd w:val="0"/>
                    <w:snapToGrid w:val="0"/>
                    <w:ind w:firstLine="0" w:firstLineChars="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vAlign w:val="center"/>
                </w:tcPr>
                <w:p>
                  <w:pPr>
                    <w:pStyle w:val="9"/>
                    <w:adjustRightInd w:val="0"/>
                    <w:snapToGrid w:val="0"/>
                    <w:ind w:firstLine="0" w:firstLineChars="0"/>
                    <w:jc w:val="center"/>
                    <w:rPr>
                      <w:color w:val="auto"/>
                      <w:highlight w:val="none"/>
                    </w:rPr>
                  </w:pPr>
                </w:p>
              </w:tc>
              <w:tc>
                <w:tcPr>
                  <w:tcW w:w="2640" w:type="dxa"/>
                  <w:vAlign w:val="center"/>
                </w:tcPr>
                <w:p>
                  <w:pPr>
                    <w:pStyle w:val="9"/>
                    <w:adjustRightInd w:val="0"/>
                    <w:snapToGrid w:val="0"/>
                    <w:ind w:firstLine="0" w:firstLineChars="0"/>
                    <w:jc w:val="center"/>
                    <w:rPr>
                      <w:color w:val="auto"/>
                      <w:highlight w:val="none"/>
                    </w:rPr>
                  </w:pPr>
                  <w:r>
                    <w:rPr>
                      <w:color w:val="auto"/>
                      <w:highlight w:val="none"/>
                    </w:rPr>
                    <w:t>2.严格控制包装印刷、工业涂装、制鞋等高VOCs排放的项目建设，相关新建项目必须进入工业园区。</w:t>
                  </w:r>
                </w:p>
              </w:tc>
              <w:tc>
                <w:tcPr>
                  <w:tcW w:w="2070" w:type="dxa"/>
                  <w:vAlign w:val="center"/>
                </w:tcPr>
                <w:p>
                  <w:pPr>
                    <w:pStyle w:val="9"/>
                    <w:adjustRightInd w:val="0"/>
                    <w:snapToGrid w:val="0"/>
                    <w:ind w:firstLine="0" w:firstLineChars="0"/>
                    <w:jc w:val="center"/>
                    <w:rPr>
                      <w:color w:val="auto"/>
                      <w:highlight w:val="none"/>
                    </w:rPr>
                  </w:pPr>
                  <w:r>
                    <w:rPr>
                      <w:rFonts w:hint="eastAsia"/>
                      <w:color w:val="auto"/>
                      <w:highlight w:val="none"/>
                    </w:rPr>
                    <w:t>本项目为普通高等教育大学教学楼的建设，不属于包装印刷、工业涂装、制鞋</w:t>
                  </w:r>
                  <w:r>
                    <w:rPr>
                      <w:color w:val="auto"/>
                      <w:highlight w:val="none"/>
                    </w:rPr>
                    <w:t>等高VOCs排放的项目</w:t>
                  </w:r>
                  <w:r>
                    <w:rPr>
                      <w:rFonts w:hint="eastAsia"/>
                      <w:color w:val="auto"/>
                      <w:highlight w:val="none"/>
                    </w:rPr>
                    <w:t>。</w:t>
                  </w:r>
                </w:p>
              </w:tc>
              <w:tc>
                <w:tcPr>
                  <w:tcW w:w="946" w:type="dxa"/>
                  <w:vAlign w:val="center"/>
                </w:tcPr>
                <w:p>
                  <w:pPr>
                    <w:pStyle w:val="9"/>
                    <w:adjustRightInd w:val="0"/>
                    <w:snapToGrid w:val="0"/>
                    <w:ind w:firstLine="0" w:firstLineChars="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vAlign w:val="center"/>
                </w:tcPr>
                <w:p>
                  <w:pPr>
                    <w:pStyle w:val="9"/>
                    <w:adjustRightInd w:val="0"/>
                    <w:snapToGrid w:val="0"/>
                    <w:ind w:firstLine="0" w:firstLineChars="0"/>
                    <w:jc w:val="center"/>
                    <w:rPr>
                      <w:color w:val="auto"/>
                      <w:highlight w:val="none"/>
                    </w:rPr>
                  </w:pPr>
                </w:p>
              </w:tc>
              <w:tc>
                <w:tcPr>
                  <w:tcW w:w="2640" w:type="dxa"/>
                  <w:vAlign w:val="center"/>
                </w:tcPr>
                <w:p>
                  <w:pPr>
                    <w:pStyle w:val="9"/>
                    <w:adjustRightInd w:val="0"/>
                    <w:snapToGrid w:val="0"/>
                    <w:ind w:firstLine="0" w:firstLineChars="0"/>
                    <w:jc w:val="center"/>
                    <w:rPr>
                      <w:color w:val="auto"/>
                      <w:highlight w:val="none"/>
                    </w:rPr>
                  </w:pPr>
                  <w:r>
                    <w:rPr>
                      <w:color w:val="auto"/>
                      <w:highlight w:val="none"/>
                    </w:rPr>
                    <w:t>3.禁止开发利用未经评估和无害化处理的列入建设用地污染地块名录及开发利用负面清单的土地。</w:t>
                  </w:r>
                </w:p>
              </w:tc>
              <w:tc>
                <w:tcPr>
                  <w:tcW w:w="2070" w:type="dxa"/>
                  <w:vAlign w:val="center"/>
                </w:tcPr>
                <w:p>
                  <w:pPr>
                    <w:pStyle w:val="9"/>
                    <w:adjustRightInd w:val="0"/>
                    <w:snapToGrid w:val="0"/>
                    <w:ind w:firstLine="0" w:firstLineChars="0"/>
                    <w:jc w:val="center"/>
                    <w:rPr>
                      <w:color w:val="auto"/>
                      <w:highlight w:val="none"/>
                    </w:rPr>
                  </w:pPr>
                  <w:r>
                    <w:rPr>
                      <w:rFonts w:hint="eastAsia"/>
                      <w:color w:val="auto"/>
                      <w:highlight w:val="none"/>
                    </w:rPr>
                    <w:t>本项目在福建师范大学旗山校区用地范围内，不新增用地。</w:t>
                  </w:r>
                </w:p>
              </w:tc>
              <w:tc>
                <w:tcPr>
                  <w:tcW w:w="946" w:type="dxa"/>
                  <w:vAlign w:val="center"/>
                </w:tcPr>
                <w:p>
                  <w:pPr>
                    <w:pStyle w:val="9"/>
                    <w:adjustRightInd w:val="0"/>
                    <w:snapToGrid w:val="0"/>
                    <w:ind w:firstLine="0" w:firstLineChars="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restart"/>
                  <w:vAlign w:val="center"/>
                </w:tcPr>
                <w:p>
                  <w:pPr>
                    <w:pStyle w:val="9"/>
                    <w:adjustRightInd w:val="0"/>
                    <w:snapToGrid w:val="0"/>
                    <w:ind w:firstLine="0" w:firstLineChars="0"/>
                    <w:jc w:val="center"/>
                    <w:rPr>
                      <w:color w:val="auto"/>
                      <w:highlight w:val="none"/>
                    </w:rPr>
                  </w:pPr>
                  <w:r>
                    <w:rPr>
                      <w:rFonts w:hint="eastAsia"/>
                      <w:color w:val="auto"/>
                      <w:highlight w:val="none"/>
                    </w:rPr>
                    <w:t>污染物排放管控</w:t>
                  </w:r>
                </w:p>
              </w:tc>
              <w:tc>
                <w:tcPr>
                  <w:tcW w:w="2640" w:type="dxa"/>
                  <w:vAlign w:val="center"/>
                </w:tcPr>
                <w:p>
                  <w:pPr>
                    <w:pStyle w:val="9"/>
                    <w:adjustRightInd w:val="0"/>
                    <w:snapToGrid w:val="0"/>
                    <w:ind w:firstLine="0" w:firstLineChars="0"/>
                    <w:jc w:val="center"/>
                    <w:rPr>
                      <w:color w:val="auto"/>
                      <w:highlight w:val="none"/>
                    </w:rPr>
                  </w:pPr>
                  <w:r>
                    <w:rPr>
                      <w:color w:val="auto"/>
                      <w:highlight w:val="none"/>
                    </w:rPr>
                    <w:t>1.禁止向农田灌溉渠道排放工业废水或者医疗污水。向农田灌溉渠道排放城镇污水以及未综合利用的畜禽养殖废水、农产品加工废水的，应当保证其下游最近的灌溉取水点的水质符合农田灌溉水质标准。</w:t>
                  </w:r>
                </w:p>
              </w:tc>
              <w:tc>
                <w:tcPr>
                  <w:tcW w:w="2070" w:type="dxa"/>
                  <w:vAlign w:val="center"/>
                </w:tcPr>
                <w:p>
                  <w:pPr>
                    <w:pStyle w:val="9"/>
                    <w:adjustRightInd w:val="0"/>
                    <w:snapToGrid w:val="0"/>
                    <w:ind w:firstLine="0" w:firstLineChars="0"/>
                    <w:jc w:val="center"/>
                    <w:rPr>
                      <w:color w:val="auto"/>
                      <w:highlight w:val="none"/>
                    </w:rPr>
                  </w:pPr>
                  <w:r>
                    <w:rPr>
                      <w:rFonts w:hint="eastAsia"/>
                      <w:color w:val="auto"/>
                      <w:highlight w:val="none"/>
                    </w:rPr>
                    <w:t>本项目产生的实验室特殊废液单独设容器收集，委托</w:t>
                  </w:r>
                  <w:r>
                    <w:rPr>
                      <w:rFonts w:hint="eastAsia"/>
                      <w:color w:val="auto"/>
                      <w:highlight w:val="none"/>
                      <w:lang w:eastAsia="zh-CN"/>
                    </w:rPr>
                    <w:t>有资质的单位</w:t>
                  </w:r>
                  <w:r>
                    <w:rPr>
                      <w:rFonts w:hint="eastAsia"/>
                      <w:color w:val="auto"/>
                      <w:highlight w:val="none"/>
                    </w:rPr>
                    <w:t>统一处理。实验室一般</w:t>
                  </w:r>
                  <w:r>
                    <w:rPr>
                      <w:rFonts w:hint="eastAsia"/>
                      <w:color w:val="auto"/>
                      <w:highlight w:val="none"/>
                      <w:lang w:eastAsia="zh-CN"/>
                    </w:rPr>
                    <w:t>废水</w:t>
                  </w:r>
                  <w:r>
                    <w:rPr>
                      <w:rFonts w:hint="eastAsia"/>
                      <w:color w:val="auto"/>
                      <w:highlight w:val="none"/>
                    </w:rPr>
                    <w:t>经酸碱中和池+消毒池处理后排入化粪池后接入市政管网；生活污水中的含油废水经隔油池处理，后与其余生活污水经处理后排入周边市政污水管网，不向农田灌溉渠道排放。</w:t>
                  </w:r>
                </w:p>
              </w:tc>
              <w:tc>
                <w:tcPr>
                  <w:tcW w:w="946" w:type="dxa"/>
                  <w:vAlign w:val="center"/>
                </w:tcPr>
                <w:p>
                  <w:pPr>
                    <w:pStyle w:val="9"/>
                    <w:adjustRightInd w:val="0"/>
                    <w:snapToGrid w:val="0"/>
                    <w:ind w:firstLine="0" w:firstLineChars="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Merge w:val="continue"/>
                  <w:vAlign w:val="center"/>
                </w:tcPr>
                <w:p>
                  <w:pPr>
                    <w:pStyle w:val="9"/>
                    <w:adjustRightInd w:val="0"/>
                    <w:snapToGrid w:val="0"/>
                    <w:ind w:firstLine="0" w:firstLineChars="0"/>
                    <w:jc w:val="center"/>
                    <w:rPr>
                      <w:color w:val="auto"/>
                      <w:highlight w:val="none"/>
                    </w:rPr>
                  </w:pPr>
                </w:p>
              </w:tc>
              <w:tc>
                <w:tcPr>
                  <w:tcW w:w="2640" w:type="dxa"/>
                  <w:vAlign w:val="center"/>
                </w:tcPr>
                <w:p>
                  <w:pPr>
                    <w:pStyle w:val="9"/>
                    <w:adjustRightInd w:val="0"/>
                    <w:snapToGrid w:val="0"/>
                    <w:ind w:firstLine="0" w:firstLineChars="0"/>
                    <w:jc w:val="center"/>
                    <w:rPr>
                      <w:color w:val="auto"/>
                      <w:highlight w:val="none"/>
                    </w:rPr>
                  </w:pPr>
                  <w:r>
                    <w:rPr>
                      <w:rFonts w:hint="eastAsia"/>
                      <w:color w:val="auto"/>
                      <w:highlight w:val="none"/>
                    </w:rPr>
                    <w:t>2.</w:t>
                  </w:r>
                  <w:r>
                    <w:rPr>
                      <w:color w:val="auto"/>
                      <w:highlight w:val="none"/>
                    </w:rPr>
                    <w:t>城市建成区的大气污染型工业企业的新增大气污染物（二氧化硫、氮氧化物）排放量，按不低于1.5倍调剂。</w:t>
                  </w:r>
                </w:p>
              </w:tc>
              <w:tc>
                <w:tcPr>
                  <w:tcW w:w="2070" w:type="dxa"/>
                  <w:vAlign w:val="center"/>
                </w:tcPr>
                <w:p>
                  <w:pPr>
                    <w:pStyle w:val="9"/>
                    <w:adjustRightInd w:val="0"/>
                    <w:snapToGrid w:val="0"/>
                    <w:ind w:firstLine="0" w:firstLineChars="0"/>
                    <w:jc w:val="center"/>
                    <w:rPr>
                      <w:color w:val="auto"/>
                      <w:highlight w:val="none"/>
                    </w:rPr>
                  </w:pPr>
                  <w:r>
                    <w:rPr>
                      <w:rFonts w:hint="eastAsia"/>
                      <w:color w:val="auto"/>
                      <w:highlight w:val="none"/>
                    </w:rPr>
                    <w:t>本项目不涉及新增</w:t>
                  </w:r>
                  <w:r>
                    <w:rPr>
                      <w:color w:val="auto"/>
                      <w:highlight w:val="none"/>
                    </w:rPr>
                    <w:t>二氧化硫、氮氧化物</w:t>
                  </w:r>
                  <w:r>
                    <w:rPr>
                      <w:rFonts w:hint="eastAsia"/>
                      <w:color w:val="auto"/>
                      <w:highlight w:val="none"/>
                    </w:rPr>
                    <w:t>。</w:t>
                  </w:r>
                </w:p>
              </w:tc>
              <w:tc>
                <w:tcPr>
                  <w:tcW w:w="946" w:type="dxa"/>
                  <w:vAlign w:val="center"/>
                </w:tcPr>
                <w:p>
                  <w:pPr>
                    <w:pStyle w:val="9"/>
                    <w:adjustRightInd w:val="0"/>
                    <w:snapToGrid w:val="0"/>
                    <w:ind w:firstLine="0" w:firstLineChars="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Align w:val="center"/>
                </w:tcPr>
                <w:p>
                  <w:pPr>
                    <w:pStyle w:val="9"/>
                    <w:adjustRightInd w:val="0"/>
                    <w:snapToGrid w:val="0"/>
                    <w:ind w:firstLine="0" w:firstLineChars="0"/>
                    <w:jc w:val="center"/>
                    <w:rPr>
                      <w:color w:val="auto"/>
                      <w:highlight w:val="none"/>
                    </w:rPr>
                  </w:pPr>
                  <w:r>
                    <w:rPr>
                      <w:rFonts w:hint="eastAsia"/>
                      <w:color w:val="auto"/>
                      <w:highlight w:val="none"/>
                    </w:rPr>
                    <w:t>环境风险防控</w:t>
                  </w:r>
                </w:p>
              </w:tc>
              <w:tc>
                <w:tcPr>
                  <w:tcW w:w="2640" w:type="dxa"/>
                  <w:vAlign w:val="center"/>
                </w:tcPr>
                <w:p>
                  <w:pPr>
                    <w:pStyle w:val="9"/>
                    <w:adjustRightInd w:val="0"/>
                    <w:snapToGrid w:val="0"/>
                    <w:ind w:firstLine="0" w:firstLineChars="0"/>
                    <w:jc w:val="center"/>
                    <w:rPr>
                      <w:color w:val="auto"/>
                      <w:highlight w:val="none"/>
                    </w:rPr>
                  </w:pPr>
                  <w:r>
                    <w:rPr>
                      <w:rFonts w:hint="eastAsia"/>
                      <w:color w:val="auto"/>
                      <w:highlight w:val="none"/>
                    </w:rPr>
                    <w:t>单元内现有化学原料和化学制品制造业等具有潜在土壤污染环境风险的企业退役后，应开展土壤环境状况评估，经评估认为污染地块可能损害人体健康和环境，应当进行修复的，由造成污染的单位和个人负责被污染土壤的修复。</w:t>
                  </w:r>
                </w:p>
              </w:tc>
              <w:tc>
                <w:tcPr>
                  <w:tcW w:w="2070" w:type="dxa"/>
                  <w:vAlign w:val="center"/>
                </w:tcPr>
                <w:p>
                  <w:pPr>
                    <w:pStyle w:val="9"/>
                    <w:adjustRightInd w:val="0"/>
                    <w:snapToGrid w:val="0"/>
                    <w:ind w:firstLine="0" w:firstLineChars="0"/>
                    <w:jc w:val="center"/>
                    <w:rPr>
                      <w:color w:val="auto"/>
                      <w:highlight w:val="none"/>
                    </w:rPr>
                  </w:pPr>
                  <w:r>
                    <w:rPr>
                      <w:rFonts w:hint="eastAsia"/>
                      <w:color w:val="auto"/>
                      <w:highlight w:val="none"/>
                    </w:rPr>
                    <w:t>项目不属于化学原料和化学制品制造业等具有潜在土壤污染环境风险的企业。</w:t>
                  </w:r>
                </w:p>
              </w:tc>
              <w:tc>
                <w:tcPr>
                  <w:tcW w:w="946" w:type="dxa"/>
                  <w:vAlign w:val="center"/>
                </w:tcPr>
                <w:p>
                  <w:pPr>
                    <w:pStyle w:val="9"/>
                    <w:adjustRightInd w:val="0"/>
                    <w:snapToGrid w:val="0"/>
                    <w:ind w:firstLine="0" w:firstLineChars="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dxa"/>
                  <w:vAlign w:val="center"/>
                </w:tcPr>
                <w:p>
                  <w:pPr>
                    <w:pStyle w:val="9"/>
                    <w:adjustRightInd w:val="0"/>
                    <w:snapToGrid w:val="0"/>
                    <w:ind w:firstLine="0" w:firstLineChars="0"/>
                    <w:jc w:val="center"/>
                    <w:rPr>
                      <w:color w:val="auto"/>
                      <w:highlight w:val="none"/>
                    </w:rPr>
                  </w:pPr>
                  <w:r>
                    <w:rPr>
                      <w:rFonts w:hint="eastAsia"/>
                      <w:color w:val="auto"/>
                      <w:highlight w:val="none"/>
                    </w:rPr>
                    <w:t>资源开发效率要求</w:t>
                  </w:r>
                </w:p>
              </w:tc>
              <w:tc>
                <w:tcPr>
                  <w:tcW w:w="2640" w:type="dxa"/>
                  <w:vAlign w:val="center"/>
                </w:tcPr>
                <w:p>
                  <w:pPr>
                    <w:pStyle w:val="9"/>
                    <w:adjustRightInd w:val="0"/>
                    <w:snapToGrid w:val="0"/>
                    <w:ind w:firstLine="0" w:firstLineChars="0"/>
                    <w:jc w:val="center"/>
                    <w:rPr>
                      <w:color w:val="auto"/>
                      <w:highlight w:val="none"/>
                    </w:rPr>
                  </w:pPr>
                  <w:r>
                    <w:rPr>
                      <w:rFonts w:hint="eastAsia"/>
                      <w:color w:val="auto"/>
                      <w:highlight w:val="none"/>
                    </w:rPr>
                    <w:t>高污染燃料禁燃区内禁止燃用高污染燃料，禁止新建、扩建燃用高污染燃料的设施。已建的燃用高污染燃料设施，限期改用电、天然气、液化石油气等清洁能源。</w:t>
                  </w:r>
                </w:p>
              </w:tc>
              <w:tc>
                <w:tcPr>
                  <w:tcW w:w="2070" w:type="dxa"/>
                  <w:vAlign w:val="center"/>
                </w:tcPr>
                <w:p>
                  <w:pPr>
                    <w:pStyle w:val="9"/>
                    <w:adjustRightInd w:val="0"/>
                    <w:snapToGrid w:val="0"/>
                    <w:ind w:firstLine="0" w:firstLineChars="0"/>
                    <w:jc w:val="center"/>
                    <w:rPr>
                      <w:color w:val="auto"/>
                      <w:highlight w:val="none"/>
                    </w:rPr>
                  </w:pPr>
                  <w:r>
                    <w:rPr>
                      <w:rFonts w:hint="eastAsia"/>
                      <w:color w:val="auto"/>
                      <w:highlight w:val="none"/>
                    </w:rPr>
                    <w:t>本项目不使用高污染燃料。</w:t>
                  </w:r>
                </w:p>
              </w:tc>
              <w:tc>
                <w:tcPr>
                  <w:tcW w:w="946" w:type="dxa"/>
                  <w:vAlign w:val="center"/>
                </w:tcPr>
                <w:p>
                  <w:pPr>
                    <w:pStyle w:val="9"/>
                    <w:adjustRightInd w:val="0"/>
                    <w:snapToGrid w:val="0"/>
                    <w:ind w:firstLine="0" w:firstLineChars="0"/>
                    <w:jc w:val="center"/>
                    <w:rPr>
                      <w:color w:val="auto"/>
                      <w:highlight w:val="none"/>
                    </w:rPr>
                  </w:pPr>
                  <w:r>
                    <w:rPr>
                      <w:rFonts w:hint="eastAsia"/>
                      <w:color w:val="auto"/>
                      <w:highlight w:val="none"/>
                    </w:rPr>
                    <w:t>符合</w:t>
                  </w:r>
                </w:p>
              </w:tc>
            </w:tr>
          </w:tbl>
          <w:p>
            <w:pPr>
              <w:pStyle w:val="9"/>
              <w:rPr>
                <w:color w:val="auto"/>
                <w:highlight w:val="none"/>
              </w:rPr>
            </w:pPr>
          </w:p>
          <w:p>
            <w:pPr>
              <w:autoSpaceDE w:val="0"/>
              <w:autoSpaceDN w:val="0"/>
              <w:adjustRightInd w:val="0"/>
              <w:snapToGrid w:val="0"/>
              <w:spacing w:line="360" w:lineRule="auto"/>
              <w:ind w:firstLine="480" w:firstLineChars="200"/>
              <w:jc w:val="left"/>
              <w:rPr>
                <w:color w:val="auto"/>
                <w:sz w:val="24"/>
                <w:szCs w:val="32"/>
                <w:highlight w:val="none"/>
              </w:rPr>
            </w:pPr>
            <w:r>
              <w:rPr>
                <w:rFonts w:hint="eastAsia"/>
                <w:color w:val="auto"/>
                <w:sz w:val="24"/>
                <w:szCs w:val="32"/>
                <w:highlight w:val="none"/>
              </w:rPr>
              <w:t>综上所述，本项目符合“三线一单”控制要求。</w:t>
            </w:r>
          </w:p>
          <w:p>
            <w:pPr>
              <w:autoSpaceDE w:val="0"/>
              <w:autoSpaceDN w:val="0"/>
              <w:adjustRightInd w:val="0"/>
              <w:spacing w:line="360" w:lineRule="auto"/>
              <w:ind w:firstLine="480" w:firstLineChars="200"/>
              <w:jc w:val="left"/>
              <w:rPr>
                <w:color w:val="auto"/>
                <w:sz w:val="24"/>
                <w:szCs w:val="32"/>
                <w:highlight w:val="none"/>
              </w:rPr>
            </w:pPr>
            <w:r>
              <w:rPr>
                <w:rFonts w:hint="eastAsia"/>
                <w:color w:val="auto"/>
                <w:sz w:val="24"/>
                <w:szCs w:val="32"/>
                <w:highlight w:val="none"/>
              </w:rPr>
              <w:t>2.产业政策符合性分析</w:t>
            </w:r>
          </w:p>
          <w:p>
            <w:pPr>
              <w:autoSpaceDE w:val="0"/>
              <w:autoSpaceDN w:val="0"/>
              <w:adjustRightInd w:val="0"/>
              <w:snapToGrid w:val="0"/>
              <w:spacing w:line="360" w:lineRule="auto"/>
              <w:ind w:firstLine="480" w:firstLineChars="200"/>
              <w:jc w:val="left"/>
              <w:rPr>
                <w:color w:val="auto"/>
                <w:sz w:val="24"/>
                <w:szCs w:val="32"/>
                <w:highlight w:val="none"/>
              </w:rPr>
            </w:pPr>
            <w:r>
              <w:rPr>
                <w:color w:val="auto"/>
                <w:sz w:val="24"/>
                <w:szCs w:val="32"/>
                <w:highlight w:val="none"/>
              </w:rPr>
              <w:t>项目为普通高等教育大学教学楼的建设，对照国家发展和改革委员会最新发布的《产业结构调整指导目录（2019年本）》，不属于限制类和淘汰类，符合国家产业政策。</w:t>
            </w:r>
          </w:p>
          <w:p>
            <w:pPr>
              <w:autoSpaceDE w:val="0"/>
              <w:autoSpaceDN w:val="0"/>
              <w:adjustRightInd w:val="0"/>
              <w:spacing w:line="360" w:lineRule="auto"/>
              <w:ind w:firstLine="480" w:firstLineChars="200"/>
              <w:jc w:val="left"/>
              <w:rPr>
                <w:color w:val="auto"/>
                <w:sz w:val="24"/>
                <w:szCs w:val="32"/>
                <w:highlight w:val="none"/>
              </w:rPr>
            </w:pPr>
            <w:bookmarkStart w:id="4" w:name="_Toc54101778"/>
            <w:r>
              <w:rPr>
                <w:rFonts w:hint="eastAsia"/>
                <w:color w:val="auto"/>
                <w:sz w:val="24"/>
                <w:szCs w:val="32"/>
                <w:highlight w:val="none"/>
              </w:rPr>
              <w:t>3.与城市土地利用规划符合性分析</w:t>
            </w:r>
            <w:bookmarkEnd w:id="4"/>
          </w:p>
          <w:p>
            <w:pPr>
              <w:autoSpaceDE w:val="0"/>
              <w:autoSpaceDN w:val="0"/>
              <w:adjustRightInd w:val="0"/>
              <w:spacing w:line="360" w:lineRule="auto"/>
              <w:ind w:firstLine="480" w:firstLineChars="200"/>
              <w:jc w:val="left"/>
              <w:rPr>
                <w:color w:val="auto"/>
                <w:sz w:val="24"/>
                <w:szCs w:val="32"/>
                <w:highlight w:val="none"/>
              </w:rPr>
            </w:pPr>
            <w:r>
              <w:rPr>
                <w:rFonts w:hint="eastAsia"/>
                <w:color w:val="auto"/>
                <w:sz w:val="24"/>
                <w:szCs w:val="32"/>
                <w:highlight w:val="none"/>
              </w:rPr>
              <w:t>项目用地为教育用地，本项目主要为普通高等教育学校教学楼的建设，项目符合土地利用规划的要求，故项目选址合理。</w:t>
            </w:r>
          </w:p>
          <w:p>
            <w:pPr>
              <w:autoSpaceDE w:val="0"/>
              <w:autoSpaceDN w:val="0"/>
              <w:adjustRightInd w:val="0"/>
              <w:spacing w:line="360" w:lineRule="auto"/>
              <w:ind w:firstLine="480" w:firstLineChars="200"/>
              <w:jc w:val="left"/>
              <w:rPr>
                <w:color w:val="auto"/>
                <w:sz w:val="24"/>
                <w:szCs w:val="32"/>
                <w:highlight w:val="none"/>
              </w:rPr>
            </w:pPr>
            <w:r>
              <w:rPr>
                <w:rFonts w:hint="eastAsia"/>
                <w:color w:val="auto"/>
                <w:sz w:val="24"/>
                <w:szCs w:val="32"/>
                <w:highlight w:val="none"/>
              </w:rPr>
              <w:t>4.</w:t>
            </w:r>
            <w:r>
              <w:rPr>
                <w:color w:val="auto"/>
                <w:sz w:val="24"/>
                <w:szCs w:val="32"/>
                <w:highlight w:val="none"/>
              </w:rPr>
              <w:t>与区域产业规划符合性分析</w:t>
            </w:r>
          </w:p>
          <w:p>
            <w:pPr>
              <w:autoSpaceDE w:val="0"/>
              <w:autoSpaceDN w:val="0"/>
              <w:adjustRightInd w:val="0"/>
              <w:spacing w:line="360" w:lineRule="auto"/>
              <w:ind w:firstLine="480" w:firstLineChars="200"/>
              <w:jc w:val="left"/>
              <w:rPr>
                <w:color w:val="auto"/>
                <w:highlight w:val="none"/>
              </w:rPr>
            </w:pPr>
            <w:r>
              <w:rPr>
                <w:color w:val="auto"/>
                <w:sz w:val="24"/>
                <w:szCs w:val="32"/>
                <w:highlight w:val="none"/>
              </w:rPr>
              <w:t>项目为普通高等教育学校教学楼的建设，不在禁止准入的行业、工艺、产品及开发活动清单中； 不属于《产业结构调整指导目录（2019年本）》限制、淘汰类项目</w:t>
            </w:r>
            <w:r>
              <w:rPr>
                <w:rFonts w:hint="eastAsia"/>
                <w:color w:val="auto"/>
                <w:sz w:val="24"/>
                <w:szCs w:val="32"/>
                <w:highlight w:val="none"/>
              </w:rPr>
              <w:t>，</w:t>
            </w:r>
            <w:r>
              <w:rPr>
                <w:color w:val="auto"/>
                <w:sz w:val="24"/>
                <w:szCs w:val="32"/>
                <w:highlight w:val="none"/>
              </w:rPr>
              <w:t>因此项目的建设内容符合当前国家和地方的产业政策。</w:t>
            </w:r>
          </w:p>
        </w:tc>
      </w:tr>
    </w:tbl>
    <w:p>
      <w:pPr>
        <w:spacing w:line="360" w:lineRule="auto"/>
        <w:rPr>
          <w:rFonts w:eastAsia="黑体"/>
          <w:color w:val="auto"/>
          <w:sz w:val="30"/>
          <w:highlight w:val="none"/>
        </w:rPr>
        <w:sectPr>
          <w:footerReference r:id="rId7" w:type="default"/>
          <w:pgSz w:w="11906" w:h="16838"/>
          <w:pgMar w:top="1701" w:right="1531" w:bottom="1701" w:left="1531" w:header="851" w:footer="1077" w:gutter="0"/>
          <w:pgNumType w:start="1"/>
          <w:cols w:space="720" w:num="1"/>
          <w:docGrid w:linePitch="312" w:charSpace="0"/>
        </w:sectPr>
      </w:pPr>
    </w:p>
    <w:p>
      <w:pPr>
        <w:pStyle w:val="17"/>
        <w:jc w:val="center"/>
        <w:outlineLvl w:val="0"/>
        <w:rPr>
          <w:rFonts w:ascii="黑体" w:hAnsi="黑体" w:eastAsia="黑体"/>
          <w:snapToGrid w:val="0"/>
          <w:color w:val="auto"/>
          <w:sz w:val="30"/>
          <w:szCs w:val="30"/>
          <w:highlight w:val="none"/>
        </w:rPr>
      </w:pPr>
      <w:bookmarkStart w:id="5" w:name="_Toc3444"/>
      <w:r>
        <w:rPr>
          <w:rFonts w:hint="eastAsia" w:ascii="黑体" w:hAnsi="黑体" w:eastAsia="黑体"/>
          <w:snapToGrid w:val="0"/>
          <w:color w:val="auto"/>
          <w:sz w:val="30"/>
          <w:szCs w:val="30"/>
          <w:highlight w:val="none"/>
        </w:rPr>
        <w:t>二、建设项目工程分析</w:t>
      </w:r>
      <w:bookmarkEnd w:id="5"/>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5"/>
        <w:gridCol w:w="84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0" w:hRule="atLeast"/>
          <w:jc w:val="center"/>
        </w:trPr>
        <w:tc>
          <w:tcPr>
            <w:tcW w:w="635" w:type="dxa"/>
            <w:vAlign w:val="center"/>
          </w:tcPr>
          <w:p>
            <w:pPr>
              <w:pStyle w:val="17"/>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建设内容</w:t>
            </w:r>
          </w:p>
        </w:tc>
        <w:tc>
          <w:tcPr>
            <w:tcW w:w="8425" w:type="dxa"/>
          </w:tcPr>
          <w:p>
            <w:pPr>
              <w:pStyle w:val="31"/>
              <w:rPr>
                <w:color w:val="auto"/>
                <w:highlight w:val="none"/>
              </w:rPr>
            </w:pPr>
            <w:r>
              <w:rPr>
                <w:rFonts w:hint="eastAsia"/>
                <w:color w:val="auto"/>
                <w:highlight w:val="none"/>
              </w:rPr>
              <w:t>2.1.1项目基本情况</w:t>
            </w:r>
          </w:p>
          <w:p>
            <w:pPr>
              <w:pStyle w:val="28"/>
              <w:ind w:firstLine="480"/>
              <w:rPr>
                <w:color w:val="auto"/>
                <w:highlight w:val="none"/>
              </w:rPr>
            </w:pPr>
            <w:r>
              <w:rPr>
                <w:color w:val="auto"/>
                <w:highlight w:val="none"/>
              </w:rPr>
              <w:t>（1）项目名称：</w:t>
            </w:r>
            <w:r>
              <w:rPr>
                <w:rFonts w:hint="eastAsia"/>
                <w:color w:val="auto"/>
                <w:highlight w:val="none"/>
              </w:rPr>
              <w:t>福建师范大学旗山校区海峡柔性电子（未来科技）学院（研究院）综合楼、球差电镜实验室项目</w:t>
            </w:r>
            <w:r>
              <w:rPr>
                <w:color w:val="auto"/>
                <w:highlight w:val="none"/>
              </w:rPr>
              <w:t>；</w:t>
            </w:r>
          </w:p>
          <w:p>
            <w:pPr>
              <w:pStyle w:val="28"/>
              <w:ind w:firstLine="480"/>
              <w:rPr>
                <w:color w:val="auto"/>
                <w:highlight w:val="none"/>
              </w:rPr>
            </w:pPr>
            <w:r>
              <w:rPr>
                <w:color w:val="auto"/>
                <w:highlight w:val="none"/>
              </w:rPr>
              <w:t>（2）建设单位：</w:t>
            </w:r>
            <w:r>
              <w:rPr>
                <w:rFonts w:hint="eastAsia"/>
                <w:color w:val="auto"/>
                <w:highlight w:val="none"/>
              </w:rPr>
              <w:t>福建师范大学</w:t>
            </w:r>
            <w:r>
              <w:rPr>
                <w:color w:val="auto"/>
                <w:highlight w:val="none"/>
              </w:rPr>
              <w:t>；</w:t>
            </w:r>
          </w:p>
          <w:p>
            <w:pPr>
              <w:pStyle w:val="28"/>
              <w:ind w:firstLine="480"/>
              <w:rPr>
                <w:color w:val="auto"/>
                <w:highlight w:val="none"/>
              </w:rPr>
            </w:pPr>
            <w:r>
              <w:rPr>
                <w:color w:val="auto"/>
                <w:highlight w:val="none"/>
              </w:rPr>
              <w:t>（3）建设性质：</w:t>
            </w:r>
            <w:r>
              <w:rPr>
                <w:rFonts w:hint="eastAsia"/>
                <w:color w:val="auto"/>
                <w:highlight w:val="none"/>
              </w:rPr>
              <w:t>新建</w:t>
            </w:r>
            <w:r>
              <w:rPr>
                <w:color w:val="auto"/>
                <w:highlight w:val="none"/>
              </w:rPr>
              <w:t>；</w:t>
            </w:r>
          </w:p>
          <w:p>
            <w:pPr>
              <w:pStyle w:val="28"/>
              <w:ind w:firstLine="480"/>
              <w:rPr>
                <w:color w:val="auto"/>
                <w:highlight w:val="none"/>
              </w:rPr>
            </w:pPr>
            <w:r>
              <w:rPr>
                <w:color w:val="auto"/>
                <w:highlight w:val="none"/>
              </w:rPr>
              <w:t>（4）建设地点：</w:t>
            </w:r>
            <w:r>
              <w:rPr>
                <w:color w:val="auto"/>
                <w:szCs w:val="28"/>
                <w:highlight w:val="none"/>
              </w:rPr>
              <w:t>建设地点位于</w:t>
            </w:r>
            <w:r>
              <w:rPr>
                <w:rFonts w:hint="eastAsia"/>
                <w:color w:val="auto"/>
                <w:szCs w:val="28"/>
                <w:highlight w:val="none"/>
              </w:rPr>
              <w:t>福建省福州市闽侯县上街镇福建师范大学旗山校区内</w:t>
            </w:r>
            <w:r>
              <w:rPr>
                <w:color w:val="auto"/>
                <w:szCs w:val="28"/>
                <w:highlight w:val="none"/>
              </w:rPr>
              <w:t>，</w:t>
            </w:r>
            <w:r>
              <w:rPr>
                <w:color w:val="auto"/>
                <w:highlight w:val="none"/>
              </w:rPr>
              <w:t>详见</w:t>
            </w:r>
            <w:r>
              <w:rPr>
                <w:color w:val="auto"/>
                <w:highlight w:val="none"/>
              </w:rPr>
              <w:fldChar w:fldCharType="begin"/>
            </w:r>
            <w:r>
              <w:rPr>
                <w:color w:val="auto"/>
                <w:highlight w:val="none"/>
              </w:rPr>
              <w:instrText xml:space="preserve"> REF _Ref455003175 \h  \* MERGEFORMAT </w:instrText>
            </w:r>
            <w:r>
              <w:rPr>
                <w:color w:val="auto"/>
                <w:highlight w:val="none"/>
              </w:rPr>
              <w:fldChar w:fldCharType="separate"/>
            </w:r>
            <w:r>
              <w:rPr>
                <w:color w:val="auto"/>
                <w:highlight w:val="none"/>
              </w:rPr>
              <w:t>图2</w:t>
            </w:r>
            <w:r>
              <w:rPr>
                <w:color w:val="auto"/>
                <w:highlight w:val="none"/>
              </w:rPr>
              <w:fldChar w:fldCharType="end"/>
            </w:r>
            <w:r>
              <w:rPr>
                <w:color w:val="auto"/>
                <w:highlight w:val="none"/>
              </w:rPr>
              <w:t>.1-1</w:t>
            </w:r>
            <w:r>
              <w:rPr>
                <w:color w:val="auto"/>
                <w:szCs w:val="28"/>
                <w:highlight w:val="none"/>
              </w:rPr>
              <w:t>；</w:t>
            </w:r>
          </w:p>
          <w:p>
            <w:pPr>
              <w:pStyle w:val="28"/>
              <w:ind w:firstLine="480"/>
              <w:rPr>
                <w:color w:val="auto"/>
                <w:highlight w:val="none"/>
              </w:rPr>
            </w:pPr>
            <w:r>
              <w:rPr>
                <w:color w:val="auto"/>
                <w:highlight w:val="none"/>
              </w:rPr>
              <w:t>（5）建设规模：</w:t>
            </w:r>
            <w:r>
              <w:rPr>
                <w:rFonts w:hint="eastAsia"/>
                <w:color w:val="auto"/>
                <w:highlight w:val="none"/>
              </w:rPr>
              <w:t>项目总建筑面积34810m</w:t>
            </w:r>
            <w:r>
              <w:rPr>
                <w:rFonts w:hint="eastAsia"/>
                <w:color w:val="auto"/>
                <w:highlight w:val="none"/>
                <w:vertAlign w:val="superscript"/>
              </w:rPr>
              <w:t>2</w:t>
            </w:r>
            <w:r>
              <w:rPr>
                <w:rFonts w:hint="eastAsia"/>
                <w:color w:val="auto"/>
                <w:highlight w:val="none"/>
              </w:rPr>
              <w:t>，其中海峡柔性电子（未来科技）学院（研究院）综合楼设计总建筑面积34</w:t>
            </w:r>
            <w:r>
              <w:rPr>
                <w:rFonts w:hint="eastAsia"/>
                <w:color w:val="auto"/>
                <w:highlight w:val="none"/>
                <w:lang w:val="en-US" w:eastAsia="zh-CN"/>
              </w:rPr>
              <w:t>060</w:t>
            </w:r>
            <w:r>
              <w:rPr>
                <w:rFonts w:hint="eastAsia"/>
                <w:color w:val="auto"/>
                <w:highlight w:val="none"/>
              </w:rPr>
              <w:t>m</w:t>
            </w:r>
            <w:r>
              <w:rPr>
                <w:rFonts w:hint="eastAsia"/>
                <w:color w:val="auto"/>
                <w:highlight w:val="none"/>
                <w:vertAlign w:val="superscript"/>
              </w:rPr>
              <w:t>2</w:t>
            </w:r>
            <w:r>
              <w:rPr>
                <w:rFonts w:hint="eastAsia"/>
                <w:color w:val="auto"/>
                <w:highlight w:val="none"/>
              </w:rPr>
              <w:t>，球差电镜室设计建筑面积</w:t>
            </w:r>
            <w:r>
              <w:rPr>
                <w:rFonts w:hint="eastAsia"/>
                <w:color w:val="auto"/>
                <w:highlight w:val="none"/>
                <w:lang w:val="en-US" w:eastAsia="zh-CN"/>
              </w:rPr>
              <w:t>750</w:t>
            </w:r>
            <w:r>
              <w:rPr>
                <w:rFonts w:hint="eastAsia"/>
                <w:color w:val="auto"/>
                <w:highlight w:val="none"/>
              </w:rPr>
              <w:t>m</w:t>
            </w:r>
            <w:r>
              <w:rPr>
                <w:rFonts w:hint="eastAsia"/>
                <w:color w:val="auto"/>
                <w:highlight w:val="none"/>
                <w:vertAlign w:val="superscript"/>
              </w:rPr>
              <w:t>2</w:t>
            </w:r>
            <w:r>
              <w:rPr>
                <w:color w:val="auto"/>
                <w:szCs w:val="28"/>
                <w:highlight w:val="none"/>
              </w:rPr>
              <w:t>；</w:t>
            </w:r>
          </w:p>
          <w:p>
            <w:pPr>
              <w:pStyle w:val="28"/>
              <w:ind w:firstLine="480"/>
              <w:rPr>
                <w:color w:val="auto"/>
                <w:szCs w:val="28"/>
                <w:highlight w:val="none"/>
              </w:rPr>
            </w:pPr>
            <w:r>
              <w:rPr>
                <w:color w:val="auto"/>
                <w:highlight w:val="none"/>
              </w:rPr>
              <w:t>（6）项目投资：</w:t>
            </w:r>
            <w:r>
              <w:rPr>
                <w:color w:val="auto"/>
                <w:szCs w:val="28"/>
                <w:highlight w:val="none"/>
              </w:rPr>
              <w:t>项目总投资</w:t>
            </w:r>
            <w:r>
              <w:rPr>
                <w:rFonts w:hint="eastAsia"/>
                <w:color w:val="auto"/>
                <w:szCs w:val="28"/>
                <w:highlight w:val="none"/>
              </w:rPr>
              <w:t>20</w:t>
            </w:r>
            <w:r>
              <w:rPr>
                <w:rFonts w:hint="eastAsia"/>
                <w:color w:val="auto"/>
                <w:szCs w:val="28"/>
                <w:highlight w:val="none"/>
                <w:lang w:val="en-US" w:eastAsia="zh-CN"/>
              </w:rPr>
              <w:t>116.39</w:t>
            </w:r>
            <w:r>
              <w:rPr>
                <w:color w:val="auto"/>
                <w:szCs w:val="28"/>
                <w:highlight w:val="none"/>
              </w:rPr>
              <w:t>万元；</w:t>
            </w:r>
          </w:p>
          <w:p>
            <w:pPr>
              <w:pStyle w:val="28"/>
              <w:ind w:firstLine="480"/>
              <w:rPr>
                <w:color w:val="auto"/>
                <w:szCs w:val="28"/>
                <w:highlight w:val="none"/>
              </w:rPr>
            </w:pPr>
            <w:r>
              <w:rPr>
                <w:color w:val="auto"/>
                <w:szCs w:val="28"/>
                <w:highlight w:val="none"/>
              </w:rPr>
              <w:t>（7）项目定员：</w:t>
            </w:r>
            <w:r>
              <w:rPr>
                <w:rFonts w:hint="eastAsia"/>
                <w:color w:val="auto"/>
                <w:szCs w:val="28"/>
                <w:highlight w:val="none"/>
              </w:rPr>
              <w:t>预计新增实验室师生约1000人。</w:t>
            </w:r>
          </w:p>
          <w:p>
            <w:pPr>
              <w:pStyle w:val="31"/>
              <w:rPr>
                <w:color w:val="auto"/>
                <w:highlight w:val="none"/>
              </w:rPr>
            </w:pPr>
            <w:r>
              <w:rPr>
                <w:rFonts w:hint="eastAsia"/>
                <w:color w:val="auto"/>
                <w:highlight w:val="none"/>
              </w:rPr>
              <w:t>2.1.2 项目组成</w:t>
            </w:r>
          </w:p>
          <w:p>
            <w:pPr>
              <w:pStyle w:val="28"/>
              <w:ind w:firstLine="480"/>
              <w:rPr>
                <w:color w:val="auto"/>
                <w:szCs w:val="28"/>
                <w:highlight w:val="none"/>
              </w:rPr>
            </w:pPr>
            <w:r>
              <w:rPr>
                <w:rFonts w:hint="eastAsia"/>
                <w:color w:val="auto"/>
                <w:szCs w:val="28"/>
                <w:highlight w:val="none"/>
              </w:rPr>
              <w:t>本项目主要经济技术指标及基本组成如表2.1.1、表2.1.2所示。</w:t>
            </w:r>
          </w:p>
          <w:p>
            <w:pPr>
              <w:pStyle w:val="32"/>
              <w:rPr>
                <w:color w:val="auto"/>
                <w:highlight w:val="none"/>
              </w:rPr>
            </w:pPr>
          </w:p>
          <w:p>
            <w:pPr>
              <w:pStyle w:val="32"/>
              <w:rPr>
                <w:color w:val="auto"/>
                <w:highlight w:val="none"/>
              </w:rPr>
            </w:pPr>
            <w:r>
              <w:rPr>
                <w:rFonts w:hint="eastAsia"/>
                <w:color w:val="auto"/>
                <w:highlight w:val="none"/>
              </w:rPr>
              <w:t>表2.1.1 项目主要经济技术指标</w:t>
            </w:r>
          </w:p>
          <w:tbl>
            <w:tblPr>
              <w:tblStyle w:val="19"/>
              <w:tblW w:w="8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065"/>
              <w:gridCol w:w="1140"/>
              <w:gridCol w:w="1575"/>
              <w:gridCol w:w="2025"/>
              <w:gridCol w:w="750"/>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color w:val="auto"/>
                      <w:szCs w:val="21"/>
                      <w:highlight w:val="none"/>
                    </w:rPr>
                  </w:pPr>
                  <w:r>
                    <w:rPr>
                      <w:rFonts w:hint="eastAsia"/>
                      <w:color w:val="auto"/>
                      <w:szCs w:val="21"/>
                      <w:highlight w:val="none"/>
                    </w:rPr>
                    <w:t>序号</w:t>
                  </w:r>
                </w:p>
              </w:tc>
              <w:tc>
                <w:tcPr>
                  <w:tcW w:w="1065" w:type="dxa"/>
                  <w:vAlign w:val="center"/>
                </w:tcPr>
                <w:p>
                  <w:pPr>
                    <w:jc w:val="center"/>
                    <w:rPr>
                      <w:color w:val="auto"/>
                      <w:szCs w:val="21"/>
                      <w:highlight w:val="none"/>
                    </w:rPr>
                  </w:pPr>
                  <w:r>
                    <w:rPr>
                      <w:rFonts w:hint="eastAsia"/>
                      <w:color w:val="auto"/>
                      <w:szCs w:val="21"/>
                      <w:highlight w:val="none"/>
                    </w:rPr>
                    <w:t>楼栋名称</w:t>
                  </w:r>
                </w:p>
              </w:tc>
              <w:tc>
                <w:tcPr>
                  <w:tcW w:w="4740" w:type="dxa"/>
                  <w:gridSpan w:val="3"/>
                  <w:vAlign w:val="center"/>
                </w:tcPr>
                <w:p>
                  <w:pPr>
                    <w:jc w:val="center"/>
                    <w:rPr>
                      <w:color w:val="auto"/>
                      <w:szCs w:val="21"/>
                      <w:highlight w:val="none"/>
                    </w:rPr>
                  </w:pPr>
                  <w:r>
                    <w:rPr>
                      <w:rFonts w:hint="eastAsia"/>
                      <w:color w:val="auto"/>
                      <w:szCs w:val="21"/>
                      <w:highlight w:val="none"/>
                    </w:rPr>
                    <w:t>项目</w:t>
                  </w:r>
                </w:p>
              </w:tc>
              <w:tc>
                <w:tcPr>
                  <w:tcW w:w="750" w:type="dxa"/>
                  <w:vAlign w:val="center"/>
                </w:tcPr>
                <w:p>
                  <w:pPr>
                    <w:jc w:val="center"/>
                    <w:rPr>
                      <w:color w:val="auto"/>
                      <w:szCs w:val="21"/>
                      <w:highlight w:val="none"/>
                    </w:rPr>
                  </w:pPr>
                  <w:r>
                    <w:rPr>
                      <w:rFonts w:hint="eastAsia"/>
                      <w:color w:val="auto"/>
                      <w:szCs w:val="21"/>
                      <w:highlight w:val="none"/>
                    </w:rPr>
                    <w:t>单位</w:t>
                  </w:r>
                </w:p>
              </w:tc>
              <w:tc>
                <w:tcPr>
                  <w:tcW w:w="1004" w:type="dxa"/>
                  <w:vAlign w:val="center"/>
                </w:tcPr>
                <w:p>
                  <w:pPr>
                    <w:jc w:val="center"/>
                    <w:rPr>
                      <w:color w:val="auto"/>
                      <w:szCs w:val="21"/>
                      <w:highlight w:val="none"/>
                    </w:rPr>
                  </w:pPr>
                  <w:r>
                    <w:rPr>
                      <w:rFonts w:hint="eastAsia"/>
                      <w:color w:val="auto"/>
                      <w:szCs w:val="21"/>
                      <w:highlight w:val="none"/>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73" w:type="dxa"/>
                  <w:vMerge w:val="restart"/>
                  <w:vAlign w:val="center"/>
                </w:tcPr>
                <w:p>
                  <w:pPr>
                    <w:jc w:val="center"/>
                    <w:rPr>
                      <w:color w:val="auto"/>
                      <w:szCs w:val="21"/>
                      <w:highlight w:val="none"/>
                    </w:rPr>
                  </w:pPr>
                  <w:r>
                    <w:rPr>
                      <w:rFonts w:hint="eastAsia"/>
                      <w:color w:val="auto"/>
                      <w:szCs w:val="21"/>
                      <w:highlight w:val="none"/>
                    </w:rPr>
                    <w:t>1</w:t>
                  </w:r>
                </w:p>
              </w:tc>
              <w:tc>
                <w:tcPr>
                  <w:tcW w:w="1065" w:type="dxa"/>
                  <w:vMerge w:val="restart"/>
                  <w:vAlign w:val="center"/>
                </w:tcPr>
                <w:p>
                  <w:pPr>
                    <w:jc w:val="center"/>
                    <w:rPr>
                      <w:color w:val="auto"/>
                      <w:szCs w:val="21"/>
                      <w:highlight w:val="none"/>
                    </w:rPr>
                  </w:pPr>
                  <w:r>
                    <w:rPr>
                      <w:rFonts w:hint="eastAsia"/>
                      <w:color w:val="auto"/>
                      <w:szCs w:val="21"/>
                      <w:highlight w:val="none"/>
                    </w:rPr>
                    <w:t>综合楼</w:t>
                  </w:r>
                </w:p>
              </w:tc>
              <w:tc>
                <w:tcPr>
                  <w:tcW w:w="1140" w:type="dxa"/>
                  <w:vMerge w:val="restart"/>
                  <w:vAlign w:val="center"/>
                </w:tcPr>
                <w:p>
                  <w:pPr>
                    <w:jc w:val="center"/>
                    <w:rPr>
                      <w:color w:val="auto"/>
                      <w:szCs w:val="21"/>
                      <w:highlight w:val="none"/>
                    </w:rPr>
                  </w:pPr>
                  <w:r>
                    <w:rPr>
                      <w:rFonts w:hint="eastAsia"/>
                      <w:color w:val="auto"/>
                      <w:szCs w:val="21"/>
                      <w:highlight w:val="none"/>
                    </w:rPr>
                    <w:t>总建筑面积34</w:t>
                  </w:r>
                  <w:r>
                    <w:rPr>
                      <w:rFonts w:hint="eastAsia"/>
                      <w:color w:val="auto"/>
                      <w:szCs w:val="21"/>
                      <w:highlight w:val="none"/>
                      <w:lang w:val="en-US" w:eastAsia="zh-CN"/>
                    </w:rPr>
                    <w:t>060</w:t>
                  </w:r>
                  <w:r>
                    <w:rPr>
                      <w:rFonts w:hint="eastAsia"/>
                      <w:color w:val="auto"/>
                      <w:szCs w:val="21"/>
                      <w:highlight w:val="none"/>
                    </w:rPr>
                    <w:t>m</w:t>
                  </w:r>
                  <w:r>
                    <w:rPr>
                      <w:rFonts w:hint="eastAsia"/>
                      <w:color w:val="auto"/>
                      <w:szCs w:val="21"/>
                      <w:highlight w:val="none"/>
                      <w:vertAlign w:val="superscript"/>
                    </w:rPr>
                    <w:t>2</w:t>
                  </w:r>
                </w:p>
              </w:tc>
              <w:tc>
                <w:tcPr>
                  <w:tcW w:w="1575" w:type="dxa"/>
                  <w:vMerge w:val="restart"/>
                  <w:vAlign w:val="center"/>
                </w:tcPr>
                <w:p>
                  <w:pPr>
                    <w:jc w:val="center"/>
                    <w:rPr>
                      <w:color w:val="auto"/>
                      <w:szCs w:val="21"/>
                      <w:highlight w:val="none"/>
                    </w:rPr>
                  </w:pPr>
                  <w:r>
                    <w:rPr>
                      <w:rFonts w:hint="eastAsia"/>
                      <w:color w:val="auto"/>
                      <w:szCs w:val="21"/>
                      <w:highlight w:val="none"/>
                    </w:rPr>
                    <w:t>地上建筑面积</w:t>
                  </w:r>
                </w:p>
              </w:tc>
              <w:tc>
                <w:tcPr>
                  <w:tcW w:w="2025" w:type="dxa"/>
                  <w:vAlign w:val="center"/>
                </w:tcPr>
                <w:p>
                  <w:pPr>
                    <w:jc w:val="center"/>
                    <w:rPr>
                      <w:color w:val="auto"/>
                      <w:szCs w:val="21"/>
                      <w:highlight w:val="none"/>
                    </w:rPr>
                  </w:pPr>
                  <w:r>
                    <w:rPr>
                      <w:rFonts w:hint="eastAsia"/>
                      <w:color w:val="auto"/>
                      <w:szCs w:val="21"/>
                      <w:highlight w:val="none"/>
                    </w:rPr>
                    <w:t>地上建筑面积</w:t>
                  </w:r>
                </w:p>
              </w:tc>
              <w:tc>
                <w:tcPr>
                  <w:tcW w:w="750" w:type="dxa"/>
                  <w:vAlign w:val="center"/>
                </w:tcPr>
                <w:p>
                  <w:pPr>
                    <w:jc w:val="center"/>
                    <w:rPr>
                      <w:color w:val="auto"/>
                      <w:szCs w:val="21"/>
                      <w:highlight w:val="none"/>
                    </w:rPr>
                  </w:pPr>
                  <w:r>
                    <w:rPr>
                      <w:rFonts w:hint="eastAsia"/>
                      <w:color w:val="auto"/>
                      <w:szCs w:val="21"/>
                      <w:highlight w:val="none"/>
                    </w:rPr>
                    <w:t>m</w:t>
                  </w:r>
                  <w:r>
                    <w:rPr>
                      <w:rFonts w:hint="eastAsia"/>
                      <w:color w:val="auto"/>
                      <w:szCs w:val="21"/>
                      <w:highlight w:val="none"/>
                      <w:vertAlign w:val="superscript"/>
                    </w:rPr>
                    <w:t>2</w:t>
                  </w:r>
                </w:p>
              </w:tc>
              <w:tc>
                <w:tcPr>
                  <w:tcW w:w="1004" w:type="dxa"/>
                  <w:vAlign w:val="center"/>
                </w:tcPr>
                <w:p>
                  <w:pPr>
                    <w:jc w:val="center"/>
                    <w:rPr>
                      <w:rFonts w:hint="default" w:eastAsia="宋体"/>
                      <w:color w:val="auto"/>
                      <w:szCs w:val="21"/>
                      <w:highlight w:val="none"/>
                      <w:lang w:val="en-US" w:eastAsia="zh-CN"/>
                    </w:rPr>
                  </w:pPr>
                  <w:r>
                    <w:rPr>
                      <w:rFonts w:hint="eastAsia"/>
                      <w:color w:val="auto"/>
                      <w:szCs w:val="21"/>
                      <w:highlight w:val="none"/>
                    </w:rPr>
                    <w:t>29</w:t>
                  </w:r>
                  <w:r>
                    <w:rPr>
                      <w:rFonts w:hint="eastAsia"/>
                      <w:color w:val="auto"/>
                      <w:szCs w:val="21"/>
                      <w:highlight w:val="none"/>
                      <w:lang w:val="en-US" w:eastAsia="zh-CN"/>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continue"/>
                  <w:vAlign w:val="center"/>
                </w:tcPr>
                <w:p>
                  <w:pPr>
                    <w:jc w:val="center"/>
                    <w:rPr>
                      <w:color w:val="auto"/>
                      <w:szCs w:val="21"/>
                      <w:highlight w:val="none"/>
                    </w:rPr>
                  </w:pPr>
                </w:p>
              </w:tc>
              <w:tc>
                <w:tcPr>
                  <w:tcW w:w="1065" w:type="dxa"/>
                  <w:vMerge w:val="continue"/>
                  <w:vAlign w:val="center"/>
                </w:tcPr>
                <w:p>
                  <w:pPr>
                    <w:jc w:val="center"/>
                    <w:rPr>
                      <w:color w:val="auto"/>
                      <w:szCs w:val="21"/>
                      <w:highlight w:val="none"/>
                    </w:rPr>
                  </w:pPr>
                </w:p>
              </w:tc>
              <w:tc>
                <w:tcPr>
                  <w:tcW w:w="1140" w:type="dxa"/>
                  <w:vMerge w:val="continue"/>
                  <w:vAlign w:val="center"/>
                </w:tcPr>
                <w:p>
                  <w:pPr>
                    <w:jc w:val="center"/>
                    <w:rPr>
                      <w:color w:val="auto"/>
                      <w:szCs w:val="21"/>
                      <w:highlight w:val="none"/>
                    </w:rPr>
                  </w:pPr>
                </w:p>
              </w:tc>
              <w:tc>
                <w:tcPr>
                  <w:tcW w:w="1575" w:type="dxa"/>
                  <w:vMerge w:val="continue"/>
                  <w:vAlign w:val="center"/>
                </w:tcPr>
                <w:p>
                  <w:pPr>
                    <w:jc w:val="center"/>
                    <w:rPr>
                      <w:color w:val="auto"/>
                      <w:szCs w:val="21"/>
                      <w:highlight w:val="none"/>
                    </w:rPr>
                  </w:pPr>
                </w:p>
              </w:tc>
              <w:tc>
                <w:tcPr>
                  <w:tcW w:w="2025" w:type="dxa"/>
                  <w:vAlign w:val="center"/>
                </w:tcPr>
                <w:p>
                  <w:pPr>
                    <w:jc w:val="center"/>
                    <w:rPr>
                      <w:color w:val="auto"/>
                      <w:szCs w:val="21"/>
                      <w:highlight w:val="none"/>
                    </w:rPr>
                  </w:pPr>
                  <w:r>
                    <w:rPr>
                      <w:rFonts w:hint="eastAsia"/>
                      <w:color w:val="auto"/>
                      <w:szCs w:val="21"/>
                      <w:highlight w:val="none"/>
                    </w:rPr>
                    <w:t>不计容建筑面积</w:t>
                  </w:r>
                </w:p>
              </w:tc>
              <w:tc>
                <w:tcPr>
                  <w:tcW w:w="750" w:type="dxa"/>
                  <w:vAlign w:val="center"/>
                </w:tcPr>
                <w:p>
                  <w:pPr>
                    <w:jc w:val="center"/>
                    <w:rPr>
                      <w:color w:val="auto"/>
                      <w:szCs w:val="21"/>
                      <w:highlight w:val="none"/>
                    </w:rPr>
                  </w:pPr>
                  <w:r>
                    <w:rPr>
                      <w:rFonts w:hint="eastAsia"/>
                      <w:color w:val="auto"/>
                      <w:szCs w:val="21"/>
                      <w:highlight w:val="none"/>
                    </w:rPr>
                    <w:t>m</w:t>
                  </w:r>
                  <w:r>
                    <w:rPr>
                      <w:rFonts w:hint="eastAsia"/>
                      <w:color w:val="auto"/>
                      <w:szCs w:val="21"/>
                      <w:highlight w:val="none"/>
                      <w:vertAlign w:val="superscript"/>
                    </w:rPr>
                    <w:t>2</w:t>
                  </w:r>
                </w:p>
              </w:tc>
              <w:tc>
                <w:tcPr>
                  <w:tcW w:w="1004" w:type="dxa"/>
                  <w:vAlign w:val="center"/>
                </w:tcPr>
                <w:p>
                  <w:pPr>
                    <w:jc w:val="center"/>
                    <w:rPr>
                      <w:color w:val="auto"/>
                      <w:szCs w:val="21"/>
                      <w:highlight w:val="none"/>
                    </w:rPr>
                  </w:pPr>
                  <w:r>
                    <w:rPr>
                      <w:rFonts w:hint="eastAsia"/>
                      <w:color w:val="auto"/>
                      <w:kern w:val="0"/>
                      <w:szCs w:val="21"/>
                      <w:highlight w:val="none"/>
                    </w:rPr>
                    <w:t>4435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73" w:type="dxa"/>
                  <w:vMerge w:val="continue"/>
                  <w:vAlign w:val="center"/>
                </w:tcPr>
                <w:p>
                  <w:pPr>
                    <w:jc w:val="center"/>
                    <w:rPr>
                      <w:color w:val="auto"/>
                      <w:szCs w:val="21"/>
                      <w:highlight w:val="none"/>
                    </w:rPr>
                  </w:pPr>
                </w:p>
              </w:tc>
              <w:tc>
                <w:tcPr>
                  <w:tcW w:w="1065" w:type="dxa"/>
                  <w:vMerge w:val="continue"/>
                  <w:vAlign w:val="center"/>
                </w:tcPr>
                <w:p>
                  <w:pPr>
                    <w:jc w:val="center"/>
                    <w:rPr>
                      <w:color w:val="auto"/>
                      <w:szCs w:val="21"/>
                      <w:highlight w:val="none"/>
                    </w:rPr>
                  </w:pPr>
                </w:p>
              </w:tc>
              <w:tc>
                <w:tcPr>
                  <w:tcW w:w="1140" w:type="dxa"/>
                  <w:vMerge w:val="continue"/>
                  <w:vAlign w:val="center"/>
                </w:tcPr>
                <w:p>
                  <w:pPr>
                    <w:jc w:val="center"/>
                    <w:rPr>
                      <w:color w:val="auto"/>
                      <w:szCs w:val="21"/>
                      <w:highlight w:val="none"/>
                    </w:rPr>
                  </w:pPr>
                </w:p>
              </w:tc>
              <w:tc>
                <w:tcPr>
                  <w:tcW w:w="3600" w:type="dxa"/>
                  <w:gridSpan w:val="2"/>
                  <w:vAlign w:val="center"/>
                </w:tcPr>
                <w:p>
                  <w:pPr>
                    <w:jc w:val="center"/>
                    <w:rPr>
                      <w:color w:val="auto"/>
                      <w:szCs w:val="21"/>
                      <w:highlight w:val="none"/>
                    </w:rPr>
                  </w:pPr>
                  <w:r>
                    <w:rPr>
                      <w:rFonts w:hint="eastAsia"/>
                      <w:color w:val="auto"/>
                      <w:szCs w:val="21"/>
                      <w:highlight w:val="none"/>
                    </w:rPr>
                    <w:t>地下建筑面积</w:t>
                  </w:r>
                </w:p>
              </w:tc>
              <w:tc>
                <w:tcPr>
                  <w:tcW w:w="750" w:type="dxa"/>
                  <w:vAlign w:val="center"/>
                </w:tcPr>
                <w:p>
                  <w:pPr>
                    <w:jc w:val="center"/>
                    <w:rPr>
                      <w:color w:val="auto"/>
                      <w:szCs w:val="21"/>
                      <w:highlight w:val="none"/>
                    </w:rPr>
                  </w:pPr>
                  <w:r>
                    <w:rPr>
                      <w:rFonts w:hint="eastAsia"/>
                      <w:color w:val="auto"/>
                      <w:szCs w:val="21"/>
                      <w:highlight w:val="none"/>
                    </w:rPr>
                    <w:t>m</w:t>
                  </w:r>
                  <w:r>
                    <w:rPr>
                      <w:rFonts w:hint="eastAsia"/>
                      <w:color w:val="auto"/>
                      <w:szCs w:val="21"/>
                      <w:highlight w:val="none"/>
                      <w:vertAlign w:val="superscript"/>
                    </w:rPr>
                    <w:t>2</w:t>
                  </w:r>
                </w:p>
              </w:tc>
              <w:tc>
                <w:tcPr>
                  <w:tcW w:w="1004" w:type="dxa"/>
                  <w:vAlign w:val="center"/>
                </w:tcPr>
                <w:p>
                  <w:pPr>
                    <w:jc w:val="center"/>
                    <w:rPr>
                      <w:color w:val="auto"/>
                      <w:szCs w:val="21"/>
                      <w:highlight w:val="none"/>
                    </w:rPr>
                  </w:pPr>
                  <w:r>
                    <w:rPr>
                      <w:rFonts w:hint="eastAsia"/>
                      <w:color w:val="auto"/>
                      <w:kern w:val="0"/>
                      <w:szCs w:val="21"/>
                      <w:highlight w:val="none"/>
                    </w:rPr>
                    <w:t>4435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color w:val="auto"/>
                      <w:szCs w:val="21"/>
                      <w:highlight w:val="none"/>
                    </w:rPr>
                  </w:pPr>
                  <w:r>
                    <w:rPr>
                      <w:rFonts w:hint="eastAsia"/>
                      <w:color w:val="auto"/>
                      <w:szCs w:val="21"/>
                      <w:highlight w:val="none"/>
                    </w:rPr>
                    <w:t>2</w:t>
                  </w:r>
                </w:p>
              </w:tc>
              <w:tc>
                <w:tcPr>
                  <w:tcW w:w="1065" w:type="dxa"/>
                  <w:vMerge w:val="continue"/>
                  <w:vAlign w:val="center"/>
                </w:tcPr>
                <w:p>
                  <w:pPr>
                    <w:jc w:val="center"/>
                    <w:rPr>
                      <w:color w:val="auto"/>
                      <w:szCs w:val="21"/>
                      <w:highlight w:val="none"/>
                    </w:rPr>
                  </w:pPr>
                </w:p>
              </w:tc>
              <w:tc>
                <w:tcPr>
                  <w:tcW w:w="4740" w:type="dxa"/>
                  <w:gridSpan w:val="3"/>
                  <w:vAlign w:val="center"/>
                </w:tcPr>
                <w:p>
                  <w:pPr>
                    <w:jc w:val="center"/>
                    <w:rPr>
                      <w:color w:val="auto"/>
                      <w:szCs w:val="21"/>
                      <w:highlight w:val="none"/>
                    </w:rPr>
                  </w:pPr>
                  <w:r>
                    <w:rPr>
                      <w:rFonts w:hint="eastAsia"/>
                      <w:color w:val="auto"/>
                      <w:szCs w:val="21"/>
                      <w:highlight w:val="none"/>
                    </w:rPr>
                    <w:t>建筑占地面积</w:t>
                  </w:r>
                </w:p>
              </w:tc>
              <w:tc>
                <w:tcPr>
                  <w:tcW w:w="750" w:type="dxa"/>
                  <w:vAlign w:val="center"/>
                </w:tcPr>
                <w:p>
                  <w:pPr>
                    <w:jc w:val="center"/>
                    <w:rPr>
                      <w:color w:val="auto"/>
                      <w:szCs w:val="21"/>
                      <w:highlight w:val="none"/>
                    </w:rPr>
                  </w:pPr>
                  <w:r>
                    <w:rPr>
                      <w:rFonts w:hint="eastAsia"/>
                      <w:color w:val="auto"/>
                      <w:szCs w:val="21"/>
                      <w:highlight w:val="none"/>
                    </w:rPr>
                    <w:t>m</w:t>
                  </w:r>
                  <w:r>
                    <w:rPr>
                      <w:rFonts w:hint="eastAsia"/>
                      <w:color w:val="auto"/>
                      <w:szCs w:val="21"/>
                      <w:highlight w:val="none"/>
                      <w:vertAlign w:val="superscript"/>
                    </w:rPr>
                    <w:t>2</w:t>
                  </w:r>
                </w:p>
              </w:tc>
              <w:tc>
                <w:tcPr>
                  <w:tcW w:w="1004" w:type="dxa"/>
                  <w:vAlign w:val="center"/>
                </w:tcPr>
                <w:p>
                  <w:pPr>
                    <w:jc w:val="center"/>
                    <w:rPr>
                      <w:color w:val="auto"/>
                      <w:szCs w:val="21"/>
                      <w:highlight w:val="none"/>
                    </w:rPr>
                  </w:pPr>
                  <w:r>
                    <w:rPr>
                      <w:rFonts w:hint="eastAsia"/>
                      <w:color w:val="auto"/>
                      <w:szCs w:val="21"/>
                      <w:highlight w:val="none"/>
                    </w:rPr>
                    <w:t>5854.53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color w:val="auto"/>
                      <w:szCs w:val="21"/>
                      <w:highlight w:val="none"/>
                    </w:rPr>
                  </w:pPr>
                  <w:r>
                    <w:rPr>
                      <w:rFonts w:hint="eastAsia"/>
                      <w:color w:val="auto"/>
                      <w:szCs w:val="21"/>
                      <w:highlight w:val="none"/>
                    </w:rPr>
                    <w:t>3</w:t>
                  </w:r>
                </w:p>
              </w:tc>
              <w:tc>
                <w:tcPr>
                  <w:tcW w:w="1065" w:type="dxa"/>
                  <w:vMerge w:val="continue"/>
                  <w:vAlign w:val="center"/>
                </w:tcPr>
                <w:p>
                  <w:pPr>
                    <w:jc w:val="center"/>
                    <w:rPr>
                      <w:color w:val="auto"/>
                      <w:szCs w:val="21"/>
                      <w:highlight w:val="none"/>
                    </w:rPr>
                  </w:pPr>
                </w:p>
              </w:tc>
              <w:tc>
                <w:tcPr>
                  <w:tcW w:w="4740" w:type="dxa"/>
                  <w:gridSpan w:val="3"/>
                  <w:vAlign w:val="center"/>
                </w:tcPr>
                <w:p>
                  <w:pPr>
                    <w:jc w:val="center"/>
                    <w:rPr>
                      <w:color w:val="auto"/>
                      <w:szCs w:val="21"/>
                      <w:highlight w:val="none"/>
                    </w:rPr>
                  </w:pPr>
                  <w:r>
                    <w:rPr>
                      <w:rFonts w:hint="eastAsia"/>
                      <w:color w:val="auto"/>
                      <w:szCs w:val="21"/>
                      <w:highlight w:val="none"/>
                    </w:rPr>
                    <w:t>绿地率</w:t>
                  </w:r>
                </w:p>
              </w:tc>
              <w:tc>
                <w:tcPr>
                  <w:tcW w:w="750" w:type="dxa"/>
                  <w:vAlign w:val="center"/>
                </w:tcPr>
                <w:p>
                  <w:pPr>
                    <w:jc w:val="center"/>
                    <w:rPr>
                      <w:color w:val="auto"/>
                      <w:szCs w:val="21"/>
                      <w:highlight w:val="none"/>
                    </w:rPr>
                  </w:pPr>
                  <w:r>
                    <w:rPr>
                      <w:rFonts w:hint="eastAsia"/>
                      <w:color w:val="auto"/>
                      <w:szCs w:val="21"/>
                      <w:highlight w:val="none"/>
                    </w:rPr>
                    <w:t>%</w:t>
                  </w:r>
                </w:p>
              </w:tc>
              <w:tc>
                <w:tcPr>
                  <w:tcW w:w="1004" w:type="dxa"/>
                  <w:vAlign w:val="center"/>
                </w:tcPr>
                <w:p>
                  <w:pPr>
                    <w:jc w:val="center"/>
                    <w:rPr>
                      <w:color w:val="auto"/>
                      <w:szCs w:val="21"/>
                      <w:highlight w:val="none"/>
                    </w:rPr>
                  </w:pPr>
                  <w:r>
                    <w:rPr>
                      <w:rFonts w:hint="eastAsia"/>
                      <w:color w:val="auto"/>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color w:val="auto"/>
                      <w:szCs w:val="21"/>
                      <w:highlight w:val="none"/>
                    </w:rPr>
                  </w:pPr>
                  <w:r>
                    <w:rPr>
                      <w:rFonts w:hint="eastAsia"/>
                      <w:color w:val="auto"/>
                      <w:szCs w:val="21"/>
                      <w:highlight w:val="none"/>
                    </w:rPr>
                    <w:t>4</w:t>
                  </w:r>
                </w:p>
              </w:tc>
              <w:tc>
                <w:tcPr>
                  <w:tcW w:w="1065" w:type="dxa"/>
                  <w:vMerge w:val="continue"/>
                  <w:vAlign w:val="center"/>
                </w:tcPr>
                <w:p>
                  <w:pPr>
                    <w:jc w:val="center"/>
                    <w:rPr>
                      <w:color w:val="auto"/>
                      <w:szCs w:val="21"/>
                      <w:highlight w:val="none"/>
                    </w:rPr>
                  </w:pPr>
                </w:p>
              </w:tc>
              <w:tc>
                <w:tcPr>
                  <w:tcW w:w="4740" w:type="dxa"/>
                  <w:gridSpan w:val="3"/>
                  <w:vAlign w:val="center"/>
                </w:tcPr>
                <w:p>
                  <w:pPr>
                    <w:jc w:val="center"/>
                    <w:rPr>
                      <w:color w:val="auto"/>
                      <w:szCs w:val="21"/>
                      <w:highlight w:val="none"/>
                    </w:rPr>
                  </w:pPr>
                  <w:r>
                    <w:rPr>
                      <w:rFonts w:hint="eastAsia"/>
                      <w:color w:val="auto"/>
                      <w:szCs w:val="21"/>
                      <w:highlight w:val="none"/>
                    </w:rPr>
                    <w:t>容积率</w:t>
                  </w:r>
                </w:p>
              </w:tc>
              <w:tc>
                <w:tcPr>
                  <w:tcW w:w="750" w:type="dxa"/>
                  <w:vAlign w:val="center"/>
                </w:tcPr>
                <w:p>
                  <w:pPr>
                    <w:jc w:val="center"/>
                    <w:rPr>
                      <w:color w:val="auto"/>
                      <w:szCs w:val="21"/>
                      <w:highlight w:val="none"/>
                    </w:rPr>
                  </w:pPr>
                  <w:r>
                    <w:rPr>
                      <w:rFonts w:hint="eastAsia"/>
                      <w:color w:val="auto"/>
                      <w:szCs w:val="21"/>
                      <w:highlight w:val="none"/>
                    </w:rPr>
                    <w:t>/</w:t>
                  </w:r>
                </w:p>
              </w:tc>
              <w:tc>
                <w:tcPr>
                  <w:tcW w:w="1004" w:type="dxa"/>
                  <w:vAlign w:val="center"/>
                </w:tcPr>
                <w:p>
                  <w:pPr>
                    <w:jc w:val="center"/>
                    <w:rPr>
                      <w:color w:val="auto"/>
                      <w:szCs w:val="21"/>
                      <w:highlight w:val="none"/>
                    </w:rPr>
                  </w:pPr>
                  <w:r>
                    <w:rPr>
                      <w:rFonts w:hint="eastAsia"/>
                      <w:color w:val="auto"/>
                      <w:szCs w:val="21"/>
                      <w:highlight w:val="none"/>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color w:val="auto"/>
                      <w:szCs w:val="21"/>
                      <w:highlight w:val="none"/>
                    </w:rPr>
                  </w:pPr>
                  <w:r>
                    <w:rPr>
                      <w:rFonts w:hint="eastAsia"/>
                      <w:color w:val="auto"/>
                      <w:szCs w:val="21"/>
                      <w:highlight w:val="none"/>
                    </w:rPr>
                    <w:t>5</w:t>
                  </w:r>
                </w:p>
              </w:tc>
              <w:tc>
                <w:tcPr>
                  <w:tcW w:w="1065" w:type="dxa"/>
                  <w:vMerge w:val="continue"/>
                  <w:vAlign w:val="center"/>
                </w:tcPr>
                <w:p>
                  <w:pPr>
                    <w:jc w:val="center"/>
                    <w:rPr>
                      <w:color w:val="auto"/>
                      <w:szCs w:val="21"/>
                      <w:highlight w:val="none"/>
                    </w:rPr>
                  </w:pPr>
                </w:p>
              </w:tc>
              <w:tc>
                <w:tcPr>
                  <w:tcW w:w="4740" w:type="dxa"/>
                  <w:gridSpan w:val="3"/>
                  <w:vAlign w:val="center"/>
                </w:tcPr>
                <w:p>
                  <w:pPr>
                    <w:jc w:val="center"/>
                    <w:rPr>
                      <w:color w:val="auto"/>
                      <w:szCs w:val="21"/>
                      <w:highlight w:val="none"/>
                    </w:rPr>
                  </w:pPr>
                  <w:r>
                    <w:rPr>
                      <w:rFonts w:hint="eastAsia"/>
                      <w:color w:val="auto"/>
                      <w:szCs w:val="21"/>
                      <w:highlight w:val="none"/>
                    </w:rPr>
                    <w:t>建筑密度</w:t>
                  </w:r>
                </w:p>
              </w:tc>
              <w:tc>
                <w:tcPr>
                  <w:tcW w:w="750" w:type="dxa"/>
                  <w:vAlign w:val="center"/>
                </w:tcPr>
                <w:p>
                  <w:pPr>
                    <w:jc w:val="center"/>
                    <w:rPr>
                      <w:color w:val="auto"/>
                      <w:szCs w:val="21"/>
                      <w:highlight w:val="none"/>
                    </w:rPr>
                  </w:pPr>
                  <w:r>
                    <w:rPr>
                      <w:rFonts w:hint="eastAsia"/>
                      <w:color w:val="auto"/>
                      <w:szCs w:val="21"/>
                      <w:highlight w:val="none"/>
                    </w:rPr>
                    <w:t>%</w:t>
                  </w:r>
                </w:p>
              </w:tc>
              <w:tc>
                <w:tcPr>
                  <w:tcW w:w="1004" w:type="dxa"/>
                  <w:vAlign w:val="center"/>
                </w:tcPr>
                <w:p>
                  <w:pPr>
                    <w:jc w:val="center"/>
                    <w:rPr>
                      <w:color w:val="auto"/>
                      <w:szCs w:val="21"/>
                      <w:highlight w:val="none"/>
                    </w:rPr>
                  </w:pPr>
                  <w:r>
                    <w:rPr>
                      <w:rFonts w:hint="eastAsia"/>
                      <w:color w:val="auto"/>
                      <w:szCs w:val="21"/>
                      <w:highlight w:val="none"/>
                    </w:rPr>
                    <w:t>34.07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color w:val="auto"/>
                      <w:szCs w:val="21"/>
                      <w:highlight w:val="none"/>
                    </w:rPr>
                  </w:pPr>
                  <w:r>
                    <w:rPr>
                      <w:rFonts w:hint="eastAsia"/>
                      <w:color w:val="auto"/>
                      <w:szCs w:val="21"/>
                      <w:highlight w:val="none"/>
                    </w:rPr>
                    <w:t>6</w:t>
                  </w:r>
                </w:p>
              </w:tc>
              <w:tc>
                <w:tcPr>
                  <w:tcW w:w="1065" w:type="dxa"/>
                  <w:vMerge w:val="continue"/>
                  <w:vAlign w:val="center"/>
                </w:tcPr>
                <w:p>
                  <w:pPr>
                    <w:jc w:val="center"/>
                    <w:rPr>
                      <w:color w:val="auto"/>
                      <w:szCs w:val="21"/>
                      <w:highlight w:val="none"/>
                    </w:rPr>
                  </w:pPr>
                </w:p>
              </w:tc>
              <w:tc>
                <w:tcPr>
                  <w:tcW w:w="4740" w:type="dxa"/>
                  <w:gridSpan w:val="3"/>
                  <w:vAlign w:val="center"/>
                </w:tcPr>
                <w:p>
                  <w:pPr>
                    <w:jc w:val="center"/>
                    <w:rPr>
                      <w:color w:val="auto"/>
                      <w:szCs w:val="21"/>
                      <w:highlight w:val="none"/>
                    </w:rPr>
                  </w:pPr>
                  <w:r>
                    <w:rPr>
                      <w:rFonts w:hint="eastAsia"/>
                      <w:color w:val="auto"/>
                      <w:szCs w:val="21"/>
                      <w:highlight w:val="none"/>
                    </w:rPr>
                    <w:t>机动车停车位（地下）</w:t>
                  </w:r>
                </w:p>
              </w:tc>
              <w:tc>
                <w:tcPr>
                  <w:tcW w:w="750" w:type="dxa"/>
                  <w:vAlign w:val="center"/>
                </w:tcPr>
                <w:p>
                  <w:pPr>
                    <w:jc w:val="center"/>
                    <w:rPr>
                      <w:color w:val="auto"/>
                      <w:szCs w:val="21"/>
                      <w:highlight w:val="none"/>
                    </w:rPr>
                  </w:pPr>
                  <w:r>
                    <w:rPr>
                      <w:rFonts w:hint="eastAsia"/>
                      <w:color w:val="auto"/>
                      <w:szCs w:val="21"/>
                      <w:highlight w:val="none"/>
                    </w:rPr>
                    <w:t>辆</w:t>
                  </w:r>
                </w:p>
              </w:tc>
              <w:tc>
                <w:tcPr>
                  <w:tcW w:w="1004" w:type="dxa"/>
                  <w:vAlign w:val="center"/>
                </w:tcPr>
                <w:p>
                  <w:pPr>
                    <w:jc w:val="center"/>
                    <w:rPr>
                      <w:color w:val="auto"/>
                      <w:szCs w:val="21"/>
                      <w:highlight w:val="none"/>
                    </w:rPr>
                  </w:pPr>
                  <w:r>
                    <w:rPr>
                      <w:rFonts w:hint="eastAsia"/>
                      <w:color w:val="auto"/>
                      <w:szCs w:val="21"/>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color w:val="auto"/>
                      <w:szCs w:val="21"/>
                      <w:highlight w:val="none"/>
                    </w:rPr>
                  </w:pPr>
                  <w:r>
                    <w:rPr>
                      <w:rFonts w:hint="eastAsia"/>
                      <w:color w:val="auto"/>
                      <w:szCs w:val="21"/>
                      <w:highlight w:val="none"/>
                    </w:rPr>
                    <w:t>7</w:t>
                  </w:r>
                </w:p>
              </w:tc>
              <w:tc>
                <w:tcPr>
                  <w:tcW w:w="1065" w:type="dxa"/>
                  <w:vMerge w:val="continue"/>
                  <w:vAlign w:val="center"/>
                </w:tcPr>
                <w:p>
                  <w:pPr>
                    <w:jc w:val="center"/>
                    <w:rPr>
                      <w:color w:val="auto"/>
                      <w:szCs w:val="21"/>
                      <w:highlight w:val="none"/>
                    </w:rPr>
                  </w:pPr>
                </w:p>
              </w:tc>
              <w:tc>
                <w:tcPr>
                  <w:tcW w:w="4740" w:type="dxa"/>
                  <w:gridSpan w:val="3"/>
                  <w:vAlign w:val="center"/>
                </w:tcPr>
                <w:p>
                  <w:pPr>
                    <w:jc w:val="center"/>
                    <w:rPr>
                      <w:color w:val="auto"/>
                      <w:szCs w:val="21"/>
                      <w:highlight w:val="none"/>
                    </w:rPr>
                  </w:pPr>
                  <w:r>
                    <w:rPr>
                      <w:rFonts w:hint="eastAsia"/>
                      <w:color w:val="auto"/>
                      <w:szCs w:val="21"/>
                      <w:highlight w:val="none"/>
                    </w:rPr>
                    <w:t>非机动车停车位</w:t>
                  </w:r>
                </w:p>
              </w:tc>
              <w:tc>
                <w:tcPr>
                  <w:tcW w:w="750" w:type="dxa"/>
                  <w:vAlign w:val="center"/>
                </w:tcPr>
                <w:p>
                  <w:pPr>
                    <w:jc w:val="center"/>
                    <w:rPr>
                      <w:color w:val="auto"/>
                      <w:szCs w:val="21"/>
                      <w:highlight w:val="none"/>
                    </w:rPr>
                  </w:pPr>
                  <w:r>
                    <w:rPr>
                      <w:rFonts w:hint="eastAsia"/>
                      <w:color w:val="auto"/>
                      <w:szCs w:val="21"/>
                      <w:highlight w:val="none"/>
                    </w:rPr>
                    <w:t>辆</w:t>
                  </w:r>
                </w:p>
              </w:tc>
              <w:tc>
                <w:tcPr>
                  <w:tcW w:w="1004" w:type="dxa"/>
                  <w:vAlign w:val="center"/>
                </w:tcPr>
                <w:p>
                  <w:pPr>
                    <w:jc w:val="center"/>
                    <w:rPr>
                      <w:color w:val="auto"/>
                      <w:szCs w:val="21"/>
                      <w:highlight w:val="none"/>
                    </w:rPr>
                  </w:pPr>
                  <w:r>
                    <w:rPr>
                      <w:rFonts w:hint="eastAsia"/>
                      <w:color w:val="auto"/>
                      <w:szCs w:val="21"/>
                      <w:highlight w:val="none"/>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restart"/>
                  <w:vAlign w:val="center"/>
                </w:tcPr>
                <w:p>
                  <w:pPr>
                    <w:jc w:val="center"/>
                    <w:rPr>
                      <w:color w:val="auto"/>
                      <w:szCs w:val="21"/>
                      <w:highlight w:val="none"/>
                    </w:rPr>
                  </w:pPr>
                  <w:r>
                    <w:rPr>
                      <w:rFonts w:hint="eastAsia"/>
                      <w:color w:val="auto"/>
                      <w:szCs w:val="21"/>
                      <w:highlight w:val="none"/>
                    </w:rPr>
                    <w:t>8</w:t>
                  </w:r>
                </w:p>
              </w:tc>
              <w:tc>
                <w:tcPr>
                  <w:tcW w:w="1065" w:type="dxa"/>
                  <w:vMerge w:val="restart"/>
                  <w:vAlign w:val="center"/>
                </w:tcPr>
                <w:p>
                  <w:pPr>
                    <w:jc w:val="center"/>
                    <w:rPr>
                      <w:color w:val="auto"/>
                      <w:szCs w:val="21"/>
                      <w:highlight w:val="none"/>
                    </w:rPr>
                  </w:pPr>
                  <w:r>
                    <w:rPr>
                      <w:rFonts w:hint="eastAsia"/>
                      <w:color w:val="auto"/>
                      <w:szCs w:val="21"/>
                      <w:highlight w:val="none"/>
                    </w:rPr>
                    <w:t>球差电镜室</w:t>
                  </w:r>
                </w:p>
              </w:tc>
              <w:tc>
                <w:tcPr>
                  <w:tcW w:w="4740" w:type="dxa"/>
                  <w:gridSpan w:val="3"/>
                  <w:vAlign w:val="center"/>
                </w:tcPr>
                <w:p>
                  <w:pPr>
                    <w:jc w:val="center"/>
                    <w:rPr>
                      <w:color w:val="auto"/>
                      <w:szCs w:val="21"/>
                      <w:highlight w:val="none"/>
                    </w:rPr>
                  </w:pPr>
                  <w:r>
                    <w:rPr>
                      <w:rFonts w:hint="eastAsia"/>
                      <w:color w:val="auto"/>
                      <w:szCs w:val="21"/>
                      <w:highlight w:val="none"/>
                    </w:rPr>
                    <w:t>总建筑面积</w:t>
                  </w:r>
                </w:p>
              </w:tc>
              <w:tc>
                <w:tcPr>
                  <w:tcW w:w="750" w:type="dxa"/>
                  <w:vAlign w:val="center"/>
                </w:tcPr>
                <w:p>
                  <w:pPr>
                    <w:jc w:val="center"/>
                    <w:rPr>
                      <w:color w:val="auto"/>
                      <w:szCs w:val="21"/>
                      <w:highlight w:val="none"/>
                    </w:rPr>
                  </w:pPr>
                  <w:r>
                    <w:rPr>
                      <w:rFonts w:hint="eastAsia"/>
                      <w:color w:val="auto"/>
                      <w:szCs w:val="21"/>
                      <w:highlight w:val="none"/>
                    </w:rPr>
                    <w:t>m</w:t>
                  </w:r>
                  <w:r>
                    <w:rPr>
                      <w:rFonts w:hint="eastAsia"/>
                      <w:color w:val="auto"/>
                      <w:szCs w:val="21"/>
                      <w:highlight w:val="none"/>
                      <w:vertAlign w:val="superscript"/>
                    </w:rPr>
                    <w:t>2</w:t>
                  </w:r>
                </w:p>
              </w:tc>
              <w:tc>
                <w:tcPr>
                  <w:tcW w:w="1004"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continue"/>
                  <w:vAlign w:val="center"/>
                </w:tcPr>
                <w:p>
                  <w:pPr>
                    <w:jc w:val="center"/>
                    <w:rPr>
                      <w:color w:val="auto"/>
                      <w:szCs w:val="21"/>
                      <w:highlight w:val="none"/>
                    </w:rPr>
                  </w:pPr>
                </w:p>
              </w:tc>
              <w:tc>
                <w:tcPr>
                  <w:tcW w:w="1065" w:type="dxa"/>
                  <w:vMerge w:val="continue"/>
                  <w:vAlign w:val="center"/>
                </w:tcPr>
                <w:p>
                  <w:pPr>
                    <w:jc w:val="center"/>
                    <w:rPr>
                      <w:color w:val="auto"/>
                      <w:szCs w:val="21"/>
                      <w:highlight w:val="none"/>
                    </w:rPr>
                  </w:pPr>
                </w:p>
              </w:tc>
              <w:tc>
                <w:tcPr>
                  <w:tcW w:w="4740" w:type="dxa"/>
                  <w:gridSpan w:val="3"/>
                  <w:vAlign w:val="center"/>
                </w:tcPr>
                <w:p>
                  <w:pPr>
                    <w:jc w:val="center"/>
                    <w:rPr>
                      <w:color w:val="auto"/>
                      <w:szCs w:val="21"/>
                      <w:highlight w:val="none"/>
                    </w:rPr>
                  </w:pPr>
                  <w:r>
                    <w:rPr>
                      <w:rFonts w:hint="eastAsia"/>
                      <w:color w:val="auto"/>
                      <w:szCs w:val="21"/>
                      <w:highlight w:val="none"/>
                    </w:rPr>
                    <w:t>其中：计容建筑面积</w:t>
                  </w:r>
                </w:p>
              </w:tc>
              <w:tc>
                <w:tcPr>
                  <w:tcW w:w="750" w:type="dxa"/>
                  <w:vAlign w:val="center"/>
                </w:tcPr>
                <w:p>
                  <w:pPr>
                    <w:jc w:val="center"/>
                    <w:rPr>
                      <w:color w:val="auto"/>
                      <w:szCs w:val="21"/>
                      <w:highlight w:val="none"/>
                    </w:rPr>
                  </w:pPr>
                  <w:r>
                    <w:rPr>
                      <w:rFonts w:hint="eastAsia"/>
                      <w:color w:val="auto"/>
                      <w:szCs w:val="21"/>
                      <w:highlight w:val="none"/>
                    </w:rPr>
                    <w:t>m</w:t>
                  </w:r>
                  <w:r>
                    <w:rPr>
                      <w:rFonts w:hint="eastAsia"/>
                      <w:color w:val="auto"/>
                      <w:szCs w:val="21"/>
                      <w:highlight w:val="none"/>
                      <w:vertAlign w:val="superscript"/>
                    </w:rPr>
                    <w:t>2</w:t>
                  </w:r>
                </w:p>
              </w:tc>
              <w:tc>
                <w:tcPr>
                  <w:tcW w:w="1004"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color w:val="auto"/>
                      <w:szCs w:val="21"/>
                      <w:highlight w:val="none"/>
                    </w:rPr>
                  </w:pPr>
                  <w:r>
                    <w:rPr>
                      <w:rFonts w:hint="eastAsia"/>
                      <w:color w:val="auto"/>
                      <w:szCs w:val="21"/>
                      <w:highlight w:val="none"/>
                    </w:rPr>
                    <w:t>9</w:t>
                  </w:r>
                </w:p>
              </w:tc>
              <w:tc>
                <w:tcPr>
                  <w:tcW w:w="1065" w:type="dxa"/>
                  <w:vMerge w:val="continue"/>
                  <w:vAlign w:val="center"/>
                </w:tcPr>
                <w:p>
                  <w:pPr>
                    <w:jc w:val="center"/>
                    <w:rPr>
                      <w:color w:val="auto"/>
                      <w:szCs w:val="21"/>
                      <w:highlight w:val="none"/>
                    </w:rPr>
                  </w:pPr>
                </w:p>
              </w:tc>
              <w:tc>
                <w:tcPr>
                  <w:tcW w:w="4740" w:type="dxa"/>
                  <w:gridSpan w:val="3"/>
                  <w:vAlign w:val="center"/>
                </w:tcPr>
                <w:p>
                  <w:pPr>
                    <w:jc w:val="center"/>
                    <w:rPr>
                      <w:color w:val="auto"/>
                      <w:szCs w:val="21"/>
                      <w:highlight w:val="none"/>
                    </w:rPr>
                  </w:pPr>
                  <w:r>
                    <w:rPr>
                      <w:rFonts w:hint="eastAsia"/>
                      <w:color w:val="auto"/>
                      <w:szCs w:val="21"/>
                      <w:highlight w:val="none"/>
                    </w:rPr>
                    <w:t>建筑占地面积</w:t>
                  </w:r>
                </w:p>
              </w:tc>
              <w:tc>
                <w:tcPr>
                  <w:tcW w:w="750" w:type="dxa"/>
                  <w:vAlign w:val="center"/>
                </w:tcPr>
                <w:p>
                  <w:pPr>
                    <w:jc w:val="center"/>
                    <w:rPr>
                      <w:color w:val="auto"/>
                      <w:szCs w:val="21"/>
                      <w:highlight w:val="none"/>
                    </w:rPr>
                  </w:pPr>
                  <w:r>
                    <w:rPr>
                      <w:rFonts w:hint="eastAsia"/>
                      <w:color w:val="auto"/>
                      <w:szCs w:val="21"/>
                      <w:highlight w:val="none"/>
                    </w:rPr>
                    <w:t>m</w:t>
                  </w:r>
                  <w:r>
                    <w:rPr>
                      <w:rFonts w:hint="eastAsia"/>
                      <w:color w:val="auto"/>
                      <w:szCs w:val="21"/>
                      <w:highlight w:val="none"/>
                      <w:vertAlign w:val="superscript"/>
                    </w:rPr>
                    <w:t>2</w:t>
                  </w:r>
                </w:p>
              </w:tc>
              <w:tc>
                <w:tcPr>
                  <w:tcW w:w="1004" w:type="dxa"/>
                  <w:vAlign w:val="center"/>
                </w:tcPr>
                <w:p>
                  <w:pPr>
                    <w:jc w:val="center"/>
                    <w:rPr>
                      <w:color w:val="auto"/>
                      <w:szCs w:val="21"/>
                      <w:highlight w:val="none"/>
                    </w:rPr>
                  </w:pPr>
                  <w:r>
                    <w:rPr>
                      <w:rFonts w:hint="eastAsia"/>
                      <w:color w:val="auto"/>
                      <w:szCs w:val="21"/>
                      <w:highlight w:val="none"/>
                    </w:rPr>
                    <w:t>412.62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color w:val="auto"/>
                      <w:szCs w:val="21"/>
                      <w:highlight w:val="none"/>
                    </w:rPr>
                  </w:pPr>
                  <w:r>
                    <w:rPr>
                      <w:rFonts w:hint="eastAsia"/>
                      <w:color w:val="auto"/>
                      <w:szCs w:val="21"/>
                      <w:highlight w:val="none"/>
                    </w:rPr>
                    <w:t>10</w:t>
                  </w:r>
                </w:p>
              </w:tc>
              <w:tc>
                <w:tcPr>
                  <w:tcW w:w="1065" w:type="dxa"/>
                  <w:vMerge w:val="continue"/>
                  <w:vAlign w:val="center"/>
                </w:tcPr>
                <w:p>
                  <w:pPr>
                    <w:jc w:val="center"/>
                    <w:rPr>
                      <w:color w:val="auto"/>
                      <w:szCs w:val="21"/>
                      <w:highlight w:val="none"/>
                    </w:rPr>
                  </w:pPr>
                </w:p>
              </w:tc>
              <w:tc>
                <w:tcPr>
                  <w:tcW w:w="4740" w:type="dxa"/>
                  <w:gridSpan w:val="3"/>
                  <w:vAlign w:val="center"/>
                </w:tcPr>
                <w:p>
                  <w:pPr>
                    <w:jc w:val="center"/>
                    <w:rPr>
                      <w:color w:val="auto"/>
                      <w:szCs w:val="21"/>
                      <w:highlight w:val="none"/>
                    </w:rPr>
                  </w:pPr>
                  <w:r>
                    <w:rPr>
                      <w:rFonts w:hint="eastAsia"/>
                      <w:color w:val="auto"/>
                      <w:szCs w:val="21"/>
                      <w:highlight w:val="none"/>
                    </w:rPr>
                    <w:t>绿地率</w:t>
                  </w:r>
                </w:p>
              </w:tc>
              <w:tc>
                <w:tcPr>
                  <w:tcW w:w="750" w:type="dxa"/>
                  <w:vAlign w:val="center"/>
                </w:tcPr>
                <w:p>
                  <w:pPr>
                    <w:jc w:val="center"/>
                    <w:rPr>
                      <w:color w:val="auto"/>
                      <w:szCs w:val="21"/>
                      <w:highlight w:val="none"/>
                    </w:rPr>
                  </w:pPr>
                  <w:r>
                    <w:rPr>
                      <w:rFonts w:hint="eastAsia"/>
                      <w:color w:val="auto"/>
                      <w:szCs w:val="21"/>
                      <w:highlight w:val="none"/>
                    </w:rPr>
                    <w:t>%</w:t>
                  </w:r>
                </w:p>
              </w:tc>
              <w:tc>
                <w:tcPr>
                  <w:tcW w:w="1004" w:type="dxa"/>
                  <w:vAlign w:val="center"/>
                </w:tcPr>
                <w:p>
                  <w:pPr>
                    <w:jc w:val="center"/>
                    <w:rPr>
                      <w:color w:val="auto"/>
                      <w:szCs w:val="21"/>
                      <w:highlight w:val="none"/>
                    </w:rPr>
                  </w:pPr>
                  <w:r>
                    <w:rPr>
                      <w:rFonts w:hint="eastAsia"/>
                      <w:color w:val="auto"/>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color w:val="auto"/>
                      <w:szCs w:val="21"/>
                      <w:highlight w:val="none"/>
                    </w:rPr>
                  </w:pPr>
                  <w:r>
                    <w:rPr>
                      <w:rFonts w:hint="eastAsia"/>
                      <w:color w:val="auto"/>
                      <w:szCs w:val="21"/>
                      <w:highlight w:val="none"/>
                    </w:rPr>
                    <w:t>11</w:t>
                  </w:r>
                </w:p>
              </w:tc>
              <w:tc>
                <w:tcPr>
                  <w:tcW w:w="1065" w:type="dxa"/>
                  <w:vMerge w:val="continue"/>
                  <w:vAlign w:val="center"/>
                </w:tcPr>
                <w:p>
                  <w:pPr>
                    <w:jc w:val="center"/>
                    <w:rPr>
                      <w:color w:val="auto"/>
                      <w:szCs w:val="21"/>
                      <w:highlight w:val="none"/>
                    </w:rPr>
                  </w:pPr>
                </w:p>
              </w:tc>
              <w:tc>
                <w:tcPr>
                  <w:tcW w:w="4740" w:type="dxa"/>
                  <w:gridSpan w:val="3"/>
                  <w:vAlign w:val="center"/>
                </w:tcPr>
                <w:p>
                  <w:pPr>
                    <w:jc w:val="center"/>
                    <w:rPr>
                      <w:color w:val="auto"/>
                      <w:szCs w:val="21"/>
                      <w:highlight w:val="none"/>
                    </w:rPr>
                  </w:pPr>
                  <w:r>
                    <w:rPr>
                      <w:rFonts w:hint="eastAsia"/>
                      <w:color w:val="auto"/>
                      <w:szCs w:val="21"/>
                      <w:highlight w:val="none"/>
                    </w:rPr>
                    <w:t>容积率</w:t>
                  </w:r>
                </w:p>
              </w:tc>
              <w:tc>
                <w:tcPr>
                  <w:tcW w:w="750" w:type="dxa"/>
                  <w:vAlign w:val="center"/>
                </w:tcPr>
                <w:p>
                  <w:pPr>
                    <w:jc w:val="center"/>
                    <w:rPr>
                      <w:color w:val="auto"/>
                      <w:szCs w:val="21"/>
                      <w:highlight w:val="none"/>
                    </w:rPr>
                  </w:pPr>
                  <w:r>
                    <w:rPr>
                      <w:rFonts w:hint="eastAsia"/>
                      <w:color w:val="auto"/>
                      <w:szCs w:val="21"/>
                      <w:highlight w:val="none"/>
                    </w:rPr>
                    <w:t>/</w:t>
                  </w:r>
                </w:p>
              </w:tc>
              <w:tc>
                <w:tcPr>
                  <w:tcW w:w="1004" w:type="dxa"/>
                  <w:vAlign w:val="center"/>
                </w:tcPr>
                <w:p>
                  <w:pPr>
                    <w:jc w:val="center"/>
                    <w:rPr>
                      <w:color w:val="auto"/>
                      <w:szCs w:val="21"/>
                      <w:highlight w:val="none"/>
                    </w:rPr>
                  </w:pPr>
                  <w:r>
                    <w:rPr>
                      <w:rFonts w:hint="eastAsia"/>
                      <w:color w:val="auto"/>
                      <w:szCs w:val="21"/>
                      <w:highlight w:val="none"/>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color w:val="auto"/>
                      <w:szCs w:val="21"/>
                      <w:highlight w:val="none"/>
                    </w:rPr>
                  </w:pPr>
                  <w:r>
                    <w:rPr>
                      <w:rFonts w:hint="eastAsia"/>
                      <w:color w:val="auto"/>
                      <w:szCs w:val="21"/>
                      <w:highlight w:val="none"/>
                    </w:rPr>
                    <w:t>12</w:t>
                  </w:r>
                </w:p>
              </w:tc>
              <w:tc>
                <w:tcPr>
                  <w:tcW w:w="1065" w:type="dxa"/>
                  <w:vMerge w:val="continue"/>
                  <w:vAlign w:val="center"/>
                </w:tcPr>
                <w:p>
                  <w:pPr>
                    <w:jc w:val="center"/>
                    <w:rPr>
                      <w:color w:val="auto"/>
                      <w:szCs w:val="21"/>
                      <w:highlight w:val="none"/>
                    </w:rPr>
                  </w:pPr>
                </w:p>
              </w:tc>
              <w:tc>
                <w:tcPr>
                  <w:tcW w:w="4740" w:type="dxa"/>
                  <w:gridSpan w:val="3"/>
                  <w:vAlign w:val="center"/>
                </w:tcPr>
                <w:p>
                  <w:pPr>
                    <w:jc w:val="center"/>
                    <w:rPr>
                      <w:color w:val="auto"/>
                      <w:szCs w:val="21"/>
                      <w:highlight w:val="none"/>
                    </w:rPr>
                  </w:pPr>
                  <w:r>
                    <w:rPr>
                      <w:rFonts w:hint="eastAsia"/>
                      <w:color w:val="auto"/>
                      <w:szCs w:val="21"/>
                      <w:highlight w:val="none"/>
                    </w:rPr>
                    <w:t>建筑密度</w:t>
                  </w:r>
                </w:p>
              </w:tc>
              <w:tc>
                <w:tcPr>
                  <w:tcW w:w="750" w:type="dxa"/>
                  <w:vAlign w:val="center"/>
                </w:tcPr>
                <w:p>
                  <w:pPr>
                    <w:jc w:val="center"/>
                    <w:rPr>
                      <w:color w:val="auto"/>
                      <w:szCs w:val="21"/>
                      <w:highlight w:val="none"/>
                    </w:rPr>
                  </w:pPr>
                  <w:r>
                    <w:rPr>
                      <w:rFonts w:hint="eastAsia"/>
                      <w:color w:val="auto"/>
                      <w:szCs w:val="21"/>
                      <w:highlight w:val="none"/>
                    </w:rPr>
                    <w:t>%</w:t>
                  </w:r>
                </w:p>
              </w:tc>
              <w:tc>
                <w:tcPr>
                  <w:tcW w:w="1004" w:type="dxa"/>
                  <w:vAlign w:val="center"/>
                </w:tcPr>
                <w:p>
                  <w:pPr>
                    <w:jc w:val="center"/>
                    <w:rPr>
                      <w:color w:val="auto"/>
                      <w:szCs w:val="21"/>
                      <w:highlight w:val="none"/>
                    </w:rPr>
                  </w:pPr>
                  <w:r>
                    <w:rPr>
                      <w:rFonts w:hint="eastAsia"/>
                      <w:color w:val="auto"/>
                      <w:szCs w:val="21"/>
                      <w:highlight w:val="none"/>
                    </w:rPr>
                    <w:t>13.63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Align w:val="center"/>
                </w:tcPr>
                <w:p>
                  <w:pPr>
                    <w:jc w:val="center"/>
                    <w:rPr>
                      <w:color w:val="auto"/>
                      <w:szCs w:val="21"/>
                      <w:highlight w:val="none"/>
                    </w:rPr>
                  </w:pPr>
                  <w:r>
                    <w:rPr>
                      <w:rFonts w:hint="eastAsia"/>
                      <w:color w:val="auto"/>
                      <w:szCs w:val="21"/>
                      <w:highlight w:val="none"/>
                    </w:rPr>
                    <w:t>13</w:t>
                  </w:r>
                </w:p>
              </w:tc>
              <w:tc>
                <w:tcPr>
                  <w:tcW w:w="1065" w:type="dxa"/>
                  <w:vMerge w:val="continue"/>
                  <w:vAlign w:val="center"/>
                </w:tcPr>
                <w:p>
                  <w:pPr>
                    <w:jc w:val="center"/>
                    <w:rPr>
                      <w:color w:val="auto"/>
                      <w:szCs w:val="21"/>
                      <w:highlight w:val="none"/>
                    </w:rPr>
                  </w:pPr>
                </w:p>
              </w:tc>
              <w:tc>
                <w:tcPr>
                  <w:tcW w:w="4740" w:type="dxa"/>
                  <w:gridSpan w:val="3"/>
                  <w:vAlign w:val="center"/>
                </w:tcPr>
                <w:p>
                  <w:pPr>
                    <w:jc w:val="center"/>
                    <w:rPr>
                      <w:color w:val="auto"/>
                      <w:szCs w:val="21"/>
                      <w:highlight w:val="none"/>
                    </w:rPr>
                  </w:pPr>
                  <w:r>
                    <w:rPr>
                      <w:rFonts w:hint="eastAsia"/>
                      <w:color w:val="auto"/>
                      <w:szCs w:val="21"/>
                      <w:highlight w:val="none"/>
                    </w:rPr>
                    <w:t>机动车停车位（地面）</w:t>
                  </w:r>
                </w:p>
              </w:tc>
              <w:tc>
                <w:tcPr>
                  <w:tcW w:w="750" w:type="dxa"/>
                  <w:vAlign w:val="center"/>
                </w:tcPr>
                <w:p>
                  <w:pPr>
                    <w:jc w:val="center"/>
                    <w:rPr>
                      <w:color w:val="auto"/>
                      <w:szCs w:val="21"/>
                      <w:highlight w:val="none"/>
                    </w:rPr>
                  </w:pPr>
                  <w:r>
                    <w:rPr>
                      <w:rFonts w:hint="eastAsia"/>
                      <w:color w:val="auto"/>
                      <w:szCs w:val="21"/>
                      <w:highlight w:val="none"/>
                    </w:rPr>
                    <w:t>辆</w:t>
                  </w:r>
                </w:p>
              </w:tc>
              <w:tc>
                <w:tcPr>
                  <w:tcW w:w="1004" w:type="dxa"/>
                  <w:vAlign w:val="center"/>
                </w:tcPr>
                <w:p>
                  <w:pPr>
                    <w:jc w:val="center"/>
                    <w:rPr>
                      <w:color w:val="auto"/>
                      <w:szCs w:val="21"/>
                      <w:highlight w:val="none"/>
                    </w:rPr>
                  </w:pPr>
                  <w:r>
                    <w:rPr>
                      <w:rFonts w:hint="eastAsia"/>
                      <w:color w:val="auto"/>
                      <w:szCs w:val="21"/>
                      <w:highlight w:val="none"/>
                    </w:rPr>
                    <w:t>5</w:t>
                  </w:r>
                </w:p>
              </w:tc>
            </w:tr>
          </w:tbl>
          <w:p>
            <w:pPr>
              <w:pStyle w:val="32"/>
              <w:rPr>
                <w:color w:val="auto"/>
                <w:highlight w:val="none"/>
              </w:rPr>
            </w:pPr>
          </w:p>
          <w:p>
            <w:pPr>
              <w:pStyle w:val="32"/>
              <w:rPr>
                <w:color w:val="auto"/>
                <w:highlight w:val="none"/>
              </w:rPr>
            </w:pPr>
          </w:p>
          <w:p>
            <w:pPr>
              <w:pStyle w:val="32"/>
              <w:rPr>
                <w:color w:val="auto"/>
                <w:highlight w:val="none"/>
              </w:rPr>
            </w:pPr>
            <w:r>
              <w:rPr>
                <w:rFonts w:hint="eastAsia"/>
                <w:color w:val="auto"/>
                <w:highlight w:val="none"/>
              </w:rPr>
              <w:t>表2.1.2 项目组成表</w:t>
            </w:r>
          </w:p>
          <w:tbl>
            <w:tblPr>
              <w:tblStyle w:val="19"/>
              <w:tblW w:w="4998" w:type="pct"/>
              <w:jc w:val="center"/>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659"/>
              <w:gridCol w:w="5600"/>
              <w:gridCol w:w="1115"/>
            </w:tblGrid>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PrEx>
              <w:trPr>
                <w:cantSplit/>
                <w:trHeight w:val="535" w:hRule="atLeast"/>
                <w:jc w:val="center"/>
              </w:trPr>
              <w:tc>
                <w:tcPr>
                  <w:tcW w:w="502" w:type="pct"/>
                  <w:tcBorders>
                    <w:tl2br w:val="nil"/>
                    <w:tr2bl w:val="nil"/>
                  </w:tcBorders>
                  <w:vAlign w:val="center"/>
                </w:tcPr>
                <w:p>
                  <w:pPr>
                    <w:pStyle w:val="33"/>
                    <w:rPr>
                      <w:color w:val="auto"/>
                      <w:highlight w:val="none"/>
                    </w:rPr>
                  </w:pPr>
                  <w:r>
                    <w:rPr>
                      <w:rFonts w:hint="eastAsia"/>
                      <w:color w:val="auto"/>
                      <w:highlight w:val="none"/>
                    </w:rPr>
                    <w:t>项目名称</w:t>
                  </w:r>
                </w:p>
              </w:tc>
              <w:tc>
                <w:tcPr>
                  <w:tcW w:w="402" w:type="pct"/>
                  <w:tcBorders>
                    <w:tl2br w:val="nil"/>
                    <w:tr2bl w:val="nil"/>
                  </w:tcBorders>
                  <w:vAlign w:val="center"/>
                </w:tcPr>
                <w:p>
                  <w:pPr>
                    <w:pStyle w:val="33"/>
                    <w:rPr>
                      <w:color w:val="auto"/>
                      <w:highlight w:val="none"/>
                    </w:rPr>
                  </w:pPr>
                  <w:r>
                    <w:rPr>
                      <w:rFonts w:hint="eastAsia"/>
                      <w:color w:val="auto"/>
                      <w:highlight w:val="none"/>
                    </w:rPr>
                    <w:t>工程类别</w:t>
                  </w:r>
                </w:p>
              </w:tc>
              <w:tc>
                <w:tcPr>
                  <w:tcW w:w="3415" w:type="pct"/>
                  <w:tcBorders>
                    <w:tl2br w:val="nil"/>
                    <w:tr2bl w:val="nil"/>
                  </w:tcBorders>
                  <w:vAlign w:val="center"/>
                </w:tcPr>
                <w:p>
                  <w:pPr>
                    <w:pStyle w:val="33"/>
                    <w:rPr>
                      <w:color w:val="auto"/>
                      <w:highlight w:val="none"/>
                    </w:rPr>
                  </w:pPr>
                  <w:r>
                    <w:rPr>
                      <w:rFonts w:hint="eastAsia"/>
                      <w:color w:val="auto"/>
                      <w:highlight w:val="none"/>
                    </w:rPr>
                    <w:t>建设内容</w:t>
                  </w:r>
                </w:p>
              </w:tc>
              <w:tc>
                <w:tcPr>
                  <w:tcW w:w="680" w:type="pct"/>
                  <w:tcBorders>
                    <w:tl2br w:val="nil"/>
                    <w:tr2bl w:val="nil"/>
                  </w:tcBorders>
                  <w:vAlign w:val="center"/>
                </w:tcPr>
                <w:p>
                  <w:pPr>
                    <w:pStyle w:val="33"/>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502" w:type="pct"/>
                  <w:vMerge w:val="restart"/>
                  <w:tcBorders>
                    <w:tl2br w:val="nil"/>
                    <w:tr2bl w:val="nil"/>
                  </w:tcBorders>
                  <w:vAlign w:val="center"/>
                </w:tcPr>
                <w:p>
                  <w:pPr>
                    <w:pStyle w:val="33"/>
                    <w:rPr>
                      <w:color w:val="auto"/>
                      <w:highlight w:val="none"/>
                    </w:rPr>
                  </w:pPr>
                  <w:r>
                    <w:rPr>
                      <w:rFonts w:hint="eastAsia"/>
                      <w:color w:val="auto"/>
                      <w:highlight w:val="none"/>
                    </w:rPr>
                    <w:t>主体工程</w:t>
                  </w:r>
                </w:p>
              </w:tc>
              <w:tc>
                <w:tcPr>
                  <w:tcW w:w="402" w:type="pct"/>
                  <w:vMerge w:val="restart"/>
                  <w:tcBorders>
                    <w:tl2br w:val="nil"/>
                    <w:tr2bl w:val="nil"/>
                  </w:tcBorders>
                  <w:vAlign w:val="center"/>
                </w:tcPr>
                <w:p>
                  <w:pPr>
                    <w:widowControl/>
                    <w:jc w:val="center"/>
                    <w:textAlignment w:val="center"/>
                    <w:rPr>
                      <w:color w:val="auto"/>
                      <w:highlight w:val="none"/>
                    </w:rPr>
                  </w:pPr>
                  <w:r>
                    <w:rPr>
                      <w:rFonts w:hint="eastAsia"/>
                      <w:color w:val="auto"/>
                      <w:szCs w:val="21"/>
                      <w:highlight w:val="none"/>
                    </w:rPr>
                    <w:t>综合楼</w:t>
                  </w:r>
                </w:p>
              </w:tc>
              <w:tc>
                <w:tcPr>
                  <w:tcW w:w="3415" w:type="pct"/>
                  <w:tcBorders>
                    <w:tl2br w:val="nil"/>
                    <w:tr2bl w:val="nil"/>
                  </w:tcBorders>
                  <w:vAlign w:val="center"/>
                </w:tcPr>
                <w:p>
                  <w:pPr>
                    <w:widowControl/>
                    <w:jc w:val="center"/>
                    <w:textAlignment w:val="center"/>
                    <w:rPr>
                      <w:color w:val="auto"/>
                      <w:highlight w:val="none"/>
                    </w:rPr>
                  </w:pPr>
                  <w:r>
                    <w:rPr>
                      <w:rFonts w:hint="eastAsia"/>
                      <w:color w:val="auto"/>
                      <w:kern w:val="0"/>
                      <w:szCs w:val="21"/>
                      <w:highlight w:val="none"/>
                      <w:lang w:bidi="ar"/>
                    </w:rPr>
                    <w:t>共10层，总面积为</w:t>
                  </w:r>
                  <w:r>
                    <w:rPr>
                      <w:rFonts w:hint="eastAsia"/>
                      <w:color w:val="auto"/>
                      <w:szCs w:val="21"/>
                      <w:highlight w:val="none"/>
                    </w:rPr>
                    <w:t>29</w:t>
                  </w:r>
                  <w:r>
                    <w:rPr>
                      <w:rFonts w:hint="eastAsia"/>
                      <w:color w:val="auto"/>
                      <w:szCs w:val="21"/>
                      <w:highlight w:val="none"/>
                      <w:lang w:val="en-US" w:eastAsia="zh-CN"/>
                    </w:rPr>
                    <w:t>625</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rPr>
                    <w:t>。其中：</w:t>
                  </w:r>
                </w:p>
              </w:tc>
              <w:tc>
                <w:tcPr>
                  <w:tcW w:w="680" w:type="pct"/>
                  <w:vMerge w:val="restar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新建</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widowControl/>
                    <w:jc w:val="center"/>
                    <w:textAlignment w:val="center"/>
                    <w:rPr>
                      <w:color w:val="auto"/>
                      <w:szCs w:val="21"/>
                      <w:highlight w:val="none"/>
                    </w:rPr>
                  </w:pPr>
                </w:p>
              </w:tc>
              <w:tc>
                <w:tcPr>
                  <w:tcW w:w="3415" w:type="pc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1层主要设有1间多功能厅、2间活动室、</w:t>
                  </w:r>
                  <w:r>
                    <w:rPr>
                      <w:rFonts w:hint="eastAsia"/>
                      <w:color w:val="auto"/>
                      <w:kern w:val="0"/>
                      <w:szCs w:val="21"/>
                      <w:highlight w:val="none"/>
                      <w:lang w:val="en-US" w:eastAsia="zh-CN" w:bidi="ar"/>
                    </w:rPr>
                    <w:t>3</w:t>
                  </w:r>
                  <w:r>
                    <w:rPr>
                      <w:rFonts w:hint="eastAsia"/>
                      <w:color w:val="auto"/>
                      <w:kern w:val="0"/>
                      <w:szCs w:val="21"/>
                      <w:highlight w:val="none"/>
                      <w:lang w:bidi="ar"/>
                    </w:rPr>
                    <w:t>间</w:t>
                  </w:r>
                  <w:r>
                    <w:rPr>
                      <w:rFonts w:hint="eastAsia"/>
                      <w:color w:val="auto"/>
                      <w:kern w:val="0"/>
                      <w:szCs w:val="21"/>
                      <w:highlight w:val="none"/>
                      <w:lang w:eastAsia="zh-CN" w:bidi="ar"/>
                    </w:rPr>
                    <w:t>办公</w:t>
                  </w:r>
                  <w:r>
                    <w:rPr>
                      <w:rFonts w:hint="eastAsia"/>
                      <w:color w:val="auto"/>
                      <w:kern w:val="0"/>
                      <w:szCs w:val="21"/>
                      <w:highlight w:val="none"/>
                      <w:lang w:bidi="ar"/>
                    </w:rPr>
                    <w:t>室</w:t>
                  </w:r>
                  <w:r>
                    <w:rPr>
                      <w:rFonts w:hint="eastAsia"/>
                      <w:color w:val="auto"/>
                      <w:kern w:val="0"/>
                      <w:szCs w:val="21"/>
                      <w:highlight w:val="none"/>
                      <w:lang w:eastAsia="zh-CN" w:bidi="ar"/>
                    </w:rPr>
                    <w:t>、</w:t>
                  </w:r>
                  <w:r>
                    <w:rPr>
                      <w:rFonts w:hint="eastAsia"/>
                      <w:color w:val="auto"/>
                      <w:kern w:val="0"/>
                      <w:szCs w:val="21"/>
                      <w:highlight w:val="none"/>
                      <w:lang w:val="en-US" w:eastAsia="zh-CN" w:bidi="ar"/>
                    </w:rPr>
                    <w:t>1间</w:t>
                  </w:r>
                  <w:r>
                    <w:rPr>
                      <w:rFonts w:hint="eastAsia"/>
                      <w:color w:val="auto"/>
                      <w:highlight w:val="none"/>
                      <w:lang w:eastAsia="zh-CN"/>
                    </w:rPr>
                    <w:t>危废间</w:t>
                  </w:r>
                  <w:r>
                    <w:rPr>
                      <w:rFonts w:hint="eastAsia"/>
                      <w:color w:val="auto"/>
                      <w:highlight w:val="none"/>
                    </w:rPr>
                    <w:t>、</w:t>
                  </w:r>
                  <w:r>
                    <w:rPr>
                      <w:rFonts w:hint="eastAsia"/>
                      <w:color w:val="auto"/>
                      <w:highlight w:val="none"/>
                      <w:lang w:val="en-US" w:eastAsia="zh-CN"/>
                    </w:rPr>
                    <w:t>1间</w:t>
                  </w:r>
                  <w:r>
                    <w:rPr>
                      <w:rFonts w:hint="eastAsia"/>
                      <w:color w:val="auto"/>
                      <w:highlight w:val="none"/>
                    </w:rPr>
                    <w:t>废液间</w:t>
                  </w:r>
                  <w:r>
                    <w:rPr>
                      <w:rFonts w:hint="eastAsia"/>
                      <w:color w:val="auto"/>
                      <w:kern w:val="0"/>
                      <w:szCs w:val="21"/>
                      <w:highlight w:val="none"/>
                      <w:lang w:bidi="ar"/>
                    </w:rPr>
                    <w:t>等；</w:t>
                  </w:r>
                </w:p>
              </w:tc>
              <w:tc>
                <w:tcPr>
                  <w:tcW w:w="680" w:type="pct"/>
                  <w:vMerge w:val="continue"/>
                  <w:tcBorders>
                    <w:tl2br w:val="nil"/>
                    <w:tr2bl w:val="nil"/>
                  </w:tcBorders>
                  <w:vAlign w:val="center"/>
                </w:tcPr>
                <w:p>
                  <w:pPr>
                    <w:widowControl/>
                    <w:jc w:val="center"/>
                    <w:textAlignment w:val="center"/>
                    <w:rPr>
                      <w:color w:val="auto"/>
                      <w:kern w:val="0"/>
                      <w:szCs w:val="21"/>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widowControl/>
                    <w:jc w:val="center"/>
                    <w:textAlignment w:val="center"/>
                    <w:rPr>
                      <w:color w:val="auto"/>
                      <w:szCs w:val="21"/>
                      <w:highlight w:val="none"/>
                    </w:rPr>
                  </w:pPr>
                </w:p>
              </w:tc>
              <w:tc>
                <w:tcPr>
                  <w:tcW w:w="3415" w:type="pc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2层主要设有2间多功能厅、1间会议室、3间办公室、</w:t>
                  </w:r>
                  <w:r>
                    <w:rPr>
                      <w:rFonts w:hint="eastAsia"/>
                      <w:color w:val="auto"/>
                      <w:kern w:val="0"/>
                      <w:szCs w:val="21"/>
                      <w:highlight w:val="none"/>
                      <w:lang w:val="en-US" w:eastAsia="zh-CN" w:bidi="ar"/>
                    </w:rPr>
                    <w:t>3</w:t>
                  </w:r>
                  <w:r>
                    <w:rPr>
                      <w:rFonts w:hint="eastAsia"/>
                      <w:color w:val="auto"/>
                      <w:kern w:val="0"/>
                      <w:szCs w:val="21"/>
                      <w:highlight w:val="none"/>
                      <w:lang w:bidi="ar"/>
                    </w:rPr>
                    <w:t>间</w:t>
                  </w:r>
                  <w:r>
                    <w:rPr>
                      <w:rFonts w:hint="eastAsia"/>
                      <w:color w:val="auto"/>
                      <w:kern w:val="0"/>
                      <w:szCs w:val="21"/>
                      <w:highlight w:val="none"/>
                      <w:lang w:eastAsia="zh-CN" w:bidi="ar"/>
                    </w:rPr>
                    <w:t>活动</w:t>
                  </w:r>
                  <w:r>
                    <w:rPr>
                      <w:rFonts w:hint="eastAsia"/>
                      <w:color w:val="auto"/>
                      <w:kern w:val="0"/>
                      <w:szCs w:val="21"/>
                      <w:highlight w:val="none"/>
                      <w:lang w:bidi="ar"/>
                    </w:rPr>
                    <w:t>室等；</w:t>
                  </w:r>
                </w:p>
              </w:tc>
              <w:tc>
                <w:tcPr>
                  <w:tcW w:w="680" w:type="pct"/>
                  <w:vMerge w:val="continue"/>
                  <w:tcBorders>
                    <w:tl2br w:val="nil"/>
                    <w:tr2bl w:val="nil"/>
                  </w:tcBorders>
                  <w:vAlign w:val="center"/>
                </w:tcPr>
                <w:p>
                  <w:pPr>
                    <w:widowControl/>
                    <w:jc w:val="center"/>
                    <w:textAlignment w:val="center"/>
                    <w:rPr>
                      <w:color w:val="auto"/>
                      <w:kern w:val="0"/>
                      <w:szCs w:val="21"/>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widowControl/>
                    <w:jc w:val="center"/>
                    <w:textAlignment w:val="center"/>
                    <w:rPr>
                      <w:color w:val="auto"/>
                      <w:szCs w:val="21"/>
                      <w:highlight w:val="none"/>
                    </w:rPr>
                  </w:pPr>
                </w:p>
              </w:tc>
              <w:tc>
                <w:tcPr>
                  <w:tcW w:w="3415" w:type="pc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3层主要设有13间办公室、2间会议室、2间多功能厅、3间</w:t>
                  </w:r>
                  <w:r>
                    <w:rPr>
                      <w:rFonts w:hint="eastAsia"/>
                      <w:color w:val="auto"/>
                      <w:kern w:val="0"/>
                      <w:szCs w:val="21"/>
                      <w:highlight w:val="none"/>
                      <w:lang w:eastAsia="zh-CN" w:bidi="ar"/>
                    </w:rPr>
                    <w:t>教学</w:t>
                  </w:r>
                  <w:r>
                    <w:rPr>
                      <w:rFonts w:hint="eastAsia"/>
                      <w:color w:val="auto"/>
                      <w:kern w:val="0"/>
                      <w:szCs w:val="21"/>
                      <w:highlight w:val="none"/>
                      <w:lang w:bidi="ar"/>
                    </w:rPr>
                    <w:t>室等；</w:t>
                  </w:r>
                </w:p>
              </w:tc>
              <w:tc>
                <w:tcPr>
                  <w:tcW w:w="680" w:type="pct"/>
                  <w:vMerge w:val="continue"/>
                  <w:tcBorders>
                    <w:tl2br w:val="nil"/>
                    <w:tr2bl w:val="nil"/>
                  </w:tcBorders>
                  <w:vAlign w:val="center"/>
                </w:tcPr>
                <w:p>
                  <w:pPr>
                    <w:widowControl/>
                    <w:jc w:val="center"/>
                    <w:textAlignment w:val="center"/>
                    <w:rPr>
                      <w:color w:val="auto"/>
                      <w:kern w:val="0"/>
                      <w:szCs w:val="21"/>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widowControl/>
                    <w:jc w:val="center"/>
                    <w:textAlignment w:val="center"/>
                    <w:rPr>
                      <w:color w:val="auto"/>
                      <w:szCs w:val="21"/>
                      <w:highlight w:val="none"/>
                    </w:rPr>
                  </w:pPr>
                </w:p>
              </w:tc>
              <w:tc>
                <w:tcPr>
                  <w:tcW w:w="3415" w:type="pc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4层主要设有17间办公室、14间研修室、1间活动室、3间讨论室、4间</w:t>
                  </w:r>
                  <w:r>
                    <w:rPr>
                      <w:rFonts w:hint="eastAsia"/>
                      <w:color w:val="auto"/>
                      <w:kern w:val="0"/>
                      <w:szCs w:val="21"/>
                      <w:highlight w:val="none"/>
                      <w:lang w:eastAsia="zh-CN" w:bidi="ar"/>
                    </w:rPr>
                    <w:t>教学</w:t>
                  </w:r>
                  <w:r>
                    <w:rPr>
                      <w:rFonts w:hint="eastAsia"/>
                      <w:color w:val="auto"/>
                      <w:kern w:val="0"/>
                      <w:szCs w:val="21"/>
                      <w:highlight w:val="none"/>
                      <w:lang w:bidi="ar"/>
                    </w:rPr>
                    <w:t>室等；</w:t>
                  </w:r>
                </w:p>
              </w:tc>
              <w:tc>
                <w:tcPr>
                  <w:tcW w:w="680" w:type="pct"/>
                  <w:vMerge w:val="continue"/>
                  <w:tcBorders>
                    <w:tl2br w:val="nil"/>
                    <w:tr2bl w:val="nil"/>
                  </w:tcBorders>
                  <w:vAlign w:val="center"/>
                </w:tcPr>
                <w:p>
                  <w:pPr>
                    <w:widowControl/>
                    <w:jc w:val="center"/>
                    <w:textAlignment w:val="center"/>
                    <w:rPr>
                      <w:color w:val="auto"/>
                      <w:kern w:val="0"/>
                      <w:szCs w:val="21"/>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widowControl/>
                    <w:jc w:val="center"/>
                    <w:textAlignment w:val="center"/>
                    <w:rPr>
                      <w:color w:val="auto"/>
                      <w:szCs w:val="21"/>
                      <w:highlight w:val="none"/>
                    </w:rPr>
                  </w:pPr>
                </w:p>
              </w:tc>
              <w:tc>
                <w:tcPr>
                  <w:tcW w:w="3415" w:type="pc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5层主要设有17间办公室、14间研修室、1间活动室、3间讨论室、4间</w:t>
                  </w:r>
                  <w:r>
                    <w:rPr>
                      <w:rFonts w:hint="eastAsia"/>
                      <w:color w:val="auto"/>
                      <w:kern w:val="0"/>
                      <w:szCs w:val="21"/>
                      <w:highlight w:val="none"/>
                      <w:lang w:eastAsia="zh-CN" w:bidi="ar"/>
                    </w:rPr>
                    <w:t>教学</w:t>
                  </w:r>
                  <w:r>
                    <w:rPr>
                      <w:rFonts w:hint="eastAsia"/>
                      <w:color w:val="auto"/>
                      <w:kern w:val="0"/>
                      <w:szCs w:val="21"/>
                      <w:highlight w:val="none"/>
                      <w:lang w:bidi="ar"/>
                    </w:rPr>
                    <w:t>室等；</w:t>
                  </w:r>
                </w:p>
              </w:tc>
              <w:tc>
                <w:tcPr>
                  <w:tcW w:w="680" w:type="pct"/>
                  <w:vMerge w:val="continue"/>
                  <w:tcBorders>
                    <w:tl2br w:val="nil"/>
                    <w:tr2bl w:val="nil"/>
                  </w:tcBorders>
                  <w:vAlign w:val="center"/>
                </w:tcPr>
                <w:p>
                  <w:pPr>
                    <w:widowControl/>
                    <w:jc w:val="center"/>
                    <w:textAlignment w:val="center"/>
                    <w:rPr>
                      <w:color w:val="auto"/>
                      <w:kern w:val="0"/>
                      <w:szCs w:val="21"/>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widowControl/>
                    <w:jc w:val="center"/>
                    <w:textAlignment w:val="center"/>
                    <w:rPr>
                      <w:color w:val="auto"/>
                      <w:szCs w:val="21"/>
                      <w:highlight w:val="none"/>
                    </w:rPr>
                  </w:pPr>
                </w:p>
              </w:tc>
              <w:tc>
                <w:tcPr>
                  <w:tcW w:w="3415" w:type="pc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6</w:t>
                  </w:r>
                  <w:r>
                    <w:rPr>
                      <w:rFonts w:hint="eastAsia"/>
                      <w:color w:val="auto"/>
                      <w:kern w:val="0"/>
                      <w:szCs w:val="21"/>
                      <w:highlight w:val="none"/>
                      <w:lang w:bidi="ar"/>
                    </w:rPr>
                    <w:t>层主要设有1</w:t>
                  </w:r>
                  <w:r>
                    <w:rPr>
                      <w:rFonts w:hint="eastAsia"/>
                      <w:color w:val="auto"/>
                      <w:kern w:val="0"/>
                      <w:szCs w:val="21"/>
                      <w:highlight w:val="none"/>
                      <w:lang w:val="en-US" w:eastAsia="zh-CN" w:bidi="ar"/>
                    </w:rPr>
                    <w:t>0</w:t>
                  </w:r>
                  <w:r>
                    <w:rPr>
                      <w:rFonts w:hint="eastAsia"/>
                      <w:color w:val="auto"/>
                      <w:kern w:val="0"/>
                      <w:szCs w:val="21"/>
                      <w:highlight w:val="none"/>
                      <w:lang w:bidi="ar"/>
                    </w:rPr>
                    <w:t>间办公室、</w:t>
                  </w:r>
                  <w:r>
                    <w:rPr>
                      <w:rFonts w:hint="eastAsia"/>
                      <w:color w:val="auto"/>
                      <w:kern w:val="0"/>
                      <w:szCs w:val="21"/>
                      <w:highlight w:val="none"/>
                      <w:lang w:val="en-US" w:eastAsia="zh-CN" w:bidi="ar"/>
                    </w:rPr>
                    <w:t>2</w:t>
                  </w:r>
                  <w:r>
                    <w:rPr>
                      <w:rFonts w:hint="eastAsia"/>
                      <w:color w:val="auto"/>
                      <w:kern w:val="0"/>
                      <w:szCs w:val="21"/>
                      <w:highlight w:val="none"/>
                      <w:lang w:bidi="ar"/>
                    </w:rPr>
                    <w:t>间</w:t>
                  </w:r>
                  <w:r>
                    <w:rPr>
                      <w:rFonts w:hint="eastAsia"/>
                      <w:color w:val="auto"/>
                      <w:kern w:val="0"/>
                      <w:szCs w:val="21"/>
                      <w:highlight w:val="none"/>
                      <w:lang w:eastAsia="zh-CN" w:bidi="ar"/>
                    </w:rPr>
                    <w:t>理化实验</w:t>
                  </w:r>
                  <w:r>
                    <w:rPr>
                      <w:rFonts w:hint="eastAsia"/>
                      <w:color w:val="auto"/>
                      <w:kern w:val="0"/>
                      <w:szCs w:val="21"/>
                      <w:highlight w:val="none"/>
                      <w:lang w:bidi="ar"/>
                    </w:rPr>
                    <w:t>室、1间活动室、3间讨论室、4间实验实训室等；</w:t>
                  </w:r>
                </w:p>
              </w:tc>
              <w:tc>
                <w:tcPr>
                  <w:tcW w:w="680" w:type="pct"/>
                  <w:vMerge w:val="continue"/>
                  <w:tcBorders>
                    <w:tl2br w:val="nil"/>
                    <w:tr2bl w:val="nil"/>
                  </w:tcBorders>
                  <w:vAlign w:val="center"/>
                </w:tcPr>
                <w:p>
                  <w:pPr>
                    <w:widowControl/>
                    <w:jc w:val="center"/>
                    <w:textAlignment w:val="center"/>
                    <w:rPr>
                      <w:color w:val="auto"/>
                      <w:kern w:val="0"/>
                      <w:szCs w:val="21"/>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widowControl/>
                    <w:jc w:val="center"/>
                    <w:textAlignment w:val="center"/>
                    <w:rPr>
                      <w:color w:val="auto"/>
                      <w:szCs w:val="21"/>
                      <w:highlight w:val="none"/>
                    </w:rPr>
                  </w:pPr>
                </w:p>
              </w:tc>
              <w:tc>
                <w:tcPr>
                  <w:tcW w:w="3415" w:type="pc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7层主要设有1</w:t>
                  </w:r>
                  <w:r>
                    <w:rPr>
                      <w:rFonts w:hint="eastAsia"/>
                      <w:color w:val="auto"/>
                      <w:kern w:val="0"/>
                      <w:szCs w:val="21"/>
                      <w:highlight w:val="none"/>
                      <w:lang w:val="en-US" w:eastAsia="zh-CN" w:bidi="ar"/>
                    </w:rPr>
                    <w:t>0</w:t>
                  </w:r>
                  <w:r>
                    <w:rPr>
                      <w:rFonts w:hint="eastAsia"/>
                      <w:color w:val="auto"/>
                      <w:kern w:val="0"/>
                      <w:szCs w:val="21"/>
                      <w:highlight w:val="none"/>
                      <w:lang w:bidi="ar"/>
                    </w:rPr>
                    <w:t>间办公室、</w:t>
                  </w:r>
                  <w:r>
                    <w:rPr>
                      <w:rFonts w:hint="eastAsia"/>
                      <w:color w:val="auto"/>
                      <w:kern w:val="0"/>
                      <w:szCs w:val="21"/>
                      <w:highlight w:val="none"/>
                      <w:lang w:val="en-US" w:eastAsia="zh-CN" w:bidi="ar"/>
                    </w:rPr>
                    <w:t>2</w:t>
                  </w:r>
                  <w:r>
                    <w:rPr>
                      <w:rFonts w:hint="eastAsia"/>
                      <w:color w:val="auto"/>
                      <w:kern w:val="0"/>
                      <w:szCs w:val="21"/>
                      <w:highlight w:val="none"/>
                      <w:lang w:bidi="ar"/>
                    </w:rPr>
                    <w:t>间</w:t>
                  </w:r>
                  <w:r>
                    <w:rPr>
                      <w:rFonts w:hint="eastAsia"/>
                      <w:color w:val="auto"/>
                      <w:kern w:val="0"/>
                      <w:szCs w:val="21"/>
                      <w:highlight w:val="none"/>
                      <w:lang w:eastAsia="zh-CN" w:bidi="ar"/>
                    </w:rPr>
                    <w:t>理化实验</w:t>
                  </w:r>
                  <w:r>
                    <w:rPr>
                      <w:rFonts w:hint="eastAsia"/>
                      <w:color w:val="auto"/>
                      <w:kern w:val="0"/>
                      <w:szCs w:val="21"/>
                      <w:highlight w:val="none"/>
                      <w:lang w:bidi="ar"/>
                    </w:rPr>
                    <w:t>室、1间活动室、3间讨论室、4间实验实训室等；</w:t>
                  </w:r>
                </w:p>
              </w:tc>
              <w:tc>
                <w:tcPr>
                  <w:tcW w:w="680" w:type="pct"/>
                  <w:vMerge w:val="continue"/>
                  <w:tcBorders>
                    <w:tl2br w:val="nil"/>
                    <w:tr2bl w:val="nil"/>
                  </w:tcBorders>
                  <w:vAlign w:val="center"/>
                </w:tcPr>
                <w:p>
                  <w:pPr>
                    <w:widowControl/>
                    <w:jc w:val="center"/>
                    <w:textAlignment w:val="center"/>
                    <w:rPr>
                      <w:color w:val="auto"/>
                      <w:kern w:val="0"/>
                      <w:szCs w:val="21"/>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widowControl/>
                    <w:jc w:val="center"/>
                    <w:textAlignment w:val="center"/>
                    <w:rPr>
                      <w:color w:val="auto"/>
                      <w:szCs w:val="21"/>
                      <w:highlight w:val="none"/>
                    </w:rPr>
                  </w:pPr>
                </w:p>
              </w:tc>
              <w:tc>
                <w:tcPr>
                  <w:tcW w:w="3415" w:type="pc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8</w:t>
                  </w:r>
                  <w:r>
                    <w:rPr>
                      <w:rFonts w:hint="eastAsia"/>
                      <w:color w:val="auto"/>
                      <w:kern w:val="0"/>
                      <w:szCs w:val="21"/>
                      <w:highlight w:val="none"/>
                      <w:lang w:bidi="ar"/>
                    </w:rPr>
                    <w:t>层主要设有17间办公室、3间讨论室、4间有机实验室等；</w:t>
                  </w:r>
                </w:p>
              </w:tc>
              <w:tc>
                <w:tcPr>
                  <w:tcW w:w="680" w:type="pct"/>
                  <w:vMerge w:val="continue"/>
                  <w:tcBorders>
                    <w:tl2br w:val="nil"/>
                    <w:tr2bl w:val="nil"/>
                  </w:tcBorders>
                  <w:vAlign w:val="center"/>
                </w:tcPr>
                <w:p>
                  <w:pPr>
                    <w:widowControl/>
                    <w:jc w:val="center"/>
                    <w:textAlignment w:val="center"/>
                    <w:rPr>
                      <w:color w:val="auto"/>
                      <w:kern w:val="0"/>
                      <w:szCs w:val="21"/>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widowControl/>
                    <w:jc w:val="center"/>
                    <w:textAlignment w:val="center"/>
                    <w:rPr>
                      <w:color w:val="auto"/>
                      <w:szCs w:val="21"/>
                      <w:highlight w:val="none"/>
                    </w:rPr>
                  </w:pPr>
                </w:p>
              </w:tc>
              <w:tc>
                <w:tcPr>
                  <w:tcW w:w="3415" w:type="pc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9层主要设有17间办公室、3间讨论室、4间有机实验室等；</w:t>
                  </w:r>
                </w:p>
              </w:tc>
              <w:tc>
                <w:tcPr>
                  <w:tcW w:w="680" w:type="pct"/>
                  <w:vMerge w:val="continue"/>
                  <w:tcBorders>
                    <w:tl2br w:val="nil"/>
                    <w:tr2bl w:val="nil"/>
                  </w:tcBorders>
                  <w:vAlign w:val="center"/>
                </w:tcPr>
                <w:p>
                  <w:pPr>
                    <w:widowControl/>
                    <w:jc w:val="center"/>
                    <w:textAlignment w:val="center"/>
                    <w:rPr>
                      <w:color w:val="auto"/>
                      <w:kern w:val="0"/>
                      <w:szCs w:val="21"/>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PrEx>
              <w:trPr>
                <w:cantSplit/>
                <w:trHeight w:val="64" w:hRule="atLeas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widowControl/>
                    <w:jc w:val="center"/>
                    <w:textAlignment w:val="center"/>
                    <w:rPr>
                      <w:color w:val="auto"/>
                      <w:szCs w:val="21"/>
                      <w:highlight w:val="none"/>
                    </w:rPr>
                  </w:pPr>
                </w:p>
              </w:tc>
              <w:tc>
                <w:tcPr>
                  <w:tcW w:w="3415" w:type="pc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10层主要设有11间办公室、1间讨论室、11间生物实验室等。</w:t>
                  </w:r>
                </w:p>
              </w:tc>
              <w:tc>
                <w:tcPr>
                  <w:tcW w:w="680" w:type="pct"/>
                  <w:vMerge w:val="continue"/>
                  <w:tcBorders>
                    <w:tl2br w:val="nil"/>
                    <w:tr2bl w:val="nil"/>
                  </w:tcBorders>
                  <w:vAlign w:val="center"/>
                </w:tcPr>
                <w:p>
                  <w:pPr>
                    <w:widowControl/>
                    <w:jc w:val="center"/>
                    <w:textAlignment w:val="center"/>
                    <w:rPr>
                      <w:color w:val="auto"/>
                      <w:kern w:val="0"/>
                      <w:szCs w:val="21"/>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502" w:type="pct"/>
                  <w:vMerge w:val="continue"/>
                  <w:tcBorders>
                    <w:tl2br w:val="nil"/>
                    <w:tr2bl w:val="nil"/>
                  </w:tcBorders>
                  <w:vAlign w:val="center"/>
                </w:tcPr>
                <w:p>
                  <w:pPr>
                    <w:pStyle w:val="33"/>
                    <w:rPr>
                      <w:color w:val="auto"/>
                      <w:highlight w:val="none"/>
                    </w:rPr>
                  </w:pPr>
                </w:p>
              </w:tc>
              <w:tc>
                <w:tcPr>
                  <w:tcW w:w="402" w:type="pct"/>
                  <w:tcBorders>
                    <w:tl2br w:val="nil"/>
                    <w:tr2bl w:val="nil"/>
                  </w:tcBorders>
                  <w:vAlign w:val="center"/>
                </w:tcPr>
                <w:p>
                  <w:pPr>
                    <w:widowControl/>
                    <w:jc w:val="center"/>
                    <w:textAlignment w:val="center"/>
                    <w:rPr>
                      <w:color w:val="auto"/>
                      <w:kern w:val="0"/>
                      <w:szCs w:val="21"/>
                      <w:highlight w:val="none"/>
                      <w:lang w:bidi="ar"/>
                    </w:rPr>
                  </w:pPr>
                  <w:r>
                    <w:rPr>
                      <w:rFonts w:hint="eastAsia"/>
                      <w:color w:val="auto"/>
                      <w:szCs w:val="21"/>
                      <w:highlight w:val="none"/>
                    </w:rPr>
                    <w:t>球差电镜室</w:t>
                  </w:r>
                </w:p>
              </w:tc>
              <w:tc>
                <w:tcPr>
                  <w:tcW w:w="3415" w:type="pc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建筑面积为</w:t>
                  </w:r>
                  <w:r>
                    <w:rPr>
                      <w:rFonts w:hint="eastAsia"/>
                      <w:color w:val="auto"/>
                      <w:kern w:val="0"/>
                      <w:szCs w:val="21"/>
                      <w:highlight w:val="none"/>
                      <w:lang w:val="en-US" w:eastAsia="zh-CN" w:bidi="ar"/>
                    </w:rPr>
                    <w:t>750</w:t>
                  </w:r>
                  <w:r>
                    <w:rPr>
                      <w:rFonts w:hint="eastAsia"/>
                      <w:color w:val="auto"/>
                      <w:kern w:val="0"/>
                      <w:szCs w:val="21"/>
                      <w:highlight w:val="none"/>
                      <w:lang w:bidi="ar"/>
                    </w:rPr>
                    <w:t>m</w:t>
                  </w:r>
                  <w:r>
                    <w:rPr>
                      <w:rFonts w:hint="eastAsia"/>
                      <w:color w:val="auto"/>
                      <w:kern w:val="0"/>
                      <w:szCs w:val="21"/>
                      <w:highlight w:val="none"/>
                      <w:vertAlign w:val="superscript"/>
                      <w:lang w:bidi="ar"/>
                    </w:rPr>
                    <w:t>2</w:t>
                  </w:r>
                  <w:r>
                    <w:rPr>
                      <w:rFonts w:hint="eastAsia"/>
                      <w:color w:val="auto"/>
                      <w:kern w:val="0"/>
                      <w:szCs w:val="21"/>
                      <w:highlight w:val="none"/>
                      <w:lang w:bidi="ar"/>
                    </w:rPr>
                    <w:t>，包含1间球差电镜实验室、1间办公室和1间会议室。</w:t>
                  </w:r>
                </w:p>
              </w:tc>
              <w:tc>
                <w:tcPr>
                  <w:tcW w:w="680" w:type="pct"/>
                  <w:vMerge w:val="continue"/>
                  <w:tcBorders>
                    <w:tl2br w:val="nil"/>
                    <w:tr2bl w:val="nil"/>
                  </w:tcBorders>
                  <w:vAlign w:val="center"/>
                </w:tcPr>
                <w:p>
                  <w:pPr>
                    <w:widowControl/>
                    <w:jc w:val="center"/>
                    <w:textAlignment w:val="center"/>
                    <w:rPr>
                      <w:color w:val="auto"/>
                      <w:kern w:val="0"/>
                      <w:szCs w:val="21"/>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2" w:type="pct"/>
                  <w:vMerge w:val="restart"/>
                  <w:tcBorders>
                    <w:tl2br w:val="nil"/>
                    <w:tr2bl w:val="nil"/>
                  </w:tcBorders>
                  <w:vAlign w:val="center"/>
                </w:tcPr>
                <w:p>
                  <w:pPr>
                    <w:pStyle w:val="33"/>
                    <w:rPr>
                      <w:color w:val="auto"/>
                      <w:highlight w:val="none"/>
                    </w:rPr>
                  </w:pPr>
                  <w:r>
                    <w:rPr>
                      <w:rFonts w:hint="eastAsia"/>
                      <w:color w:val="auto"/>
                      <w:highlight w:val="none"/>
                    </w:rPr>
                    <w:t>公辅工程</w:t>
                  </w:r>
                </w:p>
              </w:tc>
              <w:tc>
                <w:tcPr>
                  <w:tcW w:w="402" w:type="pct"/>
                  <w:tcBorders>
                    <w:tl2br w:val="nil"/>
                    <w:tr2bl w:val="nil"/>
                  </w:tcBorders>
                  <w:vAlign w:val="center"/>
                </w:tcPr>
                <w:p>
                  <w:pPr>
                    <w:widowControl/>
                    <w:jc w:val="center"/>
                    <w:textAlignment w:val="center"/>
                    <w:rPr>
                      <w:color w:val="auto"/>
                      <w:highlight w:val="none"/>
                    </w:rPr>
                  </w:pPr>
                  <w:r>
                    <w:rPr>
                      <w:color w:val="auto"/>
                      <w:kern w:val="0"/>
                      <w:szCs w:val="21"/>
                      <w:highlight w:val="none"/>
                      <w:lang w:bidi="ar"/>
                    </w:rPr>
                    <w:t>供电工程</w:t>
                  </w:r>
                </w:p>
              </w:tc>
              <w:tc>
                <w:tcPr>
                  <w:tcW w:w="3415" w:type="pct"/>
                  <w:tcBorders>
                    <w:tl2br w:val="nil"/>
                    <w:tr2bl w:val="nil"/>
                  </w:tcBorders>
                  <w:vAlign w:val="center"/>
                </w:tcPr>
                <w:p>
                  <w:pPr>
                    <w:widowControl/>
                    <w:jc w:val="center"/>
                    <w:textAlignment w:val="center"/>
                    <w:rPr>
                      <w:color w:val="auto"/>
                      <w:highlight w:val="none"/>
                    </w:rPr>
                  </w:pPr>
                  <w:r>
                    <w:rPr>
                      <w:rFonts w:hint="eastAsia"/>
                      <w:color w:val="auto"/>
                      <w:kern w:val="0"/>
                      <w:szCs w:val="21"/>
                      <w:highlight w:val="none"/>
                      <w:lang w:bidi="ar"/>
                    </w:rPr>
                    <w:t>依托学校现有供电管网</w:t>
                  </w:r>
                </w:p>
              </w:tc>
              <w:tc>
                <w:tcPr>
                  <w:tcW w:w="680" w:type="pct"/>
                  <w:vMerge w:val="restar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依托学校已建工程</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pPr>
                    <w:pStyle w:val="33"/>
                    <w:rPr>
                      <w:color w:val="auto"/>
                      <w:highlight w:val="none"/>
                    </w:rPr>
                  </w:pPr>
                </w:p>
              </w:tc>
              <w:tc>
                <w:tcPr>
                  <w:tcW w:w="402" w:type="pct"/>
                  <w:tcBorders>
                    <w:tl2br w:val="nil"/>
                    <w:tr2bl w:val="nil"/>
                  </w:tcBorders>
                  <w:vAlign w:val="center"/>
                </w:tcPr>
                <w:p>
                  <w:pPr>
                    <w:widowControl/>
                    <w:jc w:val="center"/>
                    <w:textAlignment w:val="center"/>
                    <w:rPr>
                      <w:color w:val="auto"/>
                      <w:highlight w:val="none"/>
                    </w:rPr>
                  </w:pPr>
                  <w:r>
                    <w:rPr>
                      <w:color w:val="auto"/>
                      <w:kern w:val="0"/>
                      <w:szCs w:val="21"/>
                      <w:highlight w:val="none"/>
                      <w:lang w:bidi="ar"/>
                    </w:rPr>
                    <w:t>给水工程</w:t>
                  </w:r>
                </w:p>
              </w:tc>
              <w:tc>
                <w:tcPr>
                  <w:tcW w:w="3415" w:type="pct"/>
                  <w:tcBorders>
                    <w:tl2br w:val="nil"/>
                    <w:tr2bl w:val="nil"/>
                  </w:tcBorders>
                  <w:vAlign w:val="center"/>
                </w:tcPr>
                <w:p>
                  <w:pPr>
                    <w:widowControl/>
                    <w:jc w:val="center"/>
                    <w:textAlignment w:val="center"/>
                    <w:rPr>
                      <w:color w:val="auto"/>
                      <w:highlight w:val="none"/>
                    </w:rPr>
                  </w:pPr>
                  <w:r>
                    <w:rPr>
                      <w:rFonts w:hint="eastAsia"/>
                      <w:color w:val="auto"/>
                      <w:kern w:val="0"/>
                      <w:szCs w:val="21"/>
                      <w:highlight w:val="none"/>
                      <w:lang w:bidi="ar"/>
                    </w:rPr>
                    <w:t>依托学校现有供水管网</w:t>
                  </w:r>
                </w:p>
              </w:tc>
              <w:tc>
                <w:tcPr>
                  <w:tcW w:w="680" w:type="pct"/>
                  <w:vMerge w:val="continue"/>
                  <w:tcBorders>
                    <w:tl2br w:val="nil"/>
                    <w:tr2bl w:val="nil"/>
                  </w:tcBorders>
                  <w:vAlign w:val="center"/>
                </w:tcPr>
                <w:p>
                  <w:pPr>
                    <w:widowControl/>
                    <w:jc w:val="center"/>
                    <w:textAlignment w:val="center"/>
                    <w:rPr>
                      <w:color w:val="auto"/>
                      <w:kern w:val="0"/>
                      <w:szCs w:val="21"/>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pPr>
                    <w:pStyle w:val="33"/>
                    <w:rPr>
                      <w:color w:val="auto"/>
                      <w:highlight w:val="none"/>
                    </w:rPr>
                  </w:pPr>
                </w:p>
              </w:tc>
              <w:tc>
                <w:tcPr>
                  <w:tcW w:w="402" w:type="pct"/>
                  <w:tcBorders>
                    <w:tl2br w:val="nil"/>
                    <w:tr2bl w:val="nil"/>
                  </w:tcBorders>
                  <w:vAlign w:val="center"/>
                </w:tcPr>
                <w:p>
                  <w:pPr>
                    <w:widowControl/>
                    <w:jc w:val="center"/>
                    <w:textAlignment w:val="center"/>
                    <w:rPr>
                      <w:color w:val="auto"/>
                      <w:highlight w:val="none"/>
                    </w:rPr>
                  </w:pPr>
                  <w:r>
                    <w:rPr>
                      <w:rFonts w:hint="eastAsia"/>
                      <w:color w:val="auto"/>
                      <w:kern w:val="0"/>
                      <w:szCs w:val="21"/>
                      <w:highlight w:val="none"/>
                      <w:lang w:bidi="ar"/>
                    </w:rPr>
                    <w:t>排水</w:t>
                  </w:r>
                  <w:r>
                    <w:rPr>
                      <w:color w:val="auto"/>
                      <w:kern w:val="0"/>
                      <w:szCs w:val="21"/>
                      <w:highlight w:val="none"/>
                      <w:lang w:bidi="ar"/>
                    </w:rPr>
                    <w:t>工程</w:t>
                  </w:r>
                </w:p>
              </w:tc>
              <w:tc>
                <w:tcPr>
                  <w:tcW w:w="3415" w:type="pct"/>
                  <w:tcBorders>
                    <w:tl2br w:val="nil"/>
                    <w:tr2bl w:val="nil"/>
                  </w:tcBorders>
                  <w:vAlign w:val="center"/>
                </w:tcPr>
                <w:p>
                  <w:pPr>
                    <w:widowControl/>
                    <w:jc w:val="center"/>
                    <w:textAlignment w:val="center"/>
                    <w:rPr>
                      <w:rFonts w:hint="default"/>
                      <w:color w:val="auto"/>
                      <w:highlight w:val="none"/>
                      <w:lang w:val="en-US"/>
                    </w:rPr>
                  </w:pPr>
                  <w:r>
                    <w:rPr>
                      <w:rFonts w:hint="eastAsia"/>
                      <w:color w:val="auto"/>
                      <w:kern w:val="0"/>
                      <w:szCs w:val="21"/>
                      <w:highlight w:val="none"/>
                      <w:lang w:val="en-US" w:eastAsia="zh-CN" w:bidi="ar"/>
                    </w:rPr>
                    <w:t>新建一套处理能力为30m</w:t>
                  </w:r>
                  <w:r>
                    <w:rPr>
                      <w:rFonts w:hint="eastAsia"/>
                      <w:color w:val="auto"/>
                      <w:kern w:val="0"/>
                      <w:szCs w:val="21"/>
                      <w:highlight w:val="none"/>
                      <w:vertAlign w:val="superscript"/>
                      <w:lang w:val="en-US" w:eastAsia="zh-CN" w:bidi="ar"/>
                    </w:rPr>
                    <w:t>3</w:t>
                  </w:r>
                  <w:r>
                    <w:rPr>
                      <w:rFonts w:hint="eastAsia"/>
                      <w:color w:val="auto"/>
                      <w:kern w:val="0"/>
                      <w:szCs w:val="21"/>
                      <w:highlight w:val="none"/>
                      <w:lang w:val="en-US" w:eastAsia="zh-CN" w:bidi="ar"/>
                    </w:rPr>
                    <w:t>/d的酸碱中和池+消毒池+化粪池处理设施，处理后接入市政污水管网</w:t>
                  </w:r>
                </w:p>
              </w:tc>
              <w:tc>
                <w:tcPr>
                  <w:tcW w:w="680" w:type="pct"/>
                  <w:tcBorders>
                    <w:tl2br w:val="nil"/>
                    <w:tr2bl w:val="nil"/>
                  </w:tcBorders>
                  <w:vAlign w:val="center"/>
                </w:tcPr>
                <w:p>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部分依托市政管网</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pPr>
                    <w:pStyle w:val="33"/>
                    <w:rPr>
                      <w:color w:val="auto"/>
                      <w:highlight w:val="none"/>
                    </w:rPr>
                  </w:pPr>
                </w:p>
              </w:tc>
              <w:tc>
                <w:tcPr>
                  <w:tcW w:w="402" w:type="pc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停车场</w:t>
                  </w:r>
                </w:p>
              </w:tc>
              <w:tc>
                <w:tcPr>
                  <w:tcW w:w="3415" w:type="pc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综合楼设有1层地下停车场，停车位为75辆；球差电镜室在地面设有5辆停车位</w:t>
                  </w:r>
                </w:p>
              </w:tc>
              <w:tc>
                <w:tcPr>
                  <w:tcW w:w="680" w:type="pc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新建</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853" w:hRule="atLeast"/>
                <w:jc w:val="center"/>
              </w:trPr>
              <w:tc>
                <w:tcPr>
                  <w:tcW w:w="502" w:type="pct"/>
                  <w:vMerge w:val="restart"/>
                  <w:tcBorders>
                    <w:tl2br w:val="nil"/>
                    <w:tr2bl w:val="nil"/>
                  </w:tcBorders>
                  <w:vAlign w:val="center"/>
                </w:tcPr>
                <w:p>
                  <w:pPr>
                    <w:pStyle w:val="33"/>
                    <w:rPr>
                      <w:color w:val="auto"/>
                      <w:highlight w:val="none"/>
                    </w:rPr>
                  </w:pPr>
                  <w:r>
                    <w:rPr>
                      <w:rFonts w:hint="eastAsia"/>
                      <w:color w:val="auto"/>
                      <w:highlight w:val="none"/>
                    </w:rPr>
                    <w:t>环保工程</w:t>
                  </w:r>
                </w:p>
              </w:tc>
              <w:tc>
                <w:tcPr>
                  <w:tcW w:w="402" w:type="pct"/>
                  <w:vMerge w:val="restart"/>
                  <w:tcBorders>
                    <w:tl2br w:val="nil"/>
                    <w:tr2bl w:val="nil"/>
                  </w:tcBorders>
                  <w:vAlign w:val="center"/>
                </w:tcPr>
                <w:p>
                  <w:pPr>
                    <w:pStyle w:val="30"/>
                    <w:snapToGrid/>
                    <w:contextualSpacing/>
                    <w:rPr>
                      <w:color w:val="auto"/>
                      <w:highlight w:val="none"/>
                    </w:rPr>
                  </w:pPr>
                  <w:r>
                    <w:rPr>
                      <w:color w:val="auto"/>
                      <w:highlight w:val="none"/>
                    </w:rPr>
                    <w:t>废气</w:t>
                  </w:r>
                  <w:r>
                    <w:rPr>
                      <w:rFonts w:hint="eastAsia"/>
                      <w:color w:val="auto"/>
                      <w:highlight w:val="none"/>
                    </w:rPr>
                    <w:t>处理</w:t>
                  </w:r>
                </w:p>
              </w:tc>
              <w:tc>
                <w:tcPr>
                  <w:tcW w:w="3415" w:type="pct"/>
                  <w:tcBorders>
                    <w:tl2br w:val="nil"/>
                    <w:tr2bl w:val="nil"/>
                  </w:tcBorders>
                  <w:vAlign w:val="center"/>
                </w:tcPr>
                <w:p>
                  <w:pPr>
                    <w:pStyle w:val="30"/>
                    <w:snapToGrid/>
                    <w:contextualSpacing/>
                    <w:rPr>
                      <w:color w:val="auto"/>
                      <w:highlight w:val="none"/>
                    </w:rPr>
                  </w:pPr>
                  <w:r>
                    <w:rPr>
                      <w:rFonts w:hint="eastAsia"/>
                      <w:color w:val="auto"/>
                      <w:highlight w:val="none"/>
                    </w:rPr>
                    <w:t>实验室废气：综合楼实验室结合实验活动产污环节，设置专门的通风柜及排风系统，实验废气经机械排风系统处理后，引至屋面排风机，经活性炭吸附装置处理后汇至1根45m高排气筒排放。</w:t>
                  </w:r>
                </w:p>
              </w:tc>
              <w:tc>
                <w:tcPr>
                  <w:tcW w:w="680" w:type="pct"/>
                  <w:vMerge w:val="restart"/>
                  <w:tcBorders>
                    <w:tl2br w:val="nil"/>
                    <w:tr2bl w:val="nil"/>
                  </w:tcBorders>
                  <w:vAlign w:val="center"/>
                </w:tcPr>
                <w:p>
                  <w:pPr>
                    <w:pStyle w:val="30"/>
                    <w:snapToGrid/>
                    <w:contextualSpacing/>
                    <w:rPr>
                      <w:color w:val="auto"/>
                      <w:kern w:val="0"/>
                      <w:highlight w:val="none"/>
                      <w:lang w:bidi="ar"/>
                    </w:rPr>
                  </w:pPr>
                  <w:r>
                    <w:rPr>
                      <w:rFonts w:hint="eastAsia"/>
                      <w:color w:val="auto"/>
                      <w:kern w:val="0"/>
                      <w:highlight w:val="none"/>
                      <w:lang w:bidi="ar"/>
                    </w:rPr>
                    <w:t>新建</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pStyle w:val="30"/>
                    <w:snapToGrid/>
                    <w:contextualSpacing/>
                    <w:rPr>
                      <w:color w:val="auto"/>
                      <w:highlight w:val="none"/>
                    </w:rPr>
                  </w:pPr>
                </w:p>
              </w:tc>
              <w:tc>
                <w:tcPr>
                  <w:tcW w:w="3415" w:type="pct"/>
                  <w:tcBorders>
                    <w:tl2br w:val="nil"/>
                    <w:tr2bl w:val="nil"/>
                  </w:tcBorders>
                  <w:vAlign w:val="center"/>
                </w:tcPr>
                <w:p>
                  <w:pPr>
                    <w:pStyle w:val="30"/>
                    <w:snapToGrid/>
                    <w:contextualSpacing/>
                    <w:rPr>
                      <w:color w:val="auto"/>
                      <w:highlight w:val="none"/>
                    </w:rPr>
                  </w:pPr>
                  <w:r>
                    <w:rPr>
                      <w:rFonts w:hint="eastAsia"/>
                      <w:color w:val="auto"/>
                      <w:highlight w:val="none"/>
                    </w:rPr>
                    <w:t>汽车尾气：综合楼地下停车场设置机械送排风系统，排放口直通地面。</w:t>
                  </w:r>
                </w:p>
              </w:tc>
              <w:tc>
                <w:tcPr>
                  <w:tcW w:w="680" w:type="pct"/>
                  <w:vMerge w:val="continue"/>
                  <w:tcBorders>
                    <w:tl2br w:val="nil"/>
                    <w:tr2bl w:val="nil"/>
                  </w:tcBorders>
                  <w:vAlign w:val="center"/>
                </w:tcPr>
                <w:p>
                  <w:pPr>
                    <w:pStyle w:val="30"/>
                    <w:snapToGrid/>
                    <w:contextualSpacing/>
                    <w:rPr>
                      <w:color w:val="auto"/>
                      <w:kern w:val="0"/>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pStyle w:val="30"/>
                    <w:snapToGrid/>
                    <w:contextualSpacing/>
                    <w:rPr>
                      <w:color w:val="auto"/>
                      <w:highlight w:val="none"/>
                    </w:rPr>
                  </w:pPr>
                </w:p>
              </w:tc>
              <w:tc>
                <w:tcPr>
                  <w:tcW w:w="3415" w:type="pct"/>
                  <w:tcBorders>
                    <w:tl2br w:val="nil"/>
                    <w:tr2bl w:val="nil"/>
                  </w:tcBorders>
                  <w:vAlign w:val="center"/>
                </w:tcPr>
                <w:p>
                  <w:pPr>
                    <w:pStyle w:val="30"/>
                    <w:snapToGrid/>
                    <w:contextualSpacing/>
                    <w:rPr>
                      <w:color w:val="auto"/>
                      <w:highlight w:val="none"/>
                    </w:rPr>
                  </w:pPr>
                  <w:r>
                    <w:rPr>
                      <w:rFonts w:hint="eastAsia"/>
                      <w:color w:val="auto"/>
                      <w:highlight w:val="none"/>
                    </w:rPr>
                    <w:t>厨房废气：综合楼餐厅油烟经抽油烟机处理后排放。</w:t>
                  </w:r>
                </w:p>
              </w:tc>
              <w:tc>
                <w:tcPr>
                  <w:tcW w:w="680" w:type="pct"/>
                  <w:vMerge w:val="continue"/>
                  <w:tcBorders>
                    <w:tl2br w:val="nil"/>
                    <w:tr2bl w:val="nil"/>
                  </w:tcBorders>
                  <w:vAlign w:val="center"/>
                </w:tcPr>
                <w:p>
                  <w:pPr>
                    <w:pStyle w:val="30"/>
                    <w:snapToGrid/>
                    <w:contextualSpacing/>
                    <w:rPr>
                      <w:color w:val="auto"/>
                      <w:kern w:val="0"/>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pStyle w:val="30"/>
                    <w:snapToGrid/>
                    <w:contextualSpacing/>
                    <w:rPr>
                      <w:color w:val="auto"/>
                      <w:highlight w:val="none"/>
                    </w:rPr>
                  </w:pPr>
                </w:p>
              </w:tc>
              <w:tc>
                <w:tcPr>
                  <w:tcW w:w="3415" w:type="pct"/>
                  <w:tcBorders>
                    <w:tl2br w:val="nil"/>
                    <w:tr2bl w:val="nil"/>
                  </w:tcBorders>
                  <w:vAlign w:val="center"/>
                </w:tcPr>
                <w:p>
                  <w:pPr>
                    <w:pStyle w:val="30"/>
                    <w:snapToGrid/>
                    <w:contextualSpacing/>
                    <w:rPr>
                      <w:color w:val="auto"/>
                      <w:highlight w:val="none"/>
                    </w:rPr>
                  </w:pPr>
                  <w:r>
                    <w:rPr>
                      <w:rFonts w:hint="eastAsia"/>
                      <w:color w:val="auto"/>
                      <w:highlight w:val="none"/>
                    </w:rPr>
                    <w:t>发电机废气：项目备用发电机房内设置机械排风装置。</w:t>
                  </w:r>
                </w:p>
              </w:tc>
              <w:tc>
                <w:tcPr>
                  <w:tcW w:w="680" w:type="pct"/>
                  <w:vMerge w:val="continue"/>
                  <w:tcBorders>
                    <w:tl2br w:val="nil"/>
                    <w:tr2bl w:val="nil"/>
                  </w:tcBorders>
                  <w:vAlign w:val="center"/>
                </w:tcPr>
                <w:p>
                  <w:pPr>
                    <w:pStyle w:val="30"/>
                    <w:snapToGrid/>
                    <w:contextualSpacing/>
                    <w:rPr>
                      <w:color w:val="auto"/>
                      <w:kern w:val="0"/>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pPr>
                    <w:pStyle w:val="33"/>
                    <w:rPr>
                      <w:color w:val="auto"/>
                      <w:highlight w:val="none"/>
                    </w:rPr>
                  </w:pPr>
                </w:p>
              </w:tc>
              <w:tc>
                <w:tcPr>
                  <w:tcW w:w="402" w:type="pct"/>
                  <w:vMerge w:val="restart"/>
                  <w:tcBorders>
                    <w:tl2br w:val="nil"/>
                    <w:tr2bl w:val="nil"/>
                  </w:tcBorders>
                  <w:vAlign w:val="center"/>
                </w:tcPr>
                <w:p>
                  <w:pPr>
                    <w:pStyle w:val="30"/>
                    <w:snapToGrid/>
                    <w:contextualSpacing/>
                    <w:rPr>
                      <w:color w:val="auto"/>
                      <w:highlight w:val="none"/>
                    </w:rPr>
                  </w:pPr>
                  <w:r>
                    <w:rPr>
                      <w:color w:val="auto"/>
                      <w:highlight w:val="none"/>
                    </w:rPr>
                    <w:t>污水</w:t>
                  </w:r>
                  <w:r>
                    <w:rPr>
                      <w:rFonts w:hint="eastAsia"/>
                      <w:color w:val="auto"/>
                      <w:highlight w:val="none"/>
                    </w:rPr>
                    <w:t>处理</w:t>
                  </w:r>
                </w:p>
              </w:tc>
              <w:tc>
                <w:tcPr>
                  <w:tcW w:w="3415" w:type="pct"/>
                  <w:tcBorders>
                    <w:tl2br w:val="nil"/>
                    <w:tr2bl w:val="nil"/>
                  </w:tcBorders>
                  <w:vAlign w:val="center"/>
                </w:tcPr>
                <w:p>
                  <w:pPr>
                    <w:widowControl/>
                    <w:jc w:val="center"/>
                    <w:textAlignment w:val="center"/>
                    <w:rPr>
                      <w:snapToGrid w:val="0"/>
                      <w:color w:val="auto"/>
                      <w:szCs w:val="21"/>
                      <w:highlight w:val="none"/>
                    </w:rPr>
                  </w:pPr>
                  <w:r>
                    <w:rPr>
                      <w:rFonts w:hint="eastAsia"/>
                      <w:snapToGrid w:val="0"/>
                      <w:color w:val="auto"/>
                      <w:szCs w:val="21"/>
                      <w:highlight w:val="none"/>
                    </w:rPr>
                    <w:t>实验废水：</w:t>
                  </w:r>
                  <w:r>
                    <w:rPr>
                      <w:rFonts w:hint="eastAsia"/>
                      <w:snapToGrid w:val="0"/>
                      <w:color w:val="auto"/>
                      <w:szCs w:val="21"/>
                      <w:highlight w:val="none"/>
                      <w:lang w:eastAsia="zh-CN"/>
                    </w:rPr>
                    <w:t>项目新设</w:t>
                  </w:r>
                  <w:r>
                    <w:rPr>
                      <w:rFonts w:hint="eastAsia"/>
                      <w:snapToGrid w:val="0"/>
                      <w:color w:val="auto"/>
                      <w:szCs w:val="21"/>
                      <w:highlight w:val="none"/>
                    </w:rPr>
                    <w:t>酸碱中和池和消毒池处理后</w:t>
                  </w:r>
                  <w:r>
                    <w:rPr>
                      <w:rFonts w:hint="eastAsia"/>
                      <w:snapToGrid w:val="0"/>
                      <w:color w:val="auto"/>
                      <w:szCs w:val="21"/>
                      <w:highlight w:val="none"/>
                      <w:lang w:eastAsia="zh-CN"/>
                    </w:rPr>
                    <w:t>，</w:t>
                  </w:r>
                  <w:r>
                    <w:rPr>
                      <w:rFonts w:hint="eastAsia"/>
                      <w:snapToGrid w:val="0"/>
                      <w:color w:val="auto"/>
                      <w:szCs w:val="21"/>
                      <w:highlight w:val="none"/>
                    </w:rPr>
                    <w:t>接入化粪池，后排入市政污水管网。</w:t>
                  </w:r>
                </w:p>
              </w:tc>
              <w:tc>
                <w:tcPr>
                  <w:tcW w:w="680" w:type="pct"/>
                  <w:vMerge w:val="restar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新建</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pStyle w:val="30"/>
                    <w:snapToGrid/>
                    <w:contextualSpacing/>
                    <w:rPr>
                      <w:color w:val="auto"/>
                      <w:highlight w:val="none"/>
                    </w:rPr>
                  </w:pPr>
                </w:p>
              </w:tc>
              <w:tc>
                <w:tcPr>
                  <w:tcW w:w="3415" w:type="pct"/>
                  <w:tcBorders>
                    <w:tl2br w:val="nil"/>
                    <w:tr2bl w:val="nil"/>
                  </w:tcBorders>
                  <w:vAlign w:val="center"/>
                </w:tcPr>
                <w:p>
                  <w:pPr>
                    <w:widowControl/>
                    <w:jc w:val="center"/>
                    <w:textAlignment w:val="center"/>
                    <w:rPr>
                      <w:color w:val="auto"/>
                      <w:highlight w:val="none"/>
                    </w:rPr>
                  </w:pPr>
                  <w:r>
                    <w:rPr>
                      <w:rFonts w:hint="eastAsia"/>
                      <w:color w:val="auto"/>
                      <w:highlight w:val="none"/>
                    </w:rPr>
                    <w:t>餐厅废水：经隔油池处理后与生活污水一同排入化粪池处理，后排入市政污水管网。</w:t>
                  </w:r>
                </w:p>
              </w:tc>
              <w:tc>
                <w:tcPr>
                  <w:tcW w:w="680" w:type="pct"/>
                  <w:vMerge w:val="continue"/>
                  <w:tcBorders>
                    <w:tl2br w:val="nil"/>
                    <w:tr2bl w:val="nil"/>
                  </w:tcBorders>
                  <w:vAlign w:val="center"/>
                </w:tcPr>
                <w:p>
                  <w:pPr>
                    <w:widowControl/>
                    <w:jc w:val="center"/>
                    <w:textAlignment w:val="center"/>
                    <w:rPr>
                      <w:color w:val="auto"/>
                      <w:kern w:val="0"/>
                      <w:szCs w:val="21"/>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pStyle w:val="30"/>
                    <w:snapToGrid/>
                    <w:contextualSpacing/>
                    <w:rPr>
                      <w:color w:val="auto"/>
                      <w:highlight w:val="none"/>
                    </w:rPr>
                  </w:pPr>
                </w:p>
              </w:tc>
              <w:tc>
                <w:tcPr>
                  <w:tcW w:w="3415" w:type="pct"/>
                  <w:tcBorders>
                    <w:tl2br w:val="nil"/>
                    <w:tr2bl w:val="nil"/>
                  </w:tcBorders>
                  <w:vAlign w:val="center"/>
                </w:tcPr>
                <w:p>
                  <w:pPr>
                    <w:widowControl/>
                    <w:jc w:val="center"/>
                    <w:textAlignment w:val="center"/>
                    <w:rPr>
                      <w:color w:val="auto"/>
                      <w:highlight w:val="none"/>
                    </w:rPr>
                  </w:pPr>
                  <w:r>
                    <w:rPr>
                      <w:rFonts w:hint="eastAsia"/>
                      <w:color w:val="auto"/>
                      <w:highlight w:val="none"/>
                    </w:rPr>
                    <w:t>生活污水：经化粪池处理后排入市政污水管网。</w:t>
                  </w:r>
                </w:p>
              </w:tc>
              <w:tc>
                <w:tcPr>
                  <w:tcW w:w="680" w:type="pct"/>
                  <w:vMerge w:val="continue"/>
                  <w:tcBorders>
                    <w:tl2br w:val="nil"/>
                    <w:tr2bl w:val="nil"/>
                  </w:tcBorders>
                  <w:vAlign w:val="center"/>
                </w:tcPr>
                <w:p>
                  <w:pPr>
                    <w:widowControl/>
                    <w:jc w:val="center"/>
                    <w:textAlignment w:val="center"/>
                    <w:rPr>
                      <w:color w:val="auto"/>
                      <w:kern w:val="0"/>
                      <w:szCs w:val="21"/>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PrEx>
              <w:trPr>
                <w:cantSplit/>
                <w:jc w:val="center"/>
              </w:trPr>
              <w:tc>
                <w:tcPr>
                  <w:tcW w:w="502" w:type="pct"/>
                  <w:vMerge w:val="continue"/>
                  <w:tcBorders>
                    <w:tl2br w:val="nil"/>
                    <w:tr2bl w:val="nil"/>
                  </w:tcBorders>
                  <w:vAlign w:val="center"/>
                </w:tcPr>
                <w:p>
                  <w:pPr>
                    <w:pStyle w:val="33"/>
                    <w:rPr>
                      <w:color w:val="auto"/>
                      <w:highlight w:val="none"/>
                    </w:rPr>
                  </w:pPr>
                </w:p>
              </w:tc>
              <w:tc>
                <w:tcPr>
                  <w:tcW w:w="402" w:type="pct"/>
                  <w:tcBorders>
                    <w:tl2br w:val="nil"/>
                    <w:tr2bl w:val="nil"/>
                  </w:tcBorders>
                  <w:vAlign w:val="center"/>
                </w:tcPr>
                <w:p>
                  <w:pPr>
                    <w:pStyle w:val="30"/>
                    <w:snapToGrid/>
                    <w:contextualSpacing/>
                    <w:rPr>
                      <w:color w:val="auto"/>
                      <w:highlight w:val="none"/>
                    </w:rPr>
                  </w:pPr>
                  <w:r>
                    <w:rPr>
                      <w:color w:val="auto"/>
                      <w:highlight w:val="none"/>
                    </w:rPr>
                    <w:t>噪声</w:t>
                  </w:r>
                  <w:r>
                    <w:rPr>
                      <w:rFonts w:hint="eastAsia"/>
                      <w:color w:val="auto"/>
                      <w:highlight w:val="none"/>
                    </w:rPr>
                    <w:t>处理</w:t>
                  </w:r>
                </w:p>
              </w:tc>
              <w:tc>
                <w:tcPr>
                  <w:tcW w:w="3415" w:type="pct"/>
                  <w:tcBorders>
                    <w:tl2br w:val="nil"/>
                    <w:tr2bl w:val="nil"/>
                  </w:tcBorders>
                  <w:vAlign w:val="center"/>
                </w:tcPr>
                <w:p>
                  <w:pPr>
                    <w:pStyle w:val="30"/>
                    <w:snapToGrid/>
                    <w:contextualSpacing/>
                    <w:rPr>
                      <w:color w:val="auto"/>
                      <w:highlight w:val="none"/>
                    </w:rPr>
                  </w:pPr>
                  <w:r>
                    <w:rPr>
                      <w:rFonts w:hint="eastAsia"/>
                      <w:color w:val="auto"/>
                      <w:kern w:val="0"/>
                      <w:highlight w:val="none"/>
                      <w:lang w:bidi="ar"/>
                    </w:rPr>
                    <w:t>选用低噪声、低振动设备</w:t>
                  </w:r>
                  <w:r>
                    <w:rPr>
                      <w:color w:val="auto"/>
                      <w:kern w:val="0"/>
                      <w:highlight w:val="none"/>
                      <w:lang w:bidi="ar"/>
                    </w:rPr>
                    <w:t>，通过隔声措施降低噪声影响</w:t>
                  </w:r>
                </w:p>
              </w:tc>
              <w:tc>
                <w:tcPr>
                  <w:tcW w:w="680" w:type="pct"/>
                  <w:tcBorders>
                    <w:tl2br w:val="nil"/>
                    <w:tr2bl w:val="nil"/>
                  </w:tcBorders>
                  <w:vAlign w:val="center"/>
                </w:tcPr>
                <w:p>
                  <w:pPr>
                    <w:pStyle w:val="30"/>
                    <w:snapToGrid/>
                    <w:contextualSpacing/>
                    <w:rPr>
                      <w:color w:val="auto"/>
                      <w:kern w:val="0"/>
                      <w:highlight w:val="none"/>
                      <w:lang w:bidi="ar"/>
                    </w:rPr>
                  </w:pPr>
                  <w:r>
                    <w:rPr>
                      <w:rFonts w:hint="eastAsia"/>
                      <w:color w:val="auto"/>
                      <w:kern w:val="0"/>
                      <w:highlight w:val="none"/>
                      <w:lang w:bidi="ar"/>
                    </w:rPr>
                    <w:t>新建</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pPr>
                    <w:pStyle w:val="33"/>
                    <w:rPr>
                      <w:color w:val="auto"/>
                      <w:highlight w:val="none"/>
                    </w:rPr>
                  </w:pPr>
                </w:p>
              </w:tc>
              <w:tc>
                <w:tcPr>
                  <w:tcW w:w="402" w:type="pct"/>
                  <w:vMerge w:val="restart"/>
                  <w:tcBorders>
                    <w:tl2br w:val="nil"/>
                    <w:tr2bl w:val="nil"/>
                  </w:tcBorders>
                  <w:vAlign w:val="center"/>
                </w:tcPr>
                <w:p>
                  <w:pPr>
                    <w:pStyle w:val="30"/>
                    <w:snapToGrid/>
                    <w:contextualSpacing/>
                    <w:rPr>
                      <w:color w:val="auto"/>
                      <w:highlight w:val="none"/>
                    </w:rPr>
                  </w:pPr>
                  <w:r>
                    <w:rPr>
                      <w:color w:val="auto"/>
                      <w:highlight w:val="none"/>
                    </w:rPr>
                    <w:t>固废</w:t>
                  </w:r>
                </w:p>
                <w:p>
                  <w:pPr>
                    <w:pStyle w:val="30"/>
                    <w:snapToGrid/>
                    <w:contextualSpacing/>
                    <w:rPr>
                      <w:color w:val="auto"/>
                      <w:highlight w:val="none"/>
                    </w:rPr>
                  </w:pPr>
                  <w:r>
                    <w:rPr>
                      <w:color w:val="auto"/>
                      <w:highlight w:val="none"/>
                    </w:rPr>
                    <w:t>处理</w:t>
                  </w:r>
                </w:p>
              </w:tc>
              <w:tc>
                <w:tcPr>
                  <w:tcW w:w="3415" w:type="pct"/>
                  <w:tcBorders>
                    <w:tl2br w:val="nil"/>
                    <w:tr2bl w:val="nil"/>
                  </w:tcBorders>
                  <w:vAlign w:val="center"/>
                </w:tcPr>
                <w:p>
                  <w:pPr>
                    <w:widowControl/>
                    <w:jc w:val="center"/>
                    <w:textAlignment w:val="center"/>
                    <w:rPr>
                      <w:color w:val="auto"/>
                      <w:spacing w:val="-4"/>
                      <w:highlight w:val="none"/>
                    </w:rPr>
                  </w:pPr>
                  <w:r>
                    <w:rPr>
                      <w:rFonts w:hint="eastAsia"/>
                      <w:color w:val="auto"/>
                      <w:spacing w:val="-4"/>
                      <w:highlight w:val="none"/>
                    </w:rPr>
                    <w:t>实验室一般固废、生活垃圾配备环卫专职人员分类收集后送环卫部门处理。</w:t>
                  </w:r>
                </w:p>
              </w:tc>
              <w:tc>
                <w:tcPr>
                  <w:tcW w:w="680" w:type="pct"/>
                  <w:vMerge w:val="restar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新建</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pStyle w:val="30"/>
                    <w:snapToGrid/>
                    <w:contextualSpacing/>
                    <w:rPr>
                      <w:color w:val="auto"/>
                      <w:highlight w:val="none"/>
                    </w:rPr>
                  </w:pPr>
                </w:p>
              </w:tc>
              <w:tc>
                <w:tcPr>
                  <w:tcW w:w="3415" w:type="pct"/>
                  <w:tcBorders>
                    <w:tl2br w:val="nil"/>
                    <w:tr2bl w:val="nil"/>
                  </w:tcBorders>
                  <w:vAlign w:val="center"/>
                </w:tcPr>
                <w:p>
                  <w:pPr>
                    <w:widowControl/>
                    <w:jc w:val="center"/>
                    <w:textAlignment w:val="center"/>
                    <w:rPr>
                      <w:color w:val="auto"/>
                      <w:spacing w:val="-4"/>
                      <w:highlight w:val="none"/>
                    </w:rPr>
                  </w:pPr>
                  <w:r>
                    <w:rPr>
                      <w:rFonts w:hint="eastAsia"/>
                      <w:color w:val="auto"/>
                      <w:spacing w:val="-4"/>
                      <w:highlight w:val="none"/>
                    </w:rPr>
                    <w:t>厨余垃圾单独收集存放，由专门的企业收集运输处置。</w:t>
                  </w:r>
                </w:p>
              </w:tc>
              <w:tc>
                <w:tcPr>
                  <w:tcW w:w="680" w:type="pct"/>
                  <w:vMerge w:val="continue"/>
                  <w:tcBorders>
                    <w:tl2br w:val="nil"/>
                    <w:tr2bl w:val="nil"/>
                  </w:tcBorders>
                  <w:vAlign w:val="center"/>
                </w:tcPr>
                <w:p>
                  <w:pPr>
                    <w:widowControl/>
                    <w:jc w:val="center"/>
                    <w:textAlignment w:val="center"/>
                    <w:rPr>
                      <w:color w:val="auto"/>
                      <w:kern w:val="0"/>
                      <w:szCs w:val="21"/>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pStyle w:val="30"/>
                    <w:snapToGrid/>
                    <w:contextualSpacing/>
                    <w:rPr>
                      <w:color w:val="auto"/>
                      <w:highlight w:val="none"/>
                    </w:rPr>
                  </w:pPr>
                </w:p>
              </w:tc>
              <w:tc>
                <w:tcPr>
                  <w:tcW w:w="3415" w:type="pct"/>
                  <w:tcBorders>
                    <w:tl2br w:val="nil"/>
                    <w:tr2bl w:val="nil"/>
                  </w:tcBorders>
                  <w:vAlign w:val="center"/>
                </w:tcPr>
                <w:p>
                  <w:pPr>
                    <w:widowControl/>
                    <w:jc w:val="center"/>
                    <w:textAlignment w:val="center"/>
                    <w:rPr>
                      <w:color w:val="auto"/>
                      <w:spacing w:val="-4"/>
                      <w:highlight w:val="none"/>
                    </w:rPr>
                  </w:pPr>
                  <w:r>
                    <w:rPr>
                      <w:rFonts w:hint="eastAsia"/>
                      <w:color w:val="auto"/>
                      <w:spacing w:val="-4"/>
                      <w:highlight w:val="none"/>
                    </w:rPr>
                    <w:t>化粪池产生的污泥送环卫部门处置。</w:t>
                  </w:r>
                </w:p>
              </w:tc>
              <w:tc>
                <w:tcPr>
                  <w:tcW w:w="680" w:type="pct"/>
                  <w:vMerge w:val="continue"/>
                  <w:tcBorders>
                    <w:tl2br w:val="nil"/>
                    <w:tr2bl w:val="nil"/>
                  </w:tcBorders>
                  <w:vAlign w:val="center"/>
                </w:tcPr>
                <w:p>
                  <w:pPr>
                    <w:widowControl/>
                    <w:jc w:val="center"/>
                    <w:textAlignment w:val="center"/>
                    <w:rPr>
                      <w:color w:val="auto"/>
                      <w:kern w:val="0"/>
                      <w:szCs w:val="21"/>
                      <w:highlight w:val="none"/>
                      <w:lang w:bidi="ar"/>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2" w:type="pct"/>
                  <w:vMerge w:val="continue"/>
                  <w:tcBorders>
                    <w:tl2br w:val="nil"/>
                    <w:tr2bl w:val="nil"/>
                  </w:tcBorders>
                  <w:vAlign w:val="center"/>
                </w:tcPr>
                <w:p>
                  <w:pPr>
                    <w:pStyle w:val="33"/>
                    <w:rPr>
                      <w:color w:val="auto"/>
                      <w:highlight w:val="none"/>
                    </w:rPr>
                  </w:pPr>
                </w:p>
              </w:tc>
              <w:tc>
                <w:tcPr>
                  <w:tcW w:w="402" w:type="pct"/>
                  <w:vMerge w:val="continue"/>
                  <w:tcBorders>
                    <w:tl2br w:val="nil"/>
                    <w:tr2bl w:val="nil"/>
                  </w:tcBorders>
                  <w:vAlign w:val="center"/>
                </w:tcPr>
                <w:p>
                  <w:pPr>
                    <w:pStyle w:val="30"/>
                    <w:snapToGrid/>
                    <w:contextualSpacing/>
                    <w:rPr>
                      <w:color w:val="auto"/>
                      <w:highlight w:val="none"/>
                    </w:rPr>
                  </w:pPr>
                </w:p>
              </w:tc>
              <w:tc>
                <w:tcPr>
                  <w:tcW w:w="3415" w:type="pc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实验室产生的危险废物、废气处理产生的废活性炭</w:t>
                  </w:r>
                  <w:r>
                    <w:rPr>
                      <w:color w:val="auto"/>
                      <w:highlight w:val="none"/>
                    </w:rPr>
                    <w:t>单独收集，</w:t>
                  </w:r>
                  <w:r>
                    <w:rPr>
                      <w:rFonts w:hint="eastAsia"/>
                      <w:color w:val="auto"/>
                      <w:highlight w:val="none"/>
                    </w:rPr>
                    <w:t>于综合楼</w:t>
                  </w:r>
                  <w:r>
                    <w:rPr>
                      <w:rFonts w:hint="eastAsia"/>
                      <w:color w:val="auto"/>
                      <w:highlight w:val="none"/>
                      <w:lang w:eastAsia="zh-CN"/>
                    </w:rPr>
                    <w:t>危废间</w:t>
                  </w:r>
                  <w:r>
                    <w:rPr>
                      <w:rFonts w:hint="eastAsia"/>
                      <w:color w:val="auto"/>
                      <w:highlight w:val="none"/>
                    </w:rPr>
                    <w:t>、废液间（各占地21.5m</w:t>
                  </w:r>
                  <w:r>
                    <w:rPr>
                      <w:rFonts w:hint="eastAsia"/>
                      <w:color w:val="auto"/>
                      <w:highlight w:val="none"/>
                      <w:vertAlign w:val="superscript"/>
                    </w:rPr>
                    <w:t>2</w:t>
                  </w:r>
                  <w:r>
                    <w:rPr>
                      <w:rFonts w:hint="eastAsia"/>
                      <w:color w:val="auto"/>
                      <w:highlight w:val="none"/>
                    </w:rPr>
                    <w:t>）暂存，后定期</w:t>
                  </w:r>
                  <w:r>
                    <w:rPr>
                      <w:color w:val="auto"/>
                      <w:highlight w:val="none"/>
                    </w:rPr>
                    <w:t>委托</w:t>
                  </w:r>
                  <w:r>
                    <w:rPr>
                      <w:rFonts w:hint="eastAsia"/>
                      <w:color w:val="auto"/>
                      <w:highlight w:val="none"/>
                      <w:lang w:eastAsia="zh-CN"/>
                    </w:rPr>
                    <w:t>有资质的单位</w:t>
                  </w:r>
                  <w:r>
                    <w:rPr>
                      <w:color w:val="auto"/>
                      <w:highlight w:val="none"/>
                    </w:rPr>
                    <w:t>收集处理</w:t>
                  </w:r>
                  <w:r>
                    <w:rPr>
                      <w:rFonts w:hint="eastAsia"/>
                      <w:color w:val="auto"/>
                      <w:kern w:val="0"/>
                      <w:szCs w:val="21"/>
                      <w:highlight w:val="none"/>
                      <w:lang w:bidi="ar"/>
                    </w:rPr>
                    <w:t>。</w:t>
                  </w:r>
                </w:p>
              </w:tc>
              <w:tc>
                <w:tcPr>
                  <w:tcW w:w="680" w:type="pct"/>
                  <w:tcBorders>
                    <w:tl2br w:val="nil"/>
                    <w:tr2bl w:val="nil"/>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新建综合楼</w:t>
                  </w:r>
                  <w:r>
                    <w:rPr>
                      <w:rFonts w:hint="eastAsia"/>
                      <w:color w:val="auto"/>
                      <w:highlight w:val="none"/>
                      <w:lang w:eastAsia="zh-CN"/>
                    </w:rPr>
                    <w:t>危废间</w:t>
                  </w:r>
                  <w:r>
                    <w:rPr>
                      <w:rFonts w:hint="eastAsia"/>
                      <w:color w:val="auto"/>
                      <w:highlight w:val="none"/>
                    </w:rPr>
                    <w:t>、废液间</w:t>
                  </w:r>
                </w:p>
              </w:tc>
            </w:tr>
          </w:tbl>
          <w:p>
            <w:pPr>
              <w:adjustRightInd w:val="0"/>
              <w:snapToGrid w:val="0"/>
              <w:jc w:val="left"/>
              <w:rPr>
                <w:b/>
                <w:bCs/>
                <w:color w:val="auto"/>
                <w:kern w:val="0"/>
                <w:sz w:val="24"/>
                <w:highlight w:val="none"/>
              </w:rPr>
            </w:pPr>
          </w:p>
          <w:p>
            <w:pPr>
              <w:pStyle w:val="32"/>
              <w:rPr>
                <w:color w:val="auto"/>
                <w:highlight w:val="none"/>
              </w:rPr>
            </w:pPr>
          </w:p>
          <w:p>
            <w:pPr>
              <w:pStyle w:val="31"/>
              <w:rPr>
                <w:color w:val="auto"/>
                <w:highlight w:val="none"/>
              </w:rPr>
            </w:pPr>
            <w:r>
              <w:rPr>
                <w:rFonts w:hint="eastAsia"/>
                <w:color w:val="auto"/>
                <w:highlight w:val="none"/>
              </w:rPr>
              <w:t xml:space="preserve">2.1.3 主要生产设施及设施参数 </w:t>
            </w:r>
          </w:p>
          <w:p>
            <w:pPr>
              <w:pStyle w:val="28"/>
              <w:ind w:firstLine="480"/>
              <w:rPr>
                <w:color w:val="auto"/>
                <w:szCs w:val="28"/>
                <w:highlight w:val="none"/>
              </w:rPr>
            </w:pPr>
            <w:r>
              <w:rPr>
                <w:rFonts w:hint="eastAsia"/>
                <w:color w:val="auto"/>
                <w:szCs w:val="28"/>
                <w:highlight w:val="none"/>
              </w:rPr>
              <w:t>项目主要生产设备如下表所示。</w:t>
            </w:r>
          </w:p>
          <w:p>
            <w:pPr>
              <w:pStyle w:val="29"/>
              <w:rPr>
                <w:color w:val="auto"/>
                <w:highlight w:val="none"/>
              </w:rPr>
            </w:pPr>
            <w:r>
              <w:rPr>
                <w:rFonts w:hint="eastAsia"/>
                <w:color w:val="auto"/>
                <w:highlight w:val="none"/>
              </w:rPr>
              <w:t>表2.1.4 主要生产设备一览表</w:t>
            </w:r>
          </w:p>
          <w:tbl>
            <w:tblPr>
              <w:tblStyle w:val="19"/>
              <w:tblW w:w="8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0"/>
              <w:gridCol w:w="2895"/>
              <w:gridCol w:w="1755"/>
              <w:gridCol w:w="1020"/>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22" w:hRule="atLeast"/>
              </w:trPr>
              <w:tc>
                <w:tcPr>
                  <w:tcW w:w="520" w:type="dxa"/>
                  <w:vAlign w:val="center"/>
                </w:tcPr>
                <w:p>
                  <w:pPr>
                    <w:pStyle w:val="30"/>
                    <w:rPr>
                      <w:color w:val="auto"/>
                      <w:highlight w:val="none"/>
                    </w:rPr>
                  </w:pPr>
                  <w:bookmarkStart w:id="6" w:name="_Toc527299667"/>
                  <w:bookmarkStart w:id="7" w:name="_Toc527299561"/>
                  <w:r>
                    <w:rPr>
                      <w:rFonts w:hint="eastAsia"/>
                      <w:color w:val="auto"/>
                      <w:highlight w:val="none"/>
                    </w:rPr>
                    <w:t>序号</w:t>
                  </w:r>
                </w:p>
              </w:tc>
              <w:tc>
                <w:tcPr>
                  <w:tcW w:w="2895" w:type="dxa"/>
                  <w:tcMar>
                    <w:top w:w="15" w:type="dxa"/>
                    <w:left w:w="15" w:type="dxa"/>
                    <w:bottom w:w="0" w:type="dxa"/>
                    <w:right w:w="15" w:type="dxa"/>
                  </w:tcMar>
                  <w:vAlign w:val="center"/>
                </w:tcPr>
                <w:p>
                  <w:pPr>
                    <w:pStyle w:val="30"/>
                    <w:rPr>
                      <w:color w:val="auto"/>
                      <w:highlight w:val="none"/>
                    </w:rPr>
                  </w:pPr>
                  <w:r>
                    <w:rPr>
                      <w:rFonts w:hint="eastAsia"/>
                      <w:color w:val="auto"/>
                      <w:highlight w:val="none"/>
                    </w:rPr>
                    <w:t>设施名称</w:t>
                  </w:r>
                </w:p>
              </w:tc>
              <w:tc>
                <w:tcPr>
                  <w:tcW w:w="1755" w:type="dxa"/>
                  <w:noWrap/>
                  <w:tcMar>
                    <w:top w:w="15" w:type="dxa"/>
                    <w:left w:w="15" w:type="dxa"/>
                    <w:bottom w:w="0" w:type="dxa"/>
                    <w:right w:w="15" w:type="dxa"/>
                  </w:tcMar>
                  <w:vAlign w:val="center"/>
                </w:tcPr>
                <w:p>
                  <w:pPr>
                    <w:pStyle w:val="30"/>
                    <w:rPr>
                      <w:color w:val="auto"/>
                      <w:highlight w:val="none"/>
                    </w:rPr>
                  </w:pPr>
                  <w:r>
                    <w:rPr>
                      <w:rFonts w:hint="eastAsia"/>
                      <w:color w:val="auto"/>
                      <w:highlight w:val="none"/>
                    </w:rPr>
                    <w:t>规格编号</w:t>
                  </w:r>
                </w:p>
              </w:tc>
              <w:tc>
                <w:tcPr>
                  <w:tcW w:w="1020" w:type="dxa"/>
                  <w:noWrap/>
                  <w:tcMar>
                    <w:top w:w="15" w:type="dxa"/>
                    <w:left w:w="15" w:type="dxa"/>
                    <w:bottom w:w="0" w:type="dxa"/>
                    <w:right w:w="15" w:type="dxa"/>
                  </w:tcMar>
                  <w:vAlign w:val="center"/>
                </w:tcPr>
                <w:p>
                  <w:pPr>
                    <w:pStyle w:val="30"/>
                    <w:rPr>
                      <w:color w:val="auto"/>
                      <w:highlight w:val="none"/>
                    </w:rPr>
                  </w:pPr>
                  <w:r>
                    <w:rPr>
                      <w:rFonts w:hint="eastAsia"/>
                      <w:color w:val="auto"/>
                      <w:highlight w:val="none"/>
                    </w:rPr>
                    <w:t>数量（台）</w:t>
                  </w:r>
                </w:p>
              </w:tc>
              <w:tc>
                <w:tcPr>
                  <w:tcW w:w="1984" w:type="dxa"/>
                  <w:noWrap/>
                  <w:tcMar>
                    <w:top w:w="15" w:type="dxa"/>
                    <w:left w:w="15" w:type="dxa"/>
                    <w:bottom w:w="0" w:type="dxa"/>
                    <w:right w:w="15" w:type="dxa"/>
                  </w:tcMar>
                  <w:vAlign w:val="center"/>
                </w:tcPr>
                <w:p>
                  <w:pPr>
                    <w:pStyle w:val="30"/>
                    <w:rPr>
                      <w:color w:val="auto"/>
                      <w:highlight w:val="none"/>
                    </w:rPr>
                  </w:pPr>
                  <w:r>
                    <w:rPr>
                      <w:rFonts w:hint="eastAsia"/>
                      <w:color w:val="auto"/>
                      <w:highlight w:val="none"/>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气相顶空进样器</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G1888</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气化样品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vAlign w:val="center"/>
                </w:tcPr>
                <w:p>
                  <w:pPr>
                    <w:adjustRightInd w:val="0"/>
                    <w:snapToGrid w:val="0"/>
                    <w:jc w:val="center"/>
                    <w:rPr>
                      <w:bCs/>
                      <w:color w:val="auto"/>
                      <w:szCs w:val="21"/>
                      <w:highlight w:val="none"/>
                    </w:rPr>
                  </w:pPr>
                  <w:r>
                    <w:rPr>
                      <w:rFonts w:hint="eastAsia"/>
                      <w:bCs/>
                      <w:color w:val="auto"/>
                      <w:szCs w:val="21"/>
                      <w:highlight w:val="none"/>
                    </w:rPr>
                    <w:t>2</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正置万能显微镜</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BX51</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显微观察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3</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高效液相色谱-串联四级杆质谱联用仪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1200 HPLC/6410 TripleQuad MS</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鉴定蛋白质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vAlign w:val="center"/>
                </w:tcPr>
                <w:p>
                  <w:pPr>
                    <w:adjustRightInd w:val="0"/>
                    <w:snapToGrid w:val="0"/>
                    <w:jc w:val="center"/>
                    <w:rPr>
                      <w:bCs/>
                      <w:color w:val="auto"/>
                      <w:szCs w:val="21"/>
                      <w:highlight w:val="none"/>
                    </w:rPr>
                  </w:pPr>
                  <w:r>
                    <w:rPr>
                      <w:rFonts w:hint="eastAsia"/>
                      <w:bCs/>
                      <w:color w:val="auto"/>
                      <w:szCs w:val="21"/>
                      <w:highlight w:val="none"/>
                    </w:rPr>
                    <w:t>4</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冷冻干燥机</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LYO-5.0M2</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干燥产品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5</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微丸机系统</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HJ-400-P</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样品制备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6</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恒温干燥箱</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ZFD-5600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物品烘干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7</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高速冷冻离心机</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AVANTI J-26XP</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离心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8</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微量台式离心机</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Microfuge 16</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2</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离心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9</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台式冷冻离心机</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Allegra X-22R</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离心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10</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分光光度计</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UltroSpec 2100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离心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11</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自动高压灭菌锅</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GI54DW</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灭菌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12</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凝胶成像系统</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GelDoc-IT TS</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DNA检测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13</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倒置荧光显微镜</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05HRD5001</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细胞研究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14</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液相色谱仪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EXPLORER 100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化合物分离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15</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荧光显微镜</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BX51</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显微观察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16</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冷冻切片机</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HM-550OP</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组织切片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17</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荧光定量PCR扩增仪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7300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基因分析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18</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低压层析系统</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生物大分子分离和制备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19</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离体组织灌流系统</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PowerLab 30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离体组织实验数据采集和分析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20</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多功能酶标仪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SynergyTM HT</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DNA测试及定量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21</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超低温冰箱</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MDF-U53</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22</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手持型糖度计</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WYT-32</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测糖量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23</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磁力搅拌器</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M-41</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搅拌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24</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电热鼓风干燥烘箱</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BH-210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干燥产品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25</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真空泵</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SHZ-D</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26</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FTIR红外光谱仪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NICOLET 5700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研究高分子结构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27</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色谱质谱联用仪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MS5971</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2</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测定样品结构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28</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扫描电子显微镜</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JSM-7500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性能表征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29</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示差扫描热分析仪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METTLER DSC822</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表征结构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30</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热重分析仪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SDTA851</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表征结构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31</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超声波</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CQ-500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超声搅拌加热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32</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反应釜</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20L、30L、50L</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3</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化学反应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33</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干辊式磁选机</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磁选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34</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浮选机</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XFb</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浮选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35</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压滤机</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压滤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36</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炭黑比表面积测定仪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TBY-10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测定比表面积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37</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X射线荧光光谱仪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PW2424F MagiX</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半定量分析化学元素组成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38</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粉末衍射仪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Philips X</w:t>
                  </w:r>
                  <w:r>
                    <w:rPr>
                      <w:bCs/>
                      <w:color w:val="auto"/>
                      <w:szCs w:val="21"/>
                      <w:highlight w:val="none"/>
                    </w:rPr>
                    <w:t>’</w:t>
                  </w:r>
                  <w:r>
                    <w:rPr>
                      <w:rFonts w:hint="eastAsia"/>
                      <w:bCs/>
                      <w:color w:val="auto"/>
                      <w:szCs w:val="21"/>
                      <w:highlight w:val="none"/>
                    </w:rPr>
                    <w:t>Pert MPD</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晶相分析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39</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电感耦合等离子发生光谱仪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Optima 4300DV</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元素定量分析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40</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真空多功能磁控溅射仪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JPG560B</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制膜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41</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稳态荧光光谱系统</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FL3-22</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光谱分析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42</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傅里叶变换红外光谱仪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FTIR650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样品定性定量分析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43</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前驱体制备反应容器</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反应器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44</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透射电子显微镜</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H-800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元素分析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45</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X射线粉末衍射仪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D/max-γ B</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微区结构表征分析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46</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电热恒温干燥箱</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PHG-9023A</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2</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干燥产品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47</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微波高温炉</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NJL2-1</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48</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高速捏合机</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BNHZ</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混合均匀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49</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蒸汽压力锅</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PCT</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50</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破碎机</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JYSC-0306</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原料粉碎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51</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塑料成型注射机</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JN55E</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制备材料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52</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单螺杆挤出机</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MT</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制备材料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53</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双螺杆挤出机</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ZC-20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制备材料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54</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片材成型机</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GS-MACH</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制备材料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55</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开炼机</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SK-160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原料混合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56</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万能材料试验机</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LR5KPlus</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力学测试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57</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微波化学合成仪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BIOTAGE</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化学合成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58</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差示扫描量热仪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DSC822e</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性能测试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59</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偏振光显微镜</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PLA</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性能测试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60</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紫外-可见分光光度计</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UV-408</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性能测试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61</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热天平/差示热分析仪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DSC-TC</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热值分析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62</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超声波振荡仪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KQ2200E</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加速振荡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63</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凝胶渗透色谱仪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SFD</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2</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测定分子量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64</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热裂解仪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CDS5150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热样品制备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65</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浓缩仪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CDS8000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浓缩空气中的有机样品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66</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示差折光仪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OPTILAB rEX</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性能分析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67</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动态激光光散射仪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Dynapro Nanostar</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性能测试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68</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表面张力仪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JYW-200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性能测试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69</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万能材料试验仪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WEW-300C</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材料试验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70</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热机械分析仪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ZWR-500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性能测试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71</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PLD脉冲激光沉积系统</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COMPexPro201准分子激光器、沉积系统</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光电试验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72</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冷场发射扫描电子显微镜</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SU8010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光电试验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73</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超高真空多功能磁控溅射仪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JPG560B Ⅱ</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光电试验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74</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振动样品磁强计</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VSM</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光电试验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75</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超高频磁导计</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Ryowa PMF-3000</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光电试验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76</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场发射电子微探分析仪器</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JXA-8500F</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光电试验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77</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喷雾干燥机</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光电试验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78</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真空管式高温电炉</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GSL-1600X</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光电试验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79</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磁力显微镜</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FlexAFM</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光电试验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80</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扫描电子/隧道显微镜</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SU8010、CSPM 4000S</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2</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光电试验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81</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振动样品磁强计</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南京大学</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光电试验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82</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电子顺磁共振波谱仪</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复旦大学</w:t>
                  </w: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1</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光电试验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83</w:t>
                  </w:r>
                </w:p>
              </w:tc>
              <w:tc>
                <w:tcPr>
                  <w:tcW w:w="2895" w:type="dxa"/>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球差电镜</w:t>
                  </w:r>
                </w:p>
              </w:tc>
              <w:tc>
                <w:tcPr>
                  <w:tcW w:w="1755" w:type="dxa"/>
                  <w:noWrap/>
                  <w:tcMar>
                    <w:top w:w="15" w:type="dxa"/>
                    <w:left w:w="15" w:type="dxa"/>
                    <w:bottom w:w="0" w:type="dxa"/>
                    <w:right w:w="15" w:type="dxa"/>
                  </w:tcMar>
                  <w:vAlign w:val="center"/>
                </w:tcPr>
                <w:p>
                  <w:pPr>
                    <w:adjustRightInd w:val="0"/>
                    <w:snapToGrid w:val="0"/>
                    <w:jc w:val="center"/>
                    <w:rPr>
                      <w:bCs/>
                      <w:color w:val="auto"/>
                      <w:szCs w:val="21"/>
                      <w:highlight w:val="none"/>
                    </w:rPr>
                  </w:pPr>
                </w:p>
              </w:tc>
              <w:tc>
                <w:tcPr>
                  <w:tcW w:w="1020"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5</w:t>
                  </w:r>
                </w:p>
              </w:tc>
              <w:tc>
                <w:tcPr>
                  <w:tcW w:w="1984" w:type="dxa"/>
                  <w:noWrap/>
                  <w:tcMar>
                    <w:top w:w="15" w:type="dxa"/>
                    <w:left w:w="15" w:type="dxa"/>
                    <w:bottom w:w="0" w:type="dxa"/>
                    <w:right w:w="15" w:type="dxa"/>
                  </w:tcMar>
                  <w:vAlign w:val="center"/>
                </w:tcPr>
                <w:p>
                  <w:pPr>
                    <w:adjustRightInd w:val="0"/>
                    <w:snapToGrid w:val="0"/>
                    <w:jc w:val="center"/>
                    <w:rPr>
                      <w:bCs/>
                      <w:color w:val="auto"/>
                      <w:szCs w:val="21"/>
                      <w:highlight w:val="none"/>
                    </w:rPr>
                  </w:pPr>
                  <w:r>
                    <w:rPr>
                      <w:rFonts w:hint="eastAsia"/>
                      <w:bCs/>
                      <w:color w:val="auto"/>
                      <w:szCs w:val="21"/>
                      <w:highlight w:val="none"/>
                    </w:rPr>
                    <w:t>材料分析</w:t>
                  </w:r>
                </w:p>
              </w:tc>
            </w:tr>
            <w:bookmarkEnd w:id="6"/>
            <w:bookmarkEnd w:id="7"/>
          </w:tbl>
          <w:p>
            <w:pPr>
              <w:pStyle w:val="31"/>
              <w:rPr>
                <w:color w:val="auto"/>
                <w:highlight w:val="none"/>
              </w:rPr>
            </w:pPr>
          </w:p>
          <w:p>
            <w:pPr>
              <w:pStyle w:val="31"/>
              <w:rPr>
                <w:rFonts w:hint="eastAsia"/>
                <w:color w:val="auto"/>
                <w:highlight w:val="none"/>
              </w:rPr>
            </w:pPr>
            <w:r>
              <w:rPr>
                <w:rFonts w:hint="eastAsia"/>
                <w:color w:val="auto"/>
                <w:highlight w:val="none"/>
              </w:rPr>
              <w:t>2.1.4 主要药物及耗材消耗</w:t>
            </w:r>
          </w:p>
          <w:p>
            <w:pPr>
              <w:pStyle w:val="31"/>
              <w:rPr>
                <w:rFonts w:hint="eastAsia"/>
                <w:color w:val="auto"/>
                <w:highlight w:val="none"/>
              </w:rPr>
            </w:pPr>
          </w:p>
          <w:p>
            <w:pPr>
              <w:pStyle w:val="29"/>
              <w:rPr>
                <w:color w:val="auto"/>
                <w:highlight w:val="none"/>
              </w:rPr>
            </w:pPr>
            <w:r>
              <w:rPr>
                <w:rFonts w:hint="eastAsia"/>
                <w:color w:val="auto"/>
                <w:highlight w:val="none"/>
              </w:rPr>
              <w:t>表2.1.5 项目主要药物及耗材消耗一览表</w:t>
            </w:r>
          </w:p>
          <w:tbl>
            <w:tblPr>
              <w:tblStyle w:val="20"/>
              <w:tblW w:w="8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2052"/>
              <w:gridCol w:w="2326"/>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名称</w:t>
                  </w:r>
                </w:p>
              </w:tc>
              <w:tc>
                <w:tcPr>
                  <w:tcW w:w="2052" w:type="dxa"/>
                  <w:vAlign w:val="center"/>
                </w:tcPr>
                <w:p>
                  <w:pPr>
                    <w:pStyle w:val="30"/>
                    <w:rPr>
                      <w:color w:val="auto"/>
                      <w:highlight w:val="none"/>
                    </w:rPr>
                  </w:pPr>
                  <w:r>
                    <w:rPr>
                      <w:rFonts w:hint="eastAsia"/>
                      <w:color w:val="auto"/>
                      <w:highlight w:val="none"/>
                    </w:rPr>
                    <w:t>年用量</w:t>
                  </w:r>
                </w:p>
              </w:tc>
              <w:tc>
                <w:tcPr>
                  <w:tcW w:w="2326" w:type="dxa"/>
                  <w:vAlign w:val="center"/>
                </w:tcPr>
                <w:p>
                  <w:pPr>
                    <w:pStyle w:val="30"/>
                    <w:rPr>
                      <w:color w:val="auto"/>
                      <w:highlight w:val="none"/>
                    </w:rPr>
                  </w:pPr>
                  <w:r>
                    <w:rPr>
                      <w:rFonts w:hint="eastAsia"/>
                      <w:color w:val="auto"/>
                      <w:highlight w:val="none"/>
                    </w:rPr>
                    <w:t>名称</w:t>
                  </w:r>
                </w:p>
              </w:tc>
              <w:tc>
                <w:tcPr>
                  <w:tcW w:w="1779" w:type="dxa"/>
                  <w:vAlign w:val="center"/>
                </w:tcPr>
                <w:p>
                  <w:pPr>
                    <w:pStyle w:val="30"/>
                    <w:rPr>
                      <w:color w:val="auto"/>
                      <w:highlight w:val="none"/>
                    </w:rPr>
                  </w:pPr>
                  <w:r>
                    <w:rPr>
                      <w:rFonts w:hint="eastAsia"/>
                      <w:color w:val="auto"/>
                      <w:highlight w:val="none"/>
                    </w:rPr>
                    <w:t>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青霉素</w:t>
                  </w:r>
                </w:p>
              </w:tc>
              <w:tc>
                <w:tcPr>
                  <w:tcW w:w="2052" w:type="dxa"/>
                  <w:vAlign w:val="center"/>
                </w:tcPr>
                <w:p>
                  <w:pPr>
                    <w:pStyle w:val="30"/>
                    <w:rPr>
                      <w:color w:val="auto"/>
                      <w:highlight w:val="none"/>
                    </w:rPr>
                  </w:pPr>
                  <w:r>
                    <w:rPr>
                      <w:rFonts w:hint="eastAsia"/>
                      <w:color w:val="auto"/>
                      <w:highlight w:val="none"/>
                    </w:rPr>
                    <w:t>3g/a</w:t>
                  </w:r>
                </w:p>
              </w:tc>
              <w:tc>
                <w:tcPr>
                  <w:tcW w:w="2326" w:type="dxa"/>
                  <w:vAlign w:val="center"/>
                </w:tcPr>
                <w:p>
                  <w:pPr>
                    <w:pStyle w:val="30"/>
                    <w:rPr>
                      <w:color w:val="auto"/>
                      <w:highlight w:val="none"/>
                    </w:rPr>
                  </w:pPr>
                  <w:r>
                    <w:rPr>
                      <w:rFonts w:hint="eastAsia"/>
                      <w:color w:val="auto"/>
                      <w:highlight w:val="none"/>
                    </w:rPr>
                    <w:t>链霉素</w:t>
                  </w:r>
                </w:p>
              </w:tc>
              <w:tc>
                <w:tcPr>
                  <w:tcW w:w="1779" w:type="dxa"/>
                  <w:vAlign w:val="center"/>
                </w:tcPr>
                <w:p>
                  <w:pPr>
                    <w:pStyle w:val="30"/>
                    <w:rPr>
                      <w:color w:val="auto"/>
                      <w:highlight w:val="none"/>
                    </w:rPr>
                  </w:pPr>
                  <w:r>
                    <w:rPr>
                      <w:rFonts w:hint="eastAsia"/>
                      <w:color w:val="auto"/>
                      <w:highlight w:val="none"/>
                    </w:rPr>
                    <w:t>6g/a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EDTA</w:t>
                  </w:r>
                </w:p>
              </w:tc>
              <w:tc>
                <w:tcPr>
                  <w:tcW w:w="2052" w:type="dxa"/>
                  <w:vAlign w:val="center"/>
                </w:tcPr>
                <w:p>
                  <w:pPr>
                    <w:pStyle w:val="30"/>
                    <w:rPr>
                      <w:color w:val="auto"/>
                      <w:highlight w:val="none"/>
                    </w:rPr>
                  </w:pPr>
                  <w:r>
                    <w:rPr>
                      <w:rFonts w:hint="eastAsia"/>
                      <w:color w:val="auto"/>
                      <w:highlight w:val="none"/>
                    </w:rPr>
                    <w:t>0.6kg/a</w:t>
                  </w:r>
                </w:p>
              </w:tc>
              <w:tc>
                <w:tcPr>
                  <w:tcW w:w="2326" w:type="dxa"/>
                  <w:vAlign w:val="center"/>
                </w:tcPr>
                <w:p>
                  <w:pPr>
                    <w:pStyle w:val="30"/>
                    <w:rPr>
                      <w:color w:val="auto"/>
                      <w:highlight w:val="none"/>
                    </w:rPr>
                  </w:pPr>
                  <w:r>
                    <w:rPr>
                      <w:rFonts w:hint="eastAsia"/>
                      <w:color w:val="auto"/>
                      <w:highlight w:val="none"/>
                    </w:rPr>
                    <w:t>硫酸铝</w:t>
                  </w:r>
                </w:p>
              </w:tc>
              <w:tc>
                <w:tcPr>
                  <w:tcW w:w="1779" w:type="dxa"/>
                  <w:vAlign w:val="center"/>
                </w:tcPr>
                <w:p>
                  <w:pPr>
                    <w:pStyle w:val="30"/>
                    <w:rPr>
                      <w:color w:val="auto"/>
                      <w:highlight w:val="none"/>
                    </w:rPr>
                  </w:pPr>
                  <w:r>
                    <w:rPr>
                      <w:rFonts w:hint="eastAsia"/>
                      <w:color w:val="auto"/>
                      <w:highlight w:val="none"/>
                    </w:rPr>
                    <w:t>150g/a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二乙醇胺</w:t>
                  </w:r>
                </w:p>
              </w:tc>
              <w:tc>
                <w:tcPr>
                  <w:tcW w:w="2052" w:type="dxa"/>
                  <w:vAlign w:val="center"/>
                </w:tcPr>
                <w:p>
                  <w:pPr>
                    <w:pStyle w:val="30"/>
                    <w:rPr>
                      <w:color w:val="auto"/>
                      <w:highlight w:val="none"/>
                    </w:rPr>
                  </w:pPr>
                  <w:r>
                    <w:rPr>
                      <w:rFonts w:hint="eastAsia"/>
                      <w:color w:val="auto"/>
                      <w:highlight w:val="none"/>
                    </w:rPr>
                    <w:t>1.5L/a</w:t>
                  </w:r>
                </w:p>
              </w:tc>
              <w:tc>
                <w:tcPr>
                  <w:tcW w:w="2326" w:type="dxa"/>
                  <w:vAlign w:val="center"/>
                </w:tcPr>
                <w:p>
                  <w:pPr>
                    <w:pStyle w:val="30"/>
                    <w:rPr>
                      <w:color w:val="auto"/>
                      <w:highlight w:val="none"/>
                    </w:rPr>
                  </w:pPr>
                  <w:r>
                    <w:rPr>
                      <w:rFonts w:hint="eastAsia"/>
                      <w:color w:val="auto"/>
                      <w:highlight w:val="none"/>
                    </w:rPr>
                    <w:t>氯化镁</w:t>
                  </w:r>
                </w:p>
              </w:tc>
              <w:tc>
                <w:tcPr>
                  <w:tcW w:w="1779" w:type="dxa"/>
                  <w:vAlign w:val="center"/>
                </w:tcPr>
                <w:p>
                  <w:pPr>
                    <w:pStyle w:val="30"/>
                    <w:rPr>
                      <w:color w:val="auto"/>
                      <w:highlight w:val="none"/>
                    </w:rPr>
                  </w:pPr>
                  <w:r>
                    <w:rPr>
                      <w:rFonts w:hint="eastAsia"/>
                      <w:color w:val="auto"/>
                      <w:highlight w:val="none"/>
                    </w:rPr>
                    <w:t>300g/a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碘酸钠</w:t>
                  </w:r>
                </w:p>
              </w:tc>
              <w:tc>
                <w:tcPr>
                  <w:tcW w:w="2052" w:type="dxa"/>
                  <w:vAlign w:val="center"/>
                </w:tcPr>
                <w:p>
                  <w:pPr>
                    <w:pStyle w:val="30"/>
                    <w:rPr>
                      <w:color w:val="auto"/>
                      <w:highlight w:val="none"/>
                    </w:rPr>
                  </w:pPr>
                  <w:r>
                    <w:rPr>
                      <w:rFonts w:hint="eastAsia"/>
                      <w:color w:val="auto"/>
                      <w:highlight w:val="none"/>
                    </w:rPr>
                    <w:t>30g/a</w:t>
                  </w:r>
                </w:p>
              </w:tc>
              <w:tc>
                <w:tcPr>
                  <w:tcW w:w="2326" w:type="dxa"/>
                  <w:vAlign w:val="center"/>
                </w:tcPr>
                <w:p>
                  <w:pPr>
                    <w:pStyle w:val="30"/>
                    <w:rPr>
                      <w:color w:val="auto"/>
                      <w:highlight w:val="none"/>
                    </w:rPr>
                  </w:pPr>
                  <w:r>
                    <w:rPr>
                      <w:rFonts w:hint="eastAsia"/>
                      <w:color w:val="auto"/>
                      <w:highlight w:val="none"/>
                    </w:rPr>
                    <w:t>丙酮</w:t>
                  </w:r>
                </w:p>
              </w:tc>
              <w:tc>
                <w:tcPr>
                  <w:tcW w:w="1779" w:type="dxa"/>
                  <w:vAlign w:val="center"/>
                </w:tcPr>
                <w:p>
                  <w:pPr>
                    <w:pStyle w:val="30"/>
                    <w:rPr>
                      <w:color w:val="auto"/>
                      <w:highlight w:val="none"/>
                    </w:rPr>
                  </w:pPr>
                  <w:r>
                    <w:rPr>
                      <w:rFonts w:hint="eastAsia"/>
                      <w:color w:val="auto"/>
                      <w:highlight w:val="none"/>
                    </w:rPr>
                    <w:t>2L/a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邻二甲苯</w:t>
                  </w:r>
                </w:p>
              </w:tc>
              <w:tc>
                <w:tcPr>
                  <w:tcW w:w="2052" w:type="dxa"/>
                  <w:vAlign w:val="center"/>
                </w:tcPr>
                <w:p>
                  <w:pPr>
                    <w:pStyle w:val="30"/>
                    <w:rPr>
                      <w:color w:val="auto"/>
                      <w:highlight w:val="none"/>
                    </w:rPr>
                  </w:pPr>
                  <w:r>
                    <w:rPr>
                      <w:rFonts w:hint="eastAsia"/>
                      <w:color w:val="auto"/>
                      <w:highlight w:val="none"/>
                    </w:rPr>
                    <w:t>3L/a</w:t>
                  </w:r>
                </w:p>
              </w:tc>
              <w:tc>
                <w:tcPr>
                  <w:tcW w:w="2326" w:type="dxa"/>
                  <w:vAlign w:val="center"/>
                </w:tcPr>
                <w:p>
                  <w:pPr>
                    <w:pStyle w:val="30"/>
                    <w:rPr>
                      <w:color w:val="auto"/>
                      <w:highlight w:val="none"/>
                    </w:rPr>
                  </w:pPr>
                  <w:r>
                    <w:rPr>
                      <w:rFonts w:hint="eastAsia"/>
                      <w:color w:val="auto"/>
                      <w:highlight w:val="none"/>
                    </w:rPr>
                    <w:t>多聚甲醇</w:t>
                  </w:r>
                </w:p>
              </w:tc>
              <w:tc>
                <w:tcPr>
                  <w:tcW w:w="1779" w:type="dxa"/>
                  <w:vAlign w:val="center"/>
                </w:tcPr>
                <w:p>
                  <w:pPr>
                    <w:pStyle w:val="30"/>
                    <w:rPr>
                      <w:color w:val="auto"/>
                      <w:highlight w:val="none"/>
                    </w:rPr>
                  </w:pPr>
                  <w:r>
                    <w:rPr>
                      <w:rFonts w:hint="eastAsia"/>
                      <w:color w:val="auto"/>
                      <w:highlight w:val="none"/>
                    </w:rPr>
                    <w:t>150g/a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苯</w:t>
                  </w:r>
                </w:p>
              </w:tc>
              <w:tc>
                <w:tcPr>
                  <w:tcW w:w="2052" w:type="dxa"/>
                  <w:vAlign w:val="center"/>
                </w:tcPr>
                <w:p>
                  <w:pPr>
                    <w:pStyle w:val="30"/>
                    <w:rPr>
                      <w:color w:val="auto"/>
                      <w:highlight w:val="none"/>
                    </w:rPr>
                  </w:pPr>
                  <w:r>
                    <w:rPr>
                      <w:rFonts w:hint="eastAsia"/>
                      <w:color w:val="auto"/>
                      <w:highlight w:val="none"/>
                    </w:rPr>
                    <w:t>2L/a</w:t>
                  </w:r>
                </w:p>
              </w:tc>
              <w:tc>
                <w:tcPr>
                  <w:tcW w:w="2326" w:type="dxa"/>
                  <w:vAlign w:val="center"/>
                </w:tcPr>
                <w:p>
                  <w:pPr>
                    <w:pStyle w:val="30"/>
                    <w:rPr>
                      <w:color w:val="auto"/>
                      <w:highlight w:val="none"/>
                    </w:rPr>
                  </w:pPr>
                  <w:r>
                    <w:rPr>
                      <w:rFonts w:hint="eastAsia"/>
                      <w:color w:val="auto"/>
                      <w:highlight w:val="none"/>
                    </w:rPr>
                    <w:t>三乙醇胺</w:t>
                  </w:r>
                </w:p>
              </w:tc>
              <w:tc>
                <w:tcPr>
                  <w:tcW w:w="1779" w:type="dxa"/>
                  <w:vAlign w:val="center"/>
                </w:tcPr>
                <w:p>
                  <w:pPr>
                    <w:pStyle w:val="30"/>
                    <w:rPr>
                      <w:color w:val="auto"/>
                      <w:highlight w:val="none"/>
                    </w:rPr>
                  </w:pPr>
                  <w:r>
                    <w:rPr>
                      <w:rFonts w:hint="eastAsia"/>
                      <w:color w:val="auto"/>
                      <w:highlight w:val="none"/>
                    </w:rPr>
                    <w:t>150mL/a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甲醇</w:t>
                  </w:r>
                </w:p>
              </w:tc>
              <w:tc>
                <w:tcPr>
                  <w:tcW w:w="2052" w:type="dxa"/>
                  <w:vAlign w:val="center"/>
                </w:tcPr>
                <w:p>
                  <w:pPr>
                    <w:pStyle w:val="30"/>
                    <w:rPr>
                      <w:color w:val="auto"/>
                      <w:highlight w:val="none"/>
                    </w:rPr>
                  </w:pPr>
                  <w:r>
                    <w:rPr>
                      <w:rFonts w:hint="eastAsia"/>
                      <w:color w:val="auto"/>
                      <w:highlight w:val="none"/>
                    </w:rPr>
                    <w:t>8L/a</w:t>
                  </w:r>
                </w:p>
              </w:tc>
              <w:tc>
                <w:tcPr>
                  <w:tcW w:w="2326" w:type="dxa"/>
                  <w:vAlign w:val="center"/>
                </w:tcPr>
                <w:p>
                  <w:pPr>
                    <w:pStyle w:val="30"/>
                    <w:rPr>
                      <w:color w:val="auto"/>
                      <w:highlight w:val="none"/>
                    </w:rPr>
                  </w:pPr>
                  <w:r>
                    <w:rPr>
                      <w:rFonts w:hint="eastAsia"/>
                      <w:color w:val="auto"/>
                      <w:highlight w:val="none"/>
                    </w:rPr>
                    <w:t>氯化钾</w:t>
                  </w:r>
                </w:p>
              </w:tc>
              <w:tc>
                <w:tcPr>
                  <w:tcW w:w="1779" w:type="dxa"/>
                  <w:vAlign w:val="center"/>
                </w:tcPr>
                <w:p>
                  <w:pPr>
                    <w:pStyle w:val="30"/>
                    <w:rPr>
                      <w:color w:val="auto"/>
                      <w:highlight w:val="none"/>
                    </w:rPr>
                  </w:pPr>
                  <w:r>
                    <w:rPr>
                      <w:rFonts w:hint="eastAsia"/>
                      <w:color w:val="auto"/>
                      <w:highlight w:val="none"/>
                    </w:rPr>
                    <w:t>1.5kg/a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2052" w:type="dxa"/>
                  <w:vAlign w:val="center"/>
                </w:tcPr>
                <w:p>
                  <w:pPr>
                    <w:pStyle w:val="30"/>
                    <w:rPr>
                      <w:color w:val="auto"/>
                      <w:highlight w:val="none"/>
                    </w:rPr>
                  </w:pPr>
                  <w:r>
                    <w:rPr>
                      <w:rFonts w:hint="eastAsia"/>
                      <w:color w:val="auto"/>
                      <w:highlight w:val="none"/>
                    </w:rPr>
                    <w:t>甘氨酸</w:t>
                  </w:r>
                </w:p>
              </w:tc>
              <w:tc>
                <w:tcPr>
                  <w:tcW w:w="2052" w:type="dxa"/>
                  <w:vAlign w:val="center"/>
                </w:tcPr>
                <w:p>
                  <w:pPr>
                    <w:pStyle w:val="30"/>
                    <w:rPr>
                      <w:color w:val="auto"/>
                      <w:highlight w:val="none"/>
                    </w:rPr>
                  </w:pPr>
                  <w:r>
                    <w:rPr>
                      <w:rFonts w:hint="eastAsia"/>
                      <w:color w:val="auto"/>
                      <w:highlight w:val="none"/>
                    </w:rPr>
                    <w:t>15g/a</w:t>
                  </w:r>
                </w:p>
              </w:tc>
              <w:tc>
                <w:tcPr>
                  <w:tcW w:w="2326" w:type="dxa"/>
                  <w:vAlign w:val="center"/>
                </w:tcPr>
                <w:p>
                  <w:pPr>
                    <w:pStyle w:val="30"/>
                    <w:rPr>
                      <w:color w:val="auto"/>
                      <w:highlight w:val="none"/>
                    </w:rPr>
                  </w:pPr>
                  <w:r>
                    <w:rPr>
                      <w:rFonts w:hint="eastAsia"/>
                      <w:color w:val="auto"/>
                      <w:highlight w:val="none"/>
                    </w:rPr>
                    <w:t>氯化钠</w:t>
                  </w:r>
                </w:p>
              </w:tc>
              <w:tc>
                <w:tcPr>
                  <w:tcW w:w="1779" w:type="dxa"/>
                  <w:vAlign w:val="center"/>
                </w:tcPr>
                <w:p>
                  <w:pPr>
                    <w:pStyle w:val="30"/>
                    <w:rPr>
                      <w:color w:val="auto"/>
                      <w:highlight w:val="none"/>
                    </w:rPr>
                  </w:pPr>
                  <w:r>
                    <w:rPr>
                      <w:rFonts w:hint="eastAsia"/>
                      <w:color w:val="auto"/>
                      <w:highlight w:val="none"/>
                    </w:rPr>
                    <w:t>1.5kg/a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氢氧化钠</w:t>
                  </w:r>
                </w:p>
              </w:tc>
              <w:tc>
                <w:tcPr>
                  <w:tcW w:w="2052" w:type="dxa"/>
                  <w:vAlign w:val="center"/>
                </w:tcPr>
                <w:p>
                  <w:pPr>
                    <w:pStyle w:val="30"/>
                    <w:rPr>
                      <w:color w:val="auto"/>
                      <w:highlight w:val="none"/>
                    </w:rPr>
                  </w:pPr>
                  <w:r>
                    <w:rPr>
                      <w:rFonts w:hint="eastAsia"/>
                      <w:color w:val="auto"/>
                      <w:highlight w:val="none"/>
                    </w:rPr>
                    <w:t>2kg/a</w:t>
                  </w:r>
                </w:p>
              </w:tc>
              <w:tc>
                <w:tcPr>
                  <w:tcW w:w="2326" w:type="dxa"/>
                  <w:vAlign w:val="center"/>
                </w:tcPr>
                <w:p>
                  <w:pPr>
                    <w:pStyle w:val="30"/>
                    <w:rPr>
                      <w:color w:val="auto"/>
                      <w:highlight w:val="none"/>
                    </w:rPr>
                  </w:pPr>
                  <w:r>
                    <w:rPr>
                      <w:rFonts w:hint="eastAsia"/>
                      <w:color w:val="auto"/>
                      <w:highlight w:val="none"/>
                    </w:rPr>
                    <w:t>磷酸二氢钾</w:t>
                  </w:r>
                </w:p>
              </w:tc>
              <w:tc>
                <w:tcPr>
                  <w:tcW w:w="1779" w:type="dxa"/>
                  <w:vAlign w:val="center"/>
                </w:tcPr>
                <w:p>
                  <w:pPr>
                    <w:pStyle w:val="30"/>
                    <w:rPr>
                      <w:color w:val="auto"/>
                      <w:highlight w:val="none"/>
                    </w:rPr>
                  </w:pPr>
                  <w:r>
                    <w:rPr>
                      <w:rFonts w:hint="eastAsia"/>
                      <w:color w:val="auto"/>
                      <w:highlight w:val="none"/>
                    </w:rPr>
                    <w:t>300g/a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乙二醇</w:t>
                  </w:r>
                </w:p>
              </w:tc>
              <w:tc>
                <w:tcPr>
                  <w:tcW w:w="2052" w:type="dxa"/>
                  <w:vAlign w:val="center"/>
                </w:tcPr>
                <w:p>
                  <w:pPr>
                    <w:pStyle w:val="30"/>
                    <w:rPr>
                      <w:color w:val="auto"/>
                      <w:highlight w:val="none"/>
                    </w:rPr>
                  </w:pPr>
                  <w:r>
                    <w:rPr>
                      <w:rFonts w:hint="eastAsia"/>
                      <w:color w:val="auto"/>
                      <w:highlight w:val="none"/>
                    </w:rPr>
                    <w:t>1.5L/a</w:t>
                  </w:r>
                </w:p>
              </w:tc>
              <w:tc>
                <w:tcPr>
                  <w:tcW w:w="2326" w:type="dxa"/>
                  <w:vAlign w:val="center"/>
                </w:tcPr>
                <w:p>
                  <w:pPr>
                    <w:pStyle w:val="30"/>
                    <w:rPr>
                      <w:color w:val="auto"/>
                      <w:highlight w:val="none"/>
                    </w:rPr>
                  </w:pPr>
                  <w:r>
                    <w:rPr>
                      <w:rFonts w:hint="eastAsia"/>
                      <w:color w:val="auto"/>
                      <w:highlight w:val="none"/>
                    </w:rPr>
                    <w:t>磷酸二氢钠</w:t>
                  </w:r>
                </w:p>
              </w:tc>
              <w:tc>
                <w:tcPr>
                  <w:tcW w:w="1779" w:type="dxa"/>
                  <w:vAlign w:val="center"/>
                </w:tcPr>
                <w:p>
                  <w:pPr>
                    <w:pStyle w:val="30"/>
                    <w:rPr>
                      <w:color w:val="auto"/>
                      <w:highlight w:val="none"/>
                    </w:rPr>
                  </w:pPr>
                  <w:r>
                    <w:rPr>
                      <w:rFonts w:hint="eastAsia"/>
                      <w:color w:val="auto"/>
                      <w:highlight w:val="none"/>
                    </w:rPr>
                    <w:t>300g/a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盐酸</w:t>
                  </w:r>
                </w:p>
              </w:tc>
              <w:tc>
                <w:tcPr>
                  <w:tcW w:w="2052" w:type="dxa"/>
                  <w:vAlign w:val="center"/>
                </w:tcPr>
                <w:p>
                  <w:pPr>
                    <w:pStyle w:val="30"/>
                    <w:rPr>
                      <w:color w:val="auto"/>
                      <w:highlight w:val="none"/>
                    </w:rPr>
                  </w:pPr>
                  <w:r>
                    <w:rPr>
                      <w:rFonts w:hint="eastAsia"/>
                      <w:color w:val="auto"/>
                      <w:highlight w:val="none"/>
                    </w:rPr>
                    <w:t>30L/a</w:t>
                  </w:r>
                </w:p>
              </w:tc>
              <w:tc>
                <w:tcPr>
                  <w:tcW w:w="2326" w:type="dxa"/>
                  <w:vAlign w:val="center"/>
                </w:tcPr>
                <w:p>
                  <w:pPr>
                    <w:pStyle w:val="30"/>
                    <w:rPr>
                      <w:color w:val="auto"/>
                      <w:highlight w:val="none"/>
                    </w:rPr>
                  </w:pPr>
                  <w:r>
                    <w:rPr>
                      <w:rFonts w:hint="eastAsia"/>
                      <w:color w:val="auto"/>
                      <w:highlight w:val="none"/>
                    </w:rPr>
                    <w:t>柠檬酸钠</w:t>
                  </w:r>
                </w:p>
              </w:tc>
              <w:tc>
                <w:tcPr>
                  <w:tcW w:w="1779" w:type="dxa"/>
                  <w:vAlign w:val="center"/>
                </w:tcPr>
                <w:p>
                  <w:pPr>
                    <w:pStyle w:val="30"/>
                    <w:rPr>
                      <w:color w:val="auto"/>
                      <w:highlight w:val="none"/>
                    </w:rPr>
                  </w:pPr>
                  <w:r>
                    <w:rPr>
                      <w:rFonts w:hint="eastAsia"/>
                      <w:color w:val="auto"/>
                      <w:highlight w:val="none"/>
                    </w:rPr>
                    <w:t>300g/a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冰乙酸</w:t>
                  </w:r>
                </w:p>
              </w:tc>
              <w:tc>
                <w:tcPr>
                  <w:tcW w:w="2052" w:type="dxa"/>
                  <w:vAlign w:val="center"/>
                </w:tcPr>
                <w:p>
                  <w:pPr>
                    <w:pStyle w:val="30"/>
                    <w:rPr>
                      <w:color w:val="auto"/>
                      <w:highlight w:val="none"/>
                    </w:rPr>
                  </w:pPr>
                  <w:r>
                    <w:rPr>
                      <w:rFonts w:hint="eastAsia"/>
                      <w:color w:val="auto"/>
                      <w:highlight w:val="none"/>
                    </w:rPr>
                    <w:t>0.6L/a</w:t>
                  </w:r>
                </w:p>
              </w:tc>
              <w:tc>
                <w:tcPr>
                  <w:tcW w:w="2326" w:type="dxa"/>
                  <w:vAlign w:val="center"/>
                </w:tcPr>
                <w:p>
                  <w:pPr>
                    <w:pStyle w:val="30"/>
                    <w:rPr>
                      <w:color w:val="auto"/>
                      <w:highlight w:val="none"/>
                    </w:rPr>
                  </w:pPr>
                  <w:r>
                    <w:rPr>
                      <w:rFonts w:hint="eastAsia"/>
                      <w:color w:val="auto"/>
                      <w:highlight w:val="none"/>
                    </w:rPr>
                    <w:t>异丙醇</w:t>
                  </w:r>
                </w:p>
              </w:tc>
              <w:tc>
                <w:tcPr>
                  <w:tcW w:w="1779" w:type="dxa"/>
                  <w:vAlign w:val="center"/>
                </w:tcPr>
                <w:p>
                  <w:pPr>
                    <w:pStyle w:val="30"/>
                    <w:rPr>
                      <w:color w:val="auto"/>
                      <w:highlight w:val="none"/>
                    </w:rPr>
                  </w:pPr>
                  <w:r>
                    <w:rPr>
                      <w:rFonts w:hint="eastAsia"/>
                      <w:color w:val="auto"/>
                      <w:highlight w:val="none"/>
                    </w:rPr>
                    <w:t>1.5L/a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磷酸一氢钠</w:t>
                  </w:r>
                </w:p>
              </w:tc>
              <w:tc>
                <w:tcPr>
                  <w:tcW w:w="2052" w:type="dxa"/>
                  <w:vAlign w:val="center"/>
                </w:tcPr>
                <w:p>
                  <w:pPr>
                    <w:pStyle w:val="30"/>
                    <w:rPr>
                      <w:color w:val="auto"/>
                      <w:highlight w:val="none"/>
                    </w:rPr>
                  </w:pPr>
                  <w:r>
                    <w:rPr>
                      <w:rFonts w:hint="eastAsia"/>
                      <w:color w:val="auto"/>
                      <w:highlight w:val="none"/>
                    </w:rPr>
                    <w:t>0.6kg/a</w:t>
                  </w:r>
                </w:p>
              </w:tc>
              <w:tc>
                <w:tcPr>
                  <w:tcW w:w="2326" w:type="dxa"/>
                  <w:vAlign w:val="center"/>
                </w:tcPr>
                <w:p>
                  <w:pPr>
                    <w:pStyle w:val="30"/>
                    <w:rPr>
                      <w:color w:val="auto"/>
                      <w:highlight w:val="none"/>
                    </w:rPr>
                  </w:pPr>
                  <w:r>
                    <w:rPr>
                      <w:rFonts w:hint="eastAsia"/>
                      <w:color w:val="auto"/>
                      <w:highlight w:val="none"/>
                    </w:rPr>
                    <w:t>异戊醇</w:t>
                  </w:r>
                </w:p>
              </w:tc>
              <w:tc>
                <w:tcPr>
                  <w:tcW w:w="1779" w:type="dxa"/>
                  <w:vAlign w:val="center"/>
                </w:tcPr>
                <w:p>
                  <w:pPr>
                    <w:pStyle w:val="30"/>
                    <w:rPr>
                      <w:color w:val="auto"/>
                      <w:highlight w:val="none"/>
                    </w:rPr>
                  </w:pPr>
                  <w:r>
                    <w:rPr>
                      <w:rFonts w:hint="eastAsia"/>
                      <w:color w:val="auto"/>
                      <w:highlight w:val="none"/>
                    </w:rPr>
                    <w:t>0.6L/a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苯酚</w:t>
                  </w:r>
                </w:p>
              </w:tc>
              <w:tc>
                <w:tcPr>
                  <w:tcW w:w="2052" w:type="dxa"/>
                  <w:vAlign w:val="center"/>
                </w:tcPr>
                <w:p>
                  <w:pPr>
                    <w:pStyle w:val="30"/>
                    <w:rPr>
                      <w:color w:val="auto"/>
                      <w:highlight w:val="none"/>
                    </w:rPr>
                  </w:pPr>
                  <w:r>
                    <w:rPr>
                      <w:rFonts w:hint="eastAsia"/>
                      <w:color w:val="auto"/>
                      <w:highlight w:val="none"/>
                    </w:rPr>
                    <w:t>0.6kg/a</w:t>
                  </w:r>
                </w:p>
              </w:tc>
              <w:tc>
                <w:tcPr>
                  <w:tcW w:w="2326" w:type="dxa"/>
                  <w:vAlign w:val="center"/>
                </w:tcPr>
                <w:p>
                  <w:pPr>
                    <w:pStyle w:val="30"/>
                    <w:rPr>
                      <w:color w:val="auto"/>
                      <w:highlight w:val="none"/>
                    </w:rPr>
                  </w:pPr>
                  <w:r>
                    <w:rPr>
                      <w:rFonts w:hint="eastAsia"/>
                      <w:color w:val="auto"/>
                      <w:highlight w:val="none"/>
                    </w:rPr>
                    <w:t>小鼠</w:t>
                  </w:r>
                </w:p>
              </w:tc>
              <w:tc>
                <w:tcPr>
                  <w:tcW w:w="1779" w:type="dxa"/>
                  <w:vAlign w:val="center"/>
                </w:tcPr>
                <w:p>
                  <w:pPr>
                    <w:pStyle w:val="30"/>
                    <w:rPr>
                      <w:color w:val="auto"/>
                      <w:highlight w:val="none"/>
                    </w:rPr>
                  </w:pPr>
                  <w:r>
                    <w:rPr>
                      <w:rFonts w:hint="eastAsia"/>
                      <w:color w:val="auto"/>
                      <w:highlight w:val="none"/>
                    </w:rPr>
                    <w:t>25只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乙醇</w:t>
                  </w:r>
                </w:p>
              </w:tc>
              <w:tc>
                <w:tcPr>
                  <w:tcW w:w="2052" w:type="dxa"/>
                  <w:vAlign w:val="center"/>
                </w:tcPr>
                <w:p>
                  <w:pPr>
                    <w:pStyle w:val="30"/>
                    <w:rPr>
                      <w:color w:val="auto"/>
                      <w:highlight w:val="none"/>
                    </w:rPr>
                  </w:pPr>
                  <w:r>
                    <w:rPr>
                      <w:rFonts w:hint="eastAsia"/>
                      <w:color w:val="auto"/>
                      <w:highlight w:val="none"/>
                    </w:rPr>
                    <w:t>25L/a</w:t>
                  </w:r>
                </w:p>
              </w:tc>
              <w:tc>
                <w:tcPr>
                  <w:tcW w:w="2326" w:type="dxa"/>
                  <w:vAlign w:val="center"/>
                </w:tcPr>
                <w:p>
                  <w:pPr>
                    <w:pStyle w:val="30"/>
                    <w:rPr>
                      <w:color w:val="auto"/>
                      <w:highlight w:val="none"/>
                    </w:rPr>
                  </w:pPr>
                  <w:r>
                    <w:rPr>
                      <w:rFonts w:hint="eastAsia"/>
                      <w:color w:val="auto"/>
                      <w:highlight w:val="none"/>
                    </w:rPr>
                    <w:t>裸鼠</w:t>
                  </w:r>
                </w:p>
              </w:tc>
              <w:tc>
                <w:tcPr>
                  <w:tcW w:w="1779" w:type="dxa"/>
                  <w:vAlign w:val="center"/>
                </w:tcPr>
                <w:p>
                  <w:pPr>
                    <w:pStyle w:val="30"/>
                    <w:rPr>
                      <w:color w:val="auto"/>
                      <w:highlight w:val="none"/>
                    </w:rPr>
                  </w:pPr>
                  <w:r>
                    <w:rPr>
                      <w:rFonts w:hint="eastAsia"/>
                      <w:color w:val="auto"/>
                      <w:highlight w:val="none"/>
                    </w:rPr>
                    <w:t>10只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无水乙醇</w:t>
                  </w:r>
                </w:p>
              </w:tc>
              <w:tc>
                <w:tcPr>
                  <w:tcW w:w="2052" w:type="dxa"/>
                  <w:vAlign w:val="center"/>
                </w:tcPr>
                <w:p>
                  <w:pPr>
                    <w:pStyle w:val="30"/>
                    <w:rPr>
                      <w:color w:val="auto"/>
                      <w:highlight w:val="none"/>
                    </w:rPr>
                  </w:pPr>
                  <w:r>
                    <w:rPr>
                      <w:rFonts w:hint="eastAsia"/>
                      <w:color w:val="auto"/>
                      <w:highlight w:val="none"/>
                    </w:rPr>
                    <w:t>3L/a</w:t>
                  </w:r>
                </w:p>
              </w:tc>
              <w:tc>
                <w:tcPr>
                  <w:tcW w:w="2326" w:type="dxa"/>
                  <w:vAlign w:val="center"/>
                </w:tcPr>
                <w:p>
                  <w:pPr>
                    <w:pStyle w:val="30"/>
                    <w:rPr>
                      <w:color w:val="auto"/>
                      <w:highlight w:val="none"/>
                    </w:rPr>
                  </w:pPr>
                  <w:r>
                    <w:rPr>
                      <w:rFonts w:hint="eastAsia"/>
                      <w:color w:val="auto"/>
                      <w:highlight w:val="none"/>
                    </w:rPr>
                    <w:t>六亚甲基二异氰酸酯</w:t>
                  </w:r>
                </w:p>
              </w:tc>
              <w:tc>
                <w:tcPr>
                  <w:tcW w:w="1779" w:type="dxa"/>
                  <w:vAlign w:val="center"/>
                </w:tcPr>
                <w:p>
                  <w:pPr>
                    <w:pStyle w:val="30"/>
                    <w:rPr>
                      <w:color w:val="auto"/>
                      <w:highlight w:val="none"/>
                    </w:rPr>
                  </w:pPr>
                  <w:r>
                    <w:rPr>
                      <w:rFonts w:hint="eastAsia"/>
                      <w:color w:val="auto"/>
                      <w:highlight w:val="none"/>
                    </w:rPr>
                    <w:t>0.6L/a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氯仿</w:t>
                  </w:r>
                </w:p>
              </w:tc>
              <w:tc>
                <w:tcPr>
                  <w:tcW w:w="2052" w:type="dxa"/>
                  <w:vAlign w:val="center"/>
                </w:tcPr>
                <w:p>
                  <w:pPr>
                    <w:pStyle w:val="30"/>
                    <w:rPr>
                      <w:color w:val="auto"/>
                      <w:highlight w:val="none"/>
                    </w:rPr>
                  </w:pPr>
                  <w:r>
                    <w:rPr>
                      <w:rFonts w:hint="eastAsia"/>
                      <w:color w:val="auto"/>
                      <w:highlight w:val="none"/>
                    </w:rPr>
                    <w:t>1.5L/a</w:t>
                  </w:r>
                </w:p>
              </w:tc>
              <w:tc>
                <w:tcPr>
                  <w:tcW w:w="2326" w:type="dxa"/>
                  <w:vAlign w:val="center"/>
                </w:tcPr>
                <w:p>
                  <w:pPr>
                    <w:pStyle w:val="30"/>
                    <w:rPr>
                      <w:color w:val="auto"/>
                      <w:highlight w:val="none"/>
                    </w:rPr>
                  </w:pPr>
                  <w:r>
                    <w:rPr>
                      <w:rFonts w:hint="eastAsia"/>
                      <w:color w:val="auto"/>
                      <w:highlight w:val="none"/>
                    </w:rPr>
                    <w:t>醋酸乙酯</w:t>
                  </w:r>
                </w:p>
              </w:tc>
              <w:tc>
                <w:tcPr>
                  <w:tcW w:w="1779" w:type="dxa"/>
                  <w:vAlign w:val="center"/>
                </w:tcPr>
                <w:p>
                  <w:pPr>
                    <w:pStyle w:val="30"/>
                    <w:rPr>
                      <w:color w:val="auto"/>
                      <w:highlight w:val="none"/>
                    </w:rPr>
                  </w:pPr>
                  <w:r>
                    <w:rPr>
                      <w:rFonts w:hint="eastAsia"/>
                      <w:color w:val="auto"/>
                      <w:highlight w:val="none"/>
                    </w:rPr>
                    <w:t>1.5L/a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伊红</w:t>
                  </w:r>
                </w:p>
              </w:tc>
              <w:tc>
                <w:tcPr>
                  <w:tcW w:w="2052" w:type="dxa"/>
                  <w:vAlign w:val="center"/>
                </w:tcPr>
                <w:p>
                  <w:pPr>
                    <w:pStyle w:val="30"/>
                    <w:rPr>
                      <w:color w:val="auto"/>
                      <w:highlight w:val="none"/>
                    </w:rPr>
                  </w:pPr>
                  <w:r>
                    <w:rPr>
                      <w:rFonts w:hint="eastAsia"/>
                      <w:color w:val="auto"/>
                      <w:highlight w:val="none"/>
                    </w:rPr>
                    <w:t>30mL/a</w:t>
                  </w:r>
                </w:p>
              </w:tc>
              <w:tc>
                <w:tcPr>
                  <w:tcW w:w="2326" w:type="dxa"/>
                  <w:vAlign w:val="center"/>
                </w:tcPr>
                <w:p>
                  <w:pPr>
                    <w:pStyle w:val="30"/>
                    <w:rPr>
                      <w:color w:val="auto"/>
                      <w:highlight w:val="none"/>
                    </w:rPr>
                  </w:pPr>
                  <w:r>
                    <w:rPr>
                      <w:rFonts w:hint="eastAsia"/>
                      <w:color w:val="auto"/>
                      <w:highlight w:val="none"/>
                    </w:rPr>
                    <w:t>乙二胺</w:t>
                  </w:r>
                </w:p>
              </w:tc>
              <w:tc>
                <w:tcPr>
                  <w:tcW w:w="1779" w:type="dxa"/>
                  <w:vAlign w:val="center"/>
                </w:tcPr>
                <w:p>
                  <w:pPr>
                    <w:pStyle w:val="30"/>
                    <w:rPr>
                      <w:color w:val="auto"/>
                      <w:highlight w:val="none"/>
                    </w:rPr>
                  </w:pPr>
                  <w:r>
                    <w:rPr>
                      <w:rFonts w:hint="eastAsia"/>
                      <w:color w:val="auto"/>
                      <w:highlight w:val="none"/>
                    </w:rPr>
                    <w:t>0.3L/a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苯胺</w:t>
                  </w:r>
                </w:p>
              </w:tc>
              <w:tc>
                <w:tcPr>
                  <w:tcW w:w="2052" w:type="dxa"/>
                  <w:vAlign w:val="center"/>
                </w:tcPr>
                <w:p>
                  <w:pPr>
                    <w:pStyle w:val="30"/>
                    <w:rPr>
                      <w:color w:val="auto"/>
                      <w:highlight w:val="none"/>
                    </w:rPr>
                  </w:pPr>
                  <w:r>
                    <w:rPr>
                      <w:rFonts w:hint="eastAsia"/>
                      <w:color w:val="auto"/>
                      <w:highlight w:val="none"/>
                    </w:rPr>
                    <w:t>1.5L/a</w:t>
                  </w:r>
                </w:p>
              </w:tc>
              <w:tc>
                <w:tcPr>
                  <w:tcW w:w="2326" w:type="dxa"/>
                  <w:vAlign w:val="center"/>
                </w:tcPr>
                <w:p>
                  <w:pPr>
                    <w:pStyle w:val="30"/>
                    <w:rPr>
                      <w:color w:val="auto"/>
                      <w:highlight w:val="none"/>
                    </w:rPr>
                  </w:pPr>
                  <w:r>
                    <w:rPr>
                      <w:rFonts w:hint="eastAsia"/>
                      <w:color w:val="auto"/>
                      <w:highlight w:val="none"/>
                    </w:rPr>
                    <w:t>高分子表面活性剂</w:t>
                  </w:r>
                </w:p>
              </w:tc>
              <w:tc>
                <w:tcPr>
                  <w:tcW w:w="1779" w:type="dxa"/>
                  <w:vAlign w:val="center"/>
                </w:tcPr>
                <w:p>
                  <w:pPr>
                    <w:pStyle w:val="30"/>
                    <w:rPr>
                      <w:color w:val="auto"/>
                      <w:highlight w:val="none"/>
                    </w:rPr>
                  </w:pPr>
                  <w:r>
                    <w:rPr>
                      <w:rFonts w:hint="eastAsia"/>
                      <w:color w:val="auto"/>
                      <w:highlight w:val="none"/>
                    </w:rPr>
                    <w:t>1.5L/a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草酸</w:t>
                  </w:r>
                </w:p>
              </w:tc>
              <w:tc>
                <w:tcPr>
                  <w:tcW w:w="2052" w:type="dxa"/>
                  <w:vAlign w:val="center"/>
                </w:tcPr>
                <w:p>
                  <w:pPr>
                    <w:pStyle w:val="30"/>
                    <w:rPr>
                      <w:color w:val="auto"/>
                      <w:highlight w:val="none"/>
                    </w:rPr>
                  </w:pPr>
                  <w:r>
                    <w:rPr>
                      <w:rFonts w:hint="eastAsia"/>
                      <w:color w:val="auto"/>
                      <w:highlight w:val="none"/>
                    </w:rPr>
                    <w:t>300g/a</w:t>
                  </w:r>
                </w:p>
              </w:tc>
              <w:tc>
                <w:tcPr>
                  <w:tcW w:w="2326" w:type="dxa"/>
                  <w:vAlign w:val="center"/>
                </w:tcPr>
                <w:p>
                  <w:pPr>
                    <w:pStyle w:val="30"/>
                    <w:rPr>
                      <w:color w:val="auto"/>
                      <w:highlight w:val="none"/>
                    </w:rPr>
                  </w:pPr>
                  <w:r>
                    <w:rPr>
                      <w:rFonts w:hint="eastAsia"/>
                      <w:color w:val="auto"/>
                      <w:highlight w:val="none"/>
                    </w:rPr>
                    <w:t>邻苯二甲酸酐</w:t>
                  </w:r>
                </w:p>
              </w:tc>
              <w:tc>
                <w:tcPr>
                  <w:tcW w:w="1779" w:type="dxa"/>
                  <w:vAlign w:val="center"/>
                </w:tcPr>
                <w:p>
                  <w:pPr>
                    <w:pStyle w:val="30"/>
                    <w:rPr>
                      <w:color w:val="auto"/>
                      <w:highlight w:val="none"/>
                    </w:rPr>
                  </w:pPr>
                  <w:r>
                    <w:rPr>
                      <w:rFonts w:hint="eastAsia"/>
                      <w:color w:val="auto"/>
                      <w:highlight w:val="none"/>
                    </w:rPr>
                    <w:t>0.3kg/a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二甲基甲酰胺</w:t>
                  </w:r>
                </w:p>
              </w:tc>
              <w:tc>
                <w:tcPr>
                  <w:tcW w:w="2052" w:type="dxa"/>
                  <w:vAlign w:val="center"/>
                </w:tcPr>
                <w:p>
                  <w:pPr>
                    <w:pStyle w:val="30"/>
                    <w:rPr>
                      <w:color w:val="auto"/>
                      <w:highlight w:val="none"/>
                    </w:rPr>
                  </w:pPr>
                  <w:r>
                    <w:rPr>
                      <w:rFonts w:hint="eastAsia"/>
                      <w:color w:val="auto"/>
                      <w:highlight w:val="none"/>
                    </w:rPr>
                    <w:t>150mL/a</w:t>
                  </w:r>
                </w:p>
              </w:tc>
              <w:tc>
                <w:tcPr>
                  <w:tcW w:w="2326" w:type="dxa"/>
                  <w:vAlign w:val="center"/>
                </w:tcPr>
                <w:p>
                  <w:pPr>
                    <w:pStyle w:val="30"/>
                    <w:rPr>
                      <w:color w:val="auto"/>
                      <w:highlight w:val="none"/>
                    </w:rPr>
                  </w:pPr>
                  <w:r>
                    <w:rPr>
                      <w:rFonts w:hint="eastAsia"/>
                      <w:color w:val="auto"/>
                      <w:highlight w:val="none"/>
                    </w:rPr>
                    <w:t>1,4-丁二醇</w:t>
                  </w:r>
                </w:p>
              </w:tc>
              <w:tc>
                <w:tcPr>
                  <w:tcW w:w="1779" w:type="dxa"/>
                  <w:vAlign w:val="center"/>
                </w:tcPr>
                <w:p>
                  <w:pPr>
                    <w:pStyle w:val="30"/>
                    <w:rPr>
                      <w:color w:val="auto"/>
                      <w:highlight w:val="none"/>
                    </w:rPr>
                  </w:pPr>
                  <w:r>
                    <w:rPr>
                      <w:rFonts w:hint="eastAsia"/>
                      <w:color w:val="auto"/>
                      <w:highlight w:val="none"/>
                    </w:rPr>
                    <w:t>150mL/a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2-巯基乙醇</w:t>
                  </w:r>
                </w:p>
              </w:tc>
              <w:tc>
                <w:tcPr>
                  <w:tcW w:w="2052" w:type="dxa"/>
                  <w:vAlign w:val="center"/>
                </w:tcPr>
                <w:p>
                  <w:pPr>
                    <w:pStyle w:val="30"/>
                    <w:rPr>
                      <w:color w:val="auto"/>
                      <w:highlight w:val="none"/>
                    </w:rPr>
                  </w:pPr>
                  <w:r>
                    <w:rPr>
                      <w:rFonts w:hint="eastAsia"/>
                      <w:color w:val="auto"/>
                      <w:highlight w:val="none"/>
                    </w:rPr>
                    <w:t>30mL/a</w:t>
                  </w:r>
                </w:p>
              </w:tc>
              <w:tc>
                <w:tcPr>
                  <w:tcW w:w="2326" w:type="dxa"/>
                  <w:vAlign w:val="center"/>
                </w:tcPr>
                <w:p>
                  <w:pPr>
                    <w:pStyle w:val="30"/>
                    <w:rPr>
                      <w:color w:val="auto"/>
                      <w:highlight w:val="none"/>
                    </w:rPr>
                  </w:pPr>
                  <w:r>
                    <w:rPr>
                      <w:rFonts w:hint="eastAsia"/>
                      <w:color w:val="auto"/>
                      <w:highlight w:val="none"/>
                    </w:rPr>
                    <w:t>一缩二乙二醇</w:t>
                  </w:r>
                </w:p>
              </w:tc>
              <w:tc>
                <w:tcPr>
                  <w:tcW w:w="1779" w:type="dxa"/>
                  <w:vAlign w:val="center"/>
                </w:tcPr>
                <w:p>
                  <w:pPr>
                    <w:pStyle w:val="30"/>
                    <w:rPr>
                      <w:color w:val="auto"/>
                      <w:highlight w:val="none"/>
                    </w:rPr>
                  </w:pPr>
                  <w:r>
                    <w:rPr>
                      <w:rFonts w:hint="eastAsia"/>
                      <w:color w:val="auto"/>
                      <w:highlight w:val="none"/>
                    </w:rPr>
                    <w:t>150mL/a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聚氨酯</w:t>
                  </w:r>
                </w:p>
              </w:tc>
              <w:tc>
                <w:tcPr>
                  <w:tcW w:w="2052" w:type="dxa"/>
                  <w:vAlign w:val="center"/>
                </w:tcPr>
                <w:p>
                  <w:pPr>
                    <w:pStyle w:val="30"/>
                    <w:rPr>
                      <w:color w:val="auto"/>
                      <w:highlight w:val="none"/>
                    </w:rPr>
                  </w:pPr>
                  <w:r>
                    <w:rPr>
                      <w:rFonts w:hint="eastAsia"/>
                      <w:color w:val="auto"/>
                      <w:highlight w:val="none"/>
                    </w:rPr>
                    <w:t>1.5kg/a</w:t>
                  </w:r>
                </w:p>
              </w:tc>
              <w:tc>
                <w:tcPr>
                  <w:tcW w:w="2326" w:type="dxa"/>
                  <w:vAlign w:val="center"/>
                </w:tcPr>
                <w:p>
                  <w:pPr>
                    <w:pStyle w:val="30"/>
                    <w:rPr>
                      <w:color w:val="auto"/>
                      <w:highlight w:val="none"/>
                    </w:rPr>
                  </w:pPr>
                  <w:r>
                    <w:rPr>
                      <w:rFonts w:hint="eastAsia"/>
                      <w:color w:val="auto"/>
                      <w:highlight w:val="none"/>
                    </w:rPr>
                    <w:t>丙烯酰胺</w:t>
                  </w:r>
                </w:p>
              </w:tc>
              <w:tc>
                <w:tcPr>
                  <w:tcW w:w="1779" w:type="dxa"/>
                  <w:vAlign w:val="center"/>
                </w:tcPr>
                <w:p>
                  <w:pPr>
                    <w:pStyle w:val="30"/>
                    <w:rPr>
                      <w:color w:val="auto"/>
                      <w:highlight w:val="none"/>
                    </w:rPr>
                  </w:pPr>
                  <w:r>
                    <w:rPr>
                      <w:rFonts w:hint="eastAsia"/>
                      <w:color w:val="auto"/>
                      <w:highlight w:val="none"/>
                    </w:rPr>
                    <w:t>0.3kg/a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醋酸异丁酯</w:t>
                  </w:r>
                </w:p>
              </w:tc>
              <w:tc>
                <w:tcPr>
                  <w:tcW w:w="2052" w:type="dxa"/>
                  <w:vAlign w:val="center"/>
                </w:tcPr>
                <w:p>
                  <w:pPr>
                    <w:pStyle w:val="30"/>
                    <w:rPr>
                      <w:color w:val="auto"/>
                      <w:highlight w:val="none"/>
                    </w:rPr>
                  </w:pPr>
                  <w:r>
                    <w:rPr>
                      <w:rFonts w:hint="eastAsia"/>
                      <w:color w:val="auto"/>
                      <w:highlight w:val="none"/>
                    </w:rPr>
                    <w:t>300mL/a</w:t>
                  </w:r>
                </w:p>
              </w:tc>
              <w:tc>
                <w:tcPr>
                  <w:tcW w:w="2326" w:type="dxa"/>
                  <w:vAlign w:val="center"/>
                </w:tcPr>
                <w:p>
                  <w:pPr>
                    <w:pStyle w:val="30"/>
                    <w:rPr>
                      <w:color w:val="auto"/>
                      <w:highlight w:val="none"/>
                    </w:rPr>
                  </w:pPr>
                  <w:r>
                    <w:rPr>
                      <w:rFonts w:hint="eastAsia"/>
                      <w:color w:val="auto"/>
                      <w:highlight w:val="none"/>
                    </w:rPr>
                    <w:t>苯乙烯</w:t>
                  </w:r>
                </w:p>
              </w:tc>
              <w:tc>
                <w:tcPr>
                  <w:tcW w:w="1779" w:type="dxa"/>
                  <w:vAlign w:val="center"/>
                </w:tcPr>
                <w:p>
                  <w:pPr>
                    <w:pStyle w:val="30"/>
                    <w:rPr>
                      <w:color w:val="auto"/>
                      <w:highlight w:val="none"/>
                    </w:rPr>
                  </w:pPr>
                  <w:r>
                    <w:rPr>
                      <w:rFonts w:hint="eastAsia"/>
                      <w:color w:val="auto"/>
                      <w:highlight w:val="none"/>
                    </w:rPr>
                    <w:t>0.6L/a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二羟甲基丙酸</w:t>
                  </w:r>
                </w:p>
              </w:tc>
              <w:tc>
                <w:tcPr>
                  <w:tcW w:w="2052" w:type="dxa"/>
                  <w:vAlign w:val="center"/>
                </w:tcPr>
                <w:p>
                  <w:pPr>
                    <w:pStyle w:val="30"/>
                    <w:rPr>
                      <w:color w:val="auto"/>
                      <w:highlight w:val="none"/>
                    </w:rPr>
                  </w:pPr>
                  <w:r>
                    <w:rPr>
                      <w:rFonts w:hint="eastAsia"/>
                      <w:color w:val="auto"/>
                      <w:highlight w:val="none"/>
                    </w:rPr>
                    <w:t>30g/a</w:t>
                  </w:r>
                </w:p>
              </w:tc>
              <w:tc>
                <w:tcPr>
                  <w:tcW w:w="2326" w:type="dxa"/>
                  <w:vAlign w:val="center"/>
                </w:tcPr>
                <w:p>
                  <w:pPr>
                    <w:pStyle w:val="30"/>
                    <w:rPr>
                      <w:color w:val="auto"/>
                      <w:highlight w:val="none"/>
                    </w:rPr>
                  </w:pPr>
                  <w:r>
                    <w:rPr>
                      <w:rFonts w:hint="eastAsia"/>
                      <w:color w:val="auto"/>
                      <w:highlight w:val="none"/>
                    </w:rPr>
                    <w:t>过氧化苯甲酰</w:t>
                  </w:r>
                </w:p>
              </w:tc>
              <w:tc>
                <w:tcPr>
                  <w:tcW w:w="1779" w:type="dxa"/>
                  <w:vAlign w:val="center"/>
                </w:tcPr>
                <w:p>
                  <w:pPr>
                    <w:pStyle w:val="30"/>
                    <w:rPr>
                      <w:color w:val="auto"/>
                      <w:highlight w:val="none"/>
                    </w:rPr>
                  </w:pPr>
                  <w:r>
                    <w:rPr>
                      <w:rFonts w:hint="eastAsia"/>
                      <w:color w:val="auto"/>
                      <w:highlight w:val="none"/>
                    </w:rPr>
                    <w:t>150g/a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三乙胺</w:t>
                  </w:r>
                </w:p>
              </w:tc>
              <w:tc>
                <w:tcPr>
                  <w:tcW w:w="2052" w:type="dxa"/>
                  <w:vAlign w:val="center"/>
                </w:tcPr>
                <w:p>
                  <w:pPr>
                    <w:pStyle w:val="30"/>
                    <w:rPr>
                      <w:color w:val="auto"/>
                      <w:highlight w:val="none"/>
                    </w:rPr>
                  </w:pPr>
                  <w:r>
                    <w:rPr>
                      <w:rFonts w:hint="eastAsia"/>
                      <w:color w:val="auto"/>
                      <w:highlight w:val="none"/>
                    </w:rPr>
                    <w:t>1.5L/a</w:t>
                  </w:r>
                </w:p>
              </w:tc>
              <w:tc>
                <w:tcPr>
                  <w:tcW w:w="2326" w:type="dxa"/>
                  <w:vAlign w:val="center"/>
                </w:tcPr>
                <w:p>
                  <w:pPr>
                    <w:pStyle w:val="30"/>
                    <w:rPr>
                      <w:color w:val="auto"/>
                      <w:highlight w:val="none"/>
                    </w:rPr>
                  </w:pPr>
                  <w:r>
                    <w:rPr>
                      <w:rFonts w:hint="eastAsia"/>
                      <w:color w:val="auto"/>
                      <w:highlight w:val="none"/>
                    </w:rPr>
                    <w:t>过氧化环己酮</w:t>
                  </w:r>
                </w:p>
              </w:tc>
              <w:tc>
                <w:tcPr>
                  <w:tcW w:w="1779" w:type="dxa"/>
                  <w:vAlign w:val="center"/>
                </w:tcPr>
                <w:p>
                  <w:pPr>
                    <w:pStyle w:val="30"/>
                    <w:rPr>
                      <w:color w:val="auto"/>
                      <w:highlight w:val="none"/>
                    </w:rPr>
                  </w:pPr>
                  <w:r>
                    <w:rPr>
                      <w:rFonts w:hint="eastAsia"/>
                      <w:color w:val="auto"/>
                      <w:highlight w:val="none"/>
                    </w:rPr>
                    <w:t>30g/a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二月桂酸二丁基锡</w:t>
                  </w:r>
                </w:p>
              </w:tc>
              <w:tc>
                <w:tcPr>
                  <w:tcW w:w="2052" w:type="dxa"/>
                  <w:vAlign w:val="center"/>
                </w:tcPr>
                <w:p>
                  <w:pPr>
                    <w:pStyle w:val="30"/>
                    <w:rPr>
                      <w:color w:val="auto"/>
                      <w:highlight w:val="none"/>
                    </w:rPr>
                  </w:pPr>
                  <w:r>
                    <w:rPr>
                      <w:rFonts w:hint="eastAsia"/>
                      <w:color w:val="auto"/>
                      <w:highlight w:val="none"/>
                    </w:rPr>
                    <w:t>15mL/a</w:t>
                  </w:r>
                </w:p>
              </w:tc>
              <w:tc>
                <w:tcPr>
                  <w:tcW w:w="2326" w:type="dxa"/>
                  <w:vAlign w:val="center"/>
                </w:tcPr>
                <w:p>
                  <w:pPr>
                    <w:pStyle w:val="30"/>
                    <w:rPr>
                      <w:color w:val="auto"/>
                      <w:highlight w:val="none"/>
                    </w:rPr>
                  </w:pPr>
                  <w:r>
                    <w:rPr>
                      <w:rFonts w:hint="eastAsia"/>
                      <w:color w:val="auto"/>
                      <w:highlight w:val="none"/>
                    </w:rPr>
                    <w:t>戊二醛</w:t>
                  </w:r>
                </w:p>
              </w:tc>
              <w:tc>
                <w:tcPr>
                  <w:tcW w:w="1779" w:type="dxa"/>
                  <w:vAlign w:val="center"/>
                </w:tcPr>
                <w:p>
                  <w:pPr>
                    <w:pStyle w:val="30"/>
                    <w:rPr>
                      <w:color w:val="auto"/>
                      <w:highlight w:val="none"/>
                    </w:rPr>
                  </w:pPr>
                  <w:r>
                    <w:rPr>
                      <w:rFonts w:hint="eastAsia"/>
                      <w:color w:val="auto"/>
                      <w:highlight w:val="none"/>
                    </w:rPr>
                    <w:t>0.3L/a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1,2-丙二醇</w:t>
                  </w:r>
                </w:p>
              </w:tc>
              <w:tc>
                <w:tcPr>
                  <w:tcW w:w="2052" w:type="dxa"/>
                  <w:vAlign w:val="center"/>
                </w:tcPr>
                <w:p>
                  <w:pPr>
                    <w:pStyle w:val="30"/>
                    <w:rPr>
                      <w:color w:val="auto"/>
                      <w:highlight w:val="none"/>
                    </w:rPr>
                  </w:pPr>
                  <w:r>
                    <w:rPr>
                      <w:rFonts w:hint="eastAsia"/>
                      <w:color w:val="auto"/>
                      <w:highlight w:val="none"/>
                    </w:rPr>
                    <w:t>150mL/a</w:t>
                  </w:r>
                </w:p>
              </w:tc>
              <w:tc>
                <w:tcPr>
                  <w:tcW w:w="2326" w:type="dxa"/>
                  <w:vAlign w:val="center"/>
                </w:tcPr>
                <w:p>
                  <w:pPr>
                    <w:pStyle w:val="30"/>
                    <w:rPr>
                      <w:color w:val="auto"/>
                      <w:highlight w:val="none"/>
                    </w:rPr>
                  </w:pPr>
                  <w:r>
                    <w:rPr>
                      <w:rFonts w:hint="eastAsia"/>
                      <w:color w:val="auto"/>
                      <w:highlight w:val="none"/>
                    </w:rPr>
                    <w:t>硫酸镁</w:t>
                  </w:r>
                </w:p>
              </w:tc>
              <w:tc>
                <w:tcPr>
                  <w:tcW w:w="1779" w:type="dxa"/>
                  <w:vAlign w:val="center"/>
                </w:tcPr>
                <w:p>
                  <w:pPr>
                    <w:pStyle w:val="30"/>
                    <w:rPr>
                      <w:color w:val="auto"/>
                      <w:highlight w:val="none"/>
                    </w:rPr>
                  </w:pPr>
                  <w:r>
                    <w:rPr>
                      <w:rFonts w:hint="eastAsia"/>
                      <w:color w:val="auto"/>
                      <w:highlight w:val="none"/>
                    </w:rPr>
                    <w:t>0.6kg/a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1,6-己二醇</w:t>
                  </w:r>
                </w:p>
              </w:tc>
              <w:tc>
                <w:tcPr>
                  <w:tcW w:w="2052" w:type="dxa"/>
                  <w:vAlign w:val="center"/>
                </w:tcPr>
                <w:p>
                  <w:pPr>
                    <w:pStyle w:val="30"/>
                    <w:rPr>
                      <w:color w:val="auto"/>
                      <w:highlight w:val="none"/>
                    </w:rPr>
                  </w:pPr>
                  <w:r>
                    <w:rPr>
                      <w:rFonts w:hint="eastAsia"/>
                      <w:color w:val="auto"/>
                      <w:highlight w:val="none"/>
                    </w:rPr>
                    <w:t>150g/a</w:t>
                  </w:r>
                </w:p>
              </w:tc>
              <w:tc>
                <w:tcPr>
                  <w:tcW w:w="2326" w:type="dxa"/>
                  <w:vAlign w:val="center"/>
                </w:tcPr>
                <w:p>
                  <w:pPr>
                    <w:pStyle w:val="30"/>
                    <w:rPr>
                      <w:color w:val="auto"/>
                      <w:highlight w:val="none"/>
                    </w:rPr>
                  </w:pPr>
                  <w:r>
                    <w:rPr>
                      <w:rFonts w:hint="eastAsia"/>
                      <w:color w:val="auto"/>
                      <w:highlight w:val="none"/>
                    </w:rPr>
                    <w:t>丙烯酸</w:t>
                  </w:r>
                </w:p>
              </w:tc>
              <w:tc>
                <w:tcPr>
                  <w:tcW w:w="1779" w:type="dxa"/>
                  <w:vAlign w:val="center"/>
                </w:tcPr>
                <w:p>
                  <w:pPr>
                    <w:pStyle w:val="30"/>
                    <w:rPr>
                      <w:color w:val="auto"/>
                      <w:highlight w:val="none"/>
                    </w:rPr>
                  </w:pPr>
                  <w:r>
                    <w:rPr>
                      <w:rFonts w:hint="eastAsia"/>
                      <w:color w:val="auto"/>
                      <w:highlight w:val="none"/>
                    </w:rPr>
                    <w:t>150mL/a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二缩三乙二醇</w:t>
                  </w:r>
                </w:p>
              </w:tc>
              <w:tc>
                <w:tcPr>
                  <w:tcW w:w="2052" w:type="dxa"/>
                  <w:vAlign w:val="center"/>
                </w:tcPr>
                <w:p>
                  <w:pPr>
                    <w:pStyle w:val="30"/>
                    <w:rPr>
                      <w:color w:val="auto"/>
                      <w:highlight w:val="none"/>
                    </w:rPr>
                  </w:pPr>
                  <w:r>
                    <w:rPr>
                      <w:rFonts w:hint="eastAsia"/>
                      <w:color w:val="auto"/>
                      <w:highlight w:val="none"/>
                    </w:rPr>
                    <w:t>150mL/a</w:t>
                  </w:r>
                </w:p>
              </w:tc>
              <w:tc>
                <w:tcPr>
                  <w:tcW w:w="2326" w:type="dxa"/>
                  <w:vAlign w:val="center"/>
                </w:tcPr>
                <w:p>
                  <w:pPr>
                    <w:pStyle w:val="30"/>
                    <w:rPr>
                      <w:color w:val="auto"/>
                      <w:highlight w:val="none"/>
                    </w:rPr>
                  </w:pPr>
                  <w:r>
                    <w:rPr>
                      <w:rFonts w:hint="eastAsia"/>
                      <w:color w:val="auto"/>
                      <w:highlight w:val="none"/>
                    </w:rPr>
                    <w:t>氨基甲酸酯</w:t>
                  </w:r>
                </w:p>
              </w:tc>
              <w:tc>
                <w:tcPr>
                  <w:tcW w:w="1779" w:type="dxa"/>
                  <w:vAlign w:val="center"/>
                </w:tcPr>
                <w:p>
                  <w:pPr>
                    <w:pStyle w:val="30"/>
                    <w:rPr>
                      <w:color w:val="auto"/>
                      <w:highlight w:val="none"/>
                    </w:rPr>
                  </w:pPr>
                  <w:r>
                    <w:rPr>
                      <w:rFonts w:hint="eastAsia"/>
                      <w:color w:val="auto"/>
                      <w:highlight w:val="none"/>
                    </w:rPr>
                    <w:t>30mL/a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顺丁烯二酸酐</w:t>
                  </w:r>
                </w:p>
              </w:tc>
              <w:tc>
                <w:tcPr>
                  <w:tcW w:w="2052" w:type="dxa"/>
                  <w:vAlign w:val="center"/>
                </w:tcPr>
                <w:p>
                  <w:pPr>
                    <w:pStyle w:val="30"/>
                    <w:rPr>
                      <w:color w:val="auto"/>
                      <w:highlight w:val="none"/>
                    </w:rPr>
                  </w:pPr>
                  <w:r>
                    <w:rPr>
                      <w:rFonts w:hint="eastAsia"/>
                      <w:color w:val="auto"/>
                      <w:highlight w:val="none"/>
                    </w:rPr>
                    <w:t>150g/a</w:t>
                  </w:r>
                </w:p>
              </w:tc>
              <w:tc>
                <w:tcPr>
                  <w:tcW w:w="2326" w:type="dxa"/>
                  <w:vAlign w:val="center"/>
                </w:tcPr>
                <w:p>
                  <w:pPr>
                    <w:pStyle w:val="30"/>
                    <w:rPr>
                      <w:color w:val="auto"/>
                      <w:highlight w:val="none"/>
                    </w:rPr>
                  </w:pPr>
                  <w:r>
                    <w:rPr>
                      <w:rFonts w:hint="eastAsia"/>
                      <w:color w:val="auto"/>
                      <w:highlight w:val="none"/>
                    </w:rPr>
                    <w:t>次氯酸钠</w:t>
                  </w:r>
                </w:p>
              </w:tc>
              <w:tc>
                <w:tcPr>
                  <w:tcW w:w="1779" w:type="dxa"/>
                  <w:vAlign w:val="center"/>
                </w:tcPr>
                <w:p>
                  <w:pPr>
                    <w:pStyle w:val="30"/>
                    <w:rPr>
                      <w:color w:val="auto"/>
                      <w:highlight w:val="none"/>
                    </w:rPr>
                  </w:pPr>
                  <w:r>
                    <w:rPr>
                      <w:rFonts w:hint="eastAsia"/>
                      <w:color w:val="auto"/>
                      <w:highlight w:val="none"/>
                    </w:rPr>
                    <w:t>150g/a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甲苯二异氰酸酯</w:t>
                  </w:r>
                </w:p>
              </w:tc>
              <w:tc>
                <w:tcPr>
                  <w:tcW w:w="2052" w:type="dxa"/>
                  <w:vAlign w:val="center"/>
                </w:tcPr>
                <w:p>
                  <w:pPr>
                    <w:pStyle w:val="30"/>
                    <w:rPr>
                      <w:color w:val="auto"/>
                      <w:highlight w:val="none"/>
                    </w:rPr>
                  </w:pPr>
                  <w:r>
                    <w:rPr>
                      <w:rFonts w:hint="eastAsia"/>
                      <w:color w:val="auto"/>
                      <w:highlight w:val="none"/>
                    </w:rPr>
                    <w:t>150mL/a</w:t>
                  </w:r>
                </w:p>
              </w:tc>
              <w:tc>
                <w:tcPr>
                  <w:tcW w:w="2326" w:type="dxa"/>
                  <w:vAlign w:val="center"/>
                </w:tcPr>
                <w:p>
                  <w:pPr>
                    <w:pStyle w:val="30"/>
                    <w:rPr>
                      <w:color w:val="auto"/>
                      <w:highlight w:val="none"/>
                    </w:rPr>
                  </w:pPr>
                  <w:r>
                    <w:rPr>
                      <w:rFonts w:hint="eastAsia"/>
                      <w:color w:val="auto"/>
                      <w:highlight w:val="none"/>
                    </w:rPr>
                    <w:t>氯乙酸钠</w:t>
                  </w:r>
                </w:p>
              </w:tc>
              <w:tc>
                <w:tcPr>
                  <w:tcW w:w="1779" w:type="dxa"/>
                  <w:vAlign w:val="center"/>
                </w:tcPr>
                <w:p>
                  <w:pPr>
                    <w:pStyle w:val="30"/>
                    <w:rPr>
                      <w:color w:val="auto"/>
                      <w:highlight w:val="none"/>
                    </w:rPr>
                  </w:pPr>
                  <w:r>
                    <w:rPr>
                      <w:rFonts w:hint="eastAsia"/>
                      <w:color w:val="auto"/>
                      <w:highlight w:val="none"/>
                    </w:rPr>
                    <w:t>150g/a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N,N-二甲基苯胺</w:t>
                  </w:r>
                </w:p>
              </w:tc>
              <w:tc>
                <w:tcPr>
                  <w:tcW w:w="2052" w:type="dxa"/>
                  <w:vAlign w:val="center"/>
                </w:tcPr>
                <w:p>
                  <w:pPr>
                    <w:pStyle w:val="30"/>
                    <w:rPr>
                      <w:color w:val="auto"/>
                      <w:highlight w:val="none"/>
                    </w:rPr>
                  </w:pPr>
                  <w:r>
                    <w:rPr>
                      <w:rFonts w:hint="eastAsia"/>
                      <w:color w:val="auto"/>
                      <w:highlight w:val="none"/>
                    </w:rPr>
                    <w:t>0.3L/a</w:t>
                  </w:r>
                </w:p>
              </w:tc>
              <w:tc>
                <w:tcPr>
                  <w:tcW w:w="2326" w:type="dxa"/>
                  <w:vAlign w:val="center"/>
                </w:tcPr>
                <w:p>
                  <w:pPr>
                    <w:pStyle w:val="30"/>
                    <w:rPr>
                      <w:color w:val="auto"/>
                      <w:highlight w:val="none"/>
                    </w:rPr>
                  </w:pPr>
                  <w:r>
                    <w:rPr>
                      <w:rFonts w:hint="eastAsia"/>
                      <w:color w:val="auto"/>
                      <w:highlight w:val="none"/>
                    </w:rPr>
                    <w:t>溴化钾</w:t>
                  </w:r>
                </w:p>
              </w:tc>
              <w:tc>
                <w:tcPr>
                  <w:tcW w:w="1779" w:type="dxa"/>
                  <w:vAlign w:val="center"/>
                </w:tcPr>
                <w:p>
                  <w:pPr>
                    <w:pStyle w:val="30"/>
                    <w:rPr>
                      <w:color w:val="auto"/>
                      <w:highlight w:val="none"/>
                    </w:rPr>
                  </w:pPr>
                  <w:r>
                    <w:rPr>
                      <w:rFonts w:hint="eastAsia"/>
                      <w:color w:val="auto"/>
                      <w:highlight w:val="none"/>
                    </w:rPr>
                    <w:t>150g/a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环烷酸钴</w:t>
                  </w:r>
                </w:p>
              </w:tc>
              <w:tc>
                <w:tcPr>
                  <w:tcW w:w="2052" w:type="dxa"/>
                  <w:vAlign w:val="center"/>
                </w:tcPr>
                <w:p>
                  <w:pPr>
                    <w:pStyle w:val="30"/>
                    <w:rPr>
                      <w:color w:val="auto"/>
                      <w:highlight w:val="none"/>
                    </w:rPr>
                  </w:pPr>
                  <w:r>
                    <w:rPr>
                      <w:rFonts w:hint="eastAsia"/>
                      <w:color w:val="auto"/>
                      <w:highlight w:val="none"/>
                    </w:rPr>
                    <w:t>15g/a</w:t>
                  </w:r>
                </w:p>
              </w:tc>
              <w:tc>
                <w:tcPr>
                  <w:tcW w:w="2326" w:type="dxa"/>
                  <w:vAlign w:val="center"/>
                </w:tcPr>
                <w:p>
                  <w:pPr>
                    <w:pStyle w:val="30"/>
                    <w:rPr>
                      <w:color w:val="auto"/>
                      <w:highlight w:val="none"/>
                    </w:rPr>
                  </w:pPr>
                  <w:r>
                    <w:rPr>
                      <w:rFonts w:hint="eastAsia"/>
                      <w:color w:val="auto"/>
                      <w:highlight w:val="none"/>
                    </w:rPr>
                    <w:t>过硫酸铵</w:t>
                  </w:r>
                </w:p>
              </w:tc>
              <w:tc>
                <w:tcPr>
                  <w:tcW w:w="1779" w:type="dxa"/>
                  <w:vAlign w:val="center"/>
                </w:tcPr>
                <w:p>
                  <w:pPr>
                    <w:pStyle w:val="30"/>
                    <w:rPr>
                      <w:color w:val="auto"/>
                      <w:highlight w:val="none"/>
                    </w:rPr>
                  </w:pPr>
                  <w:r>
                    <w:rPr>
                      <w:rFonts w:hint="eastAsia"/>
                      <w:color w:val="auto"/>
                      <w:highlight w:val="none"/>
                    </w:rPr>
                    <w:t>0.3kg/a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磷酸</w:t>
                  </w:r>
                </w:p>
              </w:tc>
              <w:tc>
                <w:tcPr>
                  <w:tcW w:w="2052" w:type="dxa"/>
                  <w:vAlign w:val="center"/>
                </w:tcPr>
                <w:p>
                  <w:pPr>
                    <w:pStyle w:val="30"/>
                    <w:rPr>
                      <w:color w:val="auto"/>
                      <w:highlight w:val="none"/>
                    </w:rPr>
                  </w:pPr>
                  <w:r>
                    <w:rPr>
                      <w:rFonts w:hint="eastAsia"/>
                      <w:color w:val="auto"/>
                      <w:highlight w:val="none"/>
                    </w:rPr>
                    <w:t>1.5L/a</w:t>
                  </w:r>
                </w:p>
              </w:tc>
              <w:tc>
                <w:tcPr>
                  <w:tcW w:w="2326" w:type="dxa"/>
                  <w:vAlign w:val="center"/>
                </w:tcPr>
                <w:p>
                  <w:pPr>
                    <w:pStyle w:val="30"/>
                    <w:rPr>
                      <w:color w:val="auto"/>
                      <w:highlight w:val="none"/>
                    </w:rPr>
                  </w:pPr>
                  <w:r>
                    <w:rPr>
                      <w:rFonts w:hint="eastAsia"/>
                      <w:color w:val="auto"/>
                      <w:highlight w:val="none"/>
                    </w:rPr>
                    <w:t>十二烷基苯磺酸钠</w:t>
                  </w:r>
                </w:p>
              </w:tc>
              <w:tc>
                <w:tcPr>
                  <w:tcW w:w="1779" w:type="dxa"/>
                  <w:vAlign w:val="center"/>
                </w:tcPr>
                <w:p>
                  <w:pPr>
                    <w:pStyle w:val="30"/>
                    <w:rPr>
                      <w:color w:val="auto"/>
                      <w:highlight w:val="none"/>
                    </w:rPr>
                  </w:pPr>
                  <w:r>
                    <w:rPr>
                      <w:rFonts w:hint="eastAsia"/>
                      <w:color w:val="auto"/>
                      <w:highlight w:val="none"/>
                    </w:rPr>
                    <w:t>150g/a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马来酸</w:t>
                  </w:r>
                </w:p>
              </w:tc>
              <w:tc>
                <w:tcPr>
                  <w:tcW w:w="2052" w:type="dxa"/>
                  <w:vAlign w:val="center"/>
                </w:tcPr>
                <w:p>
                  <w:pPr>
                    <w:pStyle w:val="30"/>
                    <w:rPr>
                      <w:color w:val="auto"/>
                      <w:highlight w:val="none"/>
                    </w:rPr>
                  </w:pPr>
                  <w:r>
                    <w:rPr>
                      <w:rFonts w:hint="eastAsia"/>
                      <w:color w:val="auto"/>
                      <w:highlight w:val="none"/>
                    </w:rPr>
                    <w:t>150g/a</w:t>
                  </w:r>
                </w:p>
              </w:tc>
              <w:tc>
                <w:tcPr>
                  <w:tcW w:w="2326" w:type="dxa"/>
                  <w:vAlign w:val="center"/>
                </w:tcPr>
                <w:p>
                  <w:pPr>
                    <w:pStyle w:val="30"/>
                    <w:rPr>
                      <w:color w:val="auto"/>
                      <w:highlight w:val="none"/>
                    </w:rPr>
                  </w:pPr>
                  <w:r>
                    <w:rPr>
                      <w:rFonts w:hint="eastAsia"/>
                      <w:color w:val="auto"/>
                      <w:highlight w:val="none"/>
                    </w:rPr>
                    <w:t>氢氧化铝</w:t>
                  </w:r>
                </w:p>
              </w:tc>
              <w:tc>
                <w:tcPr>
                  <w:tcW w:w="1779" w:type="dxa"/>
                  <w:vAlign w:val="center"/>
                </w:tcPr>
                <w:p>
                  <w:pPr>
                    <w:pStyle w:val="30"/>
                    <w:rPr>
                      <w:color w:val="auto"/>
                      <w:highlight w:val="none"/>
                    </w:rPr>
                  </w:pPr>
                  <w:r>
                    <w:rPr>
                      <w:rFonts w:hint="eastAsia"/>
                      <w:color w:val="auto"/>
                      <w:highlight w:val="none"/>
                    </w:rPr>
                    <w:t>1kg/a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环氧氯丙烷</w:t>
                  </w:r>
                </w:p>
              </w:tc>
              <w:tc>
                <w:tcPr>
                  <w:tcW w:w="2052" w:type="dxa"/>
                  <w:vAlign w:val="center"/>
                </w:tcPr>
                <w:p>
                  <w:pPr>
                    <w:pStyle w:val="30"/>
                    <w:rPr>
                      <w:color w:val="auto"/>
                      <w:highlight w:val="none"/>
                    </w:rPr>
                  </w:pPr>
                  <w:r>
                    <w:rPr>
                      <w:rFonts w:hint="eastAsia"/>
                      <w:color w:val="auto"/>
                      <w:highlight w:val="none"/>
                    </w:rPr>
                    <w:t>30mL/a</w:t>
                  </w:r>
                </w:p>
              </w:tc>
              <w:tc>
                <w:tcPr>
                  <w:tcW w:w="2326" w:type="dxa"/>
                  <w:vAlign w:val="center"/>
                </w:tcPr>
                <w:p>
                  <w:pPr>
                    <w:pStyle w:val="30"/>
                    <w:rPr>
                      <w:color w:val="auto"/>
                      <w:highlight w:val="none"/>
                    </w:rPr>
                  </w:pPr>
                  <w:r>
                    <w:rPr>
                      <w:rFonts w:hint="eastAsia"/>
                      <w:color w:val="auto"/>
                      <w:highlight w:val="none"/>
                    </w:rPr>
                    <w:t>硅烷偶联剂</w:t>
                  </w:r>
                </w:p>
              </w:tc>
              <w:tc>
                <w:tcPr>
                  <w:tcW w:w="1779" w:type="dxa"/>
                  <w:vAlign w:val="center"/>
                </w:tcPr>
                <w:p>
                  <w:pPr>
                    <w:pStyle w:val="30"/>
                    <w:rPr>
                      <w:color w:val="auto"/>
                      <w:highlight w:val="none"/>
                    </w:rPr>
                  </w:pPr>
                  <w:r>
                    <w:rPr>
                      <w:rFonts w:hint="eastAsia"/>
                      <w:color w:val="auto"/>
                      <w:highlight w:val="none"/>
                    </w:rPr>
                    <w:t>0.3kg/a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52" w:type="dxa"/>
                  <w:vAlign w:val="center"/>
                </w:tcPr>
                <w:p>
                  <w:pPr>
                    <w:pStyle w:val="30"/>
                    <w:rPr>
                      <w:color w:val="auto"/>
                      <w:highlight w:val="none"/>
                    </w:rPr>
                  </w:pPr>
                  <w:r>
                    <w:rPr>
                      <w:rFonts w:hint="eastAsia"/>
                      <w:color w:val="auto"/>
                      <w:highlight w:val="none"/>
                    </w:rPr>
                    <w:t>过硫酸钾</w:t>
                  </w:r>
                </w:p>
              </w:tc>
              <w:tc>
                <w:tcPr>
                  <w:tcW w:w="2052" w:type="dxa"/>
                  <w:vAlign w:val="center"/>
                </w:tcPr>
                <w:p>
                  <w:pPr>
                    <w:pStyle w:val="30"/>
                    <w:rPr>
                      <w:color w:val="auto"/>
                      <w:highlight w:val="none"/>
                    </w:rPr>
                  </w:pPr>
                  <w:r>
                    <w:rPr>
                      <w:rFonts w:hint="eastAsia"/>
                      <w:color w:val="auto"/>
                      <w:highlight w:val="none"/>
                    </w:rPr>
                    <w:t>1kg/a</w:t>
                  </w:r>
                </w:p>
              </w:tc>
              <w:tc>
                <w:tcPr>
                  <w:tcW w:w="2326" w:type="dxa"/>
                  <w:vAlign w:val="center"/>
                </w:tcPr>
                <w:p>
                  <w:pPr>
                    <w:pStyle w:val="30"/>
                    <w:rPr>
                      <w:color w:val="auto"/>
                      <w:highlight w:val="none"/>
                    </w:rPr>
                  </w:pPr>
                  <w:r>
                    <w:rPr>
                      <w:rFonts w:hint="eastAsia"/>
                      <w:color w:val="auto"/>
                      <w:highlight w:val="none"/>
                    </w:rPr>
                    <w:t>溴水</w:t>
                  </w:r>
                </w:p>
              </w:tc>
              <w:tc>
                <w:tcPr>
                  <w:tcW w:w="1779" w:type="dxa"/>
                  <w:vAlign w:val="center"/>
                </w:tcPr>
                <w:p>
                  <w:pPr>
                    <w:pStyle w:val="30"/>
                    <w:rPr>
                      <w:color w:val="auto"/>
                      <w:highlight w:val="none"/>
                    </w:rPr>
                  </w:pPr>
                  <w:r>
                    <w:rPr>
                      <w:rFonts w:hint="eastAsia"/>
                      <w:color w:val="auto"/>
                      <w:highlight w:val="none"/>
                    </w:rPr>
                    <w:t>150mL/a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052" w:type="dxa"/>
                  <w:vAlign w:val="center"/>
                </w:tcPr>
                <w:p>
                  <w:pPr>
                    <w:pStyle w:val="30"/>
                    <w:rPr>
                      <w:color w:val="auto"/>
                      <w:highlight w:val="none"/>
                    </w:rPr>
                  </w:pPr>
                  <w:r>
                    <w:rPr>
                      <w:rFonts w:hint="eastAsia"/>
                      <w:color w:val="auto"/>
                      <w:highlight w:val="none"/>
                    </w:rPr>
                    <w:t>淀粉</w:t>
                  </w:r>
                </w:p>
              </w:tc>
              <w:tc>
                <w:tcPr>
                  <w:tcW w:w="2052" w:type="dxa"/>
                  <w:vAlign w:val="center"/>
                </w:tcPr>
                <w:p>
                  <w:pPr>
                    <w:pStyle w:val="30"/>
                    <w:rPr>
                      <w:color w:val="auto"/>
                      <w:highlight w:val="none"/>
                    </w:rPr>
                  </w:pPr>
                  <w:r>
                    <w:rPr>
                      <w:rFonts w:hint="eastAsia"/>
                      <w:color w:val="auto"/>
                      <w:highlight w:val="none"/>
                    </w:rPr>
                    <w:t>6kg/a</w:t>
                  </w:r>
                </w:p>
              </w:tc>
              <w:tc>
                <w:tcPr>
                  <w:tcW w:w="2326" w:type="dxa"/>
                  <w:vAlign w:val="center"/>
                </w:tcPr>
                <w:p>
                  <w:pPr>
                    <w:pStyle w:val="30"/>
                    <w:rPr>
                      <w:color w:val="auto"/>
                      <w:highlight w:val="none"/>
                    </w:rPr>
                  </w:pPr>
                  <w:r>
                    <w:rPr>
                      <w:rFonts w:hint="eastAsia"/>
                      <w:color w:val="auto"/>
                      <w:highlight w:val="none"/>
                    </w:rPr>
                    <w:t>次亚磷酸</w:t>
                  </w:r>
                </w:p>
              </w:tc>
              <w:tc>
                <w:tcPr>
                  <w:tcW w:w="1779" w:type="dxa"/>
                  <w:vAlign w:val="center"/>
                </w:tcPr>
                <w:p>
                  <w:pPr>
                    <w:pStyle w:val="30"/>
                    <w:rPr>
                      <w:color w:val="auto"/>
                      <w:highlight w:val="none"/>
                    </w:rPr>
                  </w:pPr>
                  <w:r>
                    <w:rPr>
                      <w:rFonts w:hint="eastAsia"/>
                      <w:color w:val="auto"/>
                      <w:highlight w:val="none"/>
                    </w:rPr>
                    <w:t>30mL/a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尿素</w:t>
                  </w:r>
                </w:p>
              </w:tc>
              <w:tc>
                <w:tcPr>
                  <w:tcW w:w="2052" w:type="dxa"/>
                  <w:vAlign w:val="center"/>
                </w:tcPr>
                <w:p>
                  <w:pPr>
                    <w:pStyle w:val="30"/>
                    <w:rPr>
                      <w:color w:val="auto"/>
                      <w:highlight w:val="none"/>
                    </w:rPr>
                  </w:pPr>
                  <w:r>
                    <w:rPr>
                      <w:rFonts w:hint="eastAsia"/>
                      <w:color w:val="auto"/>
                      <w:highlight w:val="none"/>
                    </w:rPr>
                    <w:t>0.6kg/a</w:t>
                  </w:r>
                </w:p>
              </w:tc>
              <w:tc>
                <w:tcPr>
                  <w:tcW w:w="2326" w:type="dxa"/>
                  <w:vAlign w:val="center"/>
                </w:tcPr>
                <w:p>
                  <w:pPr>
                    <w:pStyle w:val="30"/>
                    <w:rPr>
                      <w:color w:val="auto"/>
                      <w:highlight w:val="none"/>
                    </w:rPr>
                  </w:pPr>
                  <w:r>
                    <w:rPr>
                      <w:rFonts w:hint="eastAsia"/>
                      <w:color w:val="auto"/>
                      <w:highlight w:val="none"/>
                    </w:rPr>
                    <w:t>正癸醇</w:t>
                  </w:r>
                </w:p>
              </w:tc>
              <w:tc>
                <w:tcPr>
                  <w:tcW w:w="1779" w:type="dxa"/>
                  <w:vAlign w:val="center"/>
                </w:tcPr>
                <w:p>
                  <w:pPr>
                    <w:pStyle w:val="30"/>
                    <w:rPr>
                      <w:color w:val="auto"/>
                      <w:highlight w:val="none"/>
                    </w:rPr>
                  </w:pPr>
                  <w:r>
                    <w:rPr>
                      <w:rFonts w:hint="eastAsia"/>
                      <w:color w:val="auto"/>
                      <w:highlight w:val="none"/>
                    </w:rPr>
                    <w:t>30mL/a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硫酸锌</w:t>
                  </w:r>
                </w:p>
              </w:tc>
              <w:tc>
                <w:tcPr>
                  <w:tcW w:w="2052" w:type="dxa"/>
                  <w:vAlign w:val="center"/>
                </w:tcPr>
                <w:p>
                  <w:pPr>
                    <w:pStyle w:val="30"/>
                    <w:rPr>
                      <w:color w:val="auto"/>
                      <w:highlight w:val="none"/>
                    </w:rPr>
                  </w:pPr>
                  <w:r>
                    <w:rPr>
                      <w:rFonts w:hint="eastAsia"/>
                      <w:color w:val="auto"/>
                      <w:highlight w:val="none"/>
                    </w:rPr>
                    <w:t>0.6kg/a</w:t>
                  </w:r>
                </w:p>
              </w:tc>
              <w:tc>
                <w:tcPr>
                  <w:tcW w:w="2326" w:type="dxa"/>
                  <w:vAlign w:val="center"/>
                </w:tcPr>
                <w:p>
                  <w:pPr>
                    <w:pStyle w:val="30"/>
                    <w:rPr>
                      <w:color w:val="auto"/>
                      <w:highlight w:val="none"/>
                    </w:rPr>
                  </w:pPr>
                  <w:r>
                    <w:rPr>
                      <w:rFonts w:hint="eastAsia"/>
                      <w:color w:val="auto"/>
                      <w:highlight w:val="none"/>
                    </w:rPr>
                    <w:t>硫酸</w:t>
                  </w:r>
                </w:p>
              </w:tc>
              <w:tc>
                <w:tcPr>
                  <w:tcW w:w="1779" w:type="dxa"/>
                  <w:vAlign w:val="center"/>
                </w:tcPr>
                <w:p>
                  <w:pPr>
                    <w:pStyle w:val="30"/>
                    <w:rPr>
                      <w:color w:val="auto"/>
                      <w:highlight w:val="none"/>
                    </w:rPr>
                  </w:pPr>
                  <w:r>
                    <w:rPr>
                      <w:rFonts w:hint="eastAsia"/>
                      <w:color w:val="auto"/>
                      <w:highlight w:val="none"/>
                    </w:rPr>
                    <w:t>25L/a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碘</w:t>
                  </w:r>
                </w:p>
              </w:tc>
              <w:tc>
                <w:tcPr>
                  <w:tcW w:w="2052" w:type="dxa"/>
                  <w:vAlign w:val="center"/>
                </w:tcPr>
                <w:p>
                  <w:pPr>
                    <w:pStyle w:val="30"/>
                    <w:rPr>
                      <w:color w:val="auto"/>
                      <w:highlight w:val="none"/>
                    </w:rPr>
                  </w:pPr>
                  <w:r>
                    <w:rPr>
                      <w:rFonts w:hint="eastAsia"/>
                      <w:color w:val="auto"/>
                      <w:highlight w:val="none"/>
                    </w:rPr>
                    <w:t>150g/a</w:t>
                  </w:r>
                </w:p>
              </w:tc>
              <w:tc>
                <w:tcPr>
                  <w:tcW w:w="2326" w:type="dxa"/>
                  <w:vAlign w:val="center"/>
                </w:tcPr>
                <w:p>
                  <w:pPr>
                    <w:pStyle w:val="30"/>
                    <w:rPr>
                      <w:color w:val="auto"/>
                      <w:highlight w:val="none"/>
                    </w:rPr>
                  </w:pPr>
                  <w:r>
                    <w:rPr>
                      <w:rFonts w:hint="eastAsia"/>
                      <w:color w:val="auto"/>
                      <w:highlight w:val="none"/>
                    </w:rPr>
                    <w:t>无水三氯化铝</w:t>
                  </w:r>
                </w:p>
              </w:tc>
              <w:tc>
                <w:tcPr>
                  <w:tcW w:w="1779" w:type="dxa"/>
                  <w:vAlign w:val="center"/>
                </w:tcPr>
                <w:p>
                  <w:pPr>
                    <w:pStyle w:val="30"/>
                    <w:rPr>
                      <w:color w:val="auto"/>
                      <w:highlight w:val="none"/>
                    </w:rPr>
                  </w:pPr>
                  <w:r>
                    <w:rPr>
                      <w:rFonts w:hint="eastAsia"/>
                      <w:color w:val="auto"/>
                      <w:highlight w:val="none"/>
                    </w:rPr>
                    <w:t>0.3kg/a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对甲苯磺酸</w:t>
                  </w:r>
                </w:p>
              </w:tc>
              <w:tc>
                <w:tcPr>
                  <w:tcW w:w="2052" w:type="dxa"/>
                  <w:vAlign w:val="center"/>
                </w:tcPr>
                <w:p>
                  <w:pPr>
                    <w:pStyle w:val="30"/>
                    <w:rPr>
                      <w:color w:val="auto"/>
                      <w:highlight w:val="none"/>
                    </w:rPr>
                  </w:pPr>
                  <w:r>
                    <w:rPr>
                      <w:rFonts w:hint="eastAsia"/>
                      <w:color w:val="auto"/>
                      <w:highlight w:val="none"/>
                    </w:rPr>
                    <w:t>150g/a</w:t>
                  </w:r>
                </w:p>
              </w:tc>
              <w:tc>
                <w:tcPr>
                  <w:tcW w:w="2326" w:type="dxa"/>
                  <w:vAlign w:val="center"/>
                </w:tcPr>
                <w:p>
                  <w:pPr>
                    <w:pStyle w:val="30"/>
                    <w:rPr>
                      <w:color w:val="auto"/>
                      <w:highlight w:val="none"/>
                    </w:rPr>
                  </w:pPr>
                  <w:r>
                    <w:rPr>
                      <w:rFonts w:hint="eastAsia"/>
                      <w:color w:val="auto"/>
                      <w:highlight w:val="none"/>
                    </w:rPr>
                    <w:t>硫酸铜</w:t>
                  </w:r>
                </w:p>
              </w:tc>
              <w:tc>
                <w:tcPr>
                  <w:tcW w:w="1779" w:type="dxa"/>
                  <w:vAlign w:val="center"/>
                </w:tcPr>
                <w:p>
                  <w:pPr>
                    <w:pStyle w:val="30"/>
                    <w:rPr>
                      <w:color w:val="auto"/>
                      <w:highlight w:val="none"/>
                    </w:rPr>
                  </w:pPr>
                  <w:r>
                    <w:rPr>
                      <w:rFonts w:hint="eastAsia"/>
                      <w:color w:val="auto"/>
                      <w:highlight w:val="none"/>
                    </w:rPr>
                    <w:t>150g/a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正辛醇</w:t>
                  </w:r>
                </w:p>
              </w:tc>
              <w:tc>
                <w:tcPr>
                  <w:tcW w:w="2052" w:type="dxa"/>
                  <w:vAlign w:val="center"/>
                </w:tcPr>
                <w:p>
                  <w:pPr>
                    <w:pStyle w:val="30"/>
                    <w:rPr>
                      <w:color w:val="auto"/>
                      <w:highlight w:val="none"/>
                    </w:rPr>
                  </w:pPr>
                  <w:r>
                    <w:rPr>
                      <w:rFonts w:hint="eastAsia"/>
                      <w:color w:val="auto"/>
                      <w:highlight w:val="none"/>
                    </w:rPr>
                    <w:t>30mL/a</w:t>
                  </w:r>
                </w:p>
              </w:tc>
              <w:tc>
                <w:tcPr>
                  <w:tcW w:w="2326" w:type="dxa"/>
                  <w:vAlign w:val="center"/>
                </w:tcPr>
                <w:p>
                  <w:pPr>
                    <w:pStyle w:val="30"/>
                    <w:rPr>
                      <w:color w:val="auto"/>
                      <w:highlight w:val="none"/>
                    </w:rPr>
                  </w:pPr>
                  <w:r>
                    <w:rPr>
                      <w:rFonts w:hint="eastAsia"/>
                      <w:color w:val="auto"/>
                      <w:highlight w:val="none"/>
                    </w:rPr>
                    <w:t>无水碳酸钠</w:t>
                  </w:r>
                </w:p>
              </w:tc>
              <w:tc>
                <w:tcPr>
                  <w:tcW w:w="1779" w:type="dxa"/>
                  <w:vAlign w:val="center"/>
                </w:tcPr>
                <w:p>
                  <w:pPr>
                    <w:pStyle w:val="30"/>
                    <w:rPr>
                      <w:color w:val="auto"/>
                      <w:highlight w:val="none"/>
                    </w:rPr>
                  </w:pPr>
                  <w:r>
                    <w:rPr>
                      <w:rFonts w:hint="eastAsia"/>
                      <w:color w:val="auto"/>
                      <w:highlight w:val="none"/>
                    </w:rPr>
                    <w:t>0.6kg/a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葡萄糖</w:t>
                  </w:r>
                </w:p>
              </w:tc>
              <w:tc>
                <w:tcPr>
                  <w:tcW w:w="2052" w:type="dxa"/>
                  <w:vAlign w:val="center"/>
                </w:tcPr>
                <w:p>
                  <w:pPr>
                    <w:pStyle w:val="30"/>
                    <w:rPr>
                      <w:color w:val="auto"/>
                      <w:highlight w:val="none"/>
                    </w:rPr>
                  </w:pPr>
                  <w:r>
                    <w:rPr>
                      <w:rFonts w:hint="eastAsia"/>
                      <w:color w:val="auto"/>
                      <w:highlight w:val="none"/>
                    </w:rPr>
                    <w:t>1.5kg/a</w:t>
                  </w:r>
                </w:p>
              </w:tc>
              <w:tc>
                <w:tcPr>
                  <w:tcW w:w="2326" w:type="dxa"/>
                  <w:vAlign w:val="center"/>
                </w:tcPr>
                <w:p>
                  <w:pPr>
                    <w:pStyle w:val="30"/>
                    <w:rPr>
                      <w:color w:val="auto"/>
                      <w:highlight w:val="none"/>
                    </w:rPr>
                  </w:pPr>
                  <w:r>
                    <w:rPr>
                      <w:rFonts w:hint="eastAsia"/>
                      <w:color w:val="auto"/>
                      <w:highlight w:val="none"/>
                    </w:rPr>
                    <w:t>高锰酸钾</w:t>
                  </w:r>
                </w:p>
              </w:tc>
              <w:tc>
                <w:tcPr>
                  <w:tcW w:w="1779" w:type="dxa"/>
                  <w:vAlign w:val="center"/>
                </w:tcPr>
                <w:p>
                  <w:pPr>
                    <w:pStyle w:val="30"/>
                    <w:rPr>
                      <w:color w:val="auto"/>
                      <w:highlight w:val="none"/>
                    </w:rPr>
                  </w:pPr>
                  <w:r>
                    <w:rPr>
                      <w:rFonts w:hint="eastAsia"/>
                      <w:color w:val="auto"/>
                      <w:highlight w:val="none"/>
                    </w:rPr>
                    <w:t>1kg/a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十二烷基苯磺酸</w:t>
                  </w:r>
                </w:p>
              </w:tc>
              <w:tc>
                <w:tcPr>
                  <w:tcW w:w="2052" w:type="dxa"/>
                  <w:vAlign w:val="center"/>
                </w:tcPr>
                <w:p>
                  <w:pPr>
                    <w:pStyle w:val="30"/>
                    <w:rPr>
                      <w:color w:val="auto"/>
                      <w:highlight w:val="none"/>
                    </w:rPr>
                  </w:pPr>
                  <w:r>
                    <w:rPr>
                      <w:rFonts w:hint="eastAsia"/>
                      <w:color w:val="auto"/>
                      <w:highlight w:val="none"/>
                    </w:rPr>
                    <w:t>150mL/a</w:t>
                  </w:r>
                </w:p>
              </w:tc>
              <w:tc>
                <w:tcPr>
                  <w:tcW w:w="2326" w:type="dxa"/>
                  <w:vAlign w:val="center"/>
                </w:tcPr>
                <w:p>
                  <w:pPr>
                    <w:pStyle w:val="30"/>
                    <w:rPr>
                      <w:color w:val="auto"/>
                      <w:highlight w:val="none"/>
                    </w:rPr>
                  </w:pPr>
                  <w:r>
                    <w:rPr>
                      <w:rFonts w:hint="eastAsia"/>
                      <w:color w:val="auto"/>
                      <w:highlight w:val="none"/>
                    </w:rPr>
                    <w:t>石英砂</w:t>
                  </w:r>
                </w:p>
              </w:tc>
              <w:tc>
                <w:tcPr>
                  <w:tcW w:w="1779" w:type="dxa"/>
                  <w:vAlign w:val="center"/>
                </w:tcPr>
                <w:p>
                  <w:pPr>
                    <w:pStyle w:val="30"/>
                    <w:rPr>
                      <w:color w:val="auto"/>
                      <w:highlight w:val="none"/>
                    </w:rPr>
                  </w:pPr>
                  <w:r>
                    <w:rPr>
                      <w:rFonts w:hint="eastAsia"/>
                      <w:color w:val="auto"/>
                      <w:highlight w:val="none"/>
                    </w:rPr>
                    <w:t>1.5kg/a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乙二胺四乙酸</w:t>
                  </w:r>
                </w:p>
              </w:tc>
              <w:tc>
                <w:tcPr>
                  <w:tcW w:w="2052" w:type="dxa"/>
                  <w:vAlign w:val="center"/>
                </w:tcPr>
                <w:p>
                  <w:pPr>
                    <w:pStyle w:val="30"/>
                    <w:rPr>
                      <w:color w:val="auto"/>
                      <w:highlight w:val="none"/>
                    </w:rPr>
                  </w:pPr>
                  <w:r>
                    <w:rPr>
                      <w:rFonts w:hint="eastAsia"/>
                      <w:color w:val="auto"/>
                      <w:highlight w:val="none"/>
                    </w:rPr>
                    <w:t>150mL/a</w:t>
                  </w:r>
                </w:p>
              </w:tc>
              <w:tc>
                <w:tcPr>
                  <w:tcW w:w="2326" w:type="dxa"/>
                  <w:vAlign w:val="center"/>
                </w:tcPr>
                <w:p>
                  <w:pPr>
                    <w:pStyle w:val="30"/>
                    <w:rPr>
                      <w:color w:val="auto"/>
                      <w:highlight w:val="none"/>
                    </w:rPr>
                  </w:pPr>
                  <w:r>
                    <w:rPr>
                      <w:rFonts w:hint="eastAsia"/>
                      <w:color w:val="auto"/>
                      <w:highlight w:val="none"/>
                    </w:rPr>
                    <w:t>硼酸</w:t>
                  </w:r>
                </w:p>
              </w:tc>
              <w:tc>
                <w:tcPr>
                  <w:tcW w:w="1779" w:type="dxa"/>
                  <w:vAlign w:val="center"/>
                </w:tcPr>
                <w:p>
                  <w:pPr>
                    <w:pStyle w:val="30"/>
                    <w:rPr>
                      <w:color w:val="auto"/>
                      <w:highlight w:val="none"/>
                    </w:rPr>
                  </w:pPr>
                  <w:r>
                    <w:rPr>
                      <w:rFonts w:hint="eastAsia"/>
                      <w:color w:val="auto"/>
                      <w:highlight w:val="none"/>
                    </w:rPr>
                    <w:t>150mL/a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酒石酸钾钠</w:t>
                  </w:r>
                </w:p>
              </w:tc>
              <w:tc>
                <w:tcPr>
                  <w:tcW w:w="2052" w:type="dxa"/>
                  <w:vAlign w:val="center"/>
                </w:tcPr>
                <w:p>
                  <w:pPr>
                    <w:pStyle w:val="30"/>
                    <w:rPr>
                      <w:color w:val="auto"/>
                      <w:highlight w:val="none"/>
                    </w:rPr>
                  </w:pPr>
                  <w:r>
                    <w:rPr>
                      <w:rFonts w:hint="eastAsia"/>
                      <w:color w:val="auto"/>
                      <w:highlight w:val="none"/>
                    </w:rPr>
                    <w:t>15g/a</w:t>
                  </w:r>
                </w:p>
              </w:tc>
              <w:tc>
                <w:tcPr>
                  <w:tcW w:w="2326" w:type="dxa"/>
                  <w:vAlign w:val="center"/>
                </w:tcPr>
                <w:p>
                  <w:pPr>
                    <w:pStyle w:val="30"/>
                    <w:rPr>
                      <w:color w:val="auto"/>
                      <w:highlight w:val="none"/>
                    </w:rPr>
                  </w:pPr>
                  <w:r>
                    <w:rPr>
                      <w:rFonts w:hint="eastAsia"/>
                      <w:color w:val="auto"/>
                      <w:highlight w:val="none"/>
                    </w:rPr>
                    <w:t>2,4-二硝基苯酚</w:t>
                  </w:r>
                </w:p>
              </w:tc>
              <w:tc>
                <w:tcPr>
                  <w:tcW w:w="1779" w:type="dxa"/>
                  <w:vAlign w:val="center"/>
                </w:tcPr>
                <w:p>
                  <w:pPr>
                    <w:pStyle w:val="30"/>
                    <w:rPr>
                      <w:color w:val="auto"/>
                      <w:highlight w:val="none"/>
                    </w:rPr>
                  </w:pPr>
                  <w:r>
                    <w:rPr>
                      <w:rFonts w:hint="eastAsia"/>
                      <w:color w:val="auto"/>
                      <w:highlight w:val="none"/>
                    </w:rPr>
                    <w:t>0.3kg/a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乙酸锌</w:t>
                  </w:r>
                </w:p>
              </w:tc>
              <w:tc>
                <w:tcPr>
                  <w:tcW w:w="2052" w:type="dxa"/>
                  <w:vAlign w:val="center"/>
                </w:tcPr>
                <w:p>
                  <w:pPr>
                    <w:pStyle w:val="30"/>
                    <w:rPr>
                      <w:color w:val="auto"/>
                      <w:highlight w:val="none"/>
                    </w:rPr>
                  </w:pPr>
                  <w:r>
                    <w:rPr>
                      <w:rFonts w:hint="eastAsia"/>
                      <w:color w:val="auto"/>
                      <w:highlight w:val="none"/>
                    </w:rPr>
                    <w:t>300g/a</w:t>
                  </w:r>
                </w:p>
              </w:tc>
              <w:tc>
                <w:tcPr>
                  <w:tcW w:w="2326" w:type="dxa"/>
                  <w:vAlign w:val="center"/>
                </w:tcPr>
                <w:p>
                  <w:pPr>
                    <w:pStyle w:val="30"/>
                    <w:rPr>
                      <w:color w:val="auto"/>
                      <w:highlight w:val="none"/>
                    </w:rPr>
                  </w:pPr>
                  <w:r>
                    <w:rPr>
                      <w:rFonts w:hint="eastAsia"/>
                      <w:color w:val="auto"/>
                      <w:highlight w:val="none"/>
                    </w:rPr>
                    <w:t>聚乙二醇</w:t>
                  </w:r>
                </w:p>
              </w:tc>
              <w:tc>
                <w:tcPr>
                  <w:tcW w:w="1779" w:type="dxa"/>
                  <w:vAlign w:val="center"/>
                </w:tcPr>
                <w:p>
                  <w:pPr>
                    <w:pStyle w:val="30"/>
                    <w:rPr>
                      <w:color w:val="auto"/>
                      <w:highlight w:val="none"/>
                    </w:rPr>
                  </w:pPr>
                  <w:r>
                    <w:rPr>
                      <w:rFonts w:hint="eastAsia"/>
                      <w:color w:val="auto"/>
                      <w:highlight w:val="none"/>
                    </w:rPr>
                    <w:t>150g/a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碳酸钠</w:t>
                  </w:r>
                </w:p>
              </w:tc>
              <w:tc>
                <w:tcPr>
                  <w:tcW w:w="2052" w:type="dxa"/>
                  <w:vAlign w:val="center"/>
                </w:tcPr>
                <w:p>
                  <w:pPr>
                    <w:pStyle w:val="30"/>
                    <w:rPr>
                      <w:color w:val="auto"/>
                      <w:highlight w:val="none"/>
                    </w:rPr>
                  </w:pPr>
                  <w:r>
                    <w:rPr>
                      <w:rFonts w:hint="eastAsia"/>
                      <w:color w:val="auto"/>
                      <w:highlight w:val="none"/>
                    </w:rPr>
                    <w:t>150g/a</w:t>
                  </w:r>
                </w:p>
              </w:tc>
              <w:tc>
                <w:tcPr>
                  <w:tcW w:w="2326" w:type="dxa"/>
                  <w:vAlign w:val="center"/>
                </w:tcPr>
                <w:p>
                  <w:pPr>
                    <w:pStyle w:val="30"/>
                    <w:rPr>
                      <w:color w:val="auto"/>
                      <w:highlight w:val="none"/>
                    </w:rPr>
                  </w:pPr>
                  <w:r>
                    <w:rPr>
                      <w:rFonts w:hint="eastAsia"/>
                      <w:color w:val="auto"/>
                      <w:highlight w:val="none"/>
                    </w:rPr>
                    <w:t>氨水</w:t>
                  </w:r>
                </w:p>
              </w:tc>
              <w:tc>
                <w:tcPr>
                  <w:tcW w:w="1779" w:type="dxa"/>
                  <w:vAlign w:val="center"/>
                </w:tcPr>
                <w:p>
                  <w:pPr>
                    <w:pStyle w:val="30"/>
                    <w:rPr>
                      <w:color w:val="auto"/>
                      <w:highlight w:val="none"/>
                    </w:rPr>
                  </w:pPr>
                  <w:r>
                    <w:rPr>
                      <w:rFonts w:hint="eastAsia"/>
                      <w:color w:val="auto"/>
                      <w:highlight w:val="none"/>
                    </w:rPr>
                    <w:t>15L/a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氧化铁</w:t>
                  </w:r>
                </w:p>
              </w:tc>
              <w:tc>
                <w:tcPr>
                  <w:tcW w:w="2052" w:type="dxa"/>
                  <w:vAlign w:val="center"/>
                </w:tcPr>
                <w:p>
                  <w:pPr>
                    <w:pStyle w:val="30"/>
                    <w:rPr>
                      <w:color w:val="auto"/>
                      <w:highlight w:val="none"/>
                    </w:rPr>
                  </w:pPr>
                  <w:r>
                    <w:rPr>
                      <w:rFonts w:hint="eastAsia"/>
                      <w:color w:val="auto"/>
                      <w:highlight w:val="none"/>
                    </w:rPr>
                    <w:t>150g/a</w:t>
                  </w:r>
                </w:p>
              </w:tc>
              <w:tc>
                <w:tcPr>
                  <w:tcW w:w="2326" w:type="dxa"/>
                  <w:vAlign w:val="center"/>
                </w:tcPr>
                <w:p>
                  <w:pPr>
                    <w:pStyle w:val="30"/>
                    <w:rPr>
                      <w:color w:val="auto"/>
                      <w:highlight w:val="none"/>
                    </w:rPr>
                  </w:pPr>
                  <w:r>
                    <w:rPr>
                      <w:rFonts w:hint="eastAsia"/>
                      <w:color w:val="auto"/>
                      <w:highlight w:val="none"/>
                    </w:rPr>
                    <w:t>氢氟酸</w:t>
                  </w:r>
                </w:p>
              </w:tc>
              <w:tc>
                <w:tcPr>
                  <w:tcW w:w="1779" w:type="dxa"/>
                  <w:vAlign w:val="center"/>
                </w:tcPr>
                <w:p>
                  <w:pPr>
                    <w:pStyle w:val="30"/>
                    <w:rPr>
                      <w:color w:val="auto"/>
                      <w:highlight w:val="none"/>
                    </w:rPr>
                  </w:pPr>
                  <w:r>
                    <w:rPr>
                      <w:rFonts w:hint="eastAsia"/>
                      <w:color w:val="auto"/>
                      <w:highlight w:val="none"/>
                    </w:rPr>
                    <w:t>4L/a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抗坏血酸</w:t>
                  </w:r>
                </w:p>
              </w:tc>
              <w:tc>
                <w:tcPr>
                  <w:tcW w:w="2052" w:type="dxa"/>
                  <w:vAlign w:val="center"/>
                </w:tcPr>
                <w:p>
                  <w:pPr>
                    <w:pStyle w:val="30"/>
                    <w:rPr>
                      <w:color w:val="auto"/>
                      <w:highlight w:val="none"/>
                    </w:rPr>
                  </w:pPr>
                  <w:r>
                    <w:rPr>
                      <w:rFonts w:hint="eastAsia"/>
                      <w:color w:val="auto"/>
                      <w:highlight w:val="none"/>
                    </w:rPr>
                    <w:t>80g/a</w:t>
                  </w:r>
                </w:p>
              </w:tc>
              <w:tc>
                <w:tcPr>
                  <w:tcW w:w="2326" w:type="dxa"/>
                  <w:vAlign w:val="center"/>
                </w:tcPr>
                <w:p>
                  <w:pPr>
                    <w:pStyle w:val="30"/>
                    <w:rPr>
                      <w:color w:val="auto"/>
                      <w:highlight w:val="none"/>
                    </w:rPr>
                  </w:pPr>
                  <w:r>
                    <w:rPr>
                      <w:rFonts w:hint="eastAsia"/>
                      <w:color w:val="auto"/>
                      <w:highlight w:val="none"/>
                    </w:rPr>
                    <w:t>硅酸钠</w:t>
                  </w:r>
                </w:p>
              </w:tc>
              <w:tc>
                <w:tcPr>
                  <w:tcW w:w="1779" w:type="dxa"/>
                  <w:vAlign w:val="center"/>
                </w:tcPr>
                <w:p>
                  <w:pPr>
                    <w:pStyle w:val="30"/>
                    <w:rPr>
                      <w:color w:val="auto"/>
                      <w:highlight w:val="none"/>
                    </w:rPr>
                  </w:pPr>
                  <w:r>
                    <w:rPr>
                      <w:rFonts w:hint="eastAsia"/>
                      <w:color w:val="auto"/>
                      <w:highlight w:val="none"/>
                    </w:rPr>
                    <w:t>1.5kg/a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六次甲基四胺</w:t>
                  </w:r>
                </w:p>
              </w:tc>
              <w:tc>
                <w:tcPr>
                  <w:tcW w:w="2052" w:type="dxa"/>
                  <w:vAlign w:val="center"/>
                </w:tcPr>
                <w:p>
                  <w:pPr>
                    <w:pStyle w:val="30"/>
                    <w:rPr>
                      <w:color w:val="auto"/>
                      <w:highlight w:val="none"/>
                    </w:rPr>
                  </w:pPr>
                  <w:r>
                    <w:rPr>
                      <w:rFonts w:hint="eastAsia"/>
                      <w:color w:val="auto"/>
                      <w:highlight w:val="none"/>
                    </w:rPr>
                    <w:t>15g/a</w:t>
                  </w:r>
                </w:p>
              </w:tc>
              <w:tc>
                <w:tcPr>
                  <w:tcW w:w="2326" w:type="dxa"/>
                  <w:vAlign w:val="center"/>
                </w:tcPr>
                <w:p>
                  <w:pPr>
                    <w:pStyle w:val="30"/>
                    <w:rPr>
                      <w:color w:val="auto"/>
                      <w:highlight w:val="none"/>
                    </w:rPr>
                  </w:pPr>
                  <w:r>
                    <w:rPr>
                      <w:rFonts w:hint="eastAsia"/>
                      <w:color w:val="auto"/>
                      <w:highlight w:val="none"/>
                    </w:rPr>
                    <w:t>硅</w:t>
                  </w:r>
                </w:p>
              </w:tc>
              <w:tc>
                <w:tcPr>
                  <w:tcW w:w="1779" w:type="dxa"/>
                  <w:vAlign w:val="center"/>
                </w:tcPr>
                <w:p>
                  <w:pPr>
                    <w:pStyle w:val="30"/>
                    <w:rPr>
                      <w:color w:val="auto"/>
                      <w:highlight w:val="none"/>
                    </w:rPr>
                  </w:pPr>
                  <w:r>
                    <w:rPr>
                      <w:rFonts w:hint="eastAsia"/>
                      <w:color w:val="auto"/>
                      <w:highlight w:val="none"/>
                    </w:rPr>
                    <w:t>0.3kg/a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铝片</w:t>
                  </w:r>
                </w:p>
              </w:tc>
              <w:tc>
                <w:tcPr>
                  <w:tcW w:w="2052" w:type="dxa"/>
                  <w:vAlign w:val="center"/>
                </w:tcPr>
                <w:p>
                  <w:pPr>
                    <w:pStyle w:val="30"/>
                    <w:rPr>
                      <w:color w:val="auto"/>
                      <w:highlight w:val="none"/>
                    </w:rPr>
                  </w:pPr>
                  <w:r>
                    <w:rPr>
                      <w:rFonts w:hint="eastAsia"/>
                      <w:color w:val="auto"/>
                      <w:highlight w:val="none"/>
                    </w:rPr>
                    <w:t>1kg/a</w:t>
                  </w:r>
                </w:p>
              </w:tc>
              <w:tc>
                <w:tcPr>
                  <w:tcW w:w="2326" w:type="dxa"/>
                  <w:vAlign w:val="center"/>
                </w:tcPr>
                <w:p>
                  <w:pPr>
                    <w:pStyle w:val="30"/>
                    <w:rPr>
                      <w:color w:val="auto"/>
                      <w:highlight w:val="none"/>
                    </w:rPr>
                  </w:pPr>
                  <w:r>
                    <w:rPr>
                      <w:rFonts w:hint="eastAsia"/>
                      <w:color w:val="auto"/>
                      <w:highlight w:val="none"/>
                    </w:rPr>
                    <w:t>铝粉</w:t>
                  </w:r>
                </w:p>
              </w:tc>
              <w:tc>
                <w:tcPr>
                  <w:tcW w:w="1779" w:type="dxa"/>
                  <w:vAlign w:val="center"/>
                </w:tcPr>
                <w:p>
                  <w:pPr>
                    <w:pStyle w:val="30"/>
                    <w:rPr>
                      <w:color w:val="auto"/>
                      <w:highlight w:val="none"/>
                    </w:rPr>
                  </w:pPr>
                  <w:r>
                    <w:rPr>
                      <w:rFonts w:hint="eastAsia"/>
                      <w:color w:val="auto"/>
                      <w:highlight w:val="none"/>
                    </w:rPr>
                    <w:t>150g/a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硝酸</w:t>
                  </w:r>
                </w:p>
              </w:tc>
              <w:tc>
                <w:tcPr>
                  <w:tcW w:w="2052" w:type="dxa"/>
                  <w:vAlign w:val="center"/>
                </w:tcPr>
                <w:p>
                  <w:pPr>
                    <w:pStyle w:val="30"/>
                    <w:rPr>
                      <w:color w:val="auto"/>
                      <w:highlight w:val="none"/>
                    </w:rPr>
                  </w:pPr>
                  <w:r>
                    <w:rPr>
                      <w:rFonts w:hint="eastAsia"/>
                      <w:color w:val="auto"/>
                      <w:highlight w:val="none"/>
                    </w:rPr>
                    <w:t>3L/a</w:t>
                  </w:r>
                </w:p>
              </w:tc>
              <w:tc>
                <w:tcPr>
                  <w:tcW w:w="2326" w:type="dxa"/>
                  <w:vAlign w:val="center"/>
                </w:tcPr>
                <w:p>
                  <w:pPr>
                    <w:pStyle w:val="30"/>
                    <w:rPr>
                      <w:color w:val="auto"/>
                      <w:highlight w:val="none"/>
                    </w:rPr>
                  </w:pPr>
                  <w:r>
                    <w:rPr>
                      <w:rFonts w:hint="eastAsia"/>
                      <w:color w:val="auto"/>
                      <w:highlight w:val="none"/>
                    </w:rPr>
                    <w:t>铁粉</w:t>
                  </w:r>
                </w:p>
              </w:tc>
              <w:tc>
                <w:tcPr>
                  <w:tcW w:w="1779" w:type="dxa"/>
                  <w:vAlign w:val="center"/>
                </w:tcPr>
                <w:p>
                  <w:pPr>
                    <w:pStyle w:val="30"/>
                    <w:rPr>
                      <w:color w:val="auto"/>
                      <w:highlight w:val="none"/>
                    </w:rPr>
                  </w:pPr>
                  <w:r>
                    <w:rPr>
                      <w:rFonts w:hint="eastAsia"/>
                      <w:color w:val="auto"/>
                      <w:highlight w:val="none"/>
                    </w:rPr>
                    <w:t>150g/a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石英</w:t>
                  </w:r>
                </w:p>
              </w:tc>
              <w:tc>
                <w:tcPr>
                  <w:tcW w:w="2052" w:type="dxa"/>
                  <w:vAlign w:val="center"/>
                </w:tcPr>
                <w:p>
                  <w:pPr>
                    <w:pStyle w:val="30"/>
                    <w:rPr>
                      <w:color w:val="auto"/>
                      <w:highlight w:val="none"/>
                    </w:rPr>
                  </w:pPr>
                  <w:r>
                    <w:rPr>
                      <w:rFonts w:hint="eastAsia"/>
                      <w:color w:val="auto"/>
                      <w:highlight w:val="none"/>
                    </w:rPr>
                    <w:t>0.3kg/a</w:t>
                  </w:r>
                </w:p>
              </w:tc>
              <w:tc>
                <w:tcPr>
                  <w:tcW w:w="2326" w:type="dxa"/>
                  <w:vAlign w:val="center"/>
                </w:tcPr>
                <w:p>
                  <w:pPr>
                    <w:pStyle w:val="30"/>
                    <w:rPr>
                      <w:color w:val="auto"/>
                      <w:highlight w:val="none"/>
                    </w:rPr>
                  </w:pPr>
                  <w:r>
                    <w:rPr>
                      <w:rFonts w:hint="eastAsia"/>
                      <w:color w:val="auto"/>
                      <w:highlight w:val="none"/>
                    </w:rPr>
                    <w:t>氧化铜</w:t>
                  </w:r>
                </w:p>
              </w:tc>
              <w:tc>
                <w:tcPr>
                  <w:tcW w:w="1779" w:type="dxa"/>
                  <w:vAlign w:val="center"/>
                </w:tcPr>
                <w:p>
                  <w:pPr>
                    <w:pStyle w:val="30"/>
                    <w:rPr>
                      <w:color w:val="auto"/>
                      <w:highlight w:val="none"/>
                    </w:rPr>
                  </w:pPr>
                  <w:r>
                    <w:rPr>
                      <w:rFonts w:hint="eastAsia"/>
                      <w:color w:val="auto"/>
                      <w:highlight w:val="none"/>
                    </w:rPr>
                    <w:t>150g/a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铜粉</w:t>
                  </w:r>
                </w:p>
              </w:tc>
              <w:tc>
                <w:tcPr>
                  <w:tcW w:w="2052" w:type="dxa"/>
                  <w:vAlign w:val="center"/>
                </w:tcPr>
                <w:p>
                  <w:pPr>
                    <w:pStyle w:val="30"/>
                    <w:rPr>
                      <w:color w:val="auto"/>
                      <w:highlight w:val="none"/>
                    </w:rPr>
                  </w:pPr>
                  <w:r>
                    <w:rPr>
                      <w:rFonts w:hint="eastAsia"/>
                      <w:color w:val="auto"/>
                      <w:highlight w:val="none"/>
                    </w:rPr>
                    <w:t>150g/a</w:t>
                  </w:r>
                </w:p>
              </w:tc>
              <w:tc>
                <w:tcPr>
                  <w:tcW w:w="2326" w:type="dxa"/>
                  <w:vAlign w:val="center"/>
                </w:tcPr>
                <w:p>
                  <w:pPr>
                    <w:pStyle w:val="30"/>
                    <w:rPr>
                      <w:color w:val="auto"/>
                      <w:highlight w:val="none"/>
                    </w:rPr>
                  </w:pPr>
                  <w:r>
                    <w:rPr>
                      <w:rFonts w:hint="eastAsia"/>
                      <w:color w:val="auto"/>
                      <w:highlight w:val="none"/>
                    </w:rPr>
                    <w:t>氧化锌</w:t>
                  </w:r>
                </w:p>
              </w:tc>
              <w:tc>
                <w:tcPr>
                  <w:tcW w:w="1779" w:type="dxa"/>
                  <w:vAlign w:val="center"/>
                </w:tcPr>
                <w:p>
                  <w:pPr>
                    <w:pStyle w:val="30"/>
                    <w:rPr>
                      <w:color w:val="auto"/>
                      <w:highlight w:val="none"/>
                    </w:rPr>
                  </w:pPr>
                  <w:r>
                    <w:rPr>
                      <w:rFonts w:hint="eastAsia"/>
                      <w:color w:val="auto"/>
                      <w:highlight w:val="none"/>
                    </w:rPr>
                    <w:t>150g/a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氧化铝</w:t>
                  </w:r>
                </w:p>
              </w:tc>
              <w:tc>
                <w:tcPr>
                  <w:tcW w:w="2052" w:type="dxa"/>
                  <w:vAlign w:val="center"/>
                </w:tcPr>
                <w:p>
                  <w:pPr>
                    <w:pStyle w:val="30"/>
                    <w:rPr>
                      <w:color w:val="auto"/>
                      <w:highlight w:val="none"/>
                    </w:rPr>
                  </w:pPr>
                  <w:r>
                    <w:rPr>
                      <w:rFonts w:hint="eastAsia"/>
                      <w:color w:val="auto"/>
                      <w:highlight w:val="none"/>
                    </w:rPr>
                    <w:t>150g/a</w:t>
                  </w:r>
                </w:p>
              </w:tc>
              <w:tc>
                <w:tcPr>
                  <w:tcW w:w="2326" w:type="dxa"/>
                  <w:vAlign w:val="center"/>
                </w:tcPr>
                <w:p>
                  <w:pPr>
                    <w:pStyle w:val="30"/>
                    <w:rPr>
                      <w:color w:val="auto"/>
                      <w:highlight w:val="none"/>
                    </w:rPr>
                  </w:pPr>
                  <w:r>
                    <w:rPr>
                      <w:rFonts w:hint="eastAsia"/>
                      <w:color w:val="auto"/>
                      <w:highlight w:val="none"/>
                    </w:rPr>
                    <w:t>三氯化铝</w:t>
                  </w:r>
                </w:p>
              </w:tc>
              <w:tc>
                <w:tcPr>
                  <w:tcW w:w="1779" w:type="dxa"/>
                  <w:vAlign w:val="center"/>
                </w:tcPr>
                <w:p>
                  <w:pPr>
                    <w:pStyle w:val="30"/>
                    <w:rPr>
                      <w:color w:val="auto"/>
                      <w:highlight w:val="none"/>
                    </w:rPr>
                  </w:pPr>
                  <w:r>
                    <w:rPr>
                      <w:rFonts w:hint="eastAsia"/>
                      <w:color w:val="auto"/>
                      <w:highlight w:val="none"/>
                    </w:rPr>
                    <w:t>150g/a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氮化铝</w:t>
                  </w:r>
                </w:p>
              </w:tc>
              <w:tc>
                <w:tcPr>
                  <w:tcW w:w="2052" w:type="dxa"/>
                  <w:vAlign w:val="center"/>
                </w:tcPr>
                <w:p>
                  <w:pPr>
                    <w:pStyle w:val="30"/>
                    <w:rPr>
                      <w:color w:val="auto"/>
                      <w:highlight w:val="none"/>
                    </w:rPr>
                  </w:pPr>
                  <w:r>
                    <w:rPr>
                      <w:rFonts w:hint="eastAsia"/>
                      <w:color w:val="auto"/>
                      <w:highlight w:val="none"/>
                    </w:rPr>
                    <w:t>30g/a</w:t>
                  </w:r>
                </w:p>
              </w:tc>
              <w:tc>
                <w:tcPr>
                  <w:tcW w:w="2326" w:type="dxa"/>
                  <w:vAlign w:val="center"/>
                </w:tcPr>
                <w:p>
                  <w:pPr>
                    <w:pStyle w:val="30"/>
                    <w:rPr>
                      <w:color w:val="auto"/>
                      <w:highlight w:val="none"/>
                    </w:rPr>
                  </w:pPr>
                  <w:r>
                    <w:rPr>
                      <w:rFonts w:hint="eastAsia"/>
                      <w:color w:val="auto"/>
                      <w:highlight w:val="none"/>
                    </w:rPr>
                    <w:t>载体氧气</w:t>
                  </w:r>
                </w:p>
              </w:tc>
              <w:tc>
                <w:tcPr>
                  <w:tcW w:w="1779" w:type="dxa"/>
                  <w:vAlign w:val="center"/>
                </w:tcPr>
                <w:p>
                  <w:pPr>
                    <w:pStyle w:val="30"/>
                    <w:rPr>
                      <w:color w:val="auto"/>
                      <w:highlight w:val="none"/>
                    </w:rPr>
                  </w:pPr>
                  <w:r>
                    <w:rPr>
                      <w:rFonts w:hint="eastAsia"/>
                      <w:color w:val="auto"/>
                      <w:highlight w:val="none"/>
                    </w:rPr>
                    <w:t>0.15m</w:t>
                  </w:r>
                  <w:r>
                    <w:rPr>
                      <w:rFonts w:hint="eastAsia"/>
                      <w:color w:val="auto"/>
                      <w:highlight w:val="none"/>
                      <w:vertAlign w:val="superscript"/>
                    </w:rPr>
                    <w:t>3</w:t>
                  </w:r>
                  <w:r>
                    <w:rPr>
                      <w:rFonts w:hint="eastAsia"/>
                      <w:color w:val="auto"/>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氧化亚铜</w:t>
                  </w:r>
                </w:p>
              </w:tc>
              <w:tc>
                <w:tcPr>
                  <w:tcW w:w="2052" w:type="dxa"/>
                  <w:vAlign w:val="center"/>
                </w:tcPr>
                <w:p>
                  <w:pPr>
                    <w:pStyle w:val="30"/>
                    <w:rPr>
                      <w:color w:val="auto"/>
                      <w:highlight w:val="none"/>
                    </w:rPr>
                  </w:pPr>
                  <w:r>
                    <w:rPr>
                      <w:rFonts w:hint="eastAsia"/>
                      <w:color w:val="auto"/>
                      <w:highlight w:val="none"/>
                    </w:rPr>
                    <w:t>30g/a</w:t>
                  </w:r>
                </w:p>
              </w:tc>
              <w:tc>
                <w:tcPr>
                  <w:tcW w:w="2326" w:type="dxa"/>
                  <w:vAlign w:val="center"/>
                </w:tcPr>
                <w:p>
                  <w:pPr>
                    <w:pStyle w:val="30"/>
                    <w:rPr>
                      <w:color w:val="auto"/>
                      <w:highlight w:val="none"/>
                    </w:rPr>
                  </w:pPr>
                  <w:r>
                    <w:rPr>
                      <w:rFonts w:hint="eastAsia"/>
                      <w:color w:val="auto"/>
                      <w:highlight w:val="none"/>
                    </w:rPr>
                    <w:t>载体氮气</w:t>
                  </w:r>
                </w:p>
              </w:tc>
              <w:tc>
                <w:tcPr>
                  <w:tcW w:w="1779" w:type="dxa"/>
                  <w:vAlign w:val="center"/>
                </w:tcPr>
                <w:p>
                  <w:pPr>
                    <w:pStyle w:val="30"/>
                    <w:rPr>
                      <w:color w:val="auto"/>
                      <w:highlight w:val="none"/>
                    </w:rPr>
                  </w:pPr>
                  <w:r>
                    <w:rPr>
                      <w:rFonts w:hint="eastAsia"/>
                      <w:color w:val="auto"/>
                      <w:highlight w:val="none"/>
                    </w:rPr>
                    <w:t>0.15m</w:t>
                  </w:r>
                  <w:r>
                    <w:rPr>
                      <w:rFonts w:hint="eastAsia"/>
                      <w:color w:val="auto"/>
                      <w:highlight w:val="none"/>
                      <w:vertAlign w:val="superscript"/>
                    </w:rPr>
                    <w:t>3</w:t>
                  </w:r>
                  <w:r>
                    <w:rPr>
                      <w:rFonts w:hint="eastAsia"/>
                      <w:color w:val="auto"/>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氧化亚铁</w:t>
                  </w:r>
                </w:p>
              </w:tc>
              <w:tc>
                <w:tcPr>
                  <w:tcW w:w="2052" w:type="dxa"/>
                  <w:vAlign w:val="center"/>
                </w:tcPr>
                <w:p>
                  <w:pPr>
                    <w:pStyle w:val="30"/>
                    <w:rPr>
                      <w:color w:val="auto"/>
                      <w:highlight w:val="none"/>
                    </w:rPr>
                  </w:pPr>
                  <w:r>
                    <w:rPr>
                      <w:rFonts w:hint="eastAsia"/>
                      <w:color w:val="auto"/>
                      <w:highlight w:val="none"/>
                    </w:rPr>
                    <w:t>150g/a</w:t>
                  </w:r>
                </w:p>
              </w:tc>
              <w:tc>
                <w:tcPr>
                  <w:tcW w:w="2326" w:type="dxa"/>
                  <w:vAlign w:val="center"/>
                </w:tcPr>
                <w:p>
                  <w:pPr>
                    <w:pStyle w:val="30"/>
                    <w:rPr>
                      <w:color w:val="auto"/>
                      <w:highlight w:val="none"/>
                    </w:rPr>
                  </w:pPr>
                  <w:r>
                    <w:rPr>
                      <w:rFonts w:hint="eastAsia"/>
                      <w:color w:val="auto"/>
                      <w:highlight w:val="none"/>
                    </w:rPr>
                    <w:t>乙二醇甲醚</w:t>
                  </w:r>
                </w:p>
              </w:tc>
              <w:tc>
                <w:tcPr>
                  <w:tcW w:w="1779" w:type="dxa"/>
                  <w:vAlign w:val="center"/>
                </w:tcPr>
                <w:p>
                  <w:pPr>
                    <w:pStyle w:val="30"/>
                    <w:rPr>
                      <w:color w:val="auto"/>
                      <w:highlight w:val="none"/>
                    </w:rPr>
                  </w:pPr>
                  <w:r>
                    <w:rPr>
                      <w:rFonts w:hint="eastAsia"/>
                      <w:color w:val="auto"/>
                      <w:highlight w:val="none"/>
                    </w:rPr>
                    <w:t>0.6L/a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052" w:type="dxa"/>
                  <w:vAlign w:val="center"/>
                </w:tcPr>
                <w:p>
                  <w:pPr>
                    <w:pStyle w:val="30"/>
                    <w:rPr>
                      <w:color w:val="auto"/>
                      <w:highlight w:val="none"/>
                    </w:rPr>
                  </w:pPr>
                  <w:r>
                    <w:rPr>
                      <w:rFonts w:hint="eastAsia"/>
                      <w:color w:val="auto"/>
                      <w:highlight w:val="none"/>
                    </w:rPr>
                    <w:t>氧化铁</w:t>
                  </w:r>
                </w:p>
              </w:tc>
              <w:tc>
                <w:tcPr>
                  <w:tcW w:w="2052" w:type="dxa"/>
                  <w:vAlign w:val="center"/>
                </w:tcPr>
                <w:p>
                  <w:pPr>
                    <w:pStyle w:val="30"/>
                    <w:rPr>
                      <w:color w:val="auto"/>
                      <w:highlight w:val="none"/>
                    </w:rPr>
                  </w:pPr>
                  <w:r>
                    <w:rPr>
                      <w:rFonts w:hint="eastAsia"/>
                      <w:color w:val="auto"/>
                      <w:highlight w:val="none"/>
                    </w:rPr>
                    <w:t>150g/a</w:t>
                  </w:r>
                </w:p>
              </w:tc>
              <w:tc>
                <w:tcPr>
                  <w:tcW w:w="2326" w:type="dxa"/>
                  <w:vAlign w:val="center"/>
                </w:tcPr>
                <w:p>
                  <w:pPr>
                    <w:pStyle w:val="30"/>
                    <w:rPr>
                      <w:color w:val="auto"/>
                      <w:highlight w:val="none"/>
                    </w:rPr>
                  </w:pPr>
                  <w:r>
                    <w:rPr>
                      <w:rFonts w:hint="eastAsia"/>
                      <w:color w:val="auto"/>
                      <w:highlight w:val="none"/>
                    </w:rPr>
                    <w:t>二乙醇胺</w:t>
                  </w:r>
                </w:p>
              </w:tc>
              <w:tc>
                <w:tcPr>
                  <w:tcW w:w="1779" w:type="dxa"/>
                  <w:vAlign w:val="center"/>
                </w:tcPr>
                <w:p>
                  <w:pPr>
                    <w:pStyle w:val="30"/>
                    <w:rPr>
                      <w:color w:val="auto"/>
                      <w:highlight w:val="none"/>
                    </w:rPr>
                  </w:pPr>
                  <w:r>
                    <w:rPr>
                      <w:rFonts w:hint="eastAsia"/>
                      <w:color w:val="auto"/>
                      <w:highlight w:val="none"/>
                    </w:rPr>
                    <w:t>0.3L/a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载体氩气</w:t>
                  </w:r>
                </w:p>
              </w:tc>
              <w:tc>
                <w:tcPr>
                  <w:tcW w:w="2052" w:type="dxa"/>
                  <w:vAlign w:val="center"/>
                </w:tcPr>
                <w:p>
                  <w:pPr>
                    <w:pStyle w:val="30"/>
                    <w:rPr>
                      <w:color w:val="auto"/>
                      <w:highlight w:val="none"/>
                    </w:rPr>
                  </w:pPr>
                  <w:r>
                    <w:rPr>
                      <w:rFonts w:hint="eastAsia"/>
                      <w:color w:val="auto"/>
                      <w:highlight w:val="none"/>
                    </w:rPr>
                    <w:t>0.15m</w:t>
                  </w:r>
                  <w:r>
                    <w:rPr>
                      <w:rFonts w:hint="eastAsia"/>
                      <w:color w:val="auto"/>
                      <w:highlight w:val="none"/>
                      <w:vertAlign w:val="superscript"/>
                    </w:rPr>
                    <w:t>3</w:t>
                  </w:r>
                  <w:r>
                    <w:rPr>
                      <w:rFonts w:hint="eastAsia"/>
                      <w:color w:val="auto"/>
                      <w:highlight w:val="none"/>
                    </w:rPr>
                    <w:t>/a</w:t>
                  </w:r>
                </w:p>
              </w:tc>
              <w:tc>
                <w:tcPr>
                  <w:tcW w:w="2326" w:type="dxa"/>
                  <w:vAlign w:val="center"/>
                </w:tcPr>
                <w:p>
                  <w:pPr>
                    <w:pStyle w:val="30"/>
                    <w:rPr>
                      <w:color w:val="auto"/>
                      <w:highlight w:val="none"/>
                    </w:rPr>
                  </w:pPr>
                  <w:r>
                    <w:rPr>
                      <w:rFonts w:hint="eastAsia"/>
                      <w:color w:val="auto"/>
                      <w:highlight w:val="none"/>
                    </w:rPr>
                    <w:t>硫酸亚铁</w:t>
                  </w:r>
                </w:p>
              </w:tc>
              <w:tc>
                <w:tcPr>
                  <w:tcW w:w="1779" w:type="dxa"/>
                  <w:vAlign w:val="center"/>
                </w:tcPr>
                <w:p>
                  <w:pPr>
                    <w:pStyle w:val="30"/>
                    <w:rPr>
                      <w:color w:val="auto"/>
                      <w:highlight w:val="none"/>
                    </w:rPr>
                  </w:pPr>
                  <w:r>
                    <w:rPr>
                      <w:rFonts w:hint="eastAsia"/>
                      <w:color w:val="auto"/>
                      <w:highlight w:val="none"/>
                    </w:rPr>
                    <w:t>0.3kg/a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载体氢气</w:t>
                  </w:r>
                </w:p>
              </w:tc>
              <w:tc>
                <w:tcPr>
                  <w:tcW w:w="2052" w:type="dxa"/>
                  <w:vAlign w:val="center"/>
                </w:tcPr>
                <w:p>
                  <w:pPr>
                    <w:pStyle w:val="30"/>
                    <w:rPr>
                      <w:color w:val="auto"/>
                      <w:highlight w:val="none"/>
                    </w:rPr>
                  </w:pPr>
                  <w:r>
                    <w:rPr>
                      <w:rFonts w:hint="eastAsia"/>
                      <w:color w:val="auto"/>
                      <w:highlight w:val="none"/>
                    </w:rPr>
                    <w:t>0.15m</w:t>
                  </w:r>
                  <w:r>
                    <w:rPr>
                      <w:rFonts w:hint="eastAsia"/>
                      <w:color w:val="auto"/>
                      <w:highlight w:val="none"/>
                      <w:vertAlign w:val="superscript"/>
                    </w:rPr>
                    <w:t>3</w:t>
                  </w:r>
                  <w:r>
                    <w:rPr>
                      <w:rFonts w:hint="eastAsia"/>
                      <w:color w:val="auto"/>
                      <w:highlight w:val="none"/>
                    </w:rPr>
                    <w:t>/a</w:t>
                  </w:r>
                </w:p>
              </w:tc>
              <w:tc>
                <w:tcPr>
                  <w:tcW w:w="2326" w:type="dxa"/>
                  <w:vAlign w:val="center"/>
                </w:tcPr>
                <w:p>
                  <w:pPr>
                    <w:pStyle w:val="30"/>
                    <w:rPr>
                      <w:color w:val="auto"/>
                      <w:highlight w:val="none"/>
                    </w:rPr>
                  </w:pPr>
                  <w:r>
                    <w:rPr>
                      <w:rFonts w:hint="eastAsia"/>
                      <w:color w:val="auto"/>
                      <w:highlight w:val="none"/>
                    </w:rPr>
                    <w:t>二氧化锰</w:t>
                  </w:r>
                </w:p>
              </w:tc>
              <w:tc>
                <w:tcPr>
                  <w:tcW w:w="1779" w:type="dxa"/>
                  <w:vAlign w:val="center"/>
                </w:tcPr>
                <w:p>
                  <w:pPr>
                    <w:pStyle w:val="30"/>
                    <w:rPr>
                      <w:color w:val="auto"/>
                      <w:highlight w:val="none"/>
                    </w:rPr>
                  </w:pPr>
                  <w:r>
                    <w:rPr>
                      <w:rFonts w:hint="eastAsia"/>
                      <w:color w:val="auto"/>
                      <w:highlight w:val="none"/>
                    </w:rPr>
                    <w:t>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石墨烯</w:t>
                  </w:r>
                </w:p>
              </w:tc>
              <w:tc>
                <w:tcPr>
                  <w:tcW w:w="2052" w:type="dxa"/>
                  <w:vAlign w:val="center"/>
                </w:tcPr>
                <w:p>
                  <w:pPr>
                    <w:pStyle w:val="30"/>
                    <w:rPr>
                      <w:color w:val="auto"/>
                      <w:highlight w:val="none"/>
                    </w:rPr>
                  </w:pPr>
                  <w:r>
                    <w:rPr>
                      <w:rFonts w:hint="eastAsia"/>
                      <w:color w:val="auto"/>
                      <w:highlight w:val="none"/>
                    </w:rPr>
                    <w:t>150g/a</w:t>
                  </w:r>
                </w:p>
              </w:tc>
              <w:tc>
                <w:tcPr>
                  <w:tcW w:w="2326" w:type="dxa"/>
                  <w:vAlign w:val="center"/>
                </w:tcPr>
                <w:p>
                  <w:pPr>
                    <w:pStyle w:val="30"/>
                    <w:rPr>
                      <w:color w:val="auto"/>
                      <w:highlight w:val="none"/>
                    </w:rPr>
                  </w:pPr>
                  <w:r>
                    <w:rPr>
                      <w:rFonts w:hint="eastAsia"/>
                      <w:color w:val="auto"/>
                      <w:highlight w:val="none"/>
                    </w:rPr>
                    <w:t>邻苯二甲酸二辛酯</w:t>
                  </w:r>
                </w:p>
              </w:tc>
              <w:tc>
                <w:tcPr>
                  <w:tcW w:w="1779" w:type="dxa"/>
                  <w:vAlign w:val="center"/>
                </w:tcPr>
                <w:p>
                  <w:pPr>
                    <w:pStyle w:val="30"/>
                    <w:rPr>
                      <w:color w:val="auto"/>
                      <w:highlight w:val="none"/>
                    </w:rPr>
                  </w:pPr>
                  <w:r>
                    <w:rPr>
                      <w:rFonts w:hint="eastAsia"/>
                      <w:color w:val="auto"/>
                      <w:highlight w:val="none"/>
                    </w:rPr>
                    <w:t>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炭黑</w:t>
                  </w:r>
                </w:p>
              </w:tc>
              <w:tc>
                <w:tcPr>
                  <w:tcW w:w="2052" w:type="dxa"/>
                  <w:vAlign w:val="center"/>
                </w:tcPr>
                <w:p>
                  <w:pPr>
                    <w:pStyle w:val="30"/>
                    <w:rPr>
                      <w:color w:val="auto"/>
                      <w:highlight w:val="none"/>
                    </w:rPr>
                  </w:pPr>
                  <w:r>
                    <w:rPr>
                      <w:rFonts w:hint="eastAsia"/>
                      <w:color w:val="auto"/>
                      <w:highlight w:val="none"/>
                    </w:rPr>
                    <w:t>1.5kg/a</w:t>
                  </w:r>
                </w:p>
              </w:tc>
              <w:tc>
                <w:tcPr>
                  <w:tcW w:w="2326" w:type="dxa"/>
                  <w:vAlign w:val="center"/>
                </w:tcPr>
                <w:p>
                  <w:pPr>
                    <w:pStyle w:val="30"/>
                    <w:rPr>
                      <w:color w:val="auto"/>
                      <w:highlight w:val="none"/>
                    </w:rPr>
                  </w:pPr>
                  <w:r>
                    <w:rPr>
                      <w:color w:val="auto"/>
                      <w:highlight w:val="none"/>
                    </w:rPr>
                    <w:t>磷酸氢二氨</w:t>
                  </w:r>
                </w:p>
              </w:tc>
              <w:tc>
                <w:tcPr>
                  <w:tcW w:w="1779" w:type="dxa"/>
                  <w:vAlign w:val="center"/>
                </w:tcPr>
                <w:p>
                  <w:pPr>
                    <w:pStyle w:val="30"/>
                    <w:rPr>
                      <w:color w:val="auto"/>
                      <w:highlight w:val="none"/>
                    </w:rPr>
                  </w:pPr>
                  <w:r>
                    <w:rPr>
                      <w:rFonts w:hint="eastAsia"/>
                      <w:color w:val="auto"/>
                      <w:highlight w:val="none"/>
                    </w:rPr>
                    <w:t>0.3kg/a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纳米硅</w:t>
                  </w:r>
                </w:p>
              </w:tc>
              <w:tc>
                <w:tcPr>
                  <w:tcW w:w="2052" w:type="dxa"/>
                  <w:vAlign w:val="center"/>
                </w:tcPr>
                <w:p>
                  <w:pPr>
                    <w:pStyle w:val="30"/>
                    <w:rPr>
                      <w:color w:val="auto"/>
                      <w:highlight w:val="none"/>
                    </w:rPr>
                  </w:pPr>
                  <w:r>
                    <w:rPr>
                      <w:rFonts w:hint="eastAsia"/>
                      <w:color w:val="auto"/>
                      <w:highlight w:val="none"/>
                    </w:rPr>
                    <w:t>150g/a</w:t>
                  </w:r>
                </w:p>
              </w:tc>
              <w:tc>
                <w:tcPr>
                  <w:tcW w:w="2326" w:type="dxa"/>
                  <w:vAlign w:val="center"/>
                </w:tcPr>
                <w:p>
                  <w:pPr>
                    <w:pStyle w:val="30"/>
                    <w:rPr>
                      <w:color w:val="auto"/>
                      <w:highlight w:val="none"/>
                    </w:rPr>
                  </w:pPr>
                  <w:r>
                    <w:rPr>
                      <w:rFonts w:hint="eastAsia"/>
                      <w:color w:val="auto"/>
                      <w:highlight w:val="none"/>
                    </w:rPr>
                    <w:t>碳酸锂</w:t>
                  </w:r>
                </w:p>
              </w:tc>
              <w:tc>
                <w:tcPr>
                  <w:tcW w:w="1779" w:type="dxa"/>
                  <w:vAlign w:val="center"/>
                </w:tcPr>
                <w:p>
                  <w:pPr>
                    <w:pStyle w:val="30"/>
                    <w:rPr>
                      <w:color w:val="auto"/>
                      <w:highlight w:val="none"/>
                    </w:rPr>
                  </w:pPr>
                  <w:r>
                    <w:rPr>
                      <w:rFonts w:hint="eastAsia"/>
                      <w:color w:val="auto"/>
                      <w:highlight w:val="none"/>
                    </w:rPr>
                    <w:t>0.3kg/a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N-甲基吡咯烷酮</w:t>
                  </w:r>
                </w:p>
              </w:tc>
              <w:tc>
                <w:tcPr>
                  <w:tcW w:w="2052" w:type="dxa"/>
                  <w:vAlign w:val="center"/>
                </w:tcPr>
                <w:p>
                  <w:pPr>
                    <w:pStyle w:val="30"/>
                    <w:rPr>
                      <w:color w:val="auto"/>
                      <w:highlight w:val="none"/>
                    </w:rPr>
                  </w:pPr>
                  <w:r>
                    <w:rPr>
                      <w:rFonts w:hint="eastAsia"/>
                      <w:color w:val="auto"/>
                      <w:highlight w:val="none"/>
                    </w:rPr>
                    <w:t>3kg/a</w:t>
                  </w:r>
                </w:p>
              </w:tc>
              <w:tc>
                <w:tcPr>
                  <w:tcW w:w="2326" w:type="dxa"/>
                  <w:vAlign w:val="center"/>
                </w:tcPr>
                <w:p>
                  <w:pPr>
                    <w:pStyle w:val="30"/>
                    <w:rPr>
                      <w:color w:val="auto"/>
                      <w:highlight w:val="none"/>
                    </w:rPr>
                  </w:pPr>
                  <w:r>
                    <w:rPr>
                      <w:rFonts w:hint="eastAsia"/>
                      <w:color w:val="auto"/>
                      <w:highlight w:val="none"/>
                    </w:rPr>
                    <w:t>碳酸丙烯酯</w:t>
                  </w:r>
                </w:p>
              </w:tc>
              <w:tc>
                <w:tcPr>
                  <w:tcW w:w="1779" w:type="dxa"/>
                  <w:vAlign w:val="center"/>
                </w:tcPr>
                <w:p>
                  <w:pPr>
                    <w:pStyle w:val="30"/>
                    <w:rPr>
                      <w:color w:val="auto"/>
                      <w:highlight w:val="none"/>
                    </w:rPr>
                  </w:pPr>
                  <w:r>
                    <w:rPr>
                      <w:rFonts w:hint="eastAsia"/>
                      <w:color w:val="auto"/>
                      <w:highlight w:val="none"/>
                    </w:rPr>
                    <w:t>0.3kg/a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六氟磷酸锂</w:t>
                  </w:r>
                </w:p>
              </w:tc>
              <w:tc>
                <w:tcPr>
                  <w:tcW w:w="2052" w:type="dxa"/>
                  <w:vAlign w:val="center"/>
                </w:tcPr>
                <w:p>
                  <w:pPr>
                    <w:pStyle w:val="30"/>
                    <w:rPr>
                      <w:color w:val="auto"/>
                      <w:highlight w:val="none"/>
                    </w:rPr>
                  </w:pPr>
                  <w:r>
                    <w:rPr>
                      <w:rFonts w:hint="eastAsia"/>
                      <w:color w:val="auto"/>
                      <w:highlight w:val="none"/>
                    </w:rPr>
                    <w:t>0.3kg/a</w:t>
                  </w:r>
                </w:p>
              </w:tc>
              <w:tc>
                <w:tcPr>
                  <w:tcW w:w="2326" w:type="dxa"/>
                  <w:vAlign w:val="center"/>
                </w:tcPr>
                <w:p>
                  <w:pPr>
                    <w:pStyle w:val="30"/>
                    <w:rPr>
                      <w:color w:val="auto"/>
                      <w:highlight w:val="none"/>
                    </w:rPr>
                  </w:pPr>
                  <w:r>
                    <w:rPr>
                      <w:rFonts w:hint="eastAsia"/>
                      <w:color w:val="auto"/>
                      <w:highlight w:val="none"/>
                    </w:rPr>
                    <w:t>碳酸钙</w:t>
                  </w:r>
                </w:p>
              </w:tc>
              <w:tc>
                <w:tcPr>
                  <w:tcW w:w="1779" w:type="dxa"/>
                  <w:vAlign w:val="center"/>
                </w:tcPr>
                <w:p>
                  <w:pPr>
                    <w:pStyle w:val="30"/>
                    <w:rPr>
                      <w:color w:val="auto"/>
                      <w:highlight w:val="none"/>
                    </w:rPr>
                  </w:pPr>
                  <w:r>
                    <w:rPr>
                      <w:rFonts w:hint="eastAsia"/>
                      <w:color w:val="auto"/>
                      <w:highlight w:val="none"/>
                    </w:rPr>
                    <w:t>1.5kg/a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草酸亚铁</w:t>
                  </w:r>
                </w:p>
              </w:tc>
              <w:tc>
                <w:tcPr>
                  <w:tcW w:w="2052" w:type="dxa"/>
                  <w:vAlign w:val="center"/>
                </w:tcPr>
                <w:p>
                  <w:pPr>
                    <w:pStyle w:val="30"/>
                    <w:rPr>
                      <w:color w:val="auto"/>
                      <w:highlight w:val="none"/>
                    </w:rPr>
                  </w:pPr>
                  <w:r>
                    <w:rPr>
                      <w:rFonts w:hint="eastAsia"/>
                      <w:color w:val="auto"/>
                      <w:highlight w:val="none"/>
                    </w:rPr>
                    <w:t>0.3kg/a</w:t>
                  </w:r>
                </w:p>
              </w:tc>
              <w:tc>
                <w:tcPr>
                  <w:tcW w:w="2326" w:type="dxa"/>
                  <w:vAlign w:val="center"/>
                </w:tcPr>
                <w:p>
                  <w:pPr>
                    <w:pStyle w:val="30"/>
                    <w:rPr>
                      <w:color w:val="auto"/>
                      <w:highlight w:val="none"/>
                    </w:rPr>
                  </w:pPr>
                  <w:r>
                    <w:rPr>
                      <w:rFonts w:hint="eastAsia"/>
                      <w:color w:val="auto"/>
                      <w:highlight w:val="none"/>
                    </w:rPr>
                    <w:t>硫酸钡</w:t>
                  </w:r>
                </w:p>
              </w:tc>
              <w:tc>
                <w:tcPr>
                  <w:tcW w:w="1779" w:type="dxa"/>
                  <w:vAlign w:val="center"/>
                </w:tcPr>
                <w:p>
                  <w:pPr>
                    <w:pStyle w:val="30"/>
                    <w:rPr>
                      <w:color w:val="auto"/>
                      <w:highlight w:val="none"/>
                    </w:rPr>
                  </w:pPr>
                  <w:r>
                    <w:rPr>
                      <w:rFonts w:hint="eastAsia"/>
                      <w:color w:val="auto"/>
                      <w:highlight w:val="none"/>
                    </w:rPr>
                    <w:t>150g/a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氢氧化锂</w:t>
                  </w:r>
                </w:p>
              </w:tc>
              <w:tc>
                <w:tcPr>
                  <w:tcW w:w="2052" w:type="dxa"/>
                  <w:vAlign w:val="center"/>
                </w:tcPr>
                <w:p>
                  <w:pPr>
                    <w:pStyle w:val="30"/>
                    <w:rPr>
                      <w:color w:val="auto"/>
                      <w:highlight w:val="none"/>
                    </w:rPr>
                  </w:pPr>
                  <w:r>
                    <w:rPr>
                      <w:rFonts w:hint="eastAsia"/>
                      <w:color w:val="auto"/>
                      <w:highlight w:val="none"/>
                    </w:rPr>
                    <w:t>0.3kg/a</w:t>
                  </w:r>
                </w:p>
              </w:tc>
              <w:tc>
                <w:tcPr>
                  <w:tcW w:w="2326" w:type="dxa"/>
                  <w:vAlign w:val="center"/>
                </w:tcPr>
                <w:p>
                  <w:pPr>
                    <w:pStyle w:val="30"/>
                    <w:rPr>
                      <w:color w:val="auto"/>
                      <w:highlight w:val="none"/>
                    </w:rPr>
                  </w:pPr>
                  <w:r>
                    <w:rPr>
                      <w:color w:val="auto"/>
                      <w:highlight w:val="none"/>
                    </w:rPr>
                    <w:t>氢氧化镁</w:t>
                  </w:r>
                </w:p>
              </w:tc>
              <w:tc>
                <w:tcPr>
                  <w:tcW w:w="1779" w:type="dxa"/>
                  <w:vAlign w:val="center"/>
                </w:tcPr>
                <w:p>
                  <w:pPr>
                    <w:pStyle w:val="30"/>
                    <w:rPr>
                      <w:color w:val="auto"/>
                      <w:highlight w:val="none"/>
                    </w:rPr>
                  </w:pPr>
                  <w:r>
                    <w:rPr>
                      <w:rFonts w:hint="eastAsia"/>
                      <w:color w:val="auto"/>
                      <w:highlight w:val="none"/>
                    </w:rPr>
                    <w:t>0.6kg/a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二乙烯碳酸酯</w:t>
                  </w:r>
                </w:p>
              </w:tc>
              <w:tc>
                <w:tcPr>
                  <w:tcW w:w="2052" w:type="dxa"/>
                  <w:vAlign w:val="center"/>
                </w:tcPr>
                <w:p>
                  <w:pPr>
                    <w:pStyle w:val="30"/>
                    <w:rPr>
                      <w:color w:val="auto"/>
                      <w:highlight w:val="none"/>
                    </w:rPr>
                  </w:pPr>
                  <w:r>
                    <w:rPr>
                      <w:rFonts w:hint="eastAsia"/>
                      <w:color w:val="auto"/>
                      <w:highlight w:val="none"/>
                    </w:rPr>
                    <w:t>0.3kg/a</w:t>
                  </w:r>
                </w:p>
              </w:tc>
              <w:tc>
                <w:tcPr>
                  <w:tcW w:w="2326" w:type="dxa"/>
                  <w:vAlign w:val="center"/>
                </w:tcPr>
                <w:p>
                  <w:pPr>
                    <w:pStyle w:val="30"/>
                    <w:rPr>
                      <w:color w:val="auto"/>
                      <w:highlight w:val="none"/>
                    </w:rPr>
                  </w:pPr>
                  <w:r>
                    <w:rPr>
                      <w:rFonts w:hint="eastAsia"/>
                      <w:color w:val="auto"/>
                      <w:highlight w:val="none"/>
                    </w:rPr>
                    <w:t>氢氧化钙</w:t>
                  </w:r>
                </w:p>
              </w:tc>
              <w:tc>
                <w:tcPr>
                  <w:tcW w:w="1779" w:type="dxa"/>
                  <w:vAlign w:val="center"/>
                </w:tcPr>
                <w:p>
                  <w:pPr>
                    <w:pStyle w:val="30"/>
                    <w:rPr>
                      <w:color w:val="auto"/>
                      <w:highlight w:val="none"/>
                    </w:rPr>
                  </w:pPr>
                  <w:r>
                    <w:rPr>
                      <w:rFonts w:hint="eastAsia"/>
                      <w:color w:val="auto"/>
                      <w:highlight w:val="none"/>
                    </w:rPr>
                    <w:t>0.6kg/a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硬脂酸</w:t>
                  </w:r>
                </w:p>
              </w:tc>
              <w:tc>
                <w:tcPr>
                  <w:tcW w:w="2052" w:type="dxa"/>
                  <w:vAlign w:val="center"/>
                </w:tcPr>
                <w:p>
                  <w:pPr>
                    <w:pStyle w:val="30"/>
                    <w:rPr>
                      <w:color w:val="auto"/>
                      <w:highlight w:val="none"/>
                    </w:rPr>
                  </w:pPr>
                  <w:r>
                    <w:rPr>
                      <w:rFonts w:hint="eastAsia"/>
                      <w:color w:val="auto"/>
                      <w:highlight w:val="none"/>
                    </w:rPr>
                    <w:t>5kg/a</w:t>
                  </w:r>
                </w:p>
              </w:tc>
              <w:tc>
                <w:tcPr>
                  <w:tcW w:w="2326" w:type="dxa"/>
                  <w:vAlign w:val="center"/>
                </w:tcPr>
                <w:p>
                  <w:pPr>
                    <w:pStyle w:val="30"/>
                    <w:rPr>
                      <w:color w:val="auto"/>
                      <w:highlight w:val="none"/>
                    </w:rPr>
                  </w:pPr>
                  <w:r>
                    <w:rPr>
                      <w:rFonts w:hint="eastAsia"/>
                      <w:color w:val="auto"/>
                      <w:highlight w:val="none"/>
                    </w:rPr>
                    <w:t>聚对苯乙二酸丁二醇酯</w:t>
                  </w:r>
                </w:p>
              </w:tc>
              <w:tc>
                <w:tcPr>
                  <w:tcW w:w="1779" w:type="dxa"/>
                  <w:vAlign w:val="center"/>
                </w:tcPr>
                <w:p>
                  <w:pPr>
                    <w:pStyle w:val="30"/>
                    <w:rPr>
                      <w:color w:val="auto"/>
                      <w:highlight w:val="none"/>
                    </w:rPr>
                  </w:pPr>
                  <w:r>
                    <w:rPr>
                      <w:rFonts w:hint="eastAsia"/>
                      <w:color w:val="auto"/>
                      <w:highlight w:val="none"/>
                    </w:rPr>
                    <w:t>30kg/a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聚丙烯</w:t>
                  </w:r>
                </w:p>
              </w:tc>
              <w:tc>
                <w:tcPr>
                  <w:tcW w:w="2052" w:type="dxa"/>
                  <w:vAlign w:val="center"/>
                </w:tcPr>
                <w:p>
                  <w:pPr>
                    <w:pStyle w:val="30"/>
                    <w:rPr>
                      <w:color w:val="auto"/>
                      <w:highlight w:val="none"/>
                    </w:rPr>
                  </w:pPr>
                  <w:r>
                    <w:rPr>
                      <w:rFonts w:hint="eastAsia"/>
                      <w:color w:val="auto"/>
                      <w:highlight w:val="none"/>
                    </w:rPr>
                    <w:t>30kg/a</w:t>
                  </w:r>
                </w:p>
              </w:tc>
              <w:tc>
                <w:tcPr>
                  <w:tcW w:w="2326" w:type="dxa"/>
                  <w:vAlign w:val="center"/>
                </w:tcPr>
                <w:p>
                  <w:pPr>
                    <w:pStyle w:val="30"/>
                    <w:rPr>
                      <w:color w:val="auto"/>
                      <w:highlight w:val="none"/>
                    </w:rPr>
                  </w:pPr>
                  <w:r>
                    <w:rPr>
                      <w:rFonts w:hint="eastAsia"/>
                      <w:color w:val="auto"/>
                      <w:highlight w:val="none"/>
                    </w:rPr>
                    <w:t>聚对苯乙二酸乙二醇酯</w:t>
                  </w:r>
                </w:p>
              </w:tc>
              <w:tc>
                <w:tcPr>
                  <w:tcW w:w="1779" w:type="dxa"/>
                  <w:vAlign w:val="center"/>
                </w:tcPr>
                <w:p>
                  <w:pPr>
                    <w:pStyle w:val="30"/>
                    <w:rPr>
                      <w:color w:val="auto"/>
                      <w:highlight w:val="none"/>
                    </w:rPr>
                  </w:pPr>
                  <w:r>
                    <w:rPr>
                      <w:rFonts w:hint="eastAsia"/>
                      <w:color w:val="auto"/>
                      <w:highlight w:val="none"/>
                    </w:rPr>
                    <w:t>30kg/a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聚乙烯</w:t>
                  </w:r>
                </w:p>
              </w:tc>
              <w:tc>
                <w:tcPr>
                  <w:tcW w:w="2052" w:type="dxa"/>
                  <w:vAlign w:val="center"/>
                </w:tcPr>
                <w:p>
                  <w:pPr>
                    <w:pStyle w:val="30"/>
                    <w:rPr>
                      <w:color w:val="auto"/>
                      <w:highlight w:val="none"/>
                    </w:rPr>
                  </w:pPr>
                  <w:r>
                    <w:rPr>
                      <w:rFonts w:hint="eastAsia"/>
                      <w:color w:val="auto"/>
                      <w:highlight w:val="none"/>
                    </w:rPr>
                    <w:t>50kg/a</w:t>
                  </w:r>
                </w:p>
              </w:tc>
              <w:tc>
                <w:tcPr>
                  <w:tcW w:w="2326" w:type="dxa"/>
                  <w:vAlign w:val="center"/>
                </w:tcPr>
                <w:p>
                  <w:pPr>
                    <w:pStyle w:val="30"/>
                    <w:rPr>
                      <w:color w:val="auto"/>
                      <w:highlight w:val="none"/>
                    </w:rPr>
                  </w:pPr>
                  <w:r>
                    <w:rPr>
                      <w:rFonts w:hint="eastAsia"/>
                      <w:color w:val="auto"/>
                      <w:highlight w:val="none"/>
                    </w:rPr>
                    <w:t>丁二酸金属盐</w:t>
                  </w:r>
                </w:p>
              </w:tc>
              <w:tc>
                <w:tcPr>
                  <w:tcW w:w="1779" w:type="dxa"/>
                  <w:vAlign w:val="center"/>
                </w:tcPr>
                <w:p>
                  <w:pPr>
                    <w:pStyle w:val="30"/>
                    <w:rPr>
                      <w:color w:val="auto"/>
                      <w:highlight w:val="none"/>
                    </w:rPr>
                  </w:pPr>
                  <w:r>
                    <w:rPr>
                      <w:rFonts w:hint="eastAsia"/>
                      <w:color w:val="auto"/>
                      <w:highlight w:val="none"/>
                    </w:rPr>
                    <w:t>0.6kg/a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聚氯乙烯</w:t>
                  </w:r>
                </w:p>
              </w:tc>
              <w:tc>
                <w:tcPr>
                  <w:tcW w:w="2052" w:type="dxa"/>
                  <w:vAlign w:val="center"/>
                </w:tcPr>
                <w:p>
                  <w:pPr>
                    <w:pStyle w:val="30"/>
                    <w:rPr>
                      <w:color w:val="auto"/>
                      <w:highlight w:val="none"/>
                    </w:rPr>
                  </w:pPr>
                  <w:r>
                    <w:rPr>
                      <w:rFonts w:hint="eastAsia"/>
                      <w:color w:val="auto"/>
                      <w:highlight w:val="none"/>
                    </w:rPr>
                    <w:t>3kg/a</w:t>
                  </w:r>
                </w:p>
              </w:tc>
              <w:tc>
                <w:tcPr>
                  <w:tcW w:w="2326" w:type="dxa"/>
                  <w:vAlign w:val="center"/>
                </w:tcPr>
                <w:p>
                  <w:pPr>
                    <w:pStyle w:val="30"/>
                    <w:rPr>
                      <w:color w:val="auto"/>
                      <w:highlight w:val="none"/>
                    </w:rPr>
                  </w:pPr>
                  <w:r>
                    <w:rPr>
                      <w:rFonts w:hint="eastAsia"/>
                      <w:color w:val="auto"/>
                      <w:highlight w:val="none"/>
                    </w:rPr>
                    <w:t>正己烷</w:t>
                  </w:r>
                </w:p>
              </w:tc>
              <w:tc>
                <w:tcPr>
                  <w:tcW w:w="1779" w:type="dxa"/>
                  <w:vAlign w:val="center"/>
                </w:tcPr>
                <w:p>
                  <w:pPr>
                    <w:pStyle w:val="30"/>
                    <w:rPr>
                      <w:color w:val="auto"/>
                      <w:highlight w:val="none"/>
                    </w:rPr>
                  </w:pPr>
                  <w:r>
                    <w:rPr>
                      <w:rFonts w:hint="eastAsia"/>
                      <w:color w:val="auto"/>
                      <w:highlight w:val="none"/>
                    </w:rPr>
                    <w:t>3L/a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邻苯二甲酸二丁酯</w:t>
                  </w:r>
                </w:p>
              </w:tc>
              <w:tc>
                <w:tcPr>
                  <w:tcW w:w="2052" w:type="dxa"/>
                  <w:vAlign w:val="center"/>
                </w:tcPr>
                <w:p>
                  <w:pPr>
                    <w:pStyle w:val="30"/>
                    <w:rPr>
                      <w:color w:val="auto"/>
                      <w:highlight w:val="none"/>
                    </w:rPr>
                  </w:pPr>
                  <w:r>
                    <w:rPr>
                      <w:rFonts w:hint="eastAsia"/>
                      <w:color w:val="auto"/>
                      <w:highlight w:val="none"/>
                    </w:rPr>
                    <w:t>0.6kg/a</w:t>
                  </w:r>
                </w:p>
              </w:tc>
              <w:tc>
                <w:tcPr>
                  <w:tcW w:w="2326" w:type="dxa"/>
                  <w:vAlign w:val="center"/>
                </w:tcPr>
                <w:p>
                  <w:pPr>
                    <w:pStyle w:val="30"/>
                    <w:rPr>
                      <w:color w:val="auto"/>
                      <w:highlight w:val="none"/>
                    </w:rPr>
                  </w:pPr>
                  <w:r>
                    <w:rPr>
                      <w:rFonts w:hint="eastAsia"/>
                      <w:color w:val="auto"/>
                      <w:highlight w:val="none"/>
                    </w:rPr>
                    <w:t>硬酯酸钠</w:t>
                  </w:r>
                </w:p>
              </w:tc>
              <w:tc>
                <w:tcPr>
                  <w:tcW w:w="1779" w:type="dxa"/>
                  <w:vAlign w:val="center"/>
                </w:tcPr>
                <w:p>
                  <w:pPr>
                    <w:pStyle w:val="30"/>
                    <w:rPr>
                      <w:color w:val="auto"/>
                      <w:highlight w:val="none"/>
                    </w:rPr>
                  </w:pPr>
                  <w:r>
                    <w:rPr>
                      <w:rFonts w:hint="eastAsia"/>
                      <w:color w:val="auto"/>
                      <w:highlight w:val="none"/>
                    </w:rPr>
                    <w:t>0.3kg/a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邻苯二甲酸</w:t>
                  </w:r>
                </w:p>
              </w:tc>
              <w:tc>
                <w:tcPr>
                  <w:tcW w:w="2052" w:type="dxa"/>
                  <w:vAlign w:val="center"/>
                </w:tcPr>
                <w:p>
                  <w:pPr>
                    <w:pStyle w:val="30"/>
                    <w:rPr>
                      <w:color w:val="auto"/>
                      <w:highlight w:val="none"/>
                    </w:rPr>
                  </w:pPr>
                  <w:r>
                    <w:rPr>
                      <w:rFonts w:hint="eastAsia"/>
                      <w:color w:val="auto"/>
                      <w:highlight w:val="none"/>
                    </w:rPr>
                    <w:t>0.3L/a</w:t>
                  </w:r>
                </w:p>
              </w:tc>
              <w:tc>
                <w:tcPr>
                  <w:tcW w:w="2326" w:type="dxa"/>
                  <w:vAlign w:val="center"/>
                </w:tcPr>
                <w:p>
                  <w:pPr>
                    <w:pStyle w:val="30"/>
                    <w:rPr>
                      <w:color w:val="auto"/>
                      <w:highlight w:val="none"/>
                    </w:rPr>
                  </w:pPr>
                  <w:r>
                    <w:rPr>
                      <w:rFonts w:hint="eastAsia"/>
                      <w:color w:val="auto"/>
                      <w:highlight w:val="none"/>
                    </w:rPr>
                    <w:t>红磷</w:t>
                  </w:r>
                </w:p>
              </w:tc>
              <w:tc>
                <w:tcPr>
                  <w:tcW w:w="1779" w:type="dxa"/>
                  <w:vAlign w:val="center"/>
                </w:tcPr>
                <w:p>
                  <w:pPr>
                    <w:pStyle w:val="30"/>
                    <w:rPr>
                      <w:color w:val="auto"/>
                      <w:highlight w:val="none"/>
                    </w:rPr>
                  </w:pPr>
                  <w:r>
                    <w:rPr>
                      <w:rFonts w:hint="eastAsia"/>
                      <w:color w:val="auto"/>
                      <w:highlight w:val="none"/>
                    </w:rPr>
                    <w:t>0.3kg/a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聚乙烯醇</w:t>
                  </w:r>
                </w:p>
              </w:tc>
              <w:tc>
                <w:tcPr>
                  <w:tcW w:w="2052" w:type="dxa"/>
                  <w:vAlign w:val="center"/>
                </w:tcPr>
                <w:p>
                  <w:pPr>
                    <w:pStyle w:val="30"/>
                    <w:rPr>
                      <w:color w:val="auto"/>
                      <w:highlight w:val="none"/>
                    </w:rPr>
                  </w:pPr>
                  <w:r>
                    <w:rPr>
                      <w:rFonts w:hint="eastAsia"/>
                      <w:color w:val="auto"/>
                      <w:highlight w:val="none"/>
                    </w:rPr>
                    <w:t>0.3kg/a</w:t>
                  </w:r>
                </w:p>
              </w:tc>
              <w:tc>
                <w:tcPr>
                  <w:tcW w:w="2326" w:type="dxa"/>
                  <w:vAlign w:val="center"/>
                </w:tcPr>
                <w:p>
                  <w:pPr>
                    <w:pStyle w:val="30"/>
                    <w:rPr>
                      <w:color w:val="auto"/>
                      <w:highlight w:val="none"/>
                    </w:rPr>
                  </w:pPr>
                  <w:r>
                    <w:rPr>
                      <w:rFonts w:hint="eastAsia"/>
                      <w:color w:val="auto"/>
                      <w:highlight w:val="none"/>
                    </w:rPr>
                    <w:t>甲酸</w:t>
                  </w:r>
                </w:p>
              </w:tc>
              <w:tc>
                <w:tcPr>
                  <w:tcW w:w="1779" w:type="dxa"/>
                  <w:vAlign w:val="center"/>
                </w:tcPr>
                <w:p>
                  <w:pPr>
                    <w:pStyle w:val="30"/>
                    <w:rPr>
                      <w:color w:val="auto"/>
                      <w:highlight w:val="none"/>
                    </w:rPr>
                  </w:pPr>
                  <w:r>
                    <w:rPr>
                      <w:rFonts w:hint="eastAsia"/>
                      <w:color w:val="auto"/>
                      <w:highlight w:val="none"/>
                    </w:rPr>
                    <w:t>0.3L/a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聚磷酸胺</w:t>
                  </w:r>
                </w:p>
              </w:tc>
              <w:tc>
                <w:tcPr>
                  <w:tcW w:w="2052" w:type="dxa"/>
                  <w:vAlign w:val="center"/>
                </w:tcPr>
                <w:p>
                  <w:pPr>
                    <w:pStyle w:val="30"/>
                    <w:rPr>
                      <w:color w:val="auto"/>
                      <w:highlight w:val="none"/>
                    </w:rPr>
                  </w:pPr>
                  <w:r>
                    <w:rPr>
                      <w:rFonts w:hint="eastAsia"/>
                      <w:color w:val="auto"/>
                      <w:highlight w:val="none"/>
                    </w:rPr>
                    <w:t>150g/a</w:t>
                  </w:r>
                </w:p>
              </w:tc>
              <w:tc>
                <w:tcPr>
                  <w:tcW w:w="2326" w:type="dxa"/>
                  <w:vAlign w:val="center"/>
                </w:tcPr>
                <w:p>
                  <w:pPr>
                    <w:pStyle w:val="30"/>
                    <w:rPr>
                      <w:color w:val="auto"/>
                      <w:highlight w:val="none"/>
                    </w:rPr>
                  </w:pPr>
                  <w:r>
                    <w:rPr>
                      <w:rFonts w:hint="eastAsia"/>
                      <w:color w:val="auto"/>
                      <w:highlight w:val="none"/>
                    </w:rPr>
                    <w:t>月硅酸钠</w:t>
                  </w:r>
                </w:p>
              </w:tc>
              <w:tc>
                <w:tcPr>
                  <w:tcW w:w="1779" w:type="dxa"/>
                  <w:vAlign w:val="center"/>
                </w:tcPr>
                <w:p>
                  <w:pPr>
                    <w:pStyle w:val="30"/>
                    <w:rPr>
                      <w:color w:val="auto"/>
                      <w:highlight w:val="none"/>
                    </w:rPr>
                  </w:pPr>
                  <w:r>
                    <w:rPr>
                      <w:rFonts w:hint="eastAsia"/>
                      <w:color w:val="auto"/>
                      <w:highlight w:val="none"/>
                    </w:rPr>
                    <w:t>0.3kg/a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异丙醇</w:t>
                  </w:r>
                </w:p>
              </w:tc>
              <w:tc>
                <w:tcPr>
                  <w:tcW w:w="2052" w:type="dxa"/>
                  <w:vAlign w:val="center"/>
                </w:tcPr>
                <w:p>
                  <w:pPr>
                    <w:pStyle w:val="30"/>
                    <w:rPr>
                      <w:color w:val="auto"/>
                      <w:highlight w:val="none"/>
                    </w:rPr>
                  </w:pPr>
                  <w:r>
                    <w:rPr>
                      <w:rFonts w:hint="eastAsia"/>
                      <w:color w:val="auto"/>
                      <w:highlight w:val="none"/>
                    </w:rPr>
                    <w:t>3L/a</w:t>
                  </w:r>
                </w:p>
              </w:tc>
              <w:tc>
                <w:tcPr>
                  <w:tcW w:w="2326" w:type="dxa"/>
                  <w:vAlign w:val="center"/>
                </w:tcPr>
                <w:p>
                  <w:pPr>
                    <w:pStyle w:val="30"/>
                    <w:rPr>
                      <w:color w:val="auto"/>
                      <w:highlight w:val="none"/>
                    </w:rPr>
                  </w:pPr>
                  <w:r>
                    <w:rPr>
                      <w:rFonts w:hint="eastAsia"/>
                      <w:color w:val="auto"/>
                      <w:highlight w:val="none"/>
                    </w:rPr>
                    <w:t>二硫代氨基甲酸</w:t>
                  </w:r>
                </w:p>
              </w:tc>
              <w:tc>
                <w:tcPr>
                  <w:tcW w:w="1779" w:type="dxa"/>
                  <w:vAlign w:val="center"/>
                </w:tcPr>
                <w:p>
                  <w:pPr>
                    <w:pStyle w:val="30"/>
                    <w:rPr>
                      <w:color w:val="auto"/>
                      <w:highlight w:val="none"/>
                    </w:rPr>
                  </w:pPr>
                  <w:r>
                    <w:rPr>
                      <w:rFonts w:hint="eastAsia"/>
                      <w:color w:val="auto"/>
                      <w:highlight w:val="none"/>
                    </w:rPr>
                    <w:t>150mL/a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季戊四醇</w:t>
                  </w:r>
                </w:p>
              </w:tc>
              <w:tc>
                <w:tcPr>
                  <w:tcW w:w="2052" w:type="dxa"/>
                  <w:vAlign w:val="center"/>
                </w:tcPr>
                <w:p>
                  <w:pPr>
                    <w:pStyle w:val="30"/>
                    <w:rPr>
                      <w:color w:val="auto"/>
                      <w:highlight w:val="none"/>
                    </w:rPr>
                  </w:pPr>
                  <w:r>
                    <w:rPr>
                      <w:rFonts w:hint="eastAsia"/>
                      <w:color w:val="auto"/>
                      <w:highlight w:val="none"/>
                    </w:rPr>
                    <w:t>0.3kg/a</w:t>
                  </w:r>
                </w:p>
              </w:tc>
              <w:tc>
                <w:tcPr>
                  <w:tcW w:w="2326" w:type="dxa"/>
                  <w:vAlign w:val="center"/>
                </w:tcPr>
                <w:p>
                  <w:pPr>
                    <w:pStyle w:val="30"/>
                    <w:rPr>
                      <w:color w:val="auto"/>
                      <w:highlight w:val="none"/>
                    </w:rPr>
                  </w:pPr>
                  <w:r>
                    <w:rPr>
                      <w:rFonts w:hint="eastAsia"/>
                      <w:color w:val="auto"/>
                      <w:highlight w:val="none"/>
                    </w:rPr>
                    <w:t>电磁纯铁</w:t>
                  </w:r>
                </w:p>
              </w:tc>
              <w:tc>
                <w:tcPr>
                  <w:tcW w:w="1779" w:type="dxa"/>
                  <w:vAlign w:val="center"/>
                </w:tcPr>
                <w:p>
                  <w:pPr>
                    <w:pStyle w:val="30"/>
                    <w:rPr>
                      <w:color w:val="auto"/>
                      <w:highlight w:val="none"/>
                    </w:rPr>
                  </w:pPr>
                  <w:r>
                    <w:rPr>
                      <w:rFonts w:hint="eastAsia"/>
                      <w:color w:val="auto"/>
                      <w:highlight w:val="none"/>
                    </w:rPr>
                    <w:t>6kg/a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正丁醇</w:t>
                  </w:r>
                </w:p>
              </w:tc>
              <w:tc>
                <w:tcPr>
                  <w:tcW w:w="2052" w:type="dxa"/>
                  <w:vAlign w:val="center"/>
                </w:tcPr>
                <w:p>
                  <w:pPr>
                    <w:pStyle w:val="30"/>
                    <w:rPr>
                      <w:color w:val="auto"/>
                      <w:highlight w:val="none"/>
                    </w:rPr>
                  </w:pPr>
                  <w:r>
                    <w:rPr>
                      <w:rFonts w:hint="eastAsia"/>
                      <w:color w:val="auto"/>
                      <w:highlight w:val="none"/>
                    </w:rPr>
                    <w:t>1.5L/a</w:t>
                  </w:r>
                </w:p>
              </w:tc>
              <w:tc>
                <w:tcPr>
                  <w:tcW w:w="2326" w:type="dxa"/>
                  <w:vAlign w:val="center"/>
                </w:tcPr>
                <w:p>
                  <w:pPr>
                    <w:pStyle w:val="30"/>
                    <w:rPr>
                      <w:color w:val="auto"/>
                      <w:highlight w:val="none"/>
                    </w:rPr>
                  </w:pPr>
                  <w:r>
                    <w:rPr>
                      <w:rFonts w:hint="eastAsia"/>
                      <w:color w:val="auto"/>
                      <w:highlight w:val="none"/>
                    </w:rPr>
                    <w:t>Si基片</w:t>
                  </w:r>
                </w:p>
              </w:tc>
              <w:tc>
                <w:tcPr>
                  <w:tcW w:w="1779" w:type="dxa"/>
                  <w:vAlign w:val="center"/>
                </w:tcPr>
                <w:p>
                  <w:pPr>
                    <w:pStyle w:val="30"/>
                    <w:rPr>
                      <w:color w:val="auto"/>
                      <w:highlight w:val="none"/>
                    </w:rPr>
                  </w:pPr>
                  <w:r>
                    <w:rPr>
                      <w:rFonts w:hint="eastAsia"/>
                      <w:color w:val="auto"/>
                      <w:highlight w:val="none"/>
                    </w:rPr>
                    <w:t>0.3kg/a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辛酸钠</w:t>
                  </w:r>
                </w:p>
              </w:tc>
              <w:tc>
                <w:tcPr>
                  <w:tcW w:w="2052" w:type="dxa"/>
                  <w:vAlign w:val="center"/>
                </w:tcPr>
                <w:p>
                  <w:pPr>
                    <w:pStyle w:val="30"/>
                    <w:rPr>
                      <w:color w:val="auto"/>
                      <w:highlight w:val="none"/>
                    </w:rPr>
                  </w:pPr>
                  <w:r>
                    <w:rPr>
                      <w:rFonts w:hint="eastAsia"/>
                      <w:color w:val="auto"/>
                      <w:highlight w:val="none"/>
                    </w:rPr>
                    <w:t>0.3kg/a</w:t>
                  </w:r>
                </w:p>
              </w:tc>
              <w:tc>
                <w:tcPr>
                  <w:tcW w:w="2326" w:type="dxa"/>
                  <w:vAlign w:val="center"/>
                </w:tcPr>
                <w:p>
                  <w:pPr>
                    <w:pStyle w:val="30"/>
                    <w:rPr>
                      <w:color w:val="auto"/>
                      <w:highlight w:val="none"/>
                    </w:rPr>
                  </w:pPr>
                  <w:r>
                    <w:rPr>
                      <w:rFonts w:hint="eastAsia"/>
                      <w:color w:val="auto"/>
                      <w:highlight w:val="none"/>
                    </w:rPr>
                    <w:t>合金靶材</w:t>
                  </w:r>
                </w:p>
              </w:tc>
              <w:tc>
                <w:tcPr>
                  <w:tcW w:w="1779" w:type="dxa"/>
                  <w:vAlign w:val="center"/>
                </w:tcPr>
                <w:p>
                  <w:pPr>
                    <w:pStyle w:val="30"/>
                    <w:rPr>
                      <w:color w:val="auto"/>
                      <w:highlight w:val="none"/>
                    </w:rPr>
                  </w:pPr>
                  <w:r>
                    <w:rPr>
                      <w:rFonts w:hint="eastAsia"/>
                      <w:color w:val="auto"/>
                      <w:highlight w:val="none"/>
                    </w:rPr>
                    <w:t>1.5kg/a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氯化钙</w:t>
                  </w:r>
                </w:p>
              </w:tc>
              <w:tc>
                <w:tcPr>
                  <w:tcW w:w="2052" w:type="dxa"/>
                  <w:vAlign w:val="center"/>
                </w:tcPr>
                <w:p>
                  <w:pPr>
                    <w:pStyle w:val="30"/>
                    <w:rPr>
                      <w:color w:val="auto"/>
                      <w:highlight w:val="none"/>
                    </w:rPr>
                  </w:pPr>
                  <w:r>
                    <w:rPr>
                      <w:rFonts w:hint="eastAsia"/>
                      <w:color w:val="auto"/>
                      <w:highlight w:val="none"/>
                    </w:rPr>
                    <w:t>0.6kg/a</w:t>
                  </w:r>
                </w:p>
              </w:tc>
              <w:tc>
                <w:tcPr>
                  <w:tcW w:w="2326" w:type="dxa"/>
                  <w:vAlign w:val="center"/>
                </w:tcPr>
                <w:p>
                  <w:pPr>
                    <w:pStyle w:val="30"/>
                    <w:rPr>
                      <w:color w:val="auto"/>
                      <w:highlight w:val="none"/>
                    </w:rPr>
                  </w:pPr>
                  <w:r>
                    <w:rPr>
                      <w:rFonts w:hint="eastAsia"/>
                      <w:color w:val="auto"/>
                      <w:highlight w:val="none"/>
                    </w:rPr>
                    <w:t>金属靶材</w:t>
                  </w:r>
                </w:p>
              </w:tc>
              <w:tc>
                <w:tcPr>
                  <w:tcW w:w="1779" w:type="dxa"/>
                  <w:vAlign w:val="center"/>
                </w:tcPr>
                <w:p>
                  <w:pPr>
                    <w:pStyle w:val="30"/>
                    <w:rPr>
                      <w:color w:val="auto"/>
                      <w:highlight w:val="none"/>
                    </w:rPr>
                  </w:pPr>
                  <w:r>
                    <w:rPr>
                      <w:rFonts w:hint="eastAsia"/>
                      <w:color w:val="auto"/>
                      <w:highlight w:val="none"/>
                    </w:rPr>
                    <w:t>1.5kg/a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硅钢片</w:t>
                  </w:r>
                </w:p>
              </w:tc>
              <w:tc>
                <w:tcPr>
                  <w:tcW w:w="2052" w:type="dxa"/>
                  <w:vAlign w:val="center"/>
                </w:tcPr>
                <w:p>
                  <w:pPr>
                    <w:pStyle w:val="30"/>
                    <w:rPr>
                      <w:color w:val="auto"/>
                      <w:highlight w:val="none"/>
                    </w:rPr>
                  </w:pPr>
                  <w:r>
                    <w:rPr>
                      <w:rFonts w:hint="eastAsia"/>
                      <w:color w:val="auto"/>
                      <w:highlight w:val="none"/>
                    </w:rPr>
                    <w:t>1.5kg/a</w:t>
                  </w:r>
                </w:p>
              </w:tc>
              <w:tc>
                <w:tcPr>
                  <w:tcW w:w="2326" w:type="dxa"/>
                  <w:vAlign w:val="center"/>
                </w:tcPr>
                <w:p>
                  <w:pPr>
                    <w:pStyle w:val="30"/>
                    <w:rPr>
                      <w:color w:val="auto"/>
                      <w:highlight w:val="none"/>
                    </w:rPr>
                  </w:pPr>
                </w:p>
              </w:tc>
              <w:tc>
                <w:tcPr>
                  <w:tcW w:w="1779" w:type="dxa"/>
                  <w:vAlign w:val="center"/>
                </w:tcPr>
                <w:p>
                  <w:pPr>
                    <w:pStyle w:val="30"/>
                    <w:rPr>
                      <w:color w:val="auto"/>
                      <w:highlight w:val="none"/>
                    </w:rPr>
                  </w:pPr>
                </w:p>
              </w:tc>
            </w:tr>
          </w:tbl>
          <w:p>
            <w:pPr>
              <w:pStyle w:val="31"/>
              <w:rPr>
                <w:color w:val="auto"/>
                <w:highlight w:val="none"/>
              </w:rPr>
            </w:pPr>
          </w:p>
          <w:p>
            <w:pPr>
              <w:pStyle w:val="31"/>
              <w:rPr>
                <w:rFonts w:hint="eastAsia"/>
                <w:color w:val="auto"/>
                <w:highlight w:val="none"/>
              </w:rPr>
            </w:pPr>
            <w:r>
              <w:rPr>
                <w:rFonts w:hint="eastAsia"/>
                <w:color w:val="auto"/>
                <w:highlight w:val="none"/>
              </w:rPr>
              <w:t>2.1.5 主要能耗</w:t>
            </w:r>
          </w:p>
          <w:p>
            <w:pPr>
              <w:pStyle w:val="31"/>
              <w:rPr>
                <w:rFonts w:hint="eastAsia"/>
                <w:color w:val="auto"/>
                <w:highlight w:val="none"/>
              </w:rPr>
            </w:pPr>
          </w:p>
          <w:p>
            <w:pPr>
              <w:pStyle w:val="32"/>
              <w:rPr>
                <w:color w:val="auto"/>
                <w:highlight w:val="none"/>
              </w:rPr>
            </w:pPr>
            <w:r>
              <w:rPr>
                <w:rFonts w:hint="eastAsia"/>
                <w:color w:val="auto"/>
                <w:highlight w:val="none"/>
              </w:rPr>
              <w:t>表2.1.6 项目主要能源消耗一览表</w:t>
            </w:r>
          </w:p>
          <w:tbl>
            <w:tblPr>
              <w:tblStyle w:val="19"/>
              <w:tblW w:w="4998" w:type="pct"/>
              <w:jc w:val="center"/>
              <w:tblLayout w:type="fixed"/>
              <w:tblCellMar>
                <w:top w:w="0" w:type="dxa"/>
                <w:left w:w="108" w:type="dxa"/>
                <w:bottom w:w="0" w:type="dxa"/>
                <w:right w:w="108" w:type="dxa"/>
              </w:tblCellMar>
            </w:tblPr>
            <w:tblGrid>
              <w:gridCol w:w="1649"/>
              <w:gridCol w:w="3512"/>
              <w:gridCol w:w="3045"/>
            </w:tblGrid>
            <w:tr>
              <w:tblPrEx>
                <w:tblCellMar>
                  <w:top w:w="0" w:type="dxa"/>
                  <w:left w:w="108" w:type="dxa"/>
                  <w:bottom w:w="0" w:type="dxa"/>
                  <w:right w:w="108" w:type="dxa"/>
                </w:tblCellMar>
              </w:tblPrEx>
              <w:trPr>
                <w:trHeight w:val="329" w:hRule="atLeast"/>
                <w:jc w:val="center"/>
              </w:trPr>
              <w:tc>
                <w:tcPr>
                  <w:tcW w:w="1005" w:type="pct"/>
                  <w:tcBorders>
                    <w:top w:val="single" w:color="000000" w:sz="4" w:space="0"/>
                    <w:left w:val="single" w:color="000000" w:sz="4" w:space="0"/>
                    <w:bottom w:val="single" w:color="000000" w:sz="4" w:space="0"/>
                    <w:right w:val="single" w:color="000000" w:sz="4" w:space="0"/>
                  </w:tcBorders>
                  <w:vAlign w:val="center"/>
                </w:tcPr>
                <w:p>
                  <w:pPr>
                    <w:pStyle w:val="35"/>
                    <w:spacing w:line="240" w:lineRule="auto"/>
                    <w:ind w:firstLine="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序号</w:t>
                  </w:r>
                </w:p>
              </w:tc>
              <w:tc>
                <w:tcPr>
                  <w:tcW w:w="2139" w:type="pct"/>
                  <w:tcBorders>
                    <w:top w:val="single" w:color="000000" w:sz="4" w:space="0"/>
                    <w:left w:val="single" w:color="000000" w:sz="4" w:space="0"/>
                    <w:bottom w:val="single" w:color="000000" w:sz="4" w:space="0"/>
                    <w:right w:val="single" w:color="000000" w:sz="4" w:space="0"/>
                  </w:tcBorders>
                  <w:vAlign w:val="center"/>
                </w:tcPr>
                <w:p>
                  <w:pPr>
                    <w:pStyle w:val="35"/>
                    <w:spacing w:line="240" w:lineRule="auto"/>
                    <w:ind w:firstLine="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能源名称</w:t>
                  </w:r>
                </w:p>
              </w:tc>
              <w:tc>
                <w:tcPr>
                  <w:tcW w:w="1854" w:type="pct"/>
                  <w:tcBorders>
                    <w:top w:val="single" w:color="000000" w:sz="4" w:space="0"/>
                    <w:left w:val="single" w:color="000000" w:sz="4" w:space="0"/>
                    <w:bottom w:val="single" w:color="000000" w:sz="4" w:space="0"/>
                    <w:right w:val="single" w:color="000000" w:sz="4" w:space="0"/>
                  </w:tcBorders>
                  <w:vAlign w:val="center"/>
                </w:tcPr>
                <w:p>
                  <w:pPr>
                    <w:pStyle w:val="35"/>
                    <w:spacing w:line="240" w:lineRule="auto"/>
                    <w:ind w:firstLine="0"/>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年</w:t>
                  </w:r>
                  <w:r>
                    <w:rPr>
                      <w:rFonts w:ascii="Times New Roman" w:hAnsi="Times New Roman" w:cs="Times New Roman"/>
                      <w:b/>
                      <w:bCs/>
                      <w:color w:val="auto"/>
                      <w:sz w:val="21"/>
                      <w:szCs w:val="21"/>
                      <w:highlight w:val="none"/>
                    </w:rPr>
                    <w:t>耗量</w:t>
                  </w:r>
                </w:p>
              </w:tc>
            </w:tr>
            <w:tr>
              <w:tblPrEx>
                <w:tblCellMar>
                  <w:top w:w="0" w:type="dxa"/>
                  <w:left w:w="108" w:type="dxa"/>
                  <w:bottom w:w="0" w:type="dxa"/>
                  <w:right w:w="108" w:type="dxa"/>
                </w:tblCellMar>
              </w:tblPrEx>
              <w:trPr>
                <w:trHeight w:val="262" w:hRule="atLeast"/>
                <w:jc w:val="center"/>
              </w:trPr>
              <w:tc>
                <w:tcPr>
                  <w:tcW w:w="1005" w:type="pct"/>
                  <w:tcBorders>
                    <w:top w:val="single" w:color="000000" w:sz="4" w:space="0"/>
                    <w:left w:val="single" w:color="000000" w:sz="4" w:space="0"/>
                    <w:bottom w:val="single" w:color="000000" w:sz="4" w:space="0"/>
                    <w:right w:val="single" w:color="000000" w:sz="4" w:space="0"/>
                  </w:tcBorders>
                  <w:vAlign w:val="center"/>
                </w:tcPr>
                <w:p>
                  <w:pPr>
                    <w:pStyle w:val="35"/>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w:t>
                  </w:r>
                </w:p>
              </w:tc>
              <w:tc>
                <w:tcPr>
                  <w:tcW w:w="2139" w:type="pct"/>
                  <w:tcBorders>
                    <w:top w:val="single" w:color="000000" w:sz="4" w:space="0"/>
                    <w:left w:val="single" w:color="000000" w:sz="4" w:space="0"/>
                    <w:bottom w:val="single" w:color="000000" w:sz="4" w:space="0"/>
                    <w:right w:val="single" w:color="000000" w:sz="4" w:space="0"/>
                  </w:tcBorders>
                  <w:vAlign w:val="center"/>
                </w:tcPr>
                <w:p>
                  <w:pPr>
                    <w:pStyle w:val="35"/>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水</w:t>
                  </w:r>
                </w:p>
              </w:tc>
              <w:tc>
                <w:tcPr>
                  <w:tcW w:w="1854" w:type="pct"/>
                  <w:tcBorders>
                    <w:top w:val="single" w:color="000000" w:sz="4" w:space="0"/>
                    <w:left w:val="single" w:color="000000" w:sz="4" w:space="0"/>
                    <w:bottom w:val="single" w:color="000000" w:sz="4" w:space="0"/>
                    <w:right w:val="single" w:color="000000" w:sz="4" w:space="0"/>
                  </w:tcBorders>
                  <w:vAlign w:val="center"/>
                </w:tcPr>
                <w:p>
                  <w:pPr>
                    <w:pStyle w:val="35"/>
                    <w:spacing w:line="240" w:lineRule="auto"/>
                    <w:ind w:firstLine="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20000</w:t>
                  </w:r>
                  <w:r>
                    <w:rPr>
                      <w:rFonts w:ascii="Times New Roman" w:hAnsi="Times New Roman" w:cs="Times New Roman"/>
                      <w:color w:val="auto"/>
                      <w:sz w:val="21"/>
                      <w:szCs w:val="21"/>
                      <w:highlight w:val="none"/>
                    </w:rPr>
                    <w:t>m³</w:t>
                  </w:r>
                  <w:r>
                    <w:rPr>
                      <w:rFonts w:hint="eastAsia" w:ascii="Times New Roman" w:hAnsi="Times New Roman" w:cs="Times New Roman"/>
                      <w:color w:val="auto"/>
                      <w:sz w:val="21"/>
                      <w:szCs w:val="21"/>
                      <w:highlight w:val="none"/>
                    </w:rPr>
                    <w:t>/年</w:t>
                  </w:r>
                </w:p>
              </w:tc>
            </w:tr>
            <w:tr>
              <w:tblPrEx>
                <w:tblCellMar>
                  <w:top w:w="0" w:type="dxa"/>
                  <w:left w:w="108" w:type="dxa"/>
                  <w:bottom w:w="0" w:type="dxa"/>
                  <w:right w:w="108" w:type="dxa"/>
                </w:tblCellMar>
              </w:tblPrEx>
              <w:trPr>
                <w:trHeight w:val="257" w:hRule="atLeast"/>
                <w:jc w:val="center"/>
              </w:trPr>
              <w:tc>
                <w:tcPr>
                  <w:tcW w:w="1005" w:type="pct"/>
                  <w:tcBorders>
                    <w:top w:val="single" w:color="000000" w:sz="4" w:space="0"/>
                    <w:left w:val="single" w:color="000000" w:sz="4" w:space="0"/>
                    <w:bottom w:val="single" w:color="000000" w:sz="4" w:space="0"/>
                    <w:right w:val="single" w:color="000000" w:sz="4" w:space="0"/>
                  </w:tcBorders>
                  <w:vAlign w:val="center"/>
                </w:tcPr>
                <w:p>
                  <w:pPr>
                    <w:pStyle w:val="35"/>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2139" w:type="pct"/>
                  <w:tcBorders>
                    <w:top w:val="single" w:color="000000" w:sz="4" w:space="0"/>
                    <w:left w:val="single" w:color="000000" w:sz="4" w:space="0"/>
                    <w:bottom w:val="single" w:color="000000" w:sz="4" w:space="0"/>
                    <w:right w:val="single" w:color="000000" w:sz="4" w:space="0"/>
                  </w:tcBorders>
                  <w:vAlign w:val="center"/>
                </w:tcPr>
                <w:p>
                  <w:pPr>
                    <w:pStyle w:val="35"/>
                    <w:spacing w:line="240" w:lineRule="auto"/>
                    <w:ind w:firstLine="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电</w:t>
                  </w:r>
                </w:p>
              </w:tc>
              <w:tc>
                <w:tcPr>
                  <w:tcW w:w="1854" w:type="pct"/>
                  <w:tcBorders>
                    <w:top w:val="single" w:color="000000" w:sz="4" w:space="0"/>
                    <w:left w:val="single" w:color="000000" w:sz="4" w:space="0"/>
                    <w:bottom w:val="single" w:color="000000" w:sz="4" w:space="0"/>
                    <w:right w:val="single" w:color="000000" w:sz="4" w:space="0"/>
                  </w:tcBorders>
                  <w:vAlign w:val="center"/>
                </w:tcPr>
                <w:p>
                  <w:pPr>
                    <w:pStyle w:val="35"/>
                    <w:spacing w:line="240" w:lineRule="auto"/>
                    <w:ind w:firstLine="0"/>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500万kWh/年</w:t>
                  </w:r>
                </w:p>
              </w:tc>
            </w:tr>
          </w:tbl>
          <w:p>
            <w:pPr>
              <w:adjustRightInd w:val="0"/>
              <w:snapToGrid w:val="0"/>
              <w:spacing w:line="360" w:lineRule="auto"/>
              <w:jc w:val="left"/>
              <w:rPr>
                <w:rFonts w:ascii="宋体" w:hAnsi="宋体" w:cs="宋体"/>
                <w:bCs/>
                <w:color w:val="auto"/>
                <w:szCs w:val="21"/>
                <w:highlight w:val="none"/>
              </w:rPr>
            </w:pPr>
          </w:p>
          <w:p>
            <w:pPr>
              <w:pStyle w:val="31"/>
              <w:rPr>
                <w:color w:val="auto"/>
                <w:highlight w:val="none"/>
              </w:rPr>
            </w:pPr>
            <w:r>
              <w:rPr>
                <w:rFonts w:hint="eastAsia"/>
                <w:color w:val="auto"/>
                <w:highlight w:val="none"/>
              </w:rPr>
              <w:t>2.1.6 公共工程</w:t>
            </w:r>
          </w:p>
          <w:p>
            <w:pPr>
              <w:pStyle w:val="36"/>
              <w:numPr>
                <w:ilvl w:val="0"/>
                <w:numId w:val="1"/>
              </w:numPr>
              <w:ind w:firstLine="480"/>
              <w:rPr>
                <w:color w:val="auto"/>
                <w:highlight w:val="none"/>
              </w:rPr>
            </w:pPr>
            <w:r>
              <w:rPr>
                <w:color w:val="auto"/>
                <w:highlight w:val="none"/>
              </w:rPr>
              <w:t>给水系统</w:t>
            </w:r>
          </w:p>
          <w:p>
            <w:pPr>
              <w:pStyle w:val="36"/>
              <w:ind w:firstLine="480"/>
              <w:rPr>
                <w:color w:val="auto"/>
                <w:highlight w:val="none"/>
              </w:rPr>
            </w:pPr>
            <w:r>
              <w:rPr>
                <w:rFonts w:hint="eastAsia"/>
                <w:color w:val="auto"/>
                <w:highlight w:val="none"/>
              </w:rPr>
              <w:t>综合楼生活给水由校区内现有市政给水管引入一路DN200给水管并分别设置生活控制性水表及消防水表，消防水表后给水管设置低阻力倒流防止器，生活及消防给水管在地块内均成环布置。</w:t>
            </w:r>
          </w:p>
          <w:p>
            <w:pPr>
              <w:pStyle w:val="36"/>
              <w:ind w:firstLine="480"/>
              <w:rPr>
                <w:color w:val="auto"/>
                <w:highlight w:val="none"/>
              </w:rPr>
            </w:pPr>
            <w:r>
              <w:rPr>
                <w:color w:val="auto"/>
                <w:highlight w:val="none"/>
              </w:rPr>
              <w:t>球差电镜室生活给水由校区内现有市政给水管引入一路DN50给水管并设置生活控制性水表。</w:t>
            </w:r>
          </w:p>
          <w:p>
            <w:pPr>
              <w:pStyle w:val="36"/>
              <w:numPr>
                <w:ilvl w:val="0"/>
                <w:numId w:val="1"/>
              </w:numPr>
              <w:ind w:firstLine="480"/>
              <w:rPr>
                <w:color w:val="auto"/>
                <w:highlight w:val="none"/>
              </w:rPr>
            </w:pPr>
            <w:r>
              <w:rPr>
                <w:color w:val="auto"/>
                <w:highlight w:val="none"/>
              </w:rPr>
              <w:t>排水系统</w:t>
            </w:r>
          </w:p>
          <w:p>
            <w:pPr>
              <w:pStyle w:val="36"/>
              <w:ind w:firstLine="480"/>
              <w:rPr>
                <w:color w:val="auto"/>
                <w:highlight w:val="none"/>
              </w:rPr>
            </w:pPr>
            <w:r>
              <w:rPr>
                <w:color w:val="auto"/>
                <w:highlight w:val="none"/>
              </w:rPr>
              <w:t>项目排水系统实行雨污水分流制设计。</w:t>
            </w:r>
          </w:p>
          <w:p>
            <w:pPr>
              <w:pStyle w:val="36"/>
              <w:ind w:firstLine="480"/>
              <w:rPr>
                <w:color w:val="auto"/>
                <w:highlight w:val="none"/>
              </w:rPr>
            </w:pPr>
            <w:r>
              <w:rPr>
                <w:color w:val="auto"/>
                <w:highlight w:val="none"/>
              </w:rPr>
              <w:t>①污水管网</w:t>
            </w:r>
          </w:p>
          <w:p>
            <w:pPr>
              <w:pStyle w:val="36"/>
              <w:ind w:firstLine="480"/>
              <w:rPr>
                <w:color w:val="auto"/>
                <w:highlight w:val="none"/>
              </w:rPr>
            </w:pPr>
            <w:r>
              <w:rPr>
                <w:rFonts w:hint="eastAsia"/>
                <w:color w:val="auto"/>
                <w:highlight w:val="none"/>
              </w:rPr>
              <w:t>根据2.2.2.3 水平衡分析章节，项目</w:t>
            </w:r>
            <w:r>
              <w:rPr>
                <w:color w:val="auto"/>
                <w:highlight w:val="none"/>
              </w:rPr>
              <w:t>污水排放量约为</w:t>
            </w:r>
            <w:r>
              <w:rPr>
                <w:rFonts w:hint="eastAsia"/>
                <w:color w:val="auto"/>
                <w:highlight w:val="none"/>
                <w:lang w:val="en-US" w:eastAsia="zh-CN"/>
              </w:rPr>
              <w:t>12624</w:t>
            </w:r>
            <w:r>
              <w:rPr>
                <w:rFonts w:hint="eastAsia"/>
                <w:color w:val="auto"/>
                <w:highlight w:val="none"/>
              </w:rPr>
              <w:t xml:space="preserve"> m³</w:t>
            </w:r>
            <w:r>
              <w:rPr>
                <w:color w:val="auto"/>
                <w:highlight w:val="none"/>
              </w:rPr>
              <w:t>/</w:t>
            </w:r>
            <w:r>
              <w:rPr>
                <w:rFonts w:hint="eastAsia"/>
                <w:color w:val="auto"/>
                <w:highlight w:val="none"/>
              </w:rPr>
              <w:t>年</w:t>
            </w:r>
            <w:r>
              <w:rPr>
                <w:color w:val="auto"/>
                <w:highlight w:val="none"/>
              </w:rPr>
              <w:t>。</w:t>
            </w:r>
            <w:r>
              <w:rPr>
                <w:rFonts w:hint="eastAsia"/>
                <w:color w:val="auto"/>
                <w:highlight w:val="none"/>
              </w:rPr>
              <w:t>实验室危险</w:t>
            </w:r>
            <w:r>
              <w:rPr>
                <w:color w:val="auto"/>
                <w:highlight w:val="none"/>
              </w:rPr>
              <w:t>废液单独收集，</w:t>
            </w:r>
            <w:r>
              <w:rPr>
                <w:rFonts w:hint="eastAsia"/>
                <w:color w:val="auto"/>
                <w:highlight w:val="none"/>
              </w:rPr>
              <w:t>先于综合楼</w:t>
            </w:r>
            <w:r>
              <w:rPr>
                <w:rFonts w:hint="eastAsia"/>
                <w:color w:val="auto"/>
                <w:highlight w:val="none"/>
                <w:lang w:eastAsia="zh-CN"/>
              </w:rPr>
              <w:t>危废间</w:t>
            </w:r>
            <w:r>
              <w:rPr>
                <w:rFonts w:hint="eastAsia"/>
                <w:color w:val="auto"/>
                <w:highlight w:val="none"/>
              </w:rPr>
              <w:t>、废液间暂存，后定期</w:t>
            </w:r>
            <w:r>
              <w:rPr>
                <w:color w:val="auto"/>
                <w:highlight w:val="none"/>
              </w:rPr>
              <w:t>委托</w:t>
            </w:r>
            <w:r>
              <w:rPr>
                <w:rFonts w:hint="eastAsia"/>
                <w:color w:val="auto"/>
                <w:highlight w:val="none"/>
                <w:lang w:eastAsia="zh-CN"/>
              </w:rPr>
              <w:t>有资质的单位</w:t>
            </w:r>
            <w:r>
              <w:rPr>
                <w:color w:val="auto"/>
                <w:highlight w:val="none"/>
              </w:rPr>
              <w:t>收集处理</w:t>
            </w:r>
            <w:r>
              <w:rPr>
                <w:rFonts w:hint="eastAsia"/>
                <w:color w:val="auto"/>
                <w:highlight w:val="none"/>
              </w:rPr>
              <w:t>；实验室一般废水经酸碱中和池和消毒池处理后，排入化粪池处理，后接入市政管网。餐厅</w:t>
            </w:r>
            <w:r>
              <w:rPr>
                <w:color w:val="auto"/>
                <w:highlight w:val="none"/>
              </w:rPr>
              <w:t>厨房含油废水经隔油池隔油后与</w:t>
            </w:r>
            <w:r>
              <w:rPr>
                <w:rFonts w:hint="eastAsia"/>
                <w:color w:val="auto"/>
                <w:highlight w:val="none"/>
              </w:rPr>
              <w:t>其他生活污水</w:t>
            </w:r>
            <w:r>
              <w:rPr>
                <w:color w:val="auto"/>
                <w:highlight w:val="none"/>
              </w:rPr>
              <w:t>汇合经</w:t>
            </w:r>
            <w:r>
              <w:rPr>
                <w:rFonts w:hint="eastAsia"/>
                <w:color w:val="auto"/>
                <w:highlight w:val="none"/>
              </w:rPr>
              <w:t>化粪池</w:t>
            </w:r>
            <w:r>
              <w:rPr>
                <w:color w:val="auto"/>
                <w:highlight w:val="none"/>
              </w:rPr>
              <w:t>预处理后排入市政污水</w:t>
            </w:r>
            <w:r>
              <w:rPr>
                <w:rFonts w:hint="eastAsia"/>
                <w:color w:val="auto"/>
                <w:highlight w:val="none"/>
              </w:rPr>
              <w:t>管网</w:t>
            </w:r>
            <w:r>
              <w:rPr>
                <w:color w:val="auto"/>
                <w:highlight w:val="none"/>
              </w:rPr>
              <w:t>。</w:t>
            </w:r>
          </w:p>
          <w:p>
            <w:pPr>
              <w:pStyle w:val="36"/>
              <w:ind w:firstLine="480"/>
              <w:rPr>
                <w:color w:val="auto"/>
                <w:highlight w:val="none"/>
              </w:rPr>
            </w:pPr>
            <w:r>
              <w:rPr>
                <w:color w:val="auto"/>
                <w:highlight w:val="none"/>
              </w:rPr>
              <w:t>②雨水系统</w:t>
            </w:r>
          </w:p>
          <w:p>
            <w:pPr>
              <w:pStyle w:val="36"/>
              <w:ind w:firstLine="480"/>
              <w:rPr>
                <w:color w:val="auto"/>
                <w:highlight w:val="none"/>
              </w:rPr>
            </w:pPr>
            <w:r>
              <w:rPr>
                <w:rFonts w:hint="eastAsia"/>
                <w:color w:val="auto"/>
                <w:highlight w:val="none"/>
              </w:rPr>
              <w:t>综合楼用地红线范围内雨水经雨水管道单独收集后分散排至校区内现有雨水管网</w:t>
            </w:r>
            <w:r>
              <w:rPr>
                <w:color w:val="auto"/>
                <w:highlight w:val="none"/>
              </w:rPr>
              <w:t>。</w:t>
            </w:r>
            <w:r>
              <w:rPr>
                <w:rFonts w:hint="eastAsia"/>
                <w:color w:val="auto"/>
                <w:highlight w:val="none"/>
              </w:rPr>
              <w:t>地下车库通道入口雨水经集水坑收集后，由排水泵排入总体雨水管网。收集回用屋面雨水经过滤、消毒后供给室外绿化浇灌及道路浇洒。</w:t>
            </w:r>
          </w:p>
          <w:p>
            <w:pPr>
              <w:pStyle w:val="36"/>
              <w:numPr>
                <w:ilvl w:val="0"/>
                <w:numId w:val="1"/>
              </w:numPr>
              <w:ind w:firstLine="480"/>
              <w:rPr>
                <w:color w:val="auto"/>
                <w:highlight w:val="none"/>
              </w:rPr>
            </w:pPr>
            <w:r>
              <w:rPr>
                <w:color w:val="auto"/>
                <w:highlight w:val="none"/>
              </w:rPr>
              <w:t>供电系统</w:t>
            </w:r>
          </w:p>
          <w:p>
            <w:pPr>
              <w:pStyle w:val="36"/>
              <w:ind w:firstLine="480"/>
              <w:rPr>
                <w:color w:val="auto"/>
                <w:highlight w:val="none"/>
              </w:rPr>
            </w:pPr>
            <w:r>
              <w:rPr>
                <w:rFonts w:hint="eastAsia"/>
                <w:color w:val="auto"/>
                <w:highlight w:val="none"/>
              </w:rPr>
              <w:t>本项目在综合楼1层设置变电所，设4×1250kVA干式变压器。变电所的两路10kV高压电源引自校内原有开闭所，任何一路故障时，另一路可满足全楼所有的一、二级供电负荷容量，</w:t>
            </w:r>
            <w:r>
              <w:rPr>
                <w:color w:val="auto"/>
                <w:highlight w:val="none"/>
              </w:rPr>
              <w:t>双重供电电源采用电缆埋地敷设引入大楼。对大楼内重要建筑负荷设置0.4</w:t>
            </w:r>
            <w:r>
              <w:rPr>
                <w:rFonts w:hint="eastAsia"/>
                <w:color w:val="auto"/>
                <w:highlight w:val="none"/>
              </w:rPr>
              <w:t>k</w:t>
            </w:r>
            <w:r>
              <w:rPr>
                <w:color w:val="auto"/>
                <w:highlight w:val="none"/>
              </w:rPr>
              <w:t>V低压柴油发电机组作为备用电源，变电所设有一台1000</w:t>
            </w:r>
            <w:r>
              <w:rPr>
                <w:rFonts w:hint="eastAsia"/>
                <w:color w:val="auto"/>
                <w:highlight w:val="none"/>
              </w:rPr>
              <w:t>k</w:t>
            </w:r>
            <w:r>
              <w:rPr>
                <w:color w:val="auto"/>
                <w:highlight w:val="none"/>
              </w:rPr>
              <w:t>W</w:t>
            </w:r>
            <w:r>
              <w:rPr>
                <w:rFonts w:hint="eastAsia"/>
                <w:color w:val="auto"/>
                <w:highlight w:val="none"/>
              </w:rPr>
              <w:t>（</w:t>
            </w:r>
            <w:r>
              <w:rPr>
                <w:color w:val="auto"/>
                <w:highlight w:val="none"/>
              </w:rPr>
              <w:t>常用功率</w:t>
            </w:r>
            <w:r>
              <w:rPr>
                <w:rFonts w:hint="eastAsia"/>
                <w:color w:val="auto"/>
                <w:highlight w:val="none"/>
              </w:rPr>
              <w:t>）</w:t>
            </w:r>
            <w:r>
              <w:rPr>
                <w:color w:val="auto"/>
                <w:highlight w:val="none"/>
              </w:rPr>
              <w:t>柴油发电机组。</w:t>
            </w:r>
          </w:p>
          <w:p>
            <w:pPr>
              <w:pStyle w:val="36"/>
              <w:ind w:firstLine="480"/>
              <w:rPr>
                <w:color w:val="auto"/>
                <w:highlight w:val="none"/>
              </w:rPr>
            </w:pPr>
            <w:r>
              <w:rPr>
                <w:rFonts w:hint="eastAsia"/>
                <w:color w:val="auto"/>
                <w:highlight w:val="none"/>
              </w:rPr>
              <w:t>球差电镜室采用两路低压电源~380/220V，引自校内现有变电所内双重电源的不同低压母线段。</w:t>
            </w:r>
          </w:p>
          <w:p>
            <w:pPr>
              <w:pStyle w:val="31"/>
              <w:rPr>
                <w:color w:val="auto"/>
                <w:highlight w:val="none"/>
              </w:rPr>
            </w:pPr>
            <w:r>
              <w:rPr>
                <w:rFonts w:hint="eastAsia"/>
                <w:color w:val="auto"/>
                <w:highlight w:val="none"/>
              </w:rPr>
              <w:t>2.1.7 厂区平面布置</w:t>
            </w:r>
          </w:p>
          <w:p>
            <w:pPr>
              <w:pStyle w:val="28"/>
              <w:ind w:firstLine="480"/>
              <w:rPr>
                <w:color w:val="auto"/>
                <w:highlight w:val="none"/>
              </w:rPr>
            </w:pPr>
            <w:r>
              <w:rPr>
                <w:rFonts w:hint="eastAsia"/>
                <w:color w:val="auto"/>
                <w:highlight w:val="none"/>
              </w:rPr>
              <w:t>项目作为海峡柔性电子（未来科技）学院配套教学楼建设，设立一栋综合楼及一栋球差电镜室，结合校区总平面布置相对位置关系见图2.1-2。从校区主要道路及出入口设置分析，项目所在位置与校区现有已建工程布局相协调，校区总平面布置功能分区明确，出入口设置结合周边道路合理设置，有利于分流进出车辆及人员，校区平面布局基本合理。项目总平面布置图详见下图2.1-1，综合楼每层的平面布置情况详见附件十。</w:t>
            </w:r>
          </w:p>
          <w:p>
            <w:pPr>
              <w:pStyle w:val="28"/>
              <w:ind w:firstLine="480"/>
              <w:rPr>
                <w:color w:val="auto"/>
                <w:highlight w:val="none"/>
              </w:rPr>
            </w:pPr>
            <w:r>
              <w:rPr>
                <w:rFonts w:hint="eastAsia"/>
                <w:color w:val="auto"/>
                <w:highlight w:val="none"/>
              </w:rPr>
              <w:t>项目雨污水管网示意图见图2.1-3。</w:t>
            </w:r>
          </w:p>
          <w:p>
            <w:pPr>
              <w:pStyle w:val="33"/>
              <w:rPr>
                <w:color w:val="auto"/>
                <w:highlight w:val="none"/>
              </w:rPr>
            </w:pPr>
          </w:p>
          <w:p>
            <w:pPr>
              <w:pStyle w:val="28"/>
              <w:ind w:firstLine="480"/>
              <w:rPr>
                <w:color w:val="auto"/>
                <w:highlight w:val="none"/>
              </w:rPr>
            </w:pPr>
          </w:p>
        </w:tc>
      </w:tr>
    </w:tbl>
    <w:p>
      <w:pPr>
        <w:rPr>
          <w:color w:val="auto"/>
          <w:highlight w:val="none"/>
        </w:rPr>
        <w:sectPr>
          <w:pgSz w:w="11906" w:h="16838"/>
          <w:pgMar w:top="1701" w:right="1531" w:bottom="1701" w:left="1531" w:header="851" w:footer="851" w:gutter="0"/>
          <w:cols w:space="720" w:num="1"/>
          <w:docGrid w:linePitch="312" w:charSpace="0"/>
        </w:sectPr>
      </w:pPr>
    </w:p>
    <w:p>
      <w:pPr>
        <w:pStyle w:val="2"/>
        <w:ind w:firstLine="0" w:firstLineChars="0"/>
        <w:jc w:val="center"/>
        <w:rPr>
          <w:color w:val="auto"/>
          <w:highlight w:val="none"/>
        </w:rPr>
      </w:pPr>
      <w:r>
        <w:rPr>
          <w:rFonts w:hint="eastAsia"/>
          <w:color w:val="auto"/>
          <w:highlight w:val="none"/>
        </w:rPr>
        <w:drawing>
          <wp:inline distT="0" distB="0" distL="114300" distR="114300">
            <wp:extent cx="8218805" cy="8992235"/>
            <wp:effectExtent l="0" t="0" r="18415" b="10795"/>
            <wp:docPr id="63" name="图片 63" descr="平面布置图gai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平面布置图gai_00"/>
                    <pic:cNvPicPr>
                      <a:picLocks noChangeAspect="1"/>
                    </pic:cNvPicPr>
                  </pic:nvPicPr>
                  <pic:blipFill>
                    <a:blip r:embed="rId15"/>
                    <a:srcRect b="22642"/>
                    <a:stretch>
                      <a:fillRect/>
                    </a:stretch>
                  </pic:blipFill>
                  <pic:spPr>
                    <a:xfrm rot="16200000">
                      <a:off x="0" y="0"/>
                      <a:ext cx="8218805" cy="8992235"/>
                    </a:xfrm>
                    <a:prstGeom prst="rect">
                      <a:avLst/>
                    </a:prstGeom>
                  </pic:spPr>
                </pic:pic>
              </a:graphicData>
            </a:graphic>
          </wp:inline>
        </w:drawing>
      </w:r>
    </w:p>
    <w:p>
      <w:pPr>
        <w:pStyle w:val="32"/>
        <w:rPr>
          <w:rFonts w:eastAsia="宋体"/>
          <w:color w:val="auto"/>
          <w:highlight w:val="none"/>
        </w:rPr>
      </w:pPr>
      <w:r>
        <w:rPr>
          <w:rFonts w:hint="eastAsia"/>
          <w:bCs/>
          <w:color w:val="auto"/>
          <w:highlight w:val="none"/>
        </w:rPr>
        <w:t>图2.1-1 项目平面示意图</w:t>
      </w:r>
    </w:p>
    <w:p>
      <w:pPr>
        <w:pStyle w:val="3"/>
        <w:ind w:firstLine="280"/>
        <w:rPr>
          <w:color w:val="auto"/>
          <w:highlight w:val="none"/>
        </w:rPr>
        <w:sectPr>
          <w:pgSz w:w="23811" w:h="16838" w:orient="landscape"/>
          <w:pgMar w:top="1531" w:right="1701" w:bottom="1531" w:left="1701" w:header="851" w:footer="851" w:gutter="0"/>
          <w:cols w:space="720" w:num="1"/>
          <w:docGrid w:linePitch="312" w:charSpace="0"/>
        </w:sectPr>
      </w:pPr>
    </w:p>
    <w:p>
      <w:pPr>
        <w:jc w:val="center"/>
        <w:rPr>
          <w:color w:val="auto"/>
          <w:highlight w:val="none"/>
        </w:rPr>
      </w:pPr>
      <w:r>
        <w:rPr>
          <w:color w:val="auto"/>
          <w:highlight w:val="none"/>
        </w:rPr>
        <w:drawing>
          <wp:inline distT="0" distB="0" distL="114300" distR="114300">
            <wp:extent cx="5102225" cy="5819775"/>
            <wp:effectExtent l="0" t="0" r="9525" b="3175"/>
            <wp:docPr id="52" name="图片 52" descr="位置示意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位置示意图_00"/>
                    <pic:cNvPicPr>
                      <a:picLocks noChangeAspect="1"/>
                    </pic:cNvPicPr>
                  </pic:nvPicPr>
                  <pic:blipFill>
                    <a:blip r:embed="rId16"/>
                    <a:srcRect b="19355"/>
                    <a:stretch>
                      <a:fillRect/>
                    </a:stretch>
                  </pic:blipFill>
                  <pic:spPr>
                    <a:xfrm rot="16200000">
                      <a:off x="0" y="0"/>
                      <a:ext cx="5102225" cy="5819775"/>
                    </a:xfrm>
                    <a:prstGeom prst="rect">
                      <a:avLst/>
                    </a:prstGeom>
                  </pic:spPr>
                </pic:pic>
              </a:graphicData>
            </a:graphic>
          </wp:inline>
        </w:drawing>
      </w:r>
    </w:p>
    <w:p>
      <w:pPr>
        <w:pStyle w:val="29"/>
        <w:rPr>
          <w:color w:val="auto"/>
          <w:highlight w:val="none"/>
        </w:rPr>
      </w:pPr>
      <w:r>
        <w:rPr>
          <w:rFonts w:hint="eastAsia"/>
          <w:color w:val="auto"/>
          <w:highlight w:val="none"/>
        </w:rPr>
        <w:t>图2.1-2 项目位置示意图</w:t>
      </w:r>
    </w:p>
    <w:p>
      <w:pPr>
        <w:rPr>
          <w:color w:val="auto"/>
          <w:highlight w:val="none"/>
        </w:rPr>
      </w:pPr>
      <w:r>
        <w:rPr>
          <w:rFonts w:hint="eastAsia"/>
          <w:color w:val="auto"/>
          <w:highlight w:val="none"/>
        </w:rPr>
        <w:br w:type="page"/>
      </w:r>
    </w:p>
    <w:p>
      <w:pPr>
        <w:pStyle w:val="29"/>
        <w:outlineLvl w:val="9"/>
        <w:rPr>
          <w:rFonts w:hint="eastAsia" w:eastAsia="黑体"/>
          <w:color w:val="auto"/>
          <w:highlight w:val="none"/>
          <w:lang w:eastAsia="zh-CN"/>
        </w:rPr>
      </w:pPr>
      <w:r>
        <w:rPr>
          <w:rFonts w:hint="eastAsia" w:eastAsia="黑体"/>
          <w:color w:val="auto"/>
          <w:highlight w:val="none"/>
          <w:lang w:eastAsia="zh-CN"/>
        </w:rPr>
        <w:drawing>
          <wp:inline distT="0" distB="0" distL="114300" distR="114300">
            <wp:extent cx="7937500" cy="5053965"/>
            <wp:effectExtent l="0" t="0" r="6350" b="13335"/>
            <wp:docPr id="4" name="图片 4" descr="综合楼-管综图+环保设施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综合楼-管综图+环保设施_00"/>
                    <pic:cNvPicPr>
                      <a:picLocks noChangeAspect="1"/>
                    </pic:cNvPicPr>
                  </pic:nvPicPr>
                  <pic:blipFill>
                    <a:blip r:embed="rId17"/>
                    <a:srcRect t="9986"/>
                    <a:stretch>
                      <a:fillRect/>
                    </a:stretch>
                  </pic:blipFill>
                  <pic:spPr>
                    <a:xfrm>
                      <a:off x="0" y="0"/>
                      <a:ext cx="7937500" cy="5053965"/>
                    </a:xfrm>
                    <a:prstGeom prst="rect">
                      <a:avLst/>
                    </a:prstGeom>
                  </pic:spPr>
                </pic:pic>
              </a:graphicData>
            </a:graphic>
          </wp:inline>
        </w:drawing>
      </w:r>
    </w:p>
    <w:p>
      <w:pPr>
        <w:pStyle w:val="29"/>
        <w:rPr>
          <w:color w:val="auto"/>
          <w:highlight w:val="none"/>
        </w:rPr>
      </w:pPr>
      <w:r>
        <w:rPr>
          <w:rFonts w:hint="eastAsia"/>
          <w:color w:val="auto"/>
          <w:highlight w:val="none"/>
        </w:rPr>
        <w:t>图2.1-3（1）  项目雨污水管网</w:t>
      </w:r>
      <w:r>
        <w:rPr>
          <w:rFonts w:hint="eastAsia"/>
          <w:color w:val="auto"/>
          <w:highlight w:val="none"/>
          <w:lang w:eastAsia="zh-CN"/>
        </w:rPr>
        <w:t>及环保设施布置</w:t>
      </w:r>
      <w:r>
        <w:rPr>
          <w:rFonts w:hint="eastAsia"/>
          <w:color w:val="auto"/>
          <w:highlight w:val="none"/>
        </w:rPr>
        <w:t>图（综合楼）</w:t>
      </w:r>
    </w:p>
    <w:p>
      <w:pPr>
        <w:rPr>
          <w:color w:val="auto"/>
          <w:highlight w:val="none"/>
        </w:rPr>
      </w:pPr>
      <w:r>
        <w:rPr>
          <w:rFonts w:hint="eastAsia"/>
          <w:color w:val="auto"/>
          <w:highlight w:val="none"/>
        </w:rPr>
        <w:br w:type="page"/>
      </w:r>
    </w:p>
    <w:p>
      <w:pPr>
        <w:pStyle w:val="29"/>
        <w:outlineLvl w:val="9"/>
        <w:rPr>
          <w:color w:val="auto"/>
          <w:highlight w:val="none"/>
        </w:rPr>
      </w:pPr>
      <w:r>
        <w:rPr>
          <w:rFonts w:hint="eastAsia"/>
          <w:color w:val="auto"/>
          <w:highlight w:val="none"/>
        </w:rPr>
        <w:drawing>
          <wp:inline distT="0" distB="0" distL="114300" distR="114300">
            <wp:extent cx="5345430" cy="7559040"/>
            <wp:effectExtent l="0" t="0" r="3810" b="7620"/>
            <wp:docPr id="55" name="图片 55" descr="电镜室雨污管网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电镜室雨污管网_00"/>
                    <pic:cNvPicPr>
                      <a:picLocks noChangeAspect="1"/>
                    </pic:cNvPicPr>
                  </pic:nvPicPr>
                  <pic:blipFill>
                    <a:blip r:embed="rId18"/>
                    <a:stretch>
                      <a:fillRect/>
                    </a:stretch>
                  </pic:blipFill>
                  <pic:spPr>
                    <a:xfrm rot="16200000">
                      <a:off x="0" y="0"/>
                      <a:ext cx="5345430" cy="7559040"/>
                    </a:xfrm>
                    <a:prstGeom prst="rect">
                      <a:avLst/>
                    </a:prstGeom>
                  </pic:spPr>
                </pic:pic>
              </a:graphicData>
            </a:graphic>
          </wp:inline>
        </w:drawing>
      </w:r>
    </w:p>
    <w:p>
      <w:pPr>
        <w:pStyle w:val="29"/>
        <w:rPr>
          <w:color w:val="auto"/>
          <w:highlight w:val="none"/>
        </w:rPr>
      </w:pPr>
      <w:r>
        <w:rPr>
          <w:rFonts w:hint="eastAsia"/>
          <w:color w:val="auto"/>
          <w:highlight w:val="none"/>
        </w:rPr>
        <w:t>图2.1-3（2）  项目雨污水管网图（球差电镜室）</w:t>
      </w:r>
    </w:p>
    <w:p>
      <w:pPr>
        <w:pStyle w:val="2"/>
        <w:ind w:firstLine="0" w:firstLineChars="0"/>
        <w:jc w:val="center"/>
        <w:rPr>
          <w:color w:val="auto"/>
          <w:highlight w:val="none"/>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3961765</wp:posOffset>
                </wp:positionH>
                <wp:positionV relativeFrom="paragraph">
                  <wp:posOffset>2305685</wp:posOffset>
                </wp:positionV>
                <wp:extent cx="203835" cy="231140"/>
                <wp:effectExtent l="0" t="0" r="5715" b="16510"/>
                <wp:wrapNone/>
                <wp:docPr id="54" name="五角星 54"/>
                <wp:cNvGraphicFramePr/>
                <a:graphic xmlns:a="http://schemas.openxmlformats.org/drawingml/2006/main">
                  <a:graphicData uri="http://schemas.microsoft.com/office/word/2010/wordprocessingShape">
                    <wps:wsp>
                      <wps:cNvSpPr/>
                      <wps:spPr>
                        <a:xfrm>
                          <a:off x="3942715" y="2000885"/>
                          <a:ext cx="203835" cy="231140"/>
                        </a:xfrm>
                        <a:prstGeom prst="star5">
                          <a:avLst/>
                        </a:prstGeom>
                        <a:solidFill>
                          <a:srgbClr val="FF000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1.95pt;margin-top:181.55pt;height:18.2pt;width:16.05pt;z-index:251660288;v-text-anchor:middle;mso-width-relative:page;mso-height-relative:page;" fillcolor="#FF0000" filled="t" stroked="f" coordsize="203835,231140" o:gfxdata="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OolkHbAAAACwEAAA8AAAAAAAAA&#10;AQAgAAAAIgAAAGRycy9kb3ducmV2LnhtbFBLAQIUABQAAAAIAIdO4kBjq0n3gAIAAN4EAAAOAAAA&#10;AAAAAAEAIAAAACoBAABkcnMvZTJvRG9jLnhtbFBLBQYAAAAABgAGAFkBAAAcBgAAAAA=&#10;" path="m0,88287l77858,88288,101917,0,125976,88288,203834,88287,140845,142851,164905,231139,101917,176574,38929,231139,62989,142851xe">
                <v:path textboxrect="0,0,203835,231140" o:connectlocs="101917,0;0,88287;38929,231139;164905,231139;203834,88287" o:connectangles="247,164,82,82,0"/>
                <v:fill on="t" focussize="0,0"/>
                <v:stroke on="f" weight="2pt"/>
                <v:imagedata o:title=""/>
                <o:lock v:ext="edit" aspectratio="f"/>
                <v:textbox>
                  <w:txbxContent>
                    <w:p>
                      <w:pPr>
                        <w:jc w:val="center"/>
                      </w:pPr>
                    </w:p>
                  </w:txbxContent>
                </v:textbox>
              </v:shape>
            </w:pict>
          </mc:Fallback>
        </mc:AlternateContent>
      </w:r>
      <w:r>
        <w:rPr>
          <w:color w:val="auto"/>
          <w:highlight w:val="none"/>
        </w:rPr>
        <w:drawing>
          <wp:anchor distT="0" distB="0" distL="114300" distR="114300" simplePos="0" relativeHeight="251662336" behindDoc="0" locked="0" layoutInCell="1" allowOverlap="1">
            <wp:simplePos x="0" y="0"/>
            <wp:positionH relativeFrom="column">
              <wp:posOffset>7369175</wp:posOffset>
            </wp:positionH>
            <wp:positionV relativeFrom="paragraph">
              <wp:posOffset>299085</wp:posOffset>
            </wp:positionV>
            <wp:extent cx="647700" cy="847725"/>
            <wp:effectExtent l="0" t="0" r="0" b="9525"/>
            <wp:wrapNone/>
            <wp:docPr id="19" name="图片 362" descr="福州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62" descr="福州风玫瑰"/>
                    <pic:cNvPicPr>
                      <a:picLocks noChangeAspect="1"/>
                    </pic:cNvPicPr>
                  </pic:nvPicPr>
                  <pic:blipFill>
                    <a:blip r:embed="rId19"/>
                    <a:stretch>
                      <a:fillRect/>
                    </a:stretch>
                  </pic:blipFill>
                  <pic:spPr>
                    <a:xfrm>
                      <a:off x="0" y="0"/>
                      <a:ext cx="647700" cy="847725"/>
                    </a:xfrm>
                    <a:prstGeom prst="rect">
                      <a:avLst/>
                    </a:prstGeom>
                    <a:noFill/>
                    <a:ln>
                      <a:noFill/>
                    </a:ln>
                  </pic:spPr>
                </pic:pic>
              </a:graphicData>
            </a:graphic>
          </wp:anchor>
        </w:drawing>
      </w: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4119880</wp:posOffset>
                </wp:positionH>
                <wp:positionV relativeFrom="paragraph">
                  <wp:posOffset>1129665</wp:posOffset>
                </wp:positionV>
                <wp:extent cx="1027430" cy="318770"/>
                <wp:effectExtent l="52705" t="12700" r="24765" b="754380"/>
                <wp:wrapNone/>
                <wp:docPr id="51" name="矩形标注 51"/>
                <wp:cNvGraphicFramePr/>
                <a:graphic xmlns:a="http://schemas.openxmlformats.org/drawingml/2006/main">
                  <a:graphicData uri="http://schemas.microsoft.com/office/word/2010/wordprocessingShape">
                    <wps:wsp>
                      <wps:cNvSpPr/>
                      <wps:spPr>
                        <a:xfrm>
                          <a:off x="4291330" y="1243965"/>
                          <a:ext cx="1027430" cy="318770"/>
                        </a:xfrm>
                        <a:prstGeom prst="wedgeRectCallout">
                          <a:avLst>
                            <a:gd name="adj1" fmla="val -53893"/>
                            <a:gd name="adj2" fmla="val 277290"/>
                          </a:avLst>
                        </a:prstGeom>
                        <a:solidFill>
                          <a:srgbClr val="FFFF00"/>
                        </a:solidFill>
                        <a:ln w="25400" cap="flat" cmpd="sng" algn="ctr">
                          <a:solidFill>
                            <a:srgbClr val="000000"/>
                          </a:solidFill>
                          <a:prstDash val="solid"/>
                        </a:ln>
                        <a:effectLst/>
                      </wps:spPr>
                      <wps:txbx>
                        <w:txbxContent>
                          <w:p>
                            <w:pPr>
                              <w:spacing w:line="240" w:lineRule="atLeast"/>
                              <w:jc w:val="center"/>
                              <w:rPr>
                                <w:b/>
                                <w:bCs/>
                                <w:color w:val="FF0000"/>
                                <w:sz w:val="24"/>
                                <w:szCs w:val="32"/>
                              </w:rPr>
                            </w:pPr>
                            <w:r>
                              <w:rPr>
                                <w:rFonts w:hint="eastAsia"/>
                                <w:b/>
                                <w:bCs/>
                                <w:color w:val="FF0000"/>
                                <w:sz w:val="24"/>
                                <w:szCs w:val="32"/>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4.4pt;margin-top:88.95pt;height:25.1pt;width:80.9pt;z-index:251659264;v-text-anchor:middle;mso-width-relative:page;mso-height-relative:page;" fillcolor="#FFFF00" filled="t" stroked="t" coordsize="21600,21600" o:gfxdata="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lgvSjcAAAACwEAAA8AAAAAAAAA&#10;AQAgAAAAIgAAAGRycy9kb3ducmV2LnhtbFBLAQIUABQAAAAIAIdO4kCQoFkWuAIAAGkFAAAOAAAA&#10;AAAAAAEAIAAAACsBAABkcnMvZTJvRG9jLnhtbFBLBQYAAAAABgAGAFkBAABVBgAAAAA=&#10;" adj="-841,70695">
                <v:fill on="t" focussize="0,0"/>
                <v:stroke weight="2pt" color="#000000" joinstyle="round"/>
                <v:imagedata o:title=""/>
                <o:lock v:ext="edit" aspectratio="f"/>
                <v:textbox>
                  <w:txbxContent>
                    <w:p>
                      <w:pPr>
                        <w:spacing w:line="240" w:lineRule="atLeast"/>
                        <w:jc w:val="center"/>
                        <w:rPr>
                          <w:b/>
                          <w:bCs/>
                          <w:color w:val="FF0000"/>
                          <w:sz w:val="24"/>
                          <w:szCs w:val="32"/>
                        </w:rPr>
                      </w:pPr>
                      <w:r>
                        <w:rPr>
                          <w:rFonts w:hint="eastAsia"/>
                          <w:b/>
                          <w:bCs/>
                          <w:color w:val="FF0000"/>
                          <w:sz w:val="24"/>
                          <w:szCs w:val="32"/>
                        </w:rPr>
                        <w:t>项目所在地</w:t>
                      </w:r>
                    </w:p>
                  </w:txbxContent>
                </v:textbox>
              </v:shape>
            </w:pict>
          </mc:Fallback>
        </mc:AlternateContent>
      </w:r>
      <w:r>
        <w:rPr>
          <w:color w:val="auto"/>
          <w:highlight w:val="none"/>
        </w:rPr>
        <w:drawing>
          <wp:inline distT="0" distB="0" distL="114300" distR="114300">
            <wp:extent cx="7661275" cy="5278120"/>
            <wp:effectExtent l="0" t="0" r="15875" b="17780"/>
            <wp:docPr id="18" name="图片 14" descr="50171f8cfed0918158809a24e65d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50171f8cfed0918158809a24e65d38e"/>
                    <pic:cNvPicPr>
                      <a:picLocks noChangeAspect="1"/>
                    </pic:cNvPicPr>
                  </pic:nvPicPr>
                  <pic:blipFill>
                    <a:blip r:embed="rId20"/>
                    <a:srcRect l="5467" t="8366" r="5695" b="8595"/>
                    <a:stretch>
                      <a:fillRect/>
                    </a:stretch>
                  </pic:blipFill>
                  <pic:spPr>
                    <a:xfrm>
                      <a:off x="0" y="0"/>
                      <a:ext cx="7661275" cy="5278120"/>
                    </a:xfrm>
                    <a:prstGeom prst="rect">
                      <a:avLst/>
                    </a:prstGeom>
                    <a:noFill/>
                    <a:ln>
                      <a:noFill/>
                    </a:ln>
                  </pic:spPr>
                </pic:pic>
              </a:graphicData>
            </a:graphic>
          </wp:inline>
        </w:drawing>
      </w:r>
    </w:p>
    <w:p>
      <w:pPr>
        <w:pStyle w:val="32"/>
        <w:rPr>
          <w:rFonts w:eastAsia="宋体"/>
          <w:color w:val="auto"/>
          <w:highlight w:val="none"/>
        </w:rPr>
      </w:pPr>
      <w:r>
        <w:rPr>
          <w:rFonts w:hint="eastAsia"/>
          <w:bCs/>
          <w:color w:val="auto"/>
          <w:highlight w:val="none"/>
        </w:rPr>
        <w:t>图2.1-4 项目地理位置图</w:t>
      </w:r>
    </w:p>
    <w:p>
      <w:pPr>
        <w:pStyle w:val="2"/>
        <w:ind w:firstLine="0" w:firstLineChars="0"/>
        <w:jc w:val="center"/>
        <w:rPr>
          <w:color w:val="auto"/>
          <w:highlight w:val="none"/>
        </w:rPr>
        <w:sectPr>
          <w:pgSz w:w="16838" w:h="11906" w:orient="landscape"/>
          <w:pgMar w:top="1531" w:right="1701" w:bottom="1531" w:left="1701" w:header="851" w:footer="851" w:gutter="0"/>
          <w:cols w:space="720" w:num="1"/>
          <w:docGrid w:linePitch="312" w:charSpace="0"/>
        </w:sectPr>
      </w:pPr>
    </w:p>
    <w:p>
      <w:pPr>
        <w:pStyle w:val="17"/>
        <w:adjustRightInd w:val="0"/>
        <w:snapToGrid w:val="0"/>
        <w:spacing w:before="0" w:beforeAutospacing="0" w:after="0" w:afterAutospacing="0"/>
        <w:jc w:val="center"/>
        <w:rPr>
          <w:rFonts w:cs="宋体"/>
          <w:color w:val="auto"/>
          <w:sz w:val="21"/>
          <w:szCs w:val="21"/>
          <w:highlight w:val="none"/>
        </w:r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46" w:hRule="atLeast"/>
          <w:jc w:val="center"/>
        </w:trPr>
        <w:tc>
          <w:tcPr>
            <w:tcW w:w="426" w:type="dxa"/>
            <w:vAlign w:val="center"/>
          </w:tcPr>
          <w:p>
            <w:pPr>
              <w:pStyle w:val="17"/>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工艺流程和产排污环节</w:t>
            </w:r>
          </w:p>
        </w:tc>
        <w:tc>
          <w:tcPr>
            <w:tcW w:w="8634" w:type="dxa"/>
          </w:tcPr>
          <w:p>
            <w:pPr>
              <w:pStyle w:val="31"/>
              <w:rPr>
                <w:color w:val="auto"/>
                <w:highlight w:val="none"/>
              </w:rPr>
            </w:pPr>
            <w:r>
              <w:rPr>
                <w:rFonts w:hint="eastAsia"/>
                <w:color w:val="auto"/>
                <w:highlight w:val="none"/>
              </w:rPr>
              <w:t>2.2.1 施工期</w:t>
            </w:r>
            <w:r>
              <w:rPr>
                <w:color w:val="auto"/>
                <w:highlight w:val="none"/>
              </w:rPr>
              <w:t>工艺流程及产</w:t>
            </w:r>
            <w:r>
              <w:rPr>
                <w:rFonts w:hint="eastAsia"/>
                <w:color w:val="auto"/>
                <w:highlight w:val="none"/>
              </w:rPr>
              <w:t>污</w:t>
            </w:r>
            <w:r>
              <w:rPr>
                <w:color w:val="auto"/>
                <w:highlight w:val="none"/>
              </w:rPr>
              <w:t>流程</w:t>
            </w:r>
            <w:r>
              <w:rPr>
                <w:rFonts w:hint="eastAsia"/>
                <w:color w:val="auto"/>
                <w:highlight w:val="none"/>
              </w:rPr>
              <w:t xml:space="preserve"> </w:t>
            </w:r>
          </w:p>
          <w:p>
            <w:pPr>
              <w:pStyle w:val="36"/>
              <w:ind w:firstLine="480"/>
              <w:rPr>
                <w:color w:val="auto"/>
                <w:highlight w:val="none"/>
              </w:rPr>
            </w:pPr>
            <w:r>
              <w:rPr>
                <w:rFonts w:hint="eastAsia"/>
                <w:color w:val="auto"/>
                <w:highlight w:val="none"/>
              </w:rPr>
              <w:t>（1）施工方案</w:t>
            </w:r>
          </w:p>
          <w:p>
            <w:pPr>
              <w:pStyle w:val="36"/>
              <w:ind w:firstLine="480"/>
              <w:rPr>
                <w:color w:val="auto"/>
                <w:highlight w:val="none"/>
              </w:rPr>
            </w:pPr>
            <w:r>
              <w:rPr>
                <w:rFonts w:hint="eastAsia"/>
                <w:color w:val="auto"/>
                <w:highlight w:val="none"/>
              </w:rPr>
              <w:t>本工程主要建设内容为场地平整、基础开挖、主体建筑施工、设备管道安装、绿化。</w:t>
            </w:r>
          </w:p>
          <w:p>
            <w:pPr>
              <w:pStyle w:val="36"/>
              <w:ind w:firstLine="480"/>
              <w:rPr>
                <w:color w:val="auto"/>
                <w:highlight w:val="none"/>
              </w:rPr>
            </w:pPr>
            <w:r>
              <w:rPr>
                <w:rFonts w:hint="eastAsia"/>
                <w:color w:val="auto"/>
                <w:highlight w:val="none"/>
              </w:rPr>
              <w:t>①基础开挖：根据工程设计的要求，对建设地下室的的地块进行基础开挖工程。</w:t>
            </w:r>
          </w:p>
          <w:p>
            <w:pPr>
              <w:pStyle w:val="36"/>
              <w:ind w:firstLine="480"/>
              <w:rPr>
                <w:color w:val="auto"/>
                <w:highlight w:val="none"/>
              </w:rPr>
            </w:pPr>
            <w:r>
              <w:rPr>
                <w:rFonts w:hint="eastAsia"/>
                <w:color w:val="auto"/>
                <w:highlight w:val="none"/>
              </w:rPr>
              <w:t>②主体建筑施工：建筑主体采用现浇钢筋混凝土框架结构，楼（屋）盖采用现浇钢筋混凝土梁板结构，混凝土都是直接购自水泥拌合站的预定成品材料。</w:t>
            </w:r>
          </w:p>
          <w:p>
            <w:pPr>
              <w:pStyle w:val="36"/>
              <w:ind w:firstLine="480"/>
              <w:rPr>
                <w:color w:val="auto"/>
                <w:highlight w:val="none"/>
              </w:rPr>
            </w:pPr>
            <w:r>
              <w:rPr>
                <w:rFonts w:hint="eastAsia"/>
                <w:color w:val="auto"/>
                <w:highlight w:val="none"/>
              </w:rPr>
              <w:t>③设备管道安装、调试、绿化：给排水管道铺设，并利用用地范围内空地进行绿化。</w:t>
            </w:r>
          </w:p>
          <w:p>
            <w:pPr>
              <w:pStyle w:val="36"/>
              <w:ind w:firstLine="480"/>
              <w:rPr>
                <w:color w:val="auto"/>
                <w:highlight w:val="none"/>
              </w:rPr>
            </w:pPr>
            <w:r>
              <w:rPr>
                <w:rFonts w:hint="eastAsia"/>
                <w:color w:val="auto"/>
                <w:highlight w:val="none"/>
              </w:rPr>
              <w:t>（2）施工工艺简介</w:t>
            </w:r>
          </w:p>
          <w:p>
            <w:pPr>
              <w:pStyle w:val="36"/>
              <w:ind w:firstLine="480"/>
              <w:rPr>
                <w:color w:val="auto"/>
                <w:highlight w:val="none"/>
              </w:rPr>
            </w:pPr>
            <w:r>
              <w:rPr>
                <w:rFonts w:hint="eastAsia"/>
                <w:color w:val="auto"/>
                <w:highlight w:val="none"/>
              </w:rPr>
              <w:t>施工过程中产生的环境影响主要来自施工人员排放的生活污水和生活垃圾，机械设备运行时产生的废气污染物，施工使用的设备产生的噪声，施工过程产生的建筑垃圾等。项目施工期产污环节分析详见图2.2-1，本项目施工周期较短。</w:t>
            </w:r>
          </w:p>
          <w:p>
            <w:pPr>
              <w:adjustRightInd w:val="0"/>
              <w:snapToGrid w:val="0"/>
              <w:jc w:val="center"/>
              <w:rPr>
                <w:color w:val="auto"/>
                <w:szCs w:val="21"/>
                <w:highlight w:val="none"/>
              </w:rPr>
            </w:pPr>
            <w:r>
              <w:rPr>
                <w:rFonts w:hint="eastAsia"/>
                <w:color w:val="auto"/>
                <w:szCs w:val="21"/>
                <w:highlight w:val="none"/>
              </w:rPr>
              <w:drawing>
                <wp:inline distT="0" distB="0" distL="114300" distR="114300">
                  <wp:extent cx="4493260" cy="2388235"/>
                  <wp:effectExtent l="9525" t="9525" r="12065" b="2159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1"/>
                          <a:stretch>
                            <a:fillRect/>
                          </a:stretch>
                        </pic:blipFill>
                        <pic:spPr>
                          <a:xfrm>
                            <a:off x="0" y="0"/>
                            <a:ext cx="4493260" cy="238823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29"/>
              <w:rPr>
                <w:color w:val="auto"/>
                <w:highlight w:val="none"/>
              </w:rPr>
            </w:pPr>
            <w:r>
              <w:rPr>
                <w:rFonts w:hint="eastAsia"/>
                <w:color w:val="auto"/>
                <w:highlight w:val="none"/>
              </w:rPr>
              <w:t>图2.2-1</w:t>
            </w:r>
            <w:r>
              <w:rPr>
                <w:color w:val="auto"/>
                <w:highlight w:val="none"/>
              </w:rPr>
              <w:t xml:space="preserve"> 项目施工期产</w:t>
            </w:r>
            <w:r>
              <w:rPr>
                <w:rFonts w:hint="eastAsia"/>
                <w:color w:val="auto"/>
                <w:highlight w:val="none"/>
              </w:rPr>
              <w:t>污</w:t>
            </w:r>
            <w:r>
              <w:rPr>
                <w:color w:val="auto"/>
                <w:highlight w:val="none"/>
              </w:rPr>
              <w:t>环节示意图</w:t>
            </w:r>
          </w:p>
          <w:p>
            <w:pPr>
              <w:adjustRightInd w:val="0"/>
              <w:snapToGrid w:val="0"/>
              <w:spacing w:line="360" w:lineRule="auto"/>
              <w:ind w:firstLine="480" w:firstLineChars="200"/>
              <w:jc w:val="left"/>
              <w:rPr>
                <w:color w:val="auto"/>
                <w:highlight w:val="none"/>
              </w:rPr>
            </w:pPr>
            <w:r>
              <w:rPr>
                <w:rFonts w:hint="eastAsia"/>
                <w:color w:val="auto"/>
                <w:kern w:val="0"/>
                <w:sz w:val="24"/>
                <w:highlight w:val="none"/>
              </w:rPr>
              <w:t xml:space="preserve"> </w:t>
            </w:r>
          </w:p>
          <w:p>
            <w:pPr>
              <w:pStyle w:val="31"/>
              <w:rPr>
                <w:color w:val="auto"/>
                <w:highlight w:val="none"/>
              </w:rPr>
            </w:pPr>
            <w:r>
              <w:rPr>
                <w:rFonts w:hint="eastAsia"/>
                <w:color w:val="auto"/>
                <w:highlight w:val="none"/>
              </w:rPr>
              <w:t xml:space="preserve">2.2.2 运营期工艺流程及产污流程 </w:t>
            </w:r>
          </w:p>
          <w:p>
            <w:pPr>
              <w:pStyle w:val="37"/>
              <w:rPr>
                <w:color w:val="auto"/>
                <w:highlight w:val="none"/>
              </w:rPr>
            </w:pPr>
            <w:r>
              <w:rPr>
                <w:rFonts w:hint="eastAsia"/>
                <w:color w:val="auto"/>
                <w:highlight w:val="none"/>
              </w:rPr>
              <w:t>2.2.2.1 工艺流程</w:t>
            </w:r>
          </w:p>
          <w:p>
            <w:pPr>
              <w:pStyle w:val="36"/>
              <w:ind w:firstLine="480"/>
              <w:rPr>
                <w:color w:val="auto"/>
                <w:highlight w:val="none"/>
              </w:rPr>
            </w:pPr>
            <w:r>
              <w:rPr>
                <w:rFonts w:hint="eastAsia"/>
                <w:color w:val="auto"/>
                <w:highlight w:val="none"/>
              </w:rPr>
              <w:t>本项目作为福建省柔性电子科学与技术创新实验室（海峡创新实验室）实验科研用房的一部分，</w:t>
            </w:r>
            <w:r>
              <w:rPr>
                <w:color w:val="auto"/>
                <w:highlight w:val="none"/>
              </w:rPr>
              <w:t>突出柔性电子基础研究、关键技术研究，</w:t>
            </w:r>
            <w:r>
              <w:rPr>
                <w:rFonts w:hint="eastAsia"/>
                <w:color w:val="auto"/>
                <w:highlight w:val="none"/>
              </w:rPr>
              <w:t>确定</w:t>
            </w:r>
            <w:r>
              <w:rPr>
                <w:color w:val="auto"/>
                <w:highlight w:val="none"/>
              </w:rPr>
              <w:t>有机电子、塑料电子、生物电子、印刷电子和能源电子五个研究方向</w:t>
            </w:r>
            <w:r>
              <w:rPr>
                <w:rFonts w:hint="eastAsia"/>
                <w:color w:val="auto"/>
                <w:highlight w:val="none"/>
              </w:rPr>
              <w:t>，并下设五个研究中心。</w:t>
            </w:r>
          </w:p>
          <w:p>
            <w:pPr>
              <w:adjustRightInd w:val="0"/>
              <w:snapToGrid w:val="0"/>
              <w:spacing w:line="360" w:lineRule="auto"/>
              <w:ind w:firstLine="482" w:firstLineChars="200"/>
              <w:jc w:val="left"/>
              <w:rPr>
                <w:b/>
                <w:bCs/>
                <w:color w:val="auto"/>
                <w:kern w:val="0"/>
                <w:sz w:val="24"/>
                <w:highlight w:val="none"/>
              </w:rPr>
            </w:pPr>
            <w:r>
              <w:rPr>
                <w:rFonts w:hint="eastAsia"/>
                <w:b/>
                <w:bCs/>
                <w:color w:val="auto"/>
                <w:kern w:val="0"/>
                <w:sz w:val="24"/>
                <w:highlight w:val="none"/>
              </w:rPr>
              <w:t>（1）有机电子研究中心</w:t>
            </w:r>
          </w:p>
          <w:p>
            <w:pPr>
              <w:pStyle w:val="36"/>
              <w:ind w:firstLine="480"/>
              <w:rPr>
                <w:color w:val="auto"/>
                <w:highlight w:val="none"/>
              </w:rPr>
            </w:pPr>
            <w:r>
              <w:rPr>
                <w:rFonts w:hint="eastAsia"/>
                <w:color w:val="auto"/>
                <w:highlight w:val="none"/>
              </w:rPr>
              <w:t>本项目有机电子研究中心在柔性有机电子材料与器件方向未来的主要研究内容包括：</w:t>
            </w:r>
          </w:p>
          <w:p>
            <w:pPr>
              <w:pStyle w:val="36"/>
              <w:ind w:firstLine="480"/>
              <w:rPr>
                <w:color w:val="auto"/>
                <w:highlight w:val="none"/>
              </w:rPr>
            </w:pPr>
            <w:r>
              <w:rPr>
                <w:rFonts w:hint="eastAsia"/>
                <w:color w:val="auto"/>
                <w:highlight w:val="none"/>
              </w:rPr>
              <w:t>①借鉴最新发展的合成技术的最新发展，探索有机电子材料新的制备方法，实现有机电子材料的规模制造；</w:t>
            </w:r>
          </w:p>
          <w:p>
            <w:pPr>
              <w:pStyle w:val="36"/>
              <w:ind w:firstLine="480"/>
              <w:rPr>
                <w:color w:val="auto"/>
                <w:highlight w:val="none"/>
              </w:rPr>
            </w:pPr>
            <w:r>
              <w:rPr>
                <w:rFonts w:hint="eastAsia"/>
                <w:color w:val="auto"/>
                <w:highlight w:val="none"/>
              </w:rPr>
              <w:t>②系统阐明有机材料结构与性能的关系，建立调控有机电子材料性能的有效方法，为设计高性能有机光电材料提供指导；</w:t>
            </w:r>
          </w:p>
          <w:p>
            <w:pPr>
              <w:pStyle w:val="36"/>
              <w:ind w:firstLine="480"/>
              <w:rPr>
                <w:color w:val="auto"/>
                <w:highlight w:val="none"/>
              </w:rPr>
            </w:pPr>
            <w:r>
              <w:rPr>
                <w:rFonts w:hint="eastAsia"/>
                <w:color w:val="auto"/>
                <w:highlight w:val="none"/>
              </w:rPr>
              <w:t>③开发多功能有机电子集成器件的新技术与新方法。</w:t>
            </w:r>
          </w:p>
          <w:p>
            <w:pPr>
              <w:pStyle w:val="36"/>
              <w:ind w:firstLine="480"/>
              <w:rPr>
                <w:color w:val="auto"/>
                <w:highlight w:val="none"/>
              </w:rPr>
            </w:pPr>
            <w:r>
              <w:rPr>
                <w:rFonts w:hint="eastAsia"/>
                <w:color w:val="auto"/>
                <w:highlight w:val="none"/>
              </w:rPr>
              <w:t>本项目有机电子研究中心主要研究过程及产污环节如下图所示。</w:t>
            </w:r>
          </w:p>
          <w:p>
            <w:pPr>
              <w:pStyle w:val="36"/>
              <w:ind w:firstLine="0" w:firstLineChars="0"/>
              <w:jc w:val="center"/>
              <w:rPr>
                <w:color w:val="auto"/>
                <w:highlight w:val="none"/>
              </w:rPr>
            </w:pPr>
            <w:r>
              <w:rPr>
                <w:rFonts w:hint="eastAsia"/>
                <w:color w:val="auto"/>
                <w:highlight w:val="none"/>
              </w:rPr>
              <w:object>
                <v:shape id="_x0000_i1025" o:spt="75" type="#_x0000_t75" style="height:246pt;width:369.75pt;" o:ole="t" filled="f" o:preferrelative="t" stroked="f" coordsize="21600,21600">
                  <v:path/>
                  <v:fill on="f" focussize="0,0"/>
                  <v:stroke on="f" joinstyle="miter"/>
                  <v:imagedata r:id="rId23" o:title=""/>
                  <o:lock v:ext="edit" aspectratio="t"/>
                  <w10:wrap type="none"/>
                  <w10:anchorlock/>
                </v:shape>
                <o:OLEObject Type="Embed" ProgID="Visio.Drawing.11" ShapeID="_x0000_i1025" DrawAspect="Content" ObjectID="_1468075725" r:id="rId22">
                  <o:LockedField>false</o:LockedField>
                </o:OLEObject>
              </w:object>
            </w:r>
          </w:p>
          <w:p>
            <w:pPr>
              <w:pStyle w:val="32"/>
              <w:rPr>
                <w:color w:val="auto"/>
                <w:highlight w:val="none"/>
              </w:rPr>
            </w:pPr>
            <w:r>
              <w:rPr>
                <w:rFonts w:hint="eastAsia"/>
                <w:color w:val="auto"/>
                <w:highlight w:val="none"/>
              </w:rPr>
              <w:t>图2.2-2 有机电子研究中心研究流程及产污环节</w:t>
            </w:r>
          </w:p>
          <w:p>
            <w:pPr>
              <w:pStyle w:val="36"/>
              <w:ind w:firstLine="482"/>
              <w:rPr>
                <w:b/>
                <w:bCs/>
                <w:color w:val="auto"/>
                <w:highlight w:val="none"/>
              </w:rPr>
            </w:pPr>
          </w:p>
          <w:p>
            <w:pPr>
              <w:pStyle w:val="36"/>
              <w:ind w:firstLine="482"/>
              <w:rPr>
                <w:b/>
                <w:bCs/>
                <w:color w:val="auto"/>
                <w:highlight w:val="none"/>
              </w:rPr>
            </w:pPr>
            <w:r>
              <w:rPr>
                <w:rFonts w:hint="eastAsia"/>
                <w:b/>
                <w:bCs/>
                <w:color w:val="auto"/>
                <w:highlight w:val="none"/>
              </w:rPr>
              <w:t>（2）塑料电子研究中心</w:t>
            </w:r>
          </w:p>
          <w:p>
            <w:pPr>
              <w:pStyle w:val="36"/>
              <w:ind w:firstLine="480"/>
              <w:rPr>
                <w:color w:val="auto"/>
                <w:highlight w:val="none"/>
              </w:rPr>
            </w:pPr>
            <w:r>
              <w:rPr>
                <w:color w:val="auto"/>
                <w:highlight w:val="none"/>
              </w:rPr>
              <w:t>塑料电子是柔性电子的核心组成部分，从具有本征柔性的聚合物及其电子器件出发，研究聚合物半导体的光电性质、薄膜凝聚态行为、载流子的动力学和界面的动态力学等关键科学问题，开发聚合物溶液和薄膜加工技术与器件制备工艺，发展柔性塑料电子器件与系统。</w:t>
            </w:r>
            <w:r>
              <w:rPr>
                <w:rFonts w:hint="eastAsia"/>
                <w:color w:val="auto"/>
                <w:highlight w:val="none"/>
              </w:rPr>
              <w:t>本项目塑料电子研究中心</w:t>
            </w:r>
            <w:r>
              <w:rPr>
                <w:color w:val="auto"/>
                <w:highlight w:val="none"/>
              </w:rPr>
              <w:t>聚焦器件物理机制、器件工艺和集成中的关键科学问题和核心技术，</w:t>
            </w:r>
            <w:r>
              <w:rPr>
                <w:rFonts w:hint="eastAsia"/>
                <w:color w:val="auto"/>
                <w:highlight w:val="none"/>
              </w:rPr>
              <w:t>主要</w:t>
            </w:r>
            <w:r>
              <w:rPr>
                <w:color w:val="auto"/>
                <w:highlight w:val="none"/>
              </w:rPr>
              <w:t>开展如下研究工作：</w:t>
            </w:r>
          </w:p>
          <w:p>
            <w:pPr>
              <w:pStyle w:val="36"/>
              <w:ind w:firstLine="480"/>
              <w:rPr>
                <w:color w:val="auto"/>
                <w:highlight w:val="none"/>
              </w:rPr>
            </w:pPr>
            <w:r>
              <w:rPr>
                <w:rFonts w:hint="eastAsia"/>
                <w:color w:val="auto"/>
                <w:highlight w:val="none"/>
              </w:rPr>
              <w:t>①</w:t>
            </w:r>
            <w:r>
              <w:rPr>
                <w:color w:val="auto"/>
                <w:highlight w:val="none"/>
              </w:rPr>
              <w:t>聚合物半导体材料与光电器件：通过对聚合物半导体电子结构的理性设计，实现高性能的聚合物光电器件，包括但不限于电致发光、晶体管、存储器、光电探测和气体传感等薄膜光电器件；</w:t>
            </w:r>
          </w:p>
          <w:p>
            <w:pPr>
              <w:pStyle w:val="36"/>
              <w:ind w:firstLine="480"/>
              <w:rPr>
                <w:color w:val="auto"/>
                <w:highlight w:val="none"/>
              </w:rPr>
            </w:pPr>
            <w:r>
              <w:rPr>
                <w:rFonts w:hint="eastAsia"/>
                <w:color w:val="auto"/>
                <w:highlight w:val="none"/>
              </w:rPr>
              <w:t>②</w:t>
            </w:r>
            <w:r>
              <w:rPr>
                <w:color w:val="auto"/>
                <w:highlight w:val="none"/>
              </w:rPr>
              <w:t>聚合物能源转化与存储：利用聚合物半导体能带可设计、官能团丰富、成本低廉等优势，设计并实现高效太阳能光伏器件、催化与能源转化过程和电化学能源存储等离子响应型聚合物半导体器件，为可再生能源的开发提供重要的材料与器件平台；</w:t>
            </w:r>
          </w:p>
          <w:p>
            <w:pPr>
              <w:pStyle w:val="36"/>
              <w:ind w:firstLine="480"/>
              <w:rPr>
                <w:color w:val="auto"/>
                <w:highlight w:val="none"/>
              </w:rPr>
            </w:pPr>
            <w:r>
              <w:rPr>
                <w:rFonts w:hint="eastAsia"/>
                <w:color w:val="auto"/>
                <w:highlight w:val="none"/>
              </w:rPr>
              <w:t>③</w:t>
            </w:r>
            <w:r>
              <w:rPr>
                <w:color w:val="auto"/>
                <w:highlight w:val="none"/>
              </w:rPr>
              <w:t>聚合物半导体器件机制与集成系统：深入研究聚合物半导体各层之间的载流子动力学过程和半导体功能层/柔性基底层的界面动态力学行为，揭示聚合物半导体器件的运行机制，初步设计并实现面向多用途和多场景的聚合物柔性器件集成系统。</w:t>
            </w:r>
          </w:p>
          <w:p>
            <w:pPr>
              <w:pStyle w:val="36"/>
              <w:ind w:firstLine="480"/>
              <w:rPr>
                <w:color w:val="auto"/>
                <w:highlight w:val="none"/>
              </w:rPr>
            </w:pPr>
            <w:r>
              <w:rPr>
                <w:rFonts w:hint="eastAsia"/>
                <w:color w:val="auto"/>
                <w:highlight w:val="none"/>
              </w:rPr>
              <w:t>本项目塑料电子研究中心主要研究过程及产污环节如下图所示。</w:t>
            </w:r>
          </w:p>
          <w:p>
            <w:pPr>
              <w:pStyle w:val="36"/>
              <w:ind w:firstLine="480"/>
              <w:rPr>
                <w:color w:val="auto"/>
                <w:highlight w:val="none"/>
              </w:rPr>
            </w:pPr>
            <w:r>
              <w:rPr>
                <w:color w:val="auto"/>
                <w:highlight w:val="none"/>
              </w:rPr>
              <w:object>
                <v:shape id="_x0000_i1026" o:spt="75" type="#_x0000_t75" style="height:127.5pt;width:379.5pt;" o:ole="t" filled="f" o:preferrelative="t" stroked="f" coordsize="21600,21600">
                  <v:path/>
                  <v:fill on="f" focussize="0,0"/>
                  <v:stroke on="f" joinstyle="miter"/>
                  <v:imagedata r:id="rId25" o:title=""/>
                  <o:lock v:ext="edit" aspectratio="t"/>
                  <w10:wrap type="none"/>
                  <w10:anchorlock/>
                </v:shape>
                <o:OLEObject Type="Embed" ProgID="Visio.Drawing.11" ShapeID="_x0000_i1026" DrawAspect="Content" ObjectID="_1468075726" r:id="rId24">
                  <o:LockedField>false</o:LockedField>
                </o:OLEObject>
              </w:object>
            </w:r>
          </w:p>
          <w:p>
            <w:pPr>
              <w:pStyle w:val="32"/>
              <w:rPr>
                <w:color w:val="auto"/>
                <w:highlight w:val="none"/>
              </w:rPr>
            </w:pPr>
            <w:r>
              <w:rPr>
                <w:rFonts w:hint="eastAsia"/>
                <w:color w:val="auto"/>
                <w:highlight w:val="none"/>
              </w:rPr>
              <w:t>图2.2-3 塑料电子研究中心研究流程及产污环节</w:t>
            </w:r>
          </w:p>
          <w:p>
            <w:pPr>
              <w:pStyle w:val="36"/>
              <w:ind w:firstLine="482"/>
              <w:rPr>
                <w:b/>
                <w:bCs/>
                <w:color w:val="auto"/>
                <w:highlight w:val="none"/>
              </w:rPr>
            </w:pPr>
          </w:p>
          <w:p>
            <w:pPr>
              <w:pStyle w:val="36"/>
              <w:ind w:firstLine="482"/>
              <w:rPr>
                <w:color w:val="auto"/>
                <w:highlight w:val="none"/>
              </w:rPr>
            </w:pPr>
            <w:r>
              <w:rPr>
                <w:rFonts w:hint="eastAsia"/>
                <w:b/>
                <w:bCs/>
                <w:color w:val="auto"/>
                <w:highlight w:val="none"/>
              </w:rPr>
              <w:t>（3）生物电子研究中心</w:t>
            </w:r>
          </w:p>
          <w:p>
            <w:pPr>
              <w:pStyle w:val="36"/>
              <w:ind w:firstLine="480"/>
              <w:rPr>
                <w:color w:val="auto"/>
                <w:highlight w:val="none"/>
              </w:rPr>
            </w:pPr>
            <w:r>
              <w:rPr>
                <w:rFonts w:hint="eastAsia"/>
                <w:color w:val="auto"/>
                <w:highlight w:val="none"/>
              </w:rPr>
              <w:t>本项目生物电子研究中心重点开展柔性生物电子材料设计与合成、生物监测器件制备与应用的创新基础研究，针对生物光电子产业需求，开展先进制造装备的自主化研究，为仿生、监测和诊疗领域提供源动力和技术。</w:t>
            </w:r>
          </w:p>
          <w:p>
            <w:pPr>
              <w:pStyle w:val="36"/>
              <w:ind w:firstLine="480"/>
              <w:rPr>
                <w:color w:val="auto"/>
                <w:highlight w:val="none"/>
              </w:rPr>
            </w:pPr>
            <w:r>
              <w:rPr>
                <w:rFonts w:hint="eastAsia"/>
                <w:color w:val="auto"/>
                <w:highlight w:val="none"/>
              </w:rPr>
              <w:t>研究中心在柔性生物电子材料与器件方向的主要研究内容包括：</w:t>
            </w:r>
          </w:p>
          <w:p>
            <w:pPr>
              <w:pStyle w:val="36"/>
              <w:ind w:firstLine="480"/>
              <w:rPr>
                <w:color w:val="auto"/>
                <w:highlight w:val="none"/>
              </w:rPr>
            </w:pPr>
            <w:r>
              <w:rPr>
                <w:rFonts w:hint="eastAsia"/>
                <w:color w:val="auto"/>
                <w:highlight w:val="none"/>
              </w:rPr>
              <w:t>①生物医学光子学：运用光电子学原理和技术为医学、生物学和生物技术领域中的问题提供解决方案；着重生命过程中产生的光电子现象与机理，及其在健康科学研究、医学诊断、环境监测与食品安全方面的应用；</w:t>
            </w:r>
          </w:p>
          <w:p>
            <w:pPr>
              <w:pStyle w:val="36"/>
              <w:ind w:firstLine="480"/>
              <w:rPr>
                <w:color w:val="auto"/>
                <w:highlight w:val="none"/>
              </w:rPr>
            </w:pPr>
            <w:r>
              <w:rPr>
                <w:rFonts w:hint="eastAsia"/>
                <w:color w:val="auto"/>
                <w:highlight w:val="none"/>
              </w:rPr>
              <w:t>②重大疾病诊疗与过程干预：聚焦心脑血管和代谢类重大疾病的成病机制，主要研究生物组织结构与功能，以非侵入的方式，实现生物体宏观与微观尺度分子水平的疾病探测和诊断治疗，进而结合聚合物基药物递送与病源控制技术，实现重大疾病的过程干预；</w:t>
            </w:r>
          </w:p>
          <w:p>
            <w:pPr>
              <w:pStyle w:val="36"/>
              <w:ind w:firstLine="480"/>
              <w:rPr>
                <w:color w:val="auto"/>
                <w:highlight w:val="none"/>
              </w:rPr>
            </w:pPr>
            <w:r>
              <w:rPr>
                <w:rFonts w:hint="eastAsia"/>
                <w:color w:val="auto"/>
                <w:highlight w:val="none"/>
              </w:rPr>
              <w:t>③可植入/可穿戴式生物光电子器件：发展新型可穿戴或可植入柔性传感器，通过对生命因子数据的实时监测、信息存储和传输，实现及时准确地对人体进行健康评估、疾病预警和医疗辅助。</w:t>
            </w:r>
          </w:p>
          <w:p>
            <w:pPr>
              <w:pStyle w:val="36"/>
              <w:ind w:firstLine="480"/>
              <w:rPr>
                <w:color w:val="auto"/>
                <w:highlight w:val="none"/>
              </w:rPr>
            </w:pPr>
            <w:r>
              <w:rPr>
                <w:rFonts w:hint="eastAsia"/>
                <w:color w:val="auto"/>
                <w:highlight w:val="none"/>
              </w:rPr>
              <w:t>本项目生物电子研究中心主要研究过程及产污环节如下图所示。</w:t>
            </w:r>
          </w:p>
          <w:p>
            <w:pPr>
              <w:pStyle w:val="36"/>
              <w:ind w:firstLine="480"/>
              <w:jc w:val="center"/>
              <w:rPr>
                <w:color w:val="auto"/>
                <w:highlight w:val="none"/>
              </w:rPr>
            </w:pPr>
            <w:r>
              <w:rPr>
                <w:rFonts w:hint="eastAsia"/>
                <w:color w:val="auto"/>
                <w:highlight w:val="none"/>
              </w:rPr>
              <w:object>
                <v:shape id="_x0000_i1027" o:spt="75" type="#_x0000_t75" style="height:257.25pt;width:384pt;" o:ole="t" filled="f" o:preferrelative="t" stroked="f" coordsize="21600,21600">
                  <v:path/>
                  <v:fill on="f" focussize="0,0"/>
                  <v:stroke on="f" joinstyle="miter"/>
                  <v:imagedata r:id="rId27" o:title=""/>
                  <o:lock v:ext="edit" aspectratio="t"/>
                  <w10:wrap type="none"/>
                  <w10:anchorlock/>
                </v:shape>
                <o:OLEObject Type="Embed" ProgID="Visio.Drawing.11" ShapeID="_x0000_i1027" DrawAspect="Content" ObjectID="_1468075727" r:id="rId26">
                  <o:LockedField>false</o:LockedField>
                </o:OLEObject>
              </w:object>
            </w:r>
          </w:p>
          <w:p>
            <w:pPr>
              <w:pStyle w:val="32"/>
              <w:rPr>
                <w:color w:val="auto"/>
                <w:highlight w:val="none"/>
              </w:rPr>
            </w:pPr>
            <w:r>
              <w:rPr>
                <w:rFonts w:hint="eastAsia"/>
                <w:color w:val="auto"/>
                <w:highlight w:val="none"/>
              </w:rPr>
              <w:t>图2.2-4 生物电子研究中心研究流程及产污环节</w:t>
            </w:r>
          </w:p>
          <w:p>
            <w:pPr>
              <w:pStyle w:val="36"/>
              <w:ind w:firstLine="482"/>
              <w:rPr>
                <w:b/>
                <w:bCs/>
                <w:color w:val="auto"/>
                <w:highlight w:val="none"/>
              </w:rPr>
            </w:pPr>
          </w:p>
          <w:p>
            <w:pPr>
              <w:pStyle w:val="36"/>
              <w:ind w:firstLine="482"/>
              <w:rPr>
                <w:color w:val="auto"/>
                <w:highlight w:val="none"/>
              </w:rPr>
            </w:pPr>
            <w:r>
              <w:rPr>
                <w:rFonts w:hint="eastAsia"/>
                <w:b/>
                <w:bCs/>
                <w:color w:val="auto"/>
                <w:highlight w:val="none"/>
              </w:rPr>
              <w:t>（4）印刷电子研究中心</w:t>
            </w:r>
          </w:p>
          <w:p>
            <w:pPr>
              <w:pStyle w:val="36"/>
              <w:ind w:firstLine="480"/>
              <w:rPr>
                <w:color w:val="auto"/>
                <w:highlight w:val="none"/>
              </w:rPr>
            </w:pPr>
            <w:r>
              <w:rPr>
                <w:rFonts w:hint="eastAsia"/>
                <w:color w:val="auto"/>
                <w:highlight w:val="none"/>
              </w:rPr>
              <w:t>印刷电子研究中心是基于印刷电子学科建立的，主要围绕着现代电子器件制造业中大面积制备的工艺、成本问题以及柔性、高透明电子器件制备问题。</w:t>
            </w:r>
          </w:p>
          <w:p>
            <w:pPr>
              <w:pStyle w:val="36"/>
              <w:ind w:firstLine="480"/>
              <w:rPr>
                <w:color w:val="auto"/>
                <w:highlight w:val="none"/>
              </w:rPr>
            </w:pPr>
            <w:r>
              <w:rPr>
                <w:rFonts w:hint="eastAsia"/>
                <w:color w:val="auto"/>
                <w:highlight w:val="none"/>
              </w:rPr>
              <w:t>本学科着重于结合有机材料与无机纳米材料研究制备出适合印刷技术的墨水；通过喷墨打印、孔板印刷、凹版印刷、凸版印刷以及间接式印刷技术在承印物上印刷出需要的电子元器件图案；使用沉积、分子生长及涂覆等薄膜封装技术对印刷器件进行最后的封装工艺，从而达到延长电子器件寿命的目的；发展工业适用型电子器件，将有机电子学、塑料电子学、纸电子学、柔性电子学等深入结合，开展电子学与电子工业的新领域。</w:t>
            </w:r>
          </w:p>
          <w:p>
            <w:pPr>
              <w:pStyle w:val="36"/>
              <w:ind w:firstLine="480"/>
              <w:rPr>
                <w:color w:val="auto"/>
                <w:highlight w:val="none"/>
              </w:rPr>
            </w:pPr>
            <w:r>
              <w:rPr>
                <w:rFonts w:hint="eastAsia"/>
                <w:color w:val="auto"/>
                <w:highlight w:val="none"/>
              </w:rPr>
              <w:t>本项目印刷电子研究中心主要研究过程及产污环节如下图所示。</w:t>
            </w:r>
          </w:p>
          <w:p>
            <w:pPr>
              <w:pStyle w:val="36"/>
              <w:ind w:firstLine="0" w:firstLineChars="0"/>
              <w:rPr>
                <w:color w:val="auto"/>
                <w:highlight w:val="none"/>
              </w:rPr>
            </w:pPr>
            <w:r>
              <w:rPr>
                <w:rFonts w:hint="eastAsia"/>
                <w:color w:val="auto"/>
                <w:highlight w:val="none"/>
              </w:rPr>
              <w:object>
                <v:shape id="_x0000_i1028" o:spt="75" type="#_x0000_t75" style="height:169.5pt;width:413.25pt;" o:ole="t" filled="f" o:preferrelative="t" stroked="f" coordsize="21600,21600">
                  <v:path/>
                  <v:fill on="f" focussize="0,0"/>
                  <v:stroke on="f" joinstyle="miter"/>
                  <v:imagedata r:id="rId29" o:title=""/>
                  <o:lock v:ext="edit" aspectratio="t"/>
                  <w10:wrap type="none"/>
                  <w10:anchorlock/>
                </v:shape>
                <o:OLEObject Type="Embed" ProgID="Visio.Drawing.11" ShapeID="_x0000_i1028" DrawAspect="Content" ObjectID="_1468075728" r:id="rId28">
                  <o:LockedField>false</o:LockedField>
                </o:OLEObject>
              </w:object>
            </w:r>
          </w:p>
          <w:p>
            <w:pPr>
              <w:pStyle w:val="29"/>
              <w:rPr>
                <w:color w:val="auto"/>
                <w:highlight w:val="none"/>
              </w:rPr>
            </w:pPr>
            <w:r>
              <w:rPr>
                <w:rFonts w:hint="eastAsia"/>
                <w:color w:val="auto"/>
                <w:highlight w:val="none"/>
              </w:rPr>
              <w:t>图2.2-5 印刷电子研究中心研究流程及产污环节</w:t>
            </w:r>
          </w:p>
          <w:p>
            <w:pPr>
              <w:pStyle w:val="36"/>
              <w:ind w:firstLine="482"/>
              <w:rPr>
                <w:b/>
                <w:bCs/>
                <w:color w:val="auto"/>
                <w:highlight w:val="none"/>
              </w:rPr>
            </w:pPr>
          </w:p>
          <w:p>
            <w:pPr>
              <w:pStyle w:val="36"/>
              <w:ind w:firstLine="482"/>
              <w:rPr>
                <w:rFonts w:hint="eastAsia"/>
                <w:b w:val="0"/>
                <w:bCs w:val="0"/>
                <w:color w:val="auto"/>
                <w:highlight w:val="none"/>
                <w:lang w:eastAsia="zh-CN"/>
              </w:rPr>
            </w:pPr>
            <w:r>
              <w:rPr>
                <w:rFonts w:hint="eastAsia"/>
                <w:b w:val="0"/>
                <w:bCs w:val="0"/>
                <w:color w:val="auto"/>
                <w:highlight w:val="none"/>
                <w:lang w:eastAsia="zh-CN"/>
              </w:rPr>
              <w:t>项目印刷电子研究中心涉及的药物耗材主要包括：</w:t>
            </w:r>
          </w:p>
          <w:p>
            <w:pPr>
              <w:pStyle w:val="29"/>
              <w:rPr>
                <w:color w:val="auto"/>
                <w:highlight w:val="none"/>
              </w:rPr>
            </w:pPr>
            <w:r>
              <w:rPr>
                <w:rFonts w:hint="eastAsia"/>
                <w:color w:val="auto"/>
                <w:highlight w:val="none"/>
              </w:rPr>
              <w:t>表2.</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w:t>
            </w:r>
            <w:r>
              <w:rPr>
                <w:rFonts w:hint="eastAsia"/>
                <w:color w:val="auto"/>
                <w:highlight w:val="none"/>
              </w:rPr>
              <w:t xml:space="preserve"> </w:t>
            </w:r>
            <w:r>
              <w:rPr>
                <w:rFonts w:hint="eastAsia"/>
                <w:color w:val="auto"/>
                <w:highlight w:val="none"/>
                <w:lang w:eastAsia="zh-CN"/>
              </w:rPr>
              <w:t>印刷电子研究中心</w:t>
            </w:r>
            <w:r>
              <w:rPr>
                <w:rFonts w:hint="eastAsia"/>
                <w:color w:val="auto"/>
                <w:highlight w:val="none"/>
              </w:rPr>
              <w:t>主要药物及耗材消耗一览表</w:t>
            </w:r>
          </w:p>
          <w:tbl>
            <w:tblPr>
              <w:tblStyle w:val="20"/>
              <w:tblW w:w="8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2"/>
              <w:gridCol w:w="2052"/>
              <w:gridCol w:w="2326"/>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名称</w:t>
                  </w:r>
                </w:p>
              </w:tc>
              <w:tc>
                <w:tcPr>
                  <w:tcW w:w="2052" w:type="dxa"/>
                  <w:vAlign w:val="center"/>
                </w:tcPr>
                <w:p>
                  <w:pPr>
                    <w:pStyle w:val="30"/>
                    <w:rPr>
                      <w:color w:val="auto"/>
                      <w:highlight w:val="none"/>
                    </w:rPr>
                  </w:pPr>
                  <w:r>
                    <w:rPr>
                      <w:rFonts w:hint="eastAsia"/>
                      <w:color w:val="auto"/>
                      <w:highlight w:val="none"/>
                    </w:rPr>
                    <w:t>年用量</w:t>
                  </w:r>
                </w:p>
              </w:tc>
              <w:tc>
                <w:tcPr>
                  <w:tcW w:w="2326" w:type="dxa"/>
                  <w:vAlign w:val="center"/>
                </w:tcPr>
                <w:p>
                  <w:pPr>
                    <w:pStyle w:val="30"/>
                    <w:rPr>
                      <w:color w:val="auto"/>
                      <w:highlight w:val="none"/>
                    </w:rPr>
                  </w:pPr>
                  <w:r>
                    <w:rPr>
                      <w:rFonts w:hint="eastAsia"/>
                      <w:color w:val="auto"/>
                      <w:highlight w:val="none"/>
                    </w:rPr>
                    <w:t>名称</w:t>
                  </w:r>
                </w:p>
              </w:tc>
              <w:tc>
                <w:tcPr>
                  <w:tcW w:w="1779" w:type="dxa"/>
                  <w:vAlign w:val="center"/>
                </w:tcPr>
                <w:p>
                  <w:pPr>
                    <w:pStyle w:val="30"/>
                    <w:rPr>
                      <w:color w:val="auto"/>
                      <w:highlight w:val="none"/>
                    </w:rPr>
                  </w:pPr>
                  <w:r>
                    <w:rPr>
                      <w:rFonts w:hint="eastAsia"/>
                      <w:color w:val="auto"/>
                      <w:highlight w:val="none"/>
                    </w:rPr>
                    <w:t>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聚乙烯醇</w:t>
                  </w:r>
                </w:p>
              </w:tc>
              <w:tc>
                <w:tcPr>
                  <w:tcW w:w="2052" w:type="dxa"/>
                  <w:vAlign w:val="center"/>
                </w:tcPr>
                <w:p>
                  <w:pPr>
                    <w:pStyle w:val="30"/>
                    <w:rPr>
                      <w:color w:val="auto"/>
                      <w:highlight w:val="none"/>
                    </w:rPr>
                  </w:pPr>
                  <w:r>
                    <w:rPr>
                      <w:rFonts w:hint="eastAsia"/>
                      <w:color w:val="auto"/>
                      <w:highlight w:val="none"/>
                    </w:rPr>
                    <w:t>0.3kg/a</w:t>
                  </w:r>
                </w:p>
              </w:tc>
              <w:tc>
                <w:tcPr>
                  <w:tcW w:w="2326" w:type="dxa"/>
                  <w:vAlign w:val="center"/>
                </w:tcPr>
                <w:p>
                  <w:pPr>
                    <w:pStyle w:val="30"/>
                    <w:rPr>
                      <w:rFonts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rPr>
                    <w:t>氧化锌</w:t>
                  </w:r>
                </w:p>
              </w:tc>
              <w:tc>
                <w:tcPr>
                  <w:tcW w:w="1779" w:type="dxa"/>
                  <w:vAlign w:val="center"/>
                </w:tcPr>
                <w:p>
                  <w:pPr>
                    <w:pStyle w:val="30"/>
                    <w:rPr>
                      <w:rFonts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rPr>
                    <w:t>150g/a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color w:val="auto"/>
                      <w:highlight w:val="none"/>
                    </w:rPr>
                  </w:pPr>
                  <w:r>
                    <w:rPr>
                      <w:rFonts w:hint="eastAsia"/>
                      <w:color w:val="auto"/>
                      <w:highlight w:val="none"/>
                    </w:rPr>
                    <w:t>铜</w:t>
                  </w:r>
                </w:p>
              </w:tc>
              <w:tc>
                <w:tcPr>
                  <w:tcW w:w="2052" w:type="dxa"/>
                  <w:vAlign w:val="center"/>
                </w:tcPr>
                <w:p>
                  <w:pPr>
                    <w:pStyle w:val="30"/>
                    <w:rPr>
                      <w:color w:val="auto"/>
                      <w:highlight w:val="none"/>
                    </w:rPr>
                  </w:pPr>
                  <w:r>
                    <w:rPr>
                      <w:rFonts w:hint="eastAsia"/>
                      <w:color w:val="auto"/>
                      <w:highlight w:val="none"/>
                    </w:rPr>
                    <w:t>150g/a</w:t>
                  </w:r>
                </w:p>
              </w:tc>
              <w:tc>
                <w:tcPr>
                  <w:tcW w:w="2326" w:type="dxa"/>
                  <w:vAlign w:val="center"/>
                </w:tcPr>
                <w:p>
                  <w:pPr>
                    <w:pStyle w:val="30"/>
                    <w:rPr>
                      <w:rFonts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rPr>
                    <w:t>石墨烯</w:t>
                  </w:r>
                </w:p>
              </w:tc>
              <w:tc>
                <w:tcPr>
                  <w:tcW w:w="1779" w:type="dxa"/>
                  <w:vAlign w:val="center"/>
                </w:tcPr>
                <w:p>
                  <w:pPr>
                    <w:pStyle w:val="30"/>
                    <w:rPr>
                      <w:rFonts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rPr>
                    <w:t>150g/a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vAlign w:val="center"/>
                </w:tcPr>
                <w:p>
                  <w:pPr>
                    <w:pStyle w:val="30"/>
                    <w:rPr>
                      <w:rFonts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rPr>
                    <w:t>铝片</w:t>
                  </w:r>
                </w:p>
              </w:tc>
              <w:tc>
                <w:tcPr>
                  <w:tcW w:w="2052" w:type="dxa"/>
                  <w:vAlign w:val="center"/>
                </w:tcPr>
                <w:p>
                  <w:pPr>
                    <w:pStyle w:val="30"/>
                    <w:rPr>
                      <w:rFonts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300</w:t>
                  </w:r>
                  <w:r>
                    <w:rPr>
                      <w:rFonts w:hint="eastAsia"/>
                      <w:color w:val="auto"/>
                      <w:highlight w:val="none"/>
                    </w:rPr>
                    <w:t>g/a</w:t>
                  </w:r>
                </w:p>
              </w:tc>
              <w:tc>
                <w:tcPr>
                  <w:tcW w:w="2326" w:type="dxa"/>
                  <w:vAlign w:val="center"/>
                </w:tcPr>
                <w:p>
                  <w:pPr>
                    <w:pStyle w:val="30"/>
                    <w:rPr>
                      <w:rFonts w:hint="eastAsia" w:eastAsia="宋体"/>
                      <w:color w:val="auto"/>
                      <w:highlight w:val="none"/>
                      <w:lang w:eastAsia="zh-CN"/>
                    </w:rPr>
                  </w:pPr>
                  <w:r>
                    <w:rPr>
                      <w:rFonts w:hint="eastAsia"/>
                      <w:color w:val="auto"/>
                      <w:highlight w:val="none"/>
                      <w:lang w:eastAsia="zh-CN"/>
                    </w:rPr>
                    <w:t>聚酰亚胺</w:t>
                  </w:r>
                </w:p>
              </w:tc>
              <w:tc>
                <w:tcPr>
                  <w:tcW w:w="1779" w:type="dxa"/>
                  <w:vAlign w:val="center"/>
                </w:tcPr>
                <w:p>
                  <w:pPr>
                    <w:pStyle w:val="30"/>
                    <w:rPr>
                      <w:color w:val="auto"/>
                      <w:highlight w:val="none"/>
                    </w:rPr>
                  </w:pPr>
                  <w:r>
                    <w:rPr>
                      <w:rFonts w:hint="eastAsia"/>
                      <w:color w:val="auto"/>
                      <w:highlight w:val="none"/>
                    </w:rPr>
                    <w:t>150g/a</w:t>
                  </w:r>
                </w:p>
              </w:tc>
            </w:tr>
          </w:tbl>
          <w:p>
            <w:pPr>
              <w:pStyle w:val="36"/>
              <w:ind w:firstLine="482"/>
              <w:rPr>
                <w:rFonts w:hint="eastAsia"/>
                <w:b w:val="0"/>
                <w:bCs w:val="0"/>
                <w:color w:val="auto"/>
                <w:highlight w:val="none"/>
                <w:lang w:eastAsia="zh-CN"/>
              </w:rPr>
            </w:pPr>
          </w:p>
          <w:p>
            <w:pPr>
              <w:pStyle w:val="36"/>
              <w:ind w:firstLine="482"/>
              <w:rPr>
                <w:rFonts w:hint="eastAsia"/>
                <w:b w:val="0"/>
                <w:bCs w:val="0"/>
                <w:color w:val="auto"/>
                <w:highlight w:val="none"/>
                <w:lang w:eastAsia="zh-CN"/>
              </w:rPr>
            </w:pPr>
            <w:r>
              <w:rPr>
                <w:rFonts w:hint="eastAsia"/>
                <w:b w:val="0"/>
                <w:bCs w:val="0"/>
                <w:color w:val="auto"/>
                <w:highlight w:val="none"/>
                <w:lang w:eastAsia="zh-CN"/>
              </w:rPr>
              <w:t>从上表可以看出，项目</w:t>
            </w:r>
            <w:r>
              <w:rPr>
                <w:rFonts w:hint="eastAsia"/>
                <w:color w:val="auto"/>
                <w:highlight w:val="none"/>
                <w:lang w:eastAsia="zh-CN"/>
              </w:rPr>
              <w:t>印刷电子研究中心产生的废气中不会含有有毒有害污染物。</w:t>
            </w:r>
          </w:p>
          <w:p>
            <w:pPr>
              <w:pStyle w:val="36"/>
              <w:ind w:firstLine="482"/>
              <w:rPr>
                <w:color w:val="auto"/>
                <w:highlight w:val="none"/>
              </w:rPr>
            </w:pPr>
            <w:r>
              <w:rPr>
                <w:rFonts w:hint="eastAsia"/>
                <w:b/>
                <w:bCs/>
                <w:color w:val="auto"/>
                <w:highlight w:val="none"/>
              </w:rPr>
              <w:t>（5）能源电子研究中心</w:t>
            </w:r>
          </w:p>
          <w:p>
            <w:pPr>
              <w:pStyle w:val="36"/>
              <w:ind w:firstLine="480"/>
              <w:rPr>
                <w:color w:val="auto"/>
                <w:highlight w:val="none"/>
              </w:rPr>
            </w:pPr>
            <w:r>
              <w:rPr>
                <w:rFonts w:hint="eastAsia"/>
                <w:color w:val="auto"/>
                <w:highlight w:val="none"/>
              </w:rPr>
              <w:t>本项目能源电子研究中心在柔性有机电子材料与器件方向未来的主要研究内容包括：</w:t>
            </w:r>
          </w:p>
          <w:p>
            <w:pPr>
              <w:pStyle w:val="36"/>
              <w:ind w:firstLine="480"/>
              <w:rPr>
                <w:color w:val="auto"/>
                <w:highlight w:val="none"/>
              </w:rPr>
            </w:pPr>
            <w:r>
              <w:rPr>
                <w:rFonts w:hint="eastAsia"/>
                <w:color w:val="auto"/>
                <w:highlight w:val="none"/>
              </w:rPr>
              <w:t>①</w:t>
            </w:r>
            <w:r>
              <w:rPr>
                <w:color w:val="auto"/>
                <w:highlight w:val="none"/>
              </w:rPr>
              <w:t>新型光电材料与器件（</w:t>
            </w:r>
            <w:r>
              <w:rPr>
                <w:rFonts w:hint="eastAsia"/>
                <w:color w:val="auto"/>
                <w:highlight w:val="none"/>
              </w:rPr>
              <w:t>如</w:t>
            </w:r>
            <w:r>
              <w:rPr>
                <w:color w:val="auto"/>
                <w:highlight w:val="none"/>
              </w:rPr>
              <w:t>钙钛矿太阳电池</w:t>
            </w:r>
            <w:r>
              <w:rPr>
                <w:rFonts w:hint="eastAsia"/>
                <w:color w:val="auto"/>
                <w:highlight w:val="none"/>
              </w:rPr>
              <w:t>、</w:t>
            </w:r>
            <w:r>
              <w:rPr>
                <w:color w:val="auto"/>
                <w:highlight w:val="none"/>
              </w:rPr>
              <w:t>多维半导体材料</w:t>
            </w:r>
            <w:r>
              <w:rPr>
                <w:rFonts w:hint="eastAsia"/>
                <w:color w:val="auto"/>
                <w:highlight w:val="none"/>
              </w:rPr>
              <w:t>、</w:t>
            </w:r>
            <w:r>
              <w:rPr>
                <w:color w:val="auto"/>
                <w:highlight w:val="none"/>
              </w:rPr>
              <w:t>单晶半导体材料等）</w:t>
            </w:r>
            <w:r>
              <w:rPr>
                <w:rFonts w:hint="eastAsia"/>
                <w:color w:val="auto"/>
                <w:highlight w:val="none"/>
              </w:rPr>
              <w:t>；</w:t>
            </w:r>
          </w:p>
          <w:p>
            <w:pPr>
              <w:pStyle w:val="36"/>
              <w:ind w:firstLine="480"/>
              <w:rPr>
                <w:color w:val="auto"/>
                <w:highlight w:val="none"/>
              </w:rPr>
            </w:pPr>
            <w:r>
              <w:rPr>
                <w:rFonts w:hint="eastAsia"/>
                <w:color w:val="auto"/>
                <w:highlight w:val="none"/>
              </w:rPr>
              <w:t>②</w:t>
            </w:r>
            <w:r>
              <w:rPr>
                <w:color w:val="auto"/>
                <w:highlight w:val="none"/>
              </w:rPr>
              <w:t>柔性能源电子器件（</w:t>
            </w:r>
            <w:r>
              <w:rPr>
                <w:rFonts w:hint="eastAsia"/>
                <w:color w:val="auto"/>
                <w:highlight w:val="none"/>
              </w:rPr>
              <w:t>如</w:t>
            </w:r>
            <w:r>
              <w:rPr>
                <w:color w:val="auto"/>
                <w:highlight w:val="none"/>
              </w:rPr>
              <w:t>太阳电池</w:t>
            </w:r>
            <w:r>
              <w:rPr>
                <w:rFonts w:hint="eastAsia"/>
                <w:color w:val="auto"/>
                <w:highlight w:val="none"/>
              </w:rPr>
              <w:t>、</w:t>
            </w:r>
            <w:r>
              <w:rPr>
                <w:color w:val="auto"/>
                <w:highlight w:val="none"/>
              </w:rPr>
              <w:t>发光二极管</w:t>
            </w:r>
            <w:r>
              <w:rPr>
                <w:rFonts w:hint="eastAsia"/>
                <w:color w:val="auto"/>
                <w:highlight w:val="none"/>
              </w:rPr>
              <w:t>、</w:t>
            </w:r>
            <w:r>
              <w:rPr>
                <w:color w:val="auto"/>
                <w:highlight w:val="none"/>
              </w:rPr>
              <w:t>仿生眼</w:t>
            </w:r>
            <w:r>
              <w:rPr>
                <w:rFonts w:hint="eastAsia"/>
                <w:color w:val="auto"/>
                <w:highlight w:val="none"/>
              </w:rPr>
              <w:t>、</w:t>
            </w:r>
            <w:r>
              <w:rPr>
                <w:color w:val="auto"/>
                <w:highlight w:val="none"/>
              </w:rPr>
              <w:t>神经突触</w:t>
            </w:r>
            <w:r>
              <w:rPr>
                <w:rFonts w:hint="eastAsia"/>
                <w:color w:val="auto"/>
                <w:highlight w:val="none"/>
              </w:rPr>
              <w:t>、</w:t>
            </w:r>
            <w:r>
              <w:rPr>
                <w:color w:val="auto"/>
                <w:highlight w:val="none"/>
              </w:rPr>
              <w:t>场效应晶体管</w:t>
            </w:r>
            <w:r>
              <w:rPr>
                <w:rFonts w:hint="eastAsia"/>
                <w:color w:val="auto"/>
                <w:highlight w:val="none"/>
              </w:rPr>
              <w:t>、</w:t>
            </w:r>
            <w:r>
              <w:rPr>
                <w:color w:val="auto"/>
                <w:highlight w:val="none"/>
              </w:rPr>
              <w:t>忆阻器等）</w:t>
            </w:r>
            <w:r>
              <w:rPr>
                <w:rFonts w:hint="eastAsia"/>
                <w:color w:val="auto"/>
                <w:highlight w:val="none"/>
              </w:rPr>
              <w:t>；</w:t>
            </w:r>
          </w:p>
          <w:p>
            <w:pPr>
              <w:pStyle w:val="36"/>
              <w:ind w:firstLine="480"/>
              <w:rPr>
                <w:color w:val="auto"/>
                <w:highlight w:val="none"/>
              </w:rPr>
            </w:pPr>
            <w:r>
              <w:rPr>
                <w:rFonts w:hint="eastAsia"/>
                <w:color w:val="auto"/>
                <w:highlight w:val="none"/>
              </w:rPr>
              <w:t>③</w:t>
            </w:r>
            <w:r>
              <w:rPr>
                <w:color w:val="auto"/>
                <w:highlight w:val="none"/>
              </w:rPr>
              <w:t>光子晶体制备及应用（</w:t>
            </w:r>
            <w:r>
              <w:rPr>
                <w:rFonts w:hint="eastAsia"/>
                <w:color w:val="auto"/>
                <w:highlight w:val="none"/>
              </w:rPr>
              <w:t>如</w:t>
            </w:r>
            <w:r>
              <w:rPr>
                <w:color w:val="auto"/>
                <w:highlight w:val="none"/>
              </w:rPr>
              <w:t>一维</w:t>
            </w:r>
            <w:r>
              <w:rPr>
                <w:rFonts w:hint="eastAsia"/>
                <w:color w:val="auto"/>
                <w:highlight w:val="none"/>
              </w:rPr>
              <w:t>、</w:t>
            </w:r>
            <w:r>
              <w:rPr>
                <w:color w:val="auto"/>
                <w:highlight w:val="none"/>
              </w:rPr>
              <w:t>二维</w:t>
            </w:r>
            <w:r>
              <w:rPr>
                <w:rFonts w:hint="eastAsia"/>
                <w:color w:val="auto"/>
                <w:highlight w:val="none"/>
              </w:rPr>
              <w:t>、</w:t>
            </w:r>
            <w:r>
              <w:rPr>
                <w:color w:val="auto"/>
                <w:highlight w:val="none"/>
              </w:rPr>
              <w:t>微纳织构</w:t>
            </w:r>
            <w:r>
              <w:rPr>
                <w:rFonts w:hint="eastAsia"/>
                <w:color w:val="auto"/>
                <w:highlight w:val="none"/>
              </w:rPr>
              <w:t>、</w:t>
            </w:r>
            <w:r>
              <w:rPr>
                <w:color w:val="auto"/>
                <w:highlight w:val="none"/>
              </w:rPr>
              <w:t>仿生结构</w:t>
            </w:r>
            <w:r>
              <w:rPr>
                <w:rFonts w:hint="eastAsia"/>
                <w:color w:val="auto"/>
                <w:highlight w:val="none"/>
              </w:rPr>
              <w:t>、</w:t>
            </w:r>
            <w:r>
              <w:rPr>
                <w:color w:val="auto"/>
                <w:highlight w:val="none"/>
              </w:rPr>
              <w:t>陷光机制等）</w:t>
            </w:r>
            <w:r>
              <w:rPr>
                <w:rFonts w:hint="eastAsia"/>
                <w:color w:val="auto"/>
                <w:highlight w:val="none"/>
              </w:rPr>
              <w:t>；</w:t>
            </w:r>
          </w:p>
          <w:p>
            <w:pPr>
              <w:pStyle w:val="36"/>
              <w:ind w:firstLine="480"/>
              <w:rPr>
                <w:color w:val="auto"/>
                <w:highlight w:val="none"/>
              </w:rPr>
            </w:pPr>
            <w:r>
              <w:rPr>
                <w:rFonts w:hint="eastAsia"/>
                <w:color w:val="auto"/>
                <w:highlight w:val="none"/>
              </w:rPr>
              <w:t>④光电材料与器件性能建模仿真（如数据自动化采集、人工智能、软件编程、算法开发等）。</w:t>
            </w:r>
          </w:p>
          <w:p>
            <w:pPr>
              <w:pStyle w:val="36"/>
              <w:ind w:firstLine="480"/>
              <w:rPr>
                <w:color w:val="auto"/>
                <w:highlight w:val="none"/>
              </w:rPr>
            </w:pPr>
            <w:r>
              <w:rPr>
                <w:rFonts w:hint="eastAsia"/>
                <w:color w:val="auto"/>
                <w:highlight w:val="none"/>
              </w:rPr>
              <w:t>本项目能源电子研究中心主要研究过程及产污环节如下图所示。</w:t>
            </w:r>
          </w:p>
          <w:p>
            <w:pPr>
              <w:pStyle w:val="36"/>
              <w:ind w:firstLine="480"/>
              <w:rPr>
                <w:color w:val="auto"/>
                <w:highlight w:val="none"/>
              </w:rPr>
            </w:pPr>
          </w:p>
          <w:p>
            <w:pPr>
              <w:pStyle w:val="36"/>
              <w:ind w:firstLine="480"/>
              <w:rPr>
                <w:color w:val="auto"/>
                <w:highlight w:val="none"/>
              </w:rPr>
            </w:pPr>
            <w:r>
              <w:rPr>
                <w:rFonts w:hint="eastAsia"/>
                <w:color w:val="auto"/>
                <w:highlight w:val="none"/>
              </w:rPr>
              <w:object>
                <v:shape id="_x0000_i1029" o:spt="75" type="#_x0000_t75" style="height:141pt;width:386.25pt;" o:ole="t" filled="f" o:preferrelative="t" stroked="f" coordsize="21600,21600">
                  <v:path/>
                  <v:fill on="f" focussize="0,0"/>
                  <v:stroke on="f" joinstyle="miter"/>
                  <v:imagedata r:id="rId31" o:title=""/>
                  <o:lock v:ext="edit" aspectratio="t"/>
                  <w10:wrap type="none"/>
                  <w10:anchorlock/>
                </v:shape>
                <o:OLEObject Type="Embed" ProgID="Visio.Drawing.11" ShapeID="_x0000_i1029" DrawAspect="Content" ObjectID="_1468075729" r:id="rId30">
                  <o:LockedField>false</o:LockedField>
                </o:OLEObject>
              </w:object>
            </w:r>
          </w:p>
          <w:p>
            <w:pPr>
              <w:pStyle w:val="32"/>
              <w:rPr>
                <w:color w:val="auto"/>
                <w:highlight w:val="none"/>
              </w:rPr>
            </w:pPr>
            <w:r>
              <w:rPr>
                <w:rFonts w:hint="eastAsia"/>
                <w:color w:val="auto"/>
                <w:highlight w:val="none"/>
              </w:rPr>
              <w:t>图2.2-6 能源电子研究中心研究流程及产污环节</w:t>
            </w:r>
          </w:p>
          <w:p>
            <w:pPr>
              <w:pStyle w:val="36"/>
              <w:ind w:firstLine="0" w:firstLineChars="0"/>
              <w:rPr>
                <w:color w:val="auto"/>
                <w:highlight w:val="none"/>
              </w:rPr>
            </w:pPr>
          </w:p>
          <w:p>
            <w:pPr>
              <w:pStyle w:val="37"/>
              <w:rPr>
                <w:color w:val="auto"/>
                <w:highlight w:val="none"/>
              </w:rPr>
            </w:pPr>
            <w:r>
              <w:rPr>
                <w:rFonts w:hint="eastAsia"/>
                <w:color w:val="auto"/>
                <w:highlight w:val="none"/>
              </w:rPr>
              <w:t xml:space="preserve">2.2.2.2 产污环节 </w:t>
            </w:r>
          </w:p>
          <w:p>
            <w:pPr>
              <w:pStyle w:val="36"/>
              <w:ind w:firstLine="480"/>
              <w:rPr>
                <w:color w:val="auto"/>
                <w:highlight w:val="none"/>
              </w:rPr>
            </w:pPr>
            <w:r>
              <w:rPr>
                <w:rFonts w:hint="eastAsia"/>
                <w:color w:val="auto"/>
                <w:highlight w:val="none"/>
              </w:rPr>
              <w:t xml:space="preserve">（1）废气 </w:t>
            </w:r>
          </w:p>
          <w:p>
            <w:pPr>
              <w:pStyle w:val="36"/>
              <w:ind w:firstLine="480"/>
              <w:rPr>
                <w:color w:val="auto"/>
                <w:highlight w:val="none"/>
              </w:rPr>
            </w:pPr>
            <w:r>
              <w:rPr>
                <w:rFonts w:hint="eastAsia"/>
                <w:color w:val="auto"/>
                <w:highlight w:val="none"/>
              </w:rPr>
              <w:t>①厨房废气G1：本项目综合楼1楼设有1间咖啡厅，2楼设有1间餐厅，在运营时会产生少许餐厅油烟。餐厅油烟经抽油烟机处理后排放。</w:t>
            </w:r>
          </w:p>
          <w:p>
            <w:pPr>
              <w:pStyle w:val="36"/>
              <w:ind w:firstLine="480"/>
              <w:rPr>
                <w:color w:val="auto"/>
                <w:highlight w:val="none"/>
              </w:rPr>
            </w:pPr>
            <w:r>
              <w:rPr>
                <w:rFonts w:hint="eastAsia"/>
                <w:color w:val="auto"/>
                <w:highlight w:val="none"/>
              </w:rPr>
              <w:t>②发电机废气G2：本项目新设置一台1000KW低压柴油发电机组，位于专用设备房内，柴油发电机在停电时运行发电并排放废气、热气，备用发电机房设置机械排风装置对其进行处理。</w:t>
            </w:r>
          </w:p>
          <w:p>
            <w:pPr>
              <w:pStyle w:val="36"/>
              <w:ind w:firstLine="480"/>
              <w:rPr>
                <w:color w:val="auto"/>
                <w:highlight w:val="none"/>
              </w:rPr>
            </w:pPr>
            <w:r>
              <w:rPr>
                <w:rFonts w:hint="eastAsia"/>
                <w:color w:val="auto"/>
                <w:highlight w:val="none"/>
              </w:rPr>
              <w:t>③汽车尾气G3：本项目建设完成后，进入校园的汽车数量增加，汽车进入停车场（库）怠速行驶时将有机动车尾气排放。项目地下室车库设有机械送排风系统，其排放口通到地面。</w:t>
            </w:r>
          </w:p>
          <w:p>
            <w:pPr>
              <w:pStyle w:val="36"/>
              <w:ind w:firstLine="480"/>
              <w:rPr>
                <w:color w:val="auto"/>
                <w:highlight w:val="none"/>
              </w:rPr>
            </w:pPr>
            <w:r>
              <w:rPr>
                <w:rFonts w:hint="eastAsia"/>
                <w:color w:val="auto"/>
                <w:highlight w:val="none"/>
              </w:rPr>
              <w:t>④实验室废气G4：本项目实验室废气主要来自于综合楼实验室，主要是生物化学实验过程产生的有机废气等。本项目实验废气通过操作柜通风橱处理后，经机械排气系统进行收集，由活性炭装置进行吸附后将废气引至屋顶一根高45m的排气筒排放，排气筒风量为4000m</w:t>
            </w:r>
            <w:r>
              <w:rPr>
                <w:rFonts w:hint="eastAsia"/>
                <w:color w:val="auto"/>
                <w:highlight w:val="none"/>
                <w:vertAlign w:val="superscript"/>
              </w:rPr>
              <w:t>3</w:t>
            </w:r>
            <w:r>
              <w:rPr>
                <w:rFonts w:hint="eastAsia"/>
                <w:color w:val="auto"/>
                <w:highlight w:val="none"/>
              </w:rPr>
              <w:t>/h。</w:t>
            </w:r>
          </w:p>
          <w:p>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（2）废水</w:t>
            </w:r>
          </w:p>
          <w:p>
            <w:pPr>
              <w:adjustRightInd w:val="0"/>
              <w:snapToGrid w:val="0"/>
              <w:spacing w:line="360" w:lineRule="auto"/>
              <w:ind w:firstLine="480" w:firstLineChars="200"/>
              <w:rPr>
                <w:bCs/>
                <w:color w:val="auto"/>
                <w:kern w:val="0"/>
                <w:sz w:val="24"/>
                <w:highlight w:val="none"/>
              </w:rPr>
            </w:pPr>
            <w:r>
              <w:rPr>
                <w:rFonts w:hint="eastAsia"/>
                <w:bCs/>
                <w:color w:val="auto"/>
                <w:kern w:val="0"/>
                <w:sz w:val="24"/>
                <w:highlight w:val="none"/>
              </w:rPr>
              <w:t>①生活污水：本项目运营期的生活污水包括师生生活污水、餐厅排放的含油污水。餐厅废水经隔油池处理后，与其它生活污水一同经化粪池处理，按就近排放原则接入市政污水管网，纳入大学城污水处理厂集中处理。</w:t>
            </w:r>
          </w:p>
          <w:p>
            <w:pPr>
              <w:pStyle w:val="36"/>
              <w:ind w:firstLine="480"/>
              <w:rPr>
                <w:color w:val="auto"/>
                <w:highlight w:val="none"/>
              </w:rPr>
            </w:pPr>
            <w:r>
              <w:rPr>
                <w:rFonts w:hint="eastAsia"/>
                <w:color w:val="auto"/>
                <w:highlight w:val="none"/>
              </w:rPr>
              <w:t>②实验废水：本项目在进行物化实验、生物实验过程中均会产生废水。实验室废水的排放周期不定，且所含污染物成分较为复杂，除含有洗涤剂和常用溶剂等有机物外，还有较多的酸碱、少量有毒有害的有机物。实验室废水按污染程度可分为高浓度和低浓度实验废水，高浓度实验废水主要成分为液态的失效试剂（废洗液、废有机溶剂、废试剂等）、液态的实验废弃产物或中间产物（如各种有机溶剂、离心液、液体</w:t>
            </w:r>
            <w:r>
              <w:rPr>
                <w:rFonts w:hint="eastAsia"/>
                <w:color w:val="auto"/>
                <w:highlight w:val="none"/>
                <w:lang w:eastAsia="zh-CN"/>
              </w:rPr>
              <w:t>不合格产品</w:t>
            </w:r>
            <w:r>
              <w:rPr>
                <w:rFonts w:hint="eastAsia"/>
                <w:color w:val="auto"/>
                <w:highlight w:val="none"/>
              </w:rPr>
              <w:t>等）；低浓度实验废水指实验过程中排放的浓度与毒性较低的实验废水以及各种洗涤液（产物或中间产物的洗涤液，仪器或器具的润洗液和洗涤废水等）、毒性小、浓度低的废试液以及用做冷却、加热用途的水。</w:t>
            </w:r>
          </w:p>
          <w:p>
            <w:pPr>
              <w:pStyle w:val="36"/>
              <w:ind w:firstLine="480"/>
              <w:rPr>
                <w:color w:val="auto"/>
                <w:highlight w:val="none"/>
              </w:rPr>
            </w:pPr>
            <w:r>
              <w:rPr>
                <w:rFonts w:hint="eastAsia"/>
                <w:color w:val="auto"/>
                <w:highlight w:val="none"/>
              </w:rPr>
              <w:t>根据《国家危险废物名录（2021年版）》，实验室产生的高浓度废液按危险废物管理，其他实验废水通过酸碱中和池和消毒池处理后，接入化粪池处理后排入市政管网。</w:t>
            </w:r>
          </w:p>
          <w:p>
            <w:pPr>
              <w:pStyle w:val="36"/>
              <w:ind w:left="420" w:leftChars="200" w:firstLine="0" w:firstLineChars="0"/>
              <w:rPr>
                <w:color w:val="auto"/>
                <w:kern w:val="0"/>
                <w:highlight w:val="none"/>
              </w:rPr>
            </w:pPr>
            <w:r>
              <w:rPr>
                <w:rFonts w:hint="eastAsia"/>
                <w:color w:val="auto"/>
                <w:kern w:val="0"/>
                <w:highlight w:val="none"/>
              </w:rPr>
              <w:t>（3）固体废物</w:t>
            </w:r>
          </w:p>
          <w:p>
            <w:pPr>
              <w:pStyle w:val="36"/>
              <w:ind w:firstLine="480"/>
              <w:rPr>
                <w:color w:val="auto"/>
                <w:highlight w:val="none"/>
              </w:rPr>
            </w:pPr>
            <w:r>
              <w:rPr>
                <w:rFonts w:hint="eastAsia"/>
                <w:color w:val="auto"/>
                <w:highlight w:val="none"/>
              </w:rPr>
              <w:t>①生活垃圾S1：项目产生的生活垃圾由环卫部门清运处置。</w:t>
            </w:r>
          </w:p>
          <w:p>
            <w:pPr>
              <w:pStyle w:val="36"/>
              <w:ind w:firstLine="480"/>
              <w:rPr>
                <w:color w:val="auto"/>
                <w:highlight w:val="none"/>
              </w:rPr>
            </w:pPr>
            <w:r>
              <w:rPr>
                <w:rFonts w:hint="eastAsia"/>
                <w:color w:val="auto"/>
                <w:highlight w:val="none"/>
              </w:rPr>
              <w:t>②厨余垃圾S2：本项目厨余垃圾单独收集、分类存放，设置专用的密闭收集容器，不得裸露存放；定期将厨余垃圾交给与其签订协议的收集运输企业。</w:t>
            </w:r>
          </w:p>
          <w:p>
            <w:pPr>
              <w:pStyle w:val="36"/>
              <w:ind w:firstLine="480"/>
              <w:rPr>
                <w:color w:val="auto"/>
                <w:highlight w:val="none"/>
              </w:rPr>
            </w:pPr>
            <w:r>
              <w:rPr>
                <w:rFonts w:hint="eastAsia"/>
                <w:color w:val="auto"/>
                <w:highlight w:val="none"/>
              </w:rPr>
              <w:t>③实验室一般固废S3：本项目对实验室一般固废（如不涉及危险化学品的包装物、破旧容器等）进行分类收集，能回收利用的部分交由专门机构回收，与生活垃圾性质类似的可同生活垃圾一起由环卫部门清运。</w:t>
            </w:r>
          </w:p>
          <w:p>
            <w:pPr>
              <w:pStyle w:val="36"/>
              <w:ind w:firstLine="480"/>
              <w:rPr>
                <w:color w:val="auto"/>
                <w:highlight w:val="none"/>
              </w:rPr>
            </w:pPr>
            <w:r>
              <w:rPr>
                <w:rFonts w:hint="eastAsia"/>
                <w:color w:val="auto"/>
                <w:highlight w:val="none"/>
              </w:rPr>
              <w:t>④实验室危险废物S4：根据本评价第四章4.2.4.1 固体废物产生及处置情况可得，实验室收集的高浓度废液（如酸液、碱液等）约为</w:t>
            </w:r>
            <w:r>
              <w:rPr>
                <w:rFonts w:hint="eastAsia"/>
                <w:color w:val="auto"/>
                <w:highlight w:val="none"/>
                <w:lang w:val="en-US" w:eastAsia="zh-CN"/>
              </w:rPr>
              <w:t>1.78</w:t>
            </w:r>
            <w:r>
              <w:rPr>
                <w:rFonts w:hint="eastAsia"/>
                <w:color w:val="auto"/>
                <w:highlight w:val="none"/>
              </w:rPr>
              <w:t>t/a，实验室固态危废（如生物实验动物尸体、危险化学品包装物等）产生量约为1.2t/a。本项目实验室危险废物涉及的危废种类包括HW03 900-002-03、HW14 900-017-14、HW49 900-041-49、HW49 900-047-49、HW49 900-044-49、HW49 900-045-49。</w:t>
            </w:r>
          </w:p>
          <w:p>
            <w:pPr>
              <w:pStyle w:val="36"/>
              <w:ind w:firstLine="480"/>
              <w:rPr>
                <w:color w:val="auto"/>
                <w:highlight w:val="none"/>
              </w:rPr>
            </w:pPr>
            <w:r>
              <w:rPr>
                <w:rFonts w:hint="eastAsia"/>
                <w:color w:val="auto"/>
                <w:highlight w:val="none"/>
              </w:rPr>
              <w:t>本项目产生的实验室危险废物根据产生量的多少来设置大小容器分类收集并于特定地点储存。同时在容器上作明显标识，加盖防止废液挥发污染室内空气；收集容器需放在指定的位置（通风、安全、有明显标识的地方），统一收集（有毒有害生物性废水、动物尸体内脏等需紫外消毒及高温灭活后再收集）。本项目产生的实验室危废在综合楼危废间暂存，后委托</w:t>
            </w:r>
            <w:r>
              <w:rPr>
                <w:rFonts w:hint="eastAsia"/>
                <w:color w:val="auto"/>
                <w:highlight w:val="none"/>
                <w:lang w:eastAsia="zh-CN"/>
              </w:rPr>
              <w:t>有资质的单位</w:t>
            </w:r>
            <w:r>
              <w:rPr>
                <w:rFonts w:hint="eastAsia"/>
                <w:color w:val="auto"/>
                <w:highlight w:val="none"/>
              </w:rPr>
              <w:t>接收处置。</w:t>
            </w:r>
          </w:p>
          <w:p>
            <w:pPr>
              <w:pStyle w:val="36"/>
              <w:ind w:firstLine="480"/>
              <w:rPr>
                <w:color w:val="auto"/>
                <w:highlight w:val="none"/>
              </w:rPr>
            </w:pPr>
            <w:r>
              <w:rPr>
                <w:rFonts w:hint="eastAsia"/>
                <w:color w:val="auto"/>
                <w:highlight w:val="none"/>
              </w:rPr>
              <w:t>⑤废活性炭S5：根据本评价第四章4.2.4.1 固体废物产生及处置情况可得，项目废活性炭产量约为1.1t/a。项目废气处理产生的废活性炭属于危险废物，代码为HW49 900-039-49。本项目产生的废活性炭在综合楼危废间暂存，后委托</w:t>
            </w:r>
            <w:r>
              <w:rPr>
                <w:rFonts w:hint="eastAsia"/>
                <w:color w:val="auto"/>
                <w:highlight w:val="none"/>
                <w:lang w:eastAsia="zh-CN"/>
              </w:rPr>
              <w:t>有资质的单位</w:t>
            </w:r>
            <w:r>
              <w:rPr>
                <w:rFonts w:hint="eastAsia"/>
                <w:color w:val="auto"/>
                <w:highlight w:val="none"/>
              </w:rPr>
              <w:t>接收处置。</w:t>
            </w:r>
          </w:p>
          <w:p>
            <w:pPr>
              <w:pStyle w:val="36"/>
              <w:ind w:firstLine="480"/>
              <w:rPr>
                <w:color w:val="auto"/>
                <w:highlight w:val="none"/>
              </w:rPr>
            </w:pPr>
            <w:r>
              <w:rPr>
                <w:rFonts w:hint="eastAsia"/>
                <w:color w:val="auto"/>
                <w:highlight w:val="none"/>
              </w:rPr>
              <w:t>⑥污泥S6：根据本评价第四章4.2.4.1 固体废物产生及处置情况可得，对化粪池定期清理产生废渣和暴雨过后会产生污泥，产生量约为2.11t/a。污泥由物业协助环卫部门进行清理。</w:t>
            </w:r>
          </w:p>
          <w:p>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 xml:space="preserve">（4）噪声 </w:t>
            </w:r>
          </w:p>
          <w:p>
            <w:pPr>
              <w:pStyle w:val="36"/>
              <w:ind w:firstLine="480"/>
              <w:rPr>
                <w:color w:val="auto"/>
                <w:highlight w:val="none"/>
                <w:lang w:val="en-GB"/>
              </w:rPr>
            </w:pPr>
            <w:r>
              <w:rPr>
                <w:color w:val="auto"/>
                <w:highlight w:val="none"/>
                <w:lang w:val="en-GB"/>
              </w:rPr>
              <w:t>项目运营期间主要噪声源是</w:t>
            </w:r>
            <w:r>
              <w:rPr>
                <w:color w:val="auto"/>
                <w:highlight w:val="none"/>
              </w:rPr>
              <w:t>师生生活噪声（包括进出学校的交通噪声）、实验室设备噪声</w:t>
            </w:r>
            <w:r>
              <w:rPr>
                <w:color w:val="auto"/>
                <w:highlight w:val="none"/>
                <w:lang w:val="en-GB"/>
              </w:rPr>
              <w:t>以及院区内辅助设备运行产生的噪声</w:t>
            </w:r>
            <w:r>
              <w:rPr>
                <w:rFonts w:hint="eastAsia"/>
                <w:color w:val="auto"/>
                <w:highlight w:val="none"/>
                <w:lang w:val="en-GB"/>
              </w:rPr>
              <w:t>等，噪声源强详见下表</w:t>
            </w:r>
            <w:r>
              <w:rPr>
                <w:color w:val="auto"/>
                <w:highlight w:val="none"/>
                <w:lang w:val="en-GB"/>
              </w:rPr>
              <w:t>。</w:t>
            </w:r>
          </w:p>
          <w:p>
            <w:pPr>
              <w:pStyle w:val="32"/>
              <w:rPr>
                <w:color w:val="auto"/>
                <w:highlight w:val="none"/>
              </w:rPr>
            </w:pPr>
            <w:r>
              <w:rPr>
                <w:rFonts w:hint="eastAsia"/>
                <w:color w:val="auto"/>
                <w:highlight w:val="none"/>
              </w:rPr>
              <w:t>表2.2.1 噪声源强表  单位：dB(A)</w:t>
            </w:r>
          </w:p>
          <w:tbl>
            <w:tblPr>
              <w:tblStyle w:val="19"/>
              <w:tblW w:w="4873" w:type="pct"/>
              <w:jc w:val="center"/>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31"/>
              <w:gridCol w:w="2853"/>
              <w:gridCol w:w="2005"/>
              <w:gridCol w:w="2405"/>
            </w:tblGrid>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8" w:type="pct"/>
                  <w:vAlign w:val="center"/>
                </w:tcPr>
                <w:p>
                  <w:pPr>
                    <w:pStyle w:val="40"/>
                    <w:rPr>
                      <w:color w:val="auto"/>
                      <w:highlight w:val="none"/>
                    </w:rPr>
                  </w:pPr>
                  <w:r>
                    <w:rPr>
                      <w:color w:val="auto"/>
                      <w:highlight w:val="none"/>
                    </w:rPr>
                    <w:t>序号</w:t>
                  </w:r>
                </w:p>
              </w:tc>
              <w:tc>
                <w:tcPr>
                  <w:tcW w:w="1740" w:type="pct"/>
                  <w:vAlign w:val="center"/>
                </w:tcPr>
                <w:p>
                  <w:pPr>
                    <w:pStyle w:val="40"/>
                    <w:rPr>
                      <w:color w:val="auto"/>
                      <w:highlight w:val="none"/>
                    </w:rPr>
                  </w:pPr>
                  <w:r>
                    <w:rPr>
                      <w:color w:val="auto"/>
                      <w:highlight w:val="none"/>
                    </w:rPr>
                    <w:t>名称</w:t>
                  </w:r>
                </w:p>
              </w:tc>
              <w:tc>
                <w:tcPr>
                  <w:tcW w:w="1223" w:type="pct"/>
                  <w:vAlign w:val="center"/>
                </w:tcPr>
                <w:p>
                  <w:pPr>
                    <w:pStyle w:val="41"/>
                    <w:spacing w:line="240" w:lineRule="auto"/>
                    <w:rPr>
                      <w:color w:val="auto"/>
                      <w:szCs w:val="21"/>
                      <w:highlight w:val="none"/>
                    </w:rPr>
                  </w:pPr>
                  <w:r>
                    <w:rPr>
                      <w:b w:val="0"/>
                      <w:bCs/>
                      <w:color w:val="auto"/>
                      <w:szCs w:val="21"/>
                      <w:highlight w:val="none"/>
                    </w:rPr>
                    <w:t>数量</w:t>
                  </w:r>
                </w:p>
              </w:tc>
              <w:tc>
                <w:tcPr>
                  <w:tcW w:w="1467" w:type="pct"/>
                  <w:vAlign w:val="center"/>
                </w:tcPr>
                <w:p>
                  <w:pPr>
                    <w:pStyle w:val="40"/>
                    <w:rPr>
                      <w:color w:val="auto"/>
                      <w:highlight w:val="none"/>
                    </w:rPr>
                  </w:pPr>
                  <w:r>
                    <w:rPr>
                      <w:color w:val="auto"/>
                      <w:highlight w:val="none"/>
                    </w:rPr>
                    <w:t>单台噪声源强（dB）</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8" w:type="pct"/>
                  <w:vAlign w:val="center"/>
                </w:tcPr>
                <w:p>
                  <w:pPr>
                    <w:pStyle w:val="40"/>
                    <w:rPr>
                      <w:color w:val="auto"/>
                      <w:highlight w:val="none"/>
                    </w:rPr>
                  </w:pPr>
                  <w:r>
                    <w:rPr>
                      <w:color w:val="auto"/>
                      <w:highlight w:val="none"/>
                    </w:rPr>
                    <w:t>1</w:t>
                  </w:r>
                </w:p>
              </w:tc>
              <w:tc>
                <w:tcPr>
                  <w:tcW w:w="1740" w:type="pct"/>
                  <w:vAlign w:val="center"/>
                </w:tcPr>
                <w:p>
                  <w:pPr>
                    <w:pStyle w:val="30"/>
                    <w:rPr>
                      <w:color w:val="auto"/>
                      <w:highlight w:val="none"/>
                    </w:rPr>
                  </w:pPr>
                  <w:r>
                    <w:rPr>
                      <w:rFonts w:hint="eastAsia"/>
                      <w:color w:val="auto"/>
                      <w:highlight w:val="none"/>
                    </w:rPr>
                    <w:t>反应釜</w:t>
                  </w:r>
                </w:p>
              </w:tc>
              <w:tc>
                <w:tcPr>
                  <w:tcW w:w="1223" w:type="pct"/>
                  <w:vAlign w:val="center"/>
                </w:tcPr>
                <w:p>
                  <w:pPr>
                    <w:pStyle w:val="30"/>
                    <w:rPr>
                      <w:color w:val="auto"/>
                      <w:highlight w:val="none"/>
                    </w:rPr>
                  </w:pPr>
                  <w:r>
                    <w:rPr>
                      <w:rFonts w:hint="eastAsia"/>
                      <w:color w:val="auto"/>
                      <w:highlight w:val="none"/>
                    </w:rPr>
                    <w:t>3</w:t>
                  </w:r>
                </w:p>
              </w:tc>
              <w:tc>
                <w:tcPr>
                  <w:tcW w:w="1467" w:type="pct"/>
                  <w:vAlign w:val="center"/>
                </w:tcPr>
                <w:p>
                  <w:pPr>
                    <w:pStyle w:val="30"/>
                    <w:rPr>
                      <w:color w:val="auto"/>
                      <w:highlight w:val="none"/>
                    </w:rPr>
                  </w:pPr>
                  <w:r>
                    <w:rPr>
                      <w:rFonts w:hint="eastAsia"/>
                      <w:color w:val="auto"/>
                      <w:highlight w:val="none"/>
                    </w:rPr>
                    <w:t>65</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8" w:type="pct"/>
                  <w:vAlign w:val="center"/>
                </w:tcPr>
                <w:p>
                  <w:pPr>
                    <w:pStyle w:val="40"/>
                    <w:rPr>
                      <w:color w:val="auto"/>
                      <w:highlight w:val="none"/>
                    </w:rPr>
                  </w:pPr>
                  <w:r>
                    <w:rPr>
                      <w:color w:val="auto"/>
                      <w:highlight w:val="none"/>
                    </w:rPr>
                    <w:t>2</w:t>
                  </w:r>
                </w:p>
              </w:tc>
              <w:tc>
                <w:tcPr>
                  <w:tcW w:w="1740" w:type="pct"/>
                  <w:vAlign w:val="center"/>
                </w:tcPr>
                <w:p>
                  <w:pPr>
                    <w:pStyle w:val="30"/>
                    <w:rPr>
                      <w:color w:val="auto"/>
                      <w:highlight w:val="none"/>
                    </w:rPr>
                  </w:pPr>
                  <w:r>
                    <w:rPr>
                      <w:rFonts w:hint="eastAsia"/>
                      <w:color w:val="auto"/>
                      <w:highlight w:val="none"/>
                    </w:rPr>
                    <w:t>真空泵</w:t>
                  </w:r>
                </w:p>
              </w:tc>
              <w:tc>
                <w:tcPr>
                  <w:tcW w:w="1223" w:type="pct"/>
                  <w:vAlign w:val="center"/>
                </w:tcPr>
                <w:p>
                  <w:pPr>
                    <w:pStyle w:val="30"/>
                    <w:rPr>
                      <w:color w:val="auto"/>
                      <w:highlight w:val="none"/>
                    </w:rPr>
                  </w:pPr>
                  <w:r>
                    <w:rPr>
                      <w:rFonts w:hint="eastAsia"/>
                      <w:color w:val="auto"/>
                      <w:highlight w:val="none"/>
                    </w:rPr>
                    <w:t>1</w:t>
                  </w:r>
                </w:p>
              </w:tc>
              <w:tc>
                <w:tcPr>
                  <w:tcW w:w="1467" w:type="pct"/>
                  <w:vAlign w:val="center"/>
                </w:tcPr>
                <w:p>
                  <w:pPr>
                    <w:pStyle w:val="30"/>
                    <w:rPr>
                      <w:color w:val="auto"/>
                      <w:highlight w:val="none"/>
                    </w:rPr>
                  </w:pPr>
                  <w:r>
                    <w:rPr>
                      <w:rFonts w:hint="eastAsia"/>
                      <w:color w:val="auto"/>
                      <w:highlight w:val="none"/>
                    </w:rPr>
                    <w:t>75</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8" w:type="pct"/>
                  <w:vAlign w:val="center"/>
                </w:tcPr>
                <w:p>
                  <w:pPr>
                    <w:pStyle w:val="40"/>
                    <w:rPr>
                      <w:color w:val="auto"/>
                      <w:highlight w:val="none"/>
                    </w:rPr>
                  </w:pPr>
                  <w:r>
                    <w:rPr>
                      <w:color w:val="auto"/>
                      <w:highlight w:val="none"/>
                    </w:rPr>
                    <w:t>3</w:t>
                  </w:r>
                </w:p>
              </w:tc>
              <w:tc>
                <w:tcPr>
                  <w:tcW w:w="1740" w:type="pct"/>
                  <w:vAlign w:val="center"/>
                </w:tcPr>
                <w:p>
                  <w:pPr>
                    <w:pStyle w:val="30"/>
                    <w:rPr>
                      <w:color w:val="auto"/>
                      <w:highlight w:val="none"/>
                    </w:rPr>
                  </w:pPr>
                  <w:r>
                    <w:rPr>
                      <w:rFonts w:hint="eastAsia"/>
                      <w:color w:val="auto"/>
                      <w:highlight w:val="none"/>
                    </w:rPr>
                    <w:t>压滤机</w:t>
                  </w:r>
                </w:p>
              </w:tc>
              <w:tc>
                <w:tcPr>
                  <w:tcW w:w="1223" w:type="pct"/>
                  <w:vAlign w:val="center"/>
                </w:tcPr>
                <w:p>
                  <w:pPr>
                    <w:pStyle w:val="30"/>
                    <w:rPr>
                      <w:color w:val="auto"/>
                      <w:highlight w:val="none"/>
                    </w:rPr>
                  </w:pPr>
                  <w:r>
                    <w:rPr>
                      <w:rFonts w:hint="eastAsia"/>
                      <w:color w:val="auto"/>
                      <w:highlight w:val="none"/>
                    </w:rPr>
                    <w:t>1</w:t>
                  </w:r>
                </w:p>
              </w:tc>
              <w:tc>
                <w:tcPr>
                  <w:tcW w:w="1467" w:type="pct"/>
                  <w:vAlign w:val="center"/>
                </w:tcPr>
                <w:p>
                  <w:pPr>
                    <w:pStyle w:val="30"/>
                    <w:rPr>
                      <w:color w:val="auto"/>
                      <w:highlight w:val="none"/>
                    </w:rPr>
                  </w:pPr>
                  <w:r>
                    <w:rPr>
                      <w:rFonts w:hint="eastAsia"/>
                      <w:color w:val="auto"/>
                      <w:highlight w:val="none"/>
                    </w:rPr>
                    <w:t>70</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8" w:type="pct"/>
                  <w:vAlign w:val="center"/>
                </w:tcPr>
                <w:p>
                  <w:pPr>
                    <w:pStyle w:val="40"/>
                    <w:rPr>
                      <w:color w:val="auto"/>
                      <w:highlight w:val="none"/>
                    </w:rPr>
                  </w:pPr>
                  <w:r>
                    <w:rPr>
                      <w:color w:val="auto"/>
                      <w:highlight w:val="none"/>
                    </w:rPr>
                    <w:t>4</w:t>
                  </w:r>
                </w:p>
              </w:tc>
              <w:tc>
                <w:tcPr>
                  <w:tcW w:w="1740" w:type="pct"/>
                  <w:vAlign w:val="center"/>
                </w:tcPr>
                <w:p>
                  <w:pPr>
                    <w:pStyle w:val="30"/>
                    <w:rPr>
                      <w:color w:val="auto"/>
                      <w:highlight w:val="none"/>
                    </w:rPr>
                  </w:pPr>
                  <w:r>
                    <w:rPr>
                      <w:rFonts w:hint="eastAsia"/>
                      <w:bCs/>
                      <w:color w:val="auto"/>
                      <w:highlight w:val="none"/>
                    </w:rPr>
                    <w:t>干燥箱</w:t>
                  </w:r>
                </w:p>
              </w:tc>
              <w:tc>
                <w:tcPr>
                  <w:tcW w:w="1223" w:type="pct"/>
                  <w:vAlign w:val="center"/>
                </w:tcPr>
                <w:p>
                  <w:pPr>
                    <w:pStyle w:val="30"/>
                    <w:rPr>
                      <w:color w:val="auto"/>
                      <w:highlight w:val="none"/>
                    </w:rPr>
                  </w:pPr>
                  <w:r>
                    <w:rPr>
                      <w:rFonts w:hint="eastAsia"/>
                      <w:color w:val="auto"/>
                      <w:highlight w:val="none"/>
                    </w:rPr>
                    <w:t>3</w:t>
                  </w:r>
                </w:p>
              </w:tc>
              <w:tc>
                <w:tcPr>
                  <w:tcW w:w="1467" w:type="pct"/>
                  <w:vAlign w:val="center"/>
                </w:tcPr>
                <w:p>
                  <w:pPr>
                    <w:pStyle w:val="30"/>
                    <w:rPr>
                      <w:color w:val="auto"/>
                      <w:highlight w:val="none"/>
                    </w:rPr>
                  </w:pPr>
                  <w:r>
                    <w:rPr>
                      <w:rFonts w:hint="eastAsia"/>
                      <w:color w:val="auto"/>
                      <w:highlight w:val="none"/>
                    </w:rPr>
                    <w:t>60</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8" w:type="pct"/>
                  <w:vAlign w:val="center"/>
                </w:tcPr>
                <w:p>
                  <w:pPr>
                    <w:pStyle w:val="40"/>
                    <w:rPr>
                      <w:color w:val="auto"/>
                      <w:highlight w:val="none"/>
                    </w:rPr>
                  </w:pPr>
                  <w:r>
                    <w:rPr>
                      <w:rFonts w:hint="eastAsia"/>
                      <w:color w:val="auto"/>
                      <w:highlight w:val="none"/>
                    </w:rPr>
                    <w:t>6</w:t>
                  </w:r>
                </w:p>
              </w:tc>
              <w:tc>
                <w:tcPr>
                  <w:tcW w:w="1740" w:type="pct"/>
                  <w:vAlign w:val="center"/>
                </w:tcPr>
                <w:p>
                  <w:pPr>
                    <w:pStyle w:val="30"/>
                    <w:rPr>
                      <w:color w:val="auto"/>
                      <w:highlight w:val="none"/>
                    </w:rPr>
                  </w:pPr>
                  <w:r>
                    <w:rPr>
                      <w:rFonts w:hint="eastAsia"/>
                      <w:color w:val="auto"/>
                      <w:highlight w:val="none"/>
                    </w:rPr>
                    <w:t>振荡仪</w:t>
                  </w:r>
                </w:p>
              </w:tc>
              <w:tc>
                <w:tcPr>
                  <w:tcW w:w="1223" w:type="pct"/>
                  <w:vAlign w:val="center"/>
                </w:tcPr>
                <w:p>
                  <w:pPr>
                    <w:pStyle w:val="30"/>
                    <w:rPr>
                      <w:color w:val="auto"/>
                      <w:highlight w:val="none"/>
                    </w:rPr>
                  </w:pPr>
                  <w:r>
                    <w:rPr>
                      <w:rFonts w:hint="eastAsia"/>
                      <w:color w:val="auto"/>
                      <w:highlight w:val="none"/>
                    </w:rPr>
                    <w:t>1</w:t>
                  </w:r>
                </w:p>
              </w:tc>
              <w:tc>
                <w:tcPr>
                  <w:tcW w:w="1467" w:type="pct"/>
                  <w:vAlign w:val="center"/>
                </w:tcPr>
                <w:p>
                  <w:pPr>
                    <w:pStyle w:val="30"/>
                    <w:rPr>
                      <w:color w:val="auto"/>
                      <w:highlight w:val="none"/>
                    </w:rPr>
                  </w:pPr>
                  <w:r>
                    <w:rPr>
                      <w:rFonts w:hint="eastAsia"/>
                      <w:color w:val="auto"/>
                      <w:highlight w:val="none"/>
                    </w:rPr>
                    <w:t>75</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8" w:type="pct"/>
                  <w:vAlign w:val="center"/>
                </w:tcPr>
                <w:p>
                  <w:pPr>
                    <w:pStyle w:val="40"/>
                    <w:rPr>
                      <w:color w:val="auto"/>
                      <w:highlight w:val="none"/>
                    </w:rPr>
                  </w:pPr>
                  <w:r>
                    <w:rPr>
                      <w:rFonts w:hint="eastAsia"/>
                      <w:color w:val="auto"/>
                      <w:highlight w:val="none"/>
                    </w:rPr>
                    <w:t>7</w:t>
                  </w:r>
                </w:p>
              </w:tc>
              <w:tc>
                <w:tcPr>
                  <w:tcW w:w="1740" w:type="pct"/>
                  <w:vAlign w:val="center"/>
                </w:tcPr>
                <w:p>
                  <w:pPr>
                    <w:pStyle w:val="30"/>
                    <w:rPr>
                      <w:color w:val="auto"/>
                      <w:highlight w:val="none"/>
                    </w:rPr>
                  </w:pPr>
                  <w:r>
                    <w:rPr>
                      <w:rFonts w:hint="eastAsia"/>
                      <w:color w:val="auto"/>
                      <w:highlight w:val="none"/>
                    </w:rPr>
                    <w:t>破碎机</w:t>
                  </w:r>
                </w:p>
              </w:tc>
              <w:tc>
                <w:tcPr>
                  <w:tcW w:w="1223" w:type="pct"/>
                  <w:vAlign w:val="center"/>
                </w:tcPr>
                <w:p>
                  <w:pPr>
                    <w:pStyle w:val="30"/>
                    <w:rPr>
                      <w:color w:val="auto"/>
                      <w:highlight w:val="none"/>
                    </w:rPr>
                  </w:pPr>
                  <w:r>
                    <w:rPr>
                      <w:rFonts w:hint="eastAsia"/>
                      <w:color w:val="auto"/>
                      <w:highlight w:val="none"/>
                    </w:rPr>
                    <w:t>1</w:t>
                  </w:r>
                </w:p>
              </w:tc>
              <w:tc>
                <w:tcPr>
                  <w:tcW w:w="1467" w:type="pct"/>
                  <w:vAlign w:val="center"/>
                </w:tcPr>
                <w:p>
                  <w:pPr>
                    <w:pStyle w:val="30"/>
                    <w:rPr>
                      <w:color w:val="auto"/>
                      <w:highlight w:val="none"/>
                    </w:rPr>
                  </w:pPr>
                  <w:r>
                    <w:rPr>
                      <w:rFonts w:hint="eastAsia"/>
                      <w:color w:val="auto"/>
                      <w:highlight w:val="none"/>
                    </w:rPr>
                    <w:t>75</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8" w:type="pct"/>
                  <w:vAlign w:val="center"/>
                </w:tcPr>
                <w:p>
                  <w:pPr>
                    <w:pStyle w:val="40"/>
                    <w:rPr>
                      <w:color w:val="auto"/>
                      <w:highlight w:val="none"/>
                    </w:rPr>
                  </w:pPr>
                  <w:r>
                    <w:rPr>
                      <w:rFonts w:hint="eastAsia"/>
                      <w:color w:val="auto"/>
                      <w:highlight w:val="none"/>
                    </w:rPr>
                    <w:t>8</w:t>
                  </w:r>
                </w:p>
              </w:tc>
              <w:tc>
                <w:tcPr>
                  <w:tcW w:w="1740" w:type="pct"/>
                  <w:vAlign w:val="center"/>
                </w:tcPr>
                <w:p>
                  <w:pPr>
                    <w:jc w:val="center"/>
                    <w:rPr>
                      <w:color w:val="auto"/>
                      <w:highlight w:val="none"/>
                    </w:rPr>
                  </w:pPr>
                  <w:r>
                    <w:rPr>
                      <w:rFonts w:hint="eastAsia"/>
                      <w:color w:val="auto"/>
                      <w:highlight w:val="none"/>
                    </w:rPr>
                    <w:t>挤出机</w:t>
                  </w:r>
                </w:p>
              </w:tc>
              <w:tc>
                <w:tcPr>
                  <w:tcW w:w="1223" w:type="pct"/>
                  <w:vAlign w:val="center"/>
                </w:tcPr>
                <w:p>
                  <w:pPr>
                    <w:jc w:val="center"/>
                    <w:rPr>
                      <w:color w:val="auto"/>
                      <w:highlight w:val="none"/>
                    </w:rPr>
                  </w:pPr>
                  <w:r>
                    <w:rPr>
                      <w:rFonts w:hint="eastAsia"/>
                      <w:color w:val="auto"/>
                      <w:highlight w:val="none"/>
                    </w:rPr>
                    <w:t>2</w:t>
                  </w:r>
                </w:p>
              </w:tc>
              <w:tc>
                <w:tcPr>
                  <w:tcW w:w="1467" w:type="pct"/>
                  <w:vAlign w:val="center"/>
                </w:tcPr>
                <w:p>
                  <w:pPr>
                    <w:jc w:val="center"/>
                    <w:rPr>
                      <w:color w:val="auto"/>
                      <w:highlight w:val="none"/>
                    </w:rPr>
                  </w:pPr>
                  <w:r>
                    <w:rPr>
                      <w:rFonts w:hint="eastAsia"/>
                      <w:color w:val="auto"/>
                      <w:highlight w:val="none"/>
                    </w:rPr>
                    <w:t>65</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8" w:type="pct"/>
                  <w:vAlign w:val="center"/>
                </w:tcPr>
                <w:p>
                  <w:pPr>
                    <w:pStyle w:val="40"/>
                    <w:rPr>
                      <w:color w:val="auto"/>
                      <w:highlight w:val="none"/>
                    </w:rPr>
                  </w:pPr>
                  <w:r>
                    <w:rPr>
                      <w:rFonts w:hint="eastAsia"/>
                      <w:color w:val="auto"/>
                      <w:highlight w:val="none"/>
                    </w:rPr>
                    <w:t>9</w:t>
                  </w:r>
                </w:p>
              </w:tc>
              <w:tc>
                <w:tcPr>
                  <w:tcW w:w="1740" w:type="pct"/>
                  <w:vAlign w:val="center"/>
                </w:tcPr>
                <w:p>
                  <w:pPr>
                    <w:jc w:val="center"/>
                    <w:rPr>
                      <w:color w:val="auto"/>
                      <w:highlight w:val="none"/>
                    </w:rPr>
                  </w:pPr>
                  <w:r>
                    <w:rPr>
                      <w:rFonts w:hint="eastAsia"/>
                      <w:color w:val="auto"/>
                      <w:highlight w:val="none"/>
                    </w:rPr>
                    <w:t>成型机</w:t>
                  </w:r>
                </w:p>
              </w:tc>
              <w:tc>
                <w:tcPr>
                  <w:tcW w:w="1223" w:type="pct"/>
                  <w:vAlign w:val="center"/>
                </w:tcPr>
                <w:p>
                  <w:pPr>
                    <w:jc w:val="center"/>
                    <w:rPr>
                      <w:color w:val="auto"/>
                      <w:highlight w:val="none"/>
                    </w:rPr>
                  </w:pPr>
                  <w:r>
                    <w:rPr>
                      <w:rFonts w:hint="eastAsia"/>
                      <w:color w:val="auto"/>
                      <w:highlight w:val="none"/>
                    </w:rPr>
                    <w:t>1</w:t>
                  </w:r>
                </w:p>
              </w:tc>
              <w:tc>
                <w:tcPr>
                  <w:tcW w:w="1467" w:type="pct"/>
                  <w:vAlign w:val="center"/>
                </w:tcPr>
                <w:p>
                  <w:pPr>
                    <w:jc w:val="center"/>
                    <w:rPr>
                      <w:color w:val="auto"/>
                      <w:highlight w:val="none"/>
                    </w:rPr>
                  </w:pPr>
                  <w:r>
                    <w:rPr>
                      <w:rFonts w:hint="eastAsia"/>
                      <w:color w:val="auto"/>
                      <w:highlight w:val="none"/>
                    </w:rPr>
                    <w:t>70</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8" w:type="pct"/>
                  <w:vAlign w:val="center"/>
                </w:tcPr>
                <w:p>
                  <w:pPr>
                    <w:pStyle w:val="40"/>
                    <w:rPr>
                      <w:color w:val="auto"/>
                      <w:highlight w:val="none"/>
                    </w:rPr>
                  </w:pPr>
                  <w:r>
                    <w:rPr>
                      <w:rFonts w:hint="eastAsia"/>
                      <w:color w:val="auto"/>
                      <w:highlight w:val="none"/>
                    </w:rPr>
                    <w:t>10</w:t>
                  </w:r>
                </w:p>
              </w:tc>
              <w:tc>
                <w:tcPr>
                  <w:tcW w:w="1740" w:type="pct"/>
                  <w:vAlign w:val="center"/>
                </w:tcPr>
                <w:p>
                  <w:pPr>
                    <w:jc w:val="center"/>
                    <w:rPr>
                      <w:color w:val="auto"/>
                      <w:highlight w:val="none"/>
                    </w:rPr>
                  </w:pPr>
                  <w:r>
                    <w:rPr>
                      <w:rFonts w:hint="eastAsia"/>
                      <w:color w:val="auto"/>
                      <w:highlight w:val="none"/>
                    </w:rPr>
                    <w:t>注塑机</w:t>
                  </w:r>
                </w:p>
              </w:tc>
              <w:tc>
                <w:tcPr>
                  <w:tcW w:w="1223" w:type="pct"/>
                  <w:vAlign w:val="center"/>
                </w:tcPr>
                <w:p>
                  <w:pPr>
                    <w:jc w:val="center"/>
                    <w:rPr>
                      <w:color w:val="auto"/>
                      <w:highlight w:val="none"/>
                    </w:rPr>
                  </w:pPr>
                  <w:r>
                    <w:rPr>
                      <w:rFonts w:hint="eastAsia"/>
                      <w:color w:val="auto"/>
                      <w:highlight w:val="none"/>
                    </w:rPr>
                    <w:t>1</w:t>
                  </w:r>
                </w:p>
              </w:tc>
              <w:tc>
                <w:tcPr>
                  <w:tcW w:w="1467" w:type="pct"/>
                  <w:vAlign w:val="center"/>
                </w:tcPr>
                <w:p>
                  <w:pPr>
                    <w:jc w:val="center"/>
                    <w:rPr>
                      <w:color w:val="auto"/>
                      <w:highlight w:val="none"/>
                    </w:rPr>
                  </w:pPr>
                  <w:r>
                    <w:rPr>
                      <w:rFonts w:hint="eastAsia"/>
                      <w:color w:val="auto"/>
                      <w:highlight w:val="none"/>
                    </w:rPr>
                    <w:t>70</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8" w:type="pct"/>
                  <w:vAlign w:val="center"/>
                </w:tcPr>
                <w:p>
                  <w:pPr>
                    <w:pStyle w:val="40"/>
                    <w:rPr>
                      <w:color w:val="auto"/>
                      <w:highlight w:val="none"/>
                    </w:rPr>
                  </w:pPr>
                  <w:r>
                    <w:rPr>
                      <w:rFonts w:hint="eastAsia"/>
                      <w:color w:val="auto"/>
                      <w:highlight w:val="none"/>
                    </w:rPr>
                    <w:t>11</w:t>
                  </w:r>
                </w:p>
              </w:tc>
              <w:tc>
                <w:tcPr>
                  <w:tcW w:w="1740" w:type="pct"/>
                  <w:vAlign w:val="center"/>
                </w:tcPr>
                <w:p>
                  <w:pPr>
                    <w:jc w:val="center"/>
                    <w:rPr>
                      <w:color w:val="auto"/>
                      <w:highlight w:val="none"/>
                    </w:rPr>
                  </w:pPr>
                  <w:r>
                    <w:rPr>
                      <w:rFonts w:hint="eastAsia"/>
                      <w:color w:val="auto"/>
                      <w:highlight w:val="none"/>
                    </w:rPr>
                    <w:t>离心机</w:t>
                  </w:r>
                </w:p>
              </w:tc>
              <w:tc>
                <w:tcPr>
                  <w:tcW w:w="1223" w:type="pct"/>
                  <w:vAlign w:val="center"/>
                </w:tcPr>
                <w:p>
                  <w:pPr>
                    <w:jc w:val="center"/>
                    <w:rPr>
                      <w:color w:val="auto"/>
                      <w:highlight w:val="none"/>
                    </w:rPr>
                  </w:pPr>
                  <w:r>
                    <w:rPr>
                      <w:rFonts w:hint="eastAsia"/>
                      <w:color w:val="auto"/>
                      <w:highlight w:val="none"/>
                    </w:rPr>
                    <w:t>3</w:t>
                  </w:r>
                </w:p>
              </w:tc>
              <w:tc>
                <w:tcPr>
                  <w:tcW w:w="1467" w:type="pct"/>
                  <w:vAlign w:val="center"/>
                </w:tcPr>
                <w:p>
                  <w:pPr>
                    <w:jc w:val="center"/>
                    <w:rPr>
                      <w:color w:val="auto"/>
                      <w:highlight w:val="none"/>
                    </w:rPr>
                  </w:pPr>
                  <w:r>
                    <w:rPr>
                      <w:rFonts w:hint="eastAsia"/>
                      <w:color w:val="auto"/>
                      <w:highlight w:val="none"/>
                    </w:rPr>
                    <w:t>85</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8" w:type="pct"/>
                  <w:vAlign w:val="center"/>
                </w:tcPr>
                <w:p>
                  <w:pPr>
                    <w:pStyle w:val="40"/>
                    <w:rPr>
                      <w:color w:val="auto"/>
                      <w:highlight w:val="none"/>
                    </w:rPr>
                  </w:pPr>
                  <w:r>
                    <w:rPr>
                      <w:rFonts w:hint="eastAsia"/>
                      <w:color w:val="auto"/>
                      <w:highlight w:val="none"/>
                    </w:rPr>
                    <w:t>12</w:t>
                  </w:r>
                </w:p>
              </w:tc>
              <w:tc>
                <w:tcPr>
                  <w:tcW w:w="1740" w:type="pct"/>
                  <w:vAlign w:val="center"/>
                </w:tcPr>
                <w:p>
                  <w:pPr>
                    <w:jc w:val="center"/>
                    <w:rPr>
                      <w:color w:val="auto"/>
                      <w:highlight w:val="none"/>
                    </w:rPr>
                  </w:pPr>
                  <w:r>
                    <w:rPr>
                      <w:rFonts w:hint="eastAsia"/>
                      <w:color w:val="auto"/>
                      <w:highlight w:val="none"/>
                    </w:rPr>
                    <w:t>实验室通风系统</w:t>
                  </w:r>
                </w:p>
              </w:tc>
              <w:tc>
                <w:tcPr>
                  <w:tcW w:w="1223" w:type="pct"/>
                  <w:vAlign w:val="center"/>
                </w:tcPr>
                <w:p>
                  <w:pPr>
                    <w:jc w:val="center"/>
                    <w:rPr>
                      <w:color w:val="auto"/>
                      <w:highlight w:val="none"/>
                    </w:rPr>
                  </w:pPr>
                  <w:r>
                    <w:rPr>
                      <w:rFonts w:hint="eastAsia"/>
                      <w:color w:val="auto"/>
                      <w:highlight w:val="none"/>
                    </w:rPr>
                    <w:t>39</w:t>
                  </w:r>
                </w:p>
              </w:tc>
              <w:tc>
                <w:tcPr>
                  <w:tcW w:w="1467" w:type="pct"/>
                  <w:vAlign w:val="center"/>
                </w:tcPr>
                <w:p>
                  <w:pPr>
                    <w:jc w:val="center"/>
                    <w:rPr>
                      <w:color w:val="auto"/>
                      <w:highlight w:val="none"/>
                    </w:rPr>
                  </w:pPr>
                  <w:r>
                    <w:rPr>
                      <w:rFonts w:hint="eastAsia"/>
                      <w:color w:val="auto"/>
                      <w:highlight w:val="none"/>
                    </w:rPr>
                    <w:t>70</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8" w:type="pct"/>
                  <w:vAlign w:val="center"/>
                </w:tcPr>
                <w:p>
                  <w:pPr>
                    <w:pStyle w:val="40"/>
                    <w:rPr>
                      <w:color w:val="auto"/>
                      <w:highlight w:val="none"/>
                    </w:rPr>
                  </w:pPr>
                  <w:r>
                    <w:rPr>
                      <w:rFonts w:hint="eastAsia"/>
                      <w:color w:val="auto"/>
                      <w:highlight w:val="none"/>
                    </w:rPr>
                    <w:t>13</w:t>
                  </w:r>
                </w:p>
              </w:tc>
              <w:tc>
                <w:tcPr>
                  <w:tcW w:w="1740" w:type="pct"/>
                  <w:vAlign w:val="center"/>
                </w:tcPr>
                <w:p>
                  <w:pPr>
                    <w:jc w:val="center"/>
                    <w:rPr>
                      <w:color w:val="auto"/>
                      <w:highlight w:val="none"/>
                    </w:rPr>
                  </w:pPr>
                  <w:r>
                    <w:rPr>
                      <w:rFonts w:hint="eastAsia"/>
                      <w:color w:val="auto"/>
                      <w:highlight w:val="none"/>
                    </w:rPr>
                    <w:t>加压水泵</w:t>
                  </w:r>
                </w:p>
              </w:tc>
              <w:tc>
                <w:tcPr>
                  <w:tcW w:w="1223" w:type="pct"/>
                  <w:vAlign w:val="center"/>
                </w:tcPr>
                <w:p>
                  <w:pPr>
                    <w:jc w:val="center"/>
                    <w:rPr>
                      <w:color w:val="auto"/>
                      <w:highlight w:val="none"/>
                    </w:rPr>
                  </w:pPr>
                  <w:r>
                    <w:rPr>
                      <w:rFonts w:hint="eastAsia"/>
                      <w:color w:val="auto"/>
                      <w:highlight w:val="none"/>
                    </w:rPr>
                    <w:t>1</w:t>
                  </w:r>
                </w:p>
              </w:tc>
              <w:tc>
                <w:tcPr>
                  <w:tcW w:w="1467" w:type="pct"/>
                  <w:vAlign w:val="center"/>
                </w:tcPr>
                <w:p>
                  <w:pPr>
                    <w:jc w:val="center"/>
                    <w:rPr>
                      <w:color w:val="auto"/>
                      <w:highlight w:val="none"/>
                    </w:rPr>
                  </w:pPr>
                  <w:r>
                    <w:rPr>
                      <w:rFonts w:hint="eastAsia"/>
                      <w:color w:val="auto"/>
                      <w:highlight w:val="none"/>
                    </w:rPr>
                    <w:t>80</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8" w:type="pct"/>
                  <w:vAlign w:val="center"/>
                </w:tcPr>
                <w:p>
                  <w:pPr>
                    <w:pStyle w:val="40"/>
                    <w:rPr>
                      <w:color w:val="auto"/>
                      <w:highlight w:val="none"/>
                    </w:rPr>
                  </w:pPr>
                  <w:r>
                    <w:rPr>
                      <w:rFonts w:hint="eastAsia"/>
                      <w:color w:val="auto"/>
                      <w:highlight w:val="none"/>
                    </w:rPr>
                    <w:t>14</w:t>
                  </w:r>
                </w:p>
              </w:tc>
              <w:tc>
                <w:tcPr>
                  <w:tcW w:w="1740" w:type="pct"/>
                  <w:vAlign w:val="center"/>
                </w:tcPr>
                <w:p>
                  <w:pPr>
                    <w:jc w:val="center"/>
                    <w:rPr>
                      <w:color w:val="auto"/>
                      <w:highlight w:val="none"/>
                    </w:rPr>
                  </w:pPr>
                  <w:r>
                    <w:rPr>
                      <w:rFonts w:hint="eastAsia"/>
                      <w:color w:val="auto"/>
                      <w:highlight w:val="none"/>
                    </w:rPr>
                    <w:t>柴油发电机组</w:t>
                  </w:r>
                </w:p>
              </w:tc>
              <w:tc>
                <w:tcPr>
                  <w:tcW w:w="1223" w:type="pct"/>
                  <w:vAlign w:val="center"/>
                </w:tcPr>
                <w:p>
                  <w:pPr>
                    <w:jc w:val="center"/>
                    <w:rPr>
                      <w:color w:val="auto"/>
                      <w:highlight w:val="none"/>
                    </w:rPr>
                  </w:pPr>
                  <w:r>
                    <w:rPr>
                      <w:rFonts w:hint="eastAsia"/>
                      <w:color w:val="auto"/>
                      <w:highlight w:val="none"/>
                    </w:rPr>
                    <w:t>1</w:t>
                  </w:r>
                </w:p>
              </w:tc>
              <w:tc>
                <w:tcPr>
                  <w:tcW w:w="1467" w:type="pct"/>
                  <w:vAlign w:val="center"/>
                </w:tcPr>
                <w:p>
                  <w:pPr>
                    <w:jc w:val="center"/>
                    <w:rPr>
                      <w:color w:val="auto"/>
                      <w:highlight w:val="none"/>
                    </w:rPr>
                  </w:pPr>
                  <w:r>
                    <w:rPr>
                      <w:rFonts w:hint="eastAsia"/>
                      <w:color w:val="auto"/>
                      <w:highlight w:val="none"/>
                    </w:rPr>
                    <w:t>85</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8" w:type="pct"/>
                  <w:vAlign w:val="center"/>
                </w:tcPr>
                <w:p>
                  <w:pPr>
                    <w:pStyle w:val="40"/>
                    <w:rPr>
                      <w:color w:val="auto"/>
                      <w:highlight w:val="none"/>
                    </w:rPr>
                  </w:pPr>
                  <w:r>
                    <w:rPr>
                      <w:rFonts w:hint="eastAsia"/>
                      <w:color w:val="auto"/>
                      <w:highlight w:val="none"/>
                    </w:rPr>
                    <w:t>15</w:t>
                  </w:r>
                </w:p>
              </w:tc>
              <w:tc>
                <w:tcPr>
                  <w:tcW w:w="1740" w:type="pct"/>
                  <w:vAlign w:val="center"/>
                </w:tcPr>
                <w:p>
                  <w:pPr>
                    <w:jc w:val="center"/>
                    <w:rPr>
                      <w:color w:val="auto"/>
                      <w:highlight w:val="none"/>
                    </w:rPr>
                  </w:pPr>
                  <w:r>
                    <w:rPr>
                      <w:rFonts w:hint="eastAsia"/>
                      <w:color w:val="auto"/>
                      <w:highlight w:val="none"/>
                    </w:rPr>
                    <w:t>空调外机</w:t>
                  </w:r>
                </w:p>
              </w:tc>
              <w:tc>
                <w:tcPr>
                  <w:tcW w:w="1223" w:type="pct"/>
                  <w:vAlign w:val="center"/>
                </w:tcPr>
                <w:p>
                  <w:pPr>
                    <w:jc w:val="center"/>
                    <w:rPr>
                      <w:color w:val="auto"/>
                      <w:highlight w:val="none"/>
                    </w:rPr>
                  </w:pPr>
                  <w:r>
                    <w:rPr>
                      <w:rFonts w:hint="eastAsia"/>
                      <w:color w:val="auto"/>
                      <w:highlight w:val="none"/>
                    </w:rPr>
                    <w:t>30</w:t>
                  </w:r>
                </w:p>
              </w:tc>
              <w:tc>
                <w:tcPr>
                  <w:tcW w:w="1467" w:type="pct"/>
                  <w:vAlign w:val="center"/>
                </w:tcPr>
                <w:p>
                  <w:pPr>
                    <w:jc w:val="center"/>
                    <w:rPr>
                      <w:color w:val="auto"/>
                      <w:highlight w:val="none"/>
                    </w:rPr>
                  </w:pPr>
                  <w:r>
                    <w:rPr>
                      <w:rFonts w:hint="eastAsia"/>
                      <w:color w:val="auto"/>
                      <w:highlight w:val="none"/>
                    </w:rPr>
                    <w:t>60</w:t>
                  </w:r>
                </w:p>
              </w:tc>
            </w:tr>
          </w:tbl>
          <w:p>
            <w:pPr>
              <w:pStyle w:val="4"/>
              <w:rPr>
                <w:color w:val="auto"/>
                <w:highlight w:val="none"/>
              </w:rPr>
            </w:pPr>
          </w:p>
          <w:p>
            <w:pPr>
              <w:pStyle w:val="37"/>
              <w:rPr>
                <w:color w:val="auto"/>
                <w:highlight w:val="none"/>
              </w:rPr>
            </w:pPr>
            <w:r>
              <w:rPr>
                <w:rFonts w:hint="eastAsia"/>
                <w:color w:val="auto"/>
                <w:highlight w:val="none"/>
              </w:rPr>
              <w:t>2.2.2.3 水平衡分析</w:t>
            </w:r>
          </w:p>
          <w:p>
            <w:pPr>
              <w:pStyle w:val="36"/>
              <w:ind w:firstLine="480"/>
              <w:rPr>
                <w:color w:val="auto"/>
                <w:highlight w:val="none"/>
              </w:rPr>
            </w:pPr>
            <w:r>
              <w:rPr>
                <w:rFonts w:hint="eastAsia"/>
                <w:color w:val="auto"/>
                <w:highlight w:val="none"/>
              </w:rPr>
              <w:t>（1）</w:t>
            </w:r>
            <w:r>
              <w:rPr>
                <w:color w:val="auto"/>
                <w:highlight w:val="none"/>
              </w:rPr>
              <w:t>生活</w:t>
            </w:r>
            <w:r>
              <w:rPr>
                <w:rFonts w:hint="eastAsia"/>
                <w:color w:val="auto"/>
                <w:highlight w:val="none"/>
              </w:rPr>
              <w:t>用水</w:t>
            </w:r>
            <w:r>
              <w:rPr>
                <w:color w:val="auto"/>
                <w:highlight w:val="none"/>
              </w:rPr>
              <w:t>：本项目运营期的生活污水包括教职工学生的生活污水、</w:t>
            </w:r>
            <w:r>
              <w:rPr>
                <w:rFonts w:hint="eastAsia"/>
                <w:color w:val="auto"/>
                <w:highlight w:val="none"/>
              </w:rPr>
              <w:t>餐厅</w:t>
            </w:r>
            <w:r>
              <w:rPr>
                <w:color w:val="auto"/>
                <w:highlight w:val="none"/>
              </w:rPr>
              <w:t>排放的含油污水。本项目教职工和学生定员为</w:t>
            </w:r>
            <w:r>
              <w:rPr>
                <w:rFonts w:hint="eastAsia"/>
                <w:color w:val="auto"/>
                <w:highlight w:val="none"/>
              </w:rPr>
              <w:t>1000</w:t>
            </w:r>
            <w:r>
              <w:rPr>
                <w:color w:val="auto"/>
                <w:highlight w:val="none"/>
              </w:rPr>
              <w:t>人，</w:t>
            </w:r>
            <w:r>
              <w:rPr>
                <w:rFonts w:hint="eastAsia"/>
                <w:color w:val="auto"/>
                <w:highlight w:val="none"/>
              </w:rPr>
              <w:t>本项目不包括宿舍楼，</w:t>
            </w:r>
            <w:r>
              <w:rPr>
                <w:color w:val="auto"/>
                <w:highlight w:val="none"/>
              </w:rPr>
              <w:t>根据《</w:t>
            </w:r>
            <w:r>
              <w:rPr>
                <w:rFonts w:hint="eastAsia"/>
                <w:color w:val="auto"/>
                <w:highlight w:val="none"/>
              </w:rPr>
              <w:t>福建省行业用水定额</w:t>
            </w:r>
            <w:r>
              <w:rPr>
                <w:color w:val="auto"/>
                <w:highlight w:val="none"/>
              </w:rPr>
              <w:t>》</w:t>
            </w:r>
            <w:r>
              <w:rPr>
                <w:rFonts w:hint="eastAsia"/>
                <w:color w:val="auto"/>
                <w:highlight w:val="none"/>
              </w:rPr>
              <w:t>（DB35/T772-2018）</w:t>
            </w:r>
            <w:r>
              <w:rPr>
                <w:color w:val="auto"/>
                <w:highlight w:val="none"/>
              </w:rPr>
              <w:t>中的指标计算，</w:t>
            </w:r>
            <w:r>
              <w:rPr>
                <w:rFonts w:hint="eastAsia"/>
                <w:color w:val="auto"/>
                <w:highlight w:val="none"/>
              </w:rPr>
              <w:t>不住宿的学校用水定额为40-60升/人·日，本次</w:t>
            </w:r>
            <w:r>
              <w:rPr>
                <w:color w:val="auto"/>
                <w:highlight w:val="none"/>
              </w:rPr>
              <w:t>按50L/人/d计，周末和寒暑假一般不安排</w:t>
            </w:r>
            <w:r>
              <w:rPr>
                <w:rFonts w:hint="eastAsia"/>
                <w:color w:val="auto"/>
                <w:highlight w:val="none"/>
              </w:rPr>
              <w:t>上课</w:t>
            </w:r>
            <w:r>
              <w:rPr>
                <w:color w:val="auto"/>
                <w:highlight w:val="none"/>
              </w:rPr>
              <w:t>，按200d/a计，则本项目日常生活用水为</w:t>
            </w:r>
            <w:r>
              <w:rPr>
                <w:rFonts w:hint="eastAsia"/>
                <w:color w:val="auto"/>
                <w:highlight w:val="none"/>
              </w:rPr>
              <w:t>10000</w:t>
            </w:r>
            <w:r>
              <w:rPr>
                <w:color w:val="auto"/>
                <w:highlight w:val="none"/>
              </w:rPr>
              <w:t>t/a（</w:t>
            </w:r>
            <w:r>
              <w:rPr>
                <w:rFonts w:hint="eastAsia"/>
                <w:color w:val="auto"/>
                <w:highlight w:val="none"/>
              </w:rPr>
              <w:t>50</w:t>
            </w:r>
            <w:r>
              <w:rPr>
                <w:color w:val="auto"/>
                <w:highlight w:val="none"/>
              </w:rPr>
              <w:t>t/d），项目污水排放系数取0.9，则生活污水的排放量为</w:t>
            </w:r>
            <w:r>
              <w:rPr>
                <w:rFonts w:hint="eastAsia"/>
                <w:color w:val="auto"/>
                <w:highlight w:val="none"/>
              </w:rPr>
              <w:t>9000</w:t>
            </w:r>
            <w:r>
              <w:rPr>
                <w:color w:val="auto"/>
                <w:highlight w:val="none"/>
              </w:rPr>
              <w:t>t/a（</w:t>
            </w:r>
            <w:r>
              <w:rPr>
                <w:rFonts w:hint="eastAsia"/>
                <w:color w:val="auto"/>
                <w:highlight w:val="none"/>
              </w:rPr>
              <w:t>45</w:t>
            </w:r>
            <w:r>
              <w:rPr>
                <w:color w:val="auto"/>
                <w:highlight w:val="none"/>
              </w:rPr>
              <w:t>t/d）。</w:t>
            </w:r>
          </w:p>
          <w:p>
            <w:pPr>
              <w:pStyle w:val="36"/>
              <w:ind w:firstLine="480"/>
              <w:rPr>
                <w:color w:val="auto"/>
                <w:highlight w:val="none"/>
              </w:rPr>
            </w:pPr>
            <w:r>
              <w:rPr>
                <w:rFonts w:hint="eastAsia"/>
                <w:color w:val="auto"/>
                <w:highlight w:val="none"/>
              </w:rPr>
              <w:t>（2）</w:t>
            </w:r>
            <w:r>
              <w:rPr>
                <w:color w:val="auto"/>
                <w:highlight w:val="none"/>
              </w:rPr>
              <w:t>实验</w:t>
            </w:r>
            <w:r>
              <w:rPr>
                <w:rFonts w:hint="eastAsia"/>
                <w:color w:val="auto"/>
                <w:highlight w:val="none"/>
              </w:rPr>
              <w:t>用水</w:t>
            </w:r>
            <w:r>
              <w:rPr>
                <w:color w:val="auto"/>
                <w:highlight w:val="none"/>
              </w:rPr>
              <w:t>：</w:t>
            </w:r>
            <w:r>
              <w:rPr>
                <w:rFonts w:hint="eastAsia"/>
                <w:color w:val="auto"/>
                <w:highlight w:val="none"/>
              </w:rPr>
              <w:t>本项目在进行物化实验、生物实验过程中均会产生废水，根据危险废物名录实验过程涉及的废酸等按危险废物管理，其他实验废水通过酸碱中和池和消毒池处理后，接入化粪池处理后排入市政管网。</w:t>
            </w:r>
          </w:p>
          <w:p>
            <w:pPr>
              <w:pStyle w:val="36"/>
              <w:ind w:firstLine="480"/>
              <w:rPr>
                <w:color w:val="auto"/>
                <w:highlight w:val="none"/>
              </w:rPr>
            </w:pPr>
            <w:r>
              <w:rPr>
                <w:color w:val="auto"/>
                <w:highlight w:val="none"/>
              </w:rPr>
              <w:t>类比《</w:t>
            </w:r>
            <w:r>
              <w:rPr>
                <w:rFonts w:hint="eastAsia"/>
                <w:color w:val="auto"/>
                <w:highlight w:val="none"/>
              </w:rPr>
              <w:t>福建</w:t>
            </w:r>
            <w:r>
              <w:rPr>
                <w:rFonts w:hint="eastAsia"/>
                <w:color w:val="auto"/>
                <w:highlight w:val="none"/>
                <w:lang w:eastAsia="zh-CN"/>
              </w:rPr>
              <w:t>师范大学旗山校区</w:t>
            </w:r>
            <w:r>
              <w:rPr>
                <w:rFonts w:hint="eastAsia"/>
                <w:color w:val="auto"/>
                <w:highlight w:val="none"/>
                <w:lang w:val="en-US" w:eastAsia="zh-CN"/>
              </w:rPr>
              <w:t>13-18号楼科研实验楼项目</w:t>
            </w:r>
            <w:r>
              <w:rPr>
                <w:color w:val="auto"/>
                <w:highlight w:val="none"/>
              </w:rPr>
              <w:t>》，其新增学生</w:t>
            </w:r>
            <w:r>
              <w:rPr>
                <w:rFonts w:hint="eastAsia"/>
                <w:color w:val="auto"/>
                <w:highlight w:val="none"/>
                <w:lang w:val="en-US" w:eastAsia="zh-CN"/>
              </w:rPr>
              <w:t>2690</w:t>
            </w:r>
            <w:r>
              <w:rPr>
                <w:color w:val="auto"/>
                <w:highlight w:val="none"/>
              </w:rPr>
              <w:t>人，实验室日用水量约</w:t>
            </w:r>
            <w:r>
              <w:rPr>
                <w:rFonts w:hint="eastAsia"/>
                <w:color w:val="auto"/>
                <w:highlight w:val="none"/>
                <w:lang w:val="en-US" w:eastAsia="zh-CN"/>
              </w:rPr>
              <w:t>56.215</w:t>
            </w:r>
            <w:r>
              <w:rPr>
                <w:color w:val="auto"/>
                <w:highlight w:val="none"/>
              </w:rPr>
              <w:t>m</w:t>
            </w:r>
            <w:r>
              <w:rPr>
                <w:color w:val="auto"/>
                <w:highlight w:val="none"/>
                <w:vertAlign w:val="superscript"/>
              </w:rPr>
              <w:t>3</w:t>
            </w:r>
            <w:r>
              <w:rPr>
                <w:color w:val="auto"/>
                <w:highlight w:val="none"/>
              </w:rPr>
              <w:t>/d，，实验室</w:t>
            </w:r>
            <w:r>
              <w:rPr>
                <w:rFonts w:hint="eastAsia"/>
                <w:color w:val="auto"/>
                <w:highlight w:val="none"/>
              </w:rPr>
              <w:t>低浓度</w:t>
            </w:r>
            <w:r>
              <w:rPr>
                <w:color w:val="auto"/>
                <w:highlight w:val="none"/>
              </w:rPr>
              <w:t>废水产生量为</w:t>
            </w:r>
            <w:r>
              <w:rPr>
                <w:rFonts w:hint="eastAsia"/>
                <w:color w:val="auto"/>
                <w:highlight w:val="none"/>
                <w:lang w:val="en-US" w:eastAsia="zh-CN"/>
              </w:rPr>
              <w:t>48.75</w:t>
            </w:r>
            <w:r>
              <w:rPr>
                <w:color w:val="auto"/>
                <w:highlight w:val="none"/>
              </w:rPr>
              <w:t>m</w:t>
            </w:r>
            <w:r>
              <w:rPr>
                <w:color w:val="auto"/>
                <w:highlight w:val="none"/>
                <w:vertAlign w:val="superscript"/>
              </w:rPr>
              <w:t>3</w:t>
            </w:r>
            <w:r>
              <w:rPr>
                <w:color w:val="auto"/>
                <w:highlight w:val="none"/>
              </w:rPr>
              <w:t>/d；实验过程产生的废液产生量约为 0.0</w:t>
            </w:r>
            <w:r>
              <w:rPr>
                <w:rFonts w:hint="eastAsia"/>
                <w:color w:val="auto"/>
                <w:highlight w:val="none"/>
                <w:lang w:val="en-US" w:eastAsia="zh-CN"/>
              </w:rPr>
              <w:t>24</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。可得到，本项目师生定员为1000人，</w:t>
            </w:r>
            <w:r>
              <w:rPr>
                <w:color w:val="auto"/>
                <w:highlight w:val="none"/>
              </w:rPr>
              <w:t>实验室日用水量约</w:t>
            </w:r>
            <w:r>
              <w:rPr>
                <w:rFonts w:hint="eastAsia"/>
                <w:color w:val="auto"/>
                <w:highlight w:val="none"/>
                <w:lang w:val="en-US" w:eastAsia="zh-CN"/>
              </w:rPr>
              <w:t>20.90</w:t>
            </w:r>
            <w:r>
              <w:rPr>
                <w:color w:val="auto"/>
                <w:highlight w:val="none"/>
              </w:rPr>
              <w:t>m</w:t>
            </w:r>
            <w:r>
              <w:rPr>
                <w:color w:val="auto"/>
                <w:highlight w:val="none"/>
                <w:vertAlign w:val="superscript"/>
              </w:rPr>
              <w:t>3</w:t>
            </w:r>
            <w:r>
              <w:rPr>
                <w:color w:val="auto"/>
                <w:highlight w:val="none"/>
              </w:rPr>
              <w:t>/d，年用水量为</w:t>
            </w:r>
            <w:r>
              <w:rPr>
                <w:rFonts w:hint="eastAsia"/>
                <w:color w:val="auto"/>
                <w:highlight w:val="none"/>
                <w:lang w:val="en-US" w:eastAsia="zh-CN"/>
              </w:rPr>
              <w:t>4180</w:t>
            </w:r>
            <w:r>
              <w:rPr>
                <w:color w:val="auto"/>
                <w:highlight w:val="none"/>
              </w:rPr>
              <w:t>m</w:t>
            </w:r>
            <w:r>
              <w:rPr>
                <w:color w:val="auto"/>
                <w:highlight w:val="none"/>
                <w:vertAlign w:val="superscript"/>
              </w:rPr>
              <w:t>3</w:t>
            </w:r>
            <w:r>
              <w:rPr>
                <w:color w:val="auto"/>
                <w:highlight w:val="none"/>
              </w:rPr>
              <w:t>/a（周末和寒暑假一般不安排实验课，按200d/a计），实验室</w:t>
            </w:r>
            <w:r>
              <w:rPr>
                <w:rFonts w:hint="eastAsia"/>
                <w:color w:val="auto"/>
                <w:highlight w:val="none"/>
              </w:rPr>
              <w:t>低浓度</w:t>
            </w:r>
            <w:r>
              <w:rPr>
                <w:color w:val="auto"/>
                <w:highlight w:val="none"/>
              </w:rPr>
              <w:t>废水</w:t>
            </w:r>
            <w:r>
              <w:rPr>
                <w:rFonts w:hint="eastAsia"/>
                <w:color w:val="auto"/>
                <w:highlight w:val="none"/>
              </w:rPr>
              <w:t>（一般实验废水）</w:t>
            </w:r>
            <w:r>
              <w:rPr>
                <w:color w:val="auto"/>
                <w:highlight w:val="none"/>
              </w:rPr>
              <w:t>产生量为</w:t>
            </w:r>
            <w:r>
              <w:rPr>
                <w:rFonts w:hint="eastAsia"/>
                <w:color w:val="auto"/>
                <w:highlight w:val="none"/>
                <w:lang w:val="en-US" w:eastAsia="zh-CN"/>
              </w:rPr>
              <w:t>18.12</w:t>
            </w:r>
            <w:r>
              <w:rPr>
                <w:color w:val="auto"/>
                <w:highlight w:val="none"/>
              </w:rPr>
              <w:t>m</w:t>
            </w:r>
            <w:r>
              <w:rPr>
                <w:color w:val="auto"/>
                <w:highlight w:val="none"/>
                <w:vertAlign w:val="superscript"/>
              </w:rPr>
              <w:t>3</w:t>
            </w:r>
            <w:r>
              <w:rPr>
                <w:color w:val="auto"/>
                <w:highlight w:val="none"/>
              </w:rPr>
              <w:t>/d（</w:t>
            </w:r>
            <w:r>
              <w:rPr>
                <w:rFonts w:hint="eastAsia"/>
                <w:color w:val="auto"/>
                <w:highlight w:val="none"/>
                <w:lang w:val="en-US" w:eastAsia="zh-CN"/>
              </w:rPr>
              <w:t>3624</w:t>
            </w:r>
            <w:r>
              <w:rPr>
                <w:color w:val="auto"/>
                <w:highlight w:val="none"/>
              </w:rPr>
              <w:t>m</w:t>
            </w:r>
            <w:r>
              <w:rPr>
                <w:color w:val="auto"/>
                <w:highlight w:val="none"/>
                <w:vertAlign w:val="superscript"/>
              </w:rPr>
              <w:t>3</w:t>
            </w:r>
            <w:r>
              <w:rPr>
                <w:color w:val="auto"/>
                <w:highlight w:val="none"/>
              </w:rPr>
              <w:t>/a）；实验过程产生的废液产生量约为 0.</w:t>
            </w:r>
            <w:r>
              <w:rPr>
                <w:rFonts w:hint="eastAsia"/>
                <w:color w:val="auto"/>
                <w:highlight w:val="none"/>
              </w:rPr>
              <w:t>0</w:t>
            </w:r>
            <w:r>
              <w:rPr>
                <w:color w:val="auto"/>
                <w:highlight w:val="none"/>
              </w:rPr>
              <w:t>0</w:t>
            </w:r>
            <w:r>
              <w:rPr>
                <w:rFonts w:hint="eastAsia"/>
                <w:color w:val="auto"/>
                <w:highlight w:val="none"/>
                <w:lang w:val="en-US" w:eastAsia="zh-CN"/>
              </w:rPr>
              <w:t>89</w:t>
            </w:r>
            <w:r>
              <w:rPr>
                <w:color w:val="auto"/>
                <w:highlight w:val="none"/>
              </w:rPr>
              <w:t>m</w:t>
            </w:r>
            <w:r>
              <w:rPr>
                <w:color w:val="auto"/>
                <w:highlight w:val="none"/>
                <w:vertAlign w:val="superscript"/>
              </w:rPr>
              <w:t>3</w:t>
            </w:r>
            <w:r>
              <w:rPr>
                <w:color w:val="auto"/>
                <w:highlight w:val="none"/>
              </w:rPr>
              <w:t>/d（</w:t>
            </w:r>
            <w:r>
              <w:rPr>
                <w:rFonts w:hint="eastAsia"/>
                <w:color w:val="auto"/>
                <w:highlight w:val="none"/>
                <w:lang w:val="en-US" w:eastAsia="zh-CN"/>
              </w:rPr>
              <w:t>1.78</w:t>
            </w:r>
            <w:r>
              <w:rPr>
                <w:color w:val="auto"/>
                <w:highlight w:val="none"/>
              </w:rPr>
              <w:t>m</w:t>
            </w:r>
            <w:r>
              <w:rPr>
                <w:color w:val="auto"/>
                <w:highlight w:val="none"/>
                <w:vertAlign w:val="superscript"/>
              </w:rPr>
              <w:t>3</w:t>
            </w:r>
            <w:r>
              <w:rPr>
                <w:color w:val="auto"/>
                <w:highlight w:val="none"/>
              </w:rPr>
              <w:t>/a）</w:t>
            </w:r>
            <w:r>
              <w:rPr>
                <w:rFonts w:hint="eastAsia"/>
                <w:color w:val="auto"/>
                <w:highlight w:val="none"/>
              </w:rPr>
              <w:t>。</w:t>
            </w:r>
          </w:p>
          <w:p>
            <w:pPr>
              <w:pStyle w:val="36"/>
              <w:ind w:firstLine="480"/>
              <w:rPr>
                <w:color w:val="auto"/>
                <w:highlight w:val="none"/>
              </w:rPr>
            </w:pPr>
            <w:r>
              <w:rPr>
                <w:rFonts w:hint="eastAsia"/>
                <w:color w:val="auto"/>
                <w:highlight w:val="none"/>
              </w:rPr>
              <w:t>（3）绿化用水：</w:t>
            </w:r>
            <w:r>
              <w:rPr>
                <w:color w:val="auto"/>
                <w:highlight w:val="none"/>
              </w:rPr>
              <w:t>校内绿化及浇灌用水按</w:t>
            </w:r>
            <w:r>
              <w:rPr>
                <w:rFonts w:hint="eastAsia"/>
                <w:color w:val="auto"/>
                <w:highlight w:val="none"/>
              </w:rPr>
              <w:t>2L/m</w:t>
            </w:r>
            <w:r>
              <w:rPr>
                <w:rFonts w:hint="eastAsia"/>
                <w:color w:val="auto"/>
                <w:highlight w:val="none"/>
                <w:vertAlign w:val="superscript"/>
              </w:rPr>
              <w:t>2</w:t>
            </w:r>
            <w:r>
              <w:rPr>
                <w:rFonts w:hint="eastAsia"/>
                <w:color w:val="auto"/>
                <w:highlight w:val="none"/>
              </w:rPr>
              <w:t>·次</w:t>
            </w:r>
            <w:r>
              <w:rPr>
                <w:color w:val="auto"/>
                <w:highlight w:val="none"/>
              </w:rPr>
              <w:t>计算，项目</w:t>
            </w:r>
            <w:r>
              <w:rPr>
                <w:rFonts w:hint="eastAsia"/>
                <w:color w:val="auto"/>
                <w:highlight w:val="none"/>
              </w:rPr>
              <w:t>绿地面积5154.74m</w:t>
            </w:r>
            <w:r>
              <w:rPr>
                <w:rFonts w:hint="eastAsia"/>
                <w:color w:val="auto"/>
                <w:highlight w:val="none"/>
                <w:vertAlign w:val="superscript"/>
              </w:rPr>
              <w:t>2</w:t>
            </w:r>
            <w:r>
              <w:rPr>
                <w:color w:val="auto"/>
                <w:highlight w:val="none"/>
              </w:rPr>
              <w:t>，绿化</w:t>
            </w:r>
            <w:r>
              <w:rPr>
                <w:rFonts w:hint="eastAsia"/>
                <w:color w:val="auto"/>
                <w:highlight w:val="none"/>
              </w:rPr>
              <w:t>频次以3天/次（一年122次）</w:t>
            </w:r>
            <w:r>
              <w:rPr>
                <w:color w:val="auto"/>
                <w:highlight w:val="none"/>
              </w:rPr>
              <w:t>计算。则绿化浇灌</w:t>
            </w:r>
            <w:r>
              <w:rPr>
                <w:rFonts w:hint="eastAsia"/>
                <w:color w:val="auto"/>
                <w:highlight w:val="none"/>
              </w:rPr>
              <w:t>年</w:t>
            </w:r>
            <w:r>
              <w:rPr>
                <w:color w:val="auto"/>
                <w:highlight w:val="none"/>
              </w:rPr>
              <w:t>用水</w:t>
            </w:r>
            <w:r>
              <w:rPr>
                <w:rFonts w:hint="eastAsia"/>
                <w:color w:val="auto"/>
                <w:highlight w:val="none"/>
              </w:rPr>
              <w:t>量</w:t>
            </w:r>
            <w:r>
              <w:rPr>
                <w:color w:val="auto"/>
                <w:highlight w:val="none"/>
              </w:rPr>
              <w:t>约为</w:t>
            </w:r>
            <w:r>
              <w:rPr>
                <w:rFonts w:hint="eastAsia"/>
                <w:color w:val="auto"/>
                <w:highlight w:val="none"/>
              </w:rPr>
              <w:t>1258</w:t>
            </w:r>
            <w:r>
              <w:rPr>
                <w:color w:val="auto"/>
                <w:highlight w:val="none"/>
              </w:rPr>
              <w:t>t/a。</w:t>
            </w:r>
          </w:p>
          <w:p>
            <w:pPr>
              <w:pStyle w:val="36"/>
              <w:ind w:firstLine="480"/>
              <w:rPr>
                <w:color w:val="auto"/>
                <w:highlight w:val="none"/>
              </w:rPr>
            </w:pPr>
            <w:r>
              <w:rPr>
                <w:rFonts w:hint="eastAsia"/>
                <w:color w:val="auto"/>
                <w:highlight w:val="none"/>
              </w:rPr>
              <w:t>（4）不可预见水量：以上述用水总和的15%计，本项目不可预见水量约为</w:t>
            </w:r>
            <w:r>
              <w:rPr>
                <w:rFonts w:hint="eastAsia"/>
                <w:color w:val="auto"/>
                <w:highlight w:val="none"/>
                <w:lang w:val="en-US" w:eastAsia="zh-CN"/>
              </w:rPr>
              <w:t>2315.7</w:t>
            </w:r>
            <w:r>
              <w:rPr>
                <w:rFonts w:hint="eastAsia"/>
                <w:color w:val="auto"/>
                <w:highlight w:val="none"/>
              </w:rPr>
              <w:t>t/a。</w:t>
            </w:r>
          </w:p>
          <w:p>
            <w:pPr>
              <w:pStyle w:val="36"/>
              <w:ind w:firstLine="480"/>
              <w:rPr>
                <w:color w:val="auto"/>
                <w:highlight w:val="none"/>
              </w:rPr>
            </w:pPr>
            <w:r>
              <w:rPr>
                <w:rFonts w:hint="eastAsia"/>
                <w:color w:val="auto"/>
                <w:highlight w:val="none"/>
              </w:rPr>
              <w:t>本项目用水及排水情况如下图所示。</w:t>
            </w:r>
          </w:p>
          <w:p>
            <w:pPr>
              <w:pStyle w:val="32"/>
              <w:rPr>
                <w:rFonts w:ascii="宋体" w:hAnsi="宋体" w:eastAsia="宋体"/>
                <w:bCs/>
                <w:color w:val="auto"/>
                <w:highlight w:val="none"/>
              </w:rPr>
            </w:pPr>
          </w:p>
        </w:tc>
      </w:tr>
    </w:tbl>
    <w:p>
      <w:pPr>
        <w:rPr>
          <w:color w:val="auto"/>
          <w:highlight w:val="none"/>
        </w:rPr>
        <w:sectPr>
          <w:pgSz w:w="11906" w:h="16838"/>
          <w:pgMar w:top="1701" w:right="1531" w:bottom="1701" w:left="1531" w:header="851" w:footer="851" w:gutter="0"/>
          <w:cols w:space="720" w:num="1"/>
          <w:docGrid w:linePitch="312" w:charSpace="0"/>
        </w:sectPr>
      </w:pPr>
    </w:p>
    <w:p>
      <w:pPr>
        <w:pStyle w:val="33"/>
        <w:rPr>
          <w:b/>
          <w:bCs/>
          <w:color w:val="auto"/>
          <w:highlight w:val="none"/>
        </w:rPr>
      </w:pPr>
      <w:r>
        <w:rPr>
          <w:rFonts w:hint="eastAsia"/>
          <w:b/>
          <w:bCs/>
          <w:color w:val="auto"/>
          <w:highlight w:val="none"/>
        </w:rPr>
        <w:object>
          <v:shape id="_x0000_i1030" o:spt="75" type="#_x0000_t75" style="height:339.15pt;width:679.5pt;" o:ole="t" filled="f" o:preferrelative="t" stroked="f" coordsize="21600,21600">
            <v:path/>
            <v:fill on="f" focussize="0,0"/>
            <v:stroke on="f"/>
            <v:imagedata r:id="rId33" o:title=""/>
            <o:lock v:ext="edit" aspectratio="t"/>
            <w10:wrap type="none"/>
            <w10:anchorlock/>
          </v:shape>
          <o:OLEObject Type="Embed" ProgID="Visio.Drawing.11" ShapeID="_x0000_i1030" DrawAspect="Content" ObjectID="_1468075730" r:id="rId32">
            <o:LockedField>false</o:LockedField>
          </o:OLEObject>
        </w:object>
      </w:r>
    </w:p>
    <w:p>
      <w:pPr>
        <w:pStyle w:val="32"/>
        <w:rPr>
          <w:color w:val="auto"/>
          <w:highlight w:val="none"/>
        </w:rPr>
        <w:sectPr>
          <w:pgSz w:w="16838" w:h="11906" w:orient="landscape"/>
          <w:pgMar w:top="1531" w:right="1701" w:bottom="1531" w:left="1701" w:header="851" w:footer="851" w:gutter="0"/>
          <w:cols w:space="720" w:num="1"/>
          <w:docGrid w:linePitch="312" w:charSpace="0"/>
        </w:sectPr>
      </w:pPr>
      <w:r>
        <w:rPr>
          <w:rFonts w:hint="eastAsia"/>
          <w:color w:val="auto"/>
          <w:highlight w:val="none"/>
        </w:rPr>
        <w:t>图2.2-2 项目水平衡示意图（单位：t/a）</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64" w:hRule="atLeast"/>
          <w:jc w:val="center"/>
        </w:trPr>
        <w:tc>
          <w:tcPr>
            <w:tcW w:w="426" w:type="dxa"/>
            <w:vAlign w:val="center"/>
          </w:tcPr>
          <w:p>
            <w:pPr>
              <w:pStyle w:val="17"/>
              <w:adjustRightInd w:val="0"/>
              <w:snapToGrid w:val="0"/>
              <w:spacing w:before="0" w:beforeAutospacing="0" w:after="0" w:afterAutospacing="0"/>
              <w:jc w:val="center"/>
              <w:rPr>
                <w:rFonts w:cs="宋体"/>
                <w:color w:val="auto"/>
                <w:sz w:val="21"/>
                <w:szCs w:val="21"/>
                <w:highlight w:val="none"/>
              </w:rPr>
            </w:pPr>
            <w:r>
              <w:rPr>
                <w:rFonts w:hint="eastAsia" w:cs="宋体"/>
                <w:bCs/>
                <w:color w:val="auto"/>
                <w:kern w:val="2"/>
                <w:sz w:val="21"/>
                <w:szCs w:val="21"/>
                <w:highlight w:val="none"/>
              </w:rPr>
              <w:t>与项目有关的原有环境污染问题</w:t>
            </w:r>
          </w:p>
        </w:tc>
        <w:tc>
          <w:tcPr>
            <w:tcW w:w="8634" w:type="dxa"/>
          </w:tcPr>
          <w:p>
            <w:pPr>
              <w:pStyle w:val="36"/>
              <w:ind w:firstLine="480"/>
              <w:rPr>
                <w:color w:val="auto"/>
                <w:highlight w:val="none"/>
              </w:rPr>
            </w:pPr>
            <w:r>
              <w:rPr>
                <w:rFonts w:hint="eastAsia"/>
                <w:color w:val="auto"/>
                <w:highlight w:val="none"/>
                <w:lang w:eastAsia="zh-CN"/>
              </w:rPr>
              <w:t>根据项目备案材料（详见附件三），</w:t>
            </w:r>
            <w:r>
              <w:rPr>
                <w:rFonts w:hint="eastAsia"/>
                <w:color w:val="auto"/>
                <w:highlight w:val="none"/>
              </w:rPr>
              <w:t>本项目为新建项目，不涉及原有环境污染问题。</w:t>
            </w:r>
          </w:p>
          <w:p>
            <w:pPr>
              <w:pStyle w:val="36"/>
              <w:ind w:firstLine="480"/>
              <w:rPr>
                <w:color w:val="auto"/>
                <w:highlight w:val="none"/>
              </w:rPr>
            </w:pPr>
          </w:p>
          <w:p>
            <w:pPr>
              <w:pStyle w:val="36"/>
              <w:ind w:firstLine="480"/>
              <w:rPr>
                <w:color w:val="auto"/>
                <w:highlight w:val="none"/>
              </w:rPr>
            </w:pPr>
          </w:p>
          <w:p>
            <w:pPr>
              <w:pStyle w:val="36"/>
              <w:ind w:firstLine="480"/>
              <w:rPr>
                <w:color w:val="auto"/>
                <w:highlight w:val="none"/>
              </w:rPr>
            </w:pPr>
          </w:p>
        </w:tc>
      </w:tr>
    </w:tbl>
    <w:p>
      <w:pPr>
        <w:pStyle w:val="2"/>
        <w:ind w:firstLine="480"/>
        <w:rPr>
          <w:color w:val="auto"/>
          <w:highlight w:val="none"/>
        </w:rPr>
      </w:pPr>
    </w:p>
    <w:p>
      <w:pPr>
        <w:pStyle w:val="3"/>
        <w:ind w:firstLine="280"/>
        <w:rPr>
          <w:color w:val="auto"/>
          <w:highlight w:val="none"/>
        </w:rPr>
        <w:sectPr>
          <w:pgSz w:w="11906" w:h="16838"/>
          <w:pgMar w:top="1701" w:right="1531" w:bottom="1701" w:left="1531" w:header="851" w:footer="851" w:gutter="0"/>
          <w:cols w:space="720" w:num="1"/>
          <w:docGrid w:linePitch="312" w:charSpace="0"/>
        </w:sectPr>
      </w:pPr>
    </w:p>
    <w:p>
      <w:pPr>
        <w:pStyle w:val="17"/>
        <w:adjustRightInd w:val="0"/>
        <w:snapToGrid w:val="0"/>
        <w:spacing w:before="0" w:beforeAutospacing="0" w:after="0" w:afterAutospacing="0" w:line="14" w:lineRule="auto"/>
        <w:jc w:val="center"/>
        <w:rPr>
          <w:rFonts w:ascii="黑体" w:hAnsi="黑体" w:eastAsia="黑体"/>
          <w:snapToGrid w:val="0"/>
          <w:color w:val="auto"/>
          <w:sz w:val="30"/>
          <w:szCs w:val="30"/>
          <w:highlight w:val="none"/>
        </w:rPr>
      </w:pPr>
    </w:p>
    <w:p>
      <w:pPr>
        <w:pStyle w:val="17"/>
        <w:jc w:val="center"/>
        <w:outlineLvl w:val="0"/>
        <w:rPr>
          <w:rFonts w:ascii="黑体" w:hAnsi="黑体" w:eastAsia="黑体"/>
          <w:snapToGrid w:val="0"/>
          <w:color w:val="auto"/>
          <w:sz w:val="30"/>
          <w:szCs w:val="30"/>
          <w:highlight w:val="none"/>
        </w:rPr>
      </w:pPr>
      <w:bookmarkStart w:id="8" w:name="_Toc21208"/>
      <w:r>
        <w:rPr>
          <w:rFonts w:hint="eastAsia" w:ascii="黑体" w:hAnsi="黑体" w:eastAsia="黑体"/>
          <w:snapToGrid w:val="0"/>
          <w:color w:val="auto"/>
          <w:sz w:val="30"/>
          <w:szCs w:val="30"/>
          <w:highlight w:val="none"/>
        </w:rPr>
        <w:t>三、区域环境质量现状、环境保护目标及评价标准</w:t>
      </w:r>
      <w:bookmarkEnd w:id="8"/>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22" w:hRule="atLeast"/>
          <w:jc w:val="center"/>
        </w:trPr>
        <w:tc>
          <w:tcPr>
            <w:tcW w:w="424" w:type="dxa"/>
            <w:vAlign w:val="center"/>
          </w:tcPr>
          <w:p>
            <w:pPr>
              <w:adjustRightInd w:val="0"/>
              <w:snapToGrid w:val="0"/>
              <w:jc w:val="center"/>
              <w:rPr>
                <w:color w:val="auto"/>
                <w:kern w:val="0"/>
                <w:szCs w:val="21"/>
                <w:highlight w:val="none"/>
              </w:rPr>
            </w:pPr>
            <w:r>
              <w:rPr>
                <w:color w:val="auto"/>
                <w:kern w:val="0"/>
                <w:szCs w:val="21"/>
                <w:highlight w:val="none"/>
              </w:rPr>
              <w:t>区域</w:t>
            </w:r>
          </w:p>
          <w:p>
            <w:pPr>
              <w:adjustRightInd w:val="0"/>
              <w:snapToGrid w:val="0"/>
              <w:jc w:val="center"/>
              <w:rPr>
                <w:color w:val="auto"/>
                <w:kern w:val="0"/>
                <w:szCs w:val="21"/>
                <w:highlight w:val="none"/>
              </w:rPr>
            </w:pPr>
            <w:r>
              <w:rPr>
                <w:color w:val="auto"/>
                <w:kern w:val="0"/>
                <w:szCs w:val="21"/>
                <w:highlight w:val="none"/>
              </w:rPr>
              <w:t>环境</w:t>
            </w:r>
          </w:p>
          <w:p>
            <w:pPr>
              <w:adjustRightInd w:val="0"/>
              <w:snapToGrid w:val="0"/>
              <w:jc w:val="center"/>
              <w:rPr>
                <w:color w:val="auto"/>
                <w:kern w:val="0"/>
                <w:szCs w:val="21"/>
                <w:highlight w:val="none"/>
              </w:rPr>
            </w:pPr>
            <w:r>
              <w:rPr>
                <w:color w:val="auto"/>
                <w:kern w:val="0"/>
                <w:szCs w:val="21"/>
                <w:highlight w:val="none"/>
              </w:rPr>
              <w:t>质量</w:t>
            </w:r>
          </w:p>
          <w:p>
            <w:pPr>
              <w:adjustRightInd w:val="0"/>
              <w:snapToGrid w:val="0"/>
              <w:jc w:val="center"/>
              <w:rPr>
                <w:color w:val="auto"/>
                <w:kern w:val="0"/>
                <w:szCs w:val="21"/>
                <w:highlight w:val="none"/>
              </w:rPr>
            </w:pPr>
            <w:r>
              <w:rPr>
                <w:color w:val="auto"/>
                <w:kern w:val="0"/>
                <w:szCs w:val="21"/>
                <w:highlight w:val="none"/>
              </w:rPr>
              <w:t>现状</w:t>
            </w:r>
          </w:p>
        </w:tc>
        <w:tc>
          <w:tcPr>
            <w:tcW w:w="8637" w:type="dxa"/>
            <w:vAlign w:val="center"/>
          </w:tcPr>
          <w:p>
            <w:pPr>
              <w:pStyle w:val="31"/>
              <w:rPr>
                <w:color w:val="auto"/>
                <w:highlight w:val="none"/>
              </w:rPr>
            </w:pPr>
            <w:r>
              <w:rPr>
                <w:color w:val="auto"/>
                <w:highlight w:val="none"/>
              </w:rPr>
              <w:t>3.</w:t>
            </w:r>
            <w:r>
              <w:rPr>
                <w:rFonts w:hint="eastAsia"/>
                <w:color w:val="auto"/>
                <w:highlight w:val="none"/>
              </w:rPr>
              <w:t>1.1 环境空气现状调查与评价</w:t>
            </w:r>
          </w:p>
          <w:p>
            <w:pPr>
              <w:pStyle w:val="42"/>
              <w:numPr>
                <w:ilvl w:val="0"/>
                <w:numId w:val="2"/>
              </w:numPr>
              <w:rPr>
                <w:color w:val="auto"/>
                <w:highlight w:val="none"/>
                <w:lang w:val="en-US"/>
              </w:rPr>
            </w:pPr>
            <w:r>
              <w:rPr>
                <w:rFonts w:hint="eastAsia"/>
                <w:color w:val="auto"/>
                <w:highlight w:val="none"/>
                <w:lang w:val="en-US"/>
              </w:rPr>
              <w:t>环境功能区划及环境质量标准</w:t>
            </w:r>
          </w:p>
          <w:p>
            <w:pPr>
              <w:pStyle w:val="42"/>
              <w:rPr>
                <w:color w:val="auto"/>
                <w:highlight w:val="none"/>
              </w:rPr>
            </w:pPr>
            <w:r>
              <w:rPr>
                <w:rFonts w:hint="eastAsia"/>
                <w:color w:val="auto"/>
                <w:highlight w:val="none"/>
              </w:rPr>
              <w:t>项目所在区域环境空气功能区划为二类区，环境空气质量执行《环境空气质量标准》（</w:t>
            </w:r>
            <w:r>
              <w:rPr>
                <w:color w:val="auto"/>
                <w:highlight w:val="none"/>
              </w:rPr>
              <w:t>GB3095-2012</w:t>
            </w:r>
            <w:r>
              <w:rPr>
                <w:rFonts w:hint="eastAsia"/>
                <w:color w:val="auto"/>
                <w:highlight w:val="none"/>
              </w:rPr>
              <w:t>）中的二级标准及其修改单，具体详见表</w:t>
            </w:r>
            <w:r>
              <w:rPr>
                <w:rFonts w:hint="eastAsia"/>
                <w:color w:val="auto"/>
                <w:highlight w:val="none"/>
                <w:lang w:val="en-US"/>
              </w:rPr>
              <w:t>3.1.1</w:t>
            </w:r>
            <w:r>
              <w:rPr>
                <w:rFonts w:hint="eastAsia"/>
                <w:color w:val="auto"/>
                <w:highlight w:val="none"/>
              </w:rPr>
              <w:t>。</w:t>
            </w:r>
          </w:p>
          <w:p>
            <w:pPr>
              <w:pStyle w:val="42"/>
              <w:rPr>
                <w:color w:val="auto"/>
                <w:highlight w:val="none"/>
              </w:rPr>
            </w:pPr>
            <w:r>
              <w:rPr>
                <w:color w:val="auto"/>
                <w:highlight w:val="none"/>
              </w:rPr>
              <w:t>本评价中</w:t>
            </w:r>
            <w:r>
              <w:rPr>
                <w:rFonts w:hint="eastAsia"/>
                <w:color w:val="auto"/>
                <w:highlight w:val="none"/>
              </w:rPr>
              <w:t>，</w:t>
            </w:r>
            <w:r>
              <w:rPr>
                <w:color w:val="auto"/>
                <w:highlight w:val="none"/>
              </w:rPr>
              <w:t>特征污染因子非甲烷总烃的环境质量标准值按照《</w:t>
            </w:r>
            <w:r>
              <w:rPr>
                <w:rFonts w:hint="eastAsia"/>
                <w:color w:val="auto"/>
                <w:highlight w:val="none"/>
                <w:lang w:eastAsia="zh-CN"/>
              </w:rPr>
              <w:t>环境影响评价技术导则</w:t>
            </w:r>
            <w:r>
              <w:rPr>
                <w:rFonts w:hint="eastAsia"/>
                <w:color w:val="auto"/>
                <w:highlight w:val="none"/>
                <w:lang w:val="en-US" w:eastAsia="zh-CN"/>
              </w:rPr>
              <w:t xml:space="preserve"> 大气环境</w:t>
            </w:r>
            <w:r>
              <w:rPr>
                <w:color w:val="auto"/>
                <w:highlight w:val="none"/>
              </w:rPr>
              <w:t>》</w:t>
            </w:r>
            <w:r>
              <w:rPr>
                <w:rFonts w:hint="eastAsia"/>
                <w:color w:val="auto"/>
                <w:highlight w:val="none"/>
                <w:lang w:eastAsia="zh-CN"/>
              </w:rPr>
              <w:t>（</w:t>
            </w:r>
            <w:r>
              <w:rPr>
                <w:rFonts w:hint="eastAsia"/>
                <w:color w:val="auto"/>
                <w:highlight w:val="none"/>
                <w:lang w:val="en-US" w:eastAsia="zh-CN"/>
              </w:rPr>
              <w:t>HJ2.2-2018）附录D</w:t>
            </w:r>
            <w:r>
              <w:rPr>
                <w:color w:val="auto"/>
                <w:highlight w:val="none"/>
              </w:rPr>
              <w:t>中取值，其环境质量小时浓度标准按2.0mg/m</w:t>
            </w:r>
            <w:r>
              <w:rPr>
                <w:color w:val="auto"/>
                <w:highlight w:val="none"/>
                <w:vertAlign w:val="superscript"/>
              </w:rPr>
              <w:t>3</w:t>
            </w:r>
            <w:r>
              <w:rPr>
                <w:rFonts w:hint="eastAsia"/>
                <w:color w:val="auto"/>
                <w:highlight w:val="none"/>
              </w:rPr>
              <w:t>。</w:t>
            </w:r>
          </w:p>
          <w:p>
            <w:pPr>
              <w:pStyle w:val="32"/>
              <w:rPr>
                <w:color w:val="auto"/>
                <w:highlight w:val="none"/>
              </w:rPr>
            </w:pPr>
            <w:r>
              <w:rPr>
                <w:rFonts w:hint="eastAsia"/>
                <w:color w:val="auto"/>
                <w:highlight w:val="none"/>
              </w:rPr>
              <w:t>表3.1.1  环境空气质量标准</w:t>
            </w:r>
          </w:p>
          <w:tbl>
            <w:tblPr>
              <w:tblStyle w:val="1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558"/>
              <w:gridCol w:w="1666"/>
              <w:gridCol w:w="1663"/>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1" w:hRule="atLeast"/>
                <w:jc w:val="center"/>
              </w:trPr>
              <w:tc>
                <w:tcPr>
                  <w:tcW w:w="2558" w:type="dxa"/>
                  <w:vMerge w:val="restart"/>
                  <w:vAlign w:val="center"/>
                </w:tcPr>
                <w:p>
                  <w:pPr>
                    <w:pStyle w:val="43"/>
                    <w:rPr>
                      <w:color w:val="auto"/>
                      <w:szCs w:val="21"/>
                      <w:highlight w:val="none"/>
                    </w:rPr>
                  </w:pPr>
                  <w:r>
                    <w:rPr>
                      <w:color w:val="auto"/>
                      <w:szCs w:val="21"/>
                      <w:highlight w:val="none"/>
                    </w:rPr>
                    <w:t>污染物</w:t>
                  </w:r>
                </w:p>
                <w:p>
                  <w:pPr>
                    <w:pStyle w:val="43"/>
                    <w:rPr>
                      <w:color w:val="auto"/>
                      <w:szCs w:val="21"/>
                      <w:highlight w:val="none"/>
                    </w:rPr>
                  </w:pPr>
                  <w:r>
                    <w:rPr>
                      <w:color w:val="auto"/>
                      <w:szCs w:val="21"/>
                      <w:highlight w:val="none"/>
                    </w:rPr>
                    <w:t>名称</w:t>
                  </w:r>
                </w:p>
              </w:tc>
              <w:tc>
                <w:tcPr>
                  <w:tcW w:w="3329" w:type="dxa"/>
                  <w:gridSpan w:val="2"/>
                  <w:vAlign w:val="center"/>
                </w:tcPr>
                <w:p>
                  <w:pPr>
                    <w:pStyle w:val="43"/>
                    <w:rPr>
                      <w:color w:val="auto"/>
                      <w:szCs w:val="21"/>
                      <w:highlight w:val="none"/>
                    </w:rPr>
                  </w:pPr>
                  <w:r>
                    <w:rPr>
                      <w:color w:val="auto"/>
                      <w:szCs w:val="21"/>
                      <w:highlight w:val="none"/>
                    </w:rPr>
                    <w:t>浓度限值</w:t>
                  </w:r>
                </w:p>
              </w:tc>
              <w:tc>
                <w:tcPr>
                  <w:tcW w:w="2050" w:type="dxa"/>
                  <w:vMerge w:val="restart"/>
                  <w:vAlign w:val="center"/>
                </w:tcPr>
                <w:p>
                  <w:pPr>
                    <w:pStyle w:val="43"/>
                    <w:rPr>
                      <w:color w:val="auto"/>
                      <w:szCs w:val="21"/>
                      <w:highlight w:val="none"/>
                    </w:rPr>
                  </w:pPr>
                  <w:r>
                    <w:rPr>
                      <w:color w:val="auto"/>
                      <w:szCs w:val="21"/>
                      <w:highlight w:val="none"/>
                    </w:rPr>
                    <w:t>标准</w:t>
                  </w:r>
                </w:p>
                <w:p>
                  <w:pPr>
                    <w:pStyle w:val="43"/>
                    <w:rPr>
                      <w:color w:val="auto"/>
                      <w:szCs w:val="21"/>
                      <w:highlight w:val="none"/>
                    </w:rPr>
                  </w:pPr>
                  <w:r>
                    <w:rPr>
                      <w:color w:val="auto"/>
                      <w:szCs w:val="21"/>
                      <w:highlight w:val="none"/>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1" w:hRule="atLeast"/>
                <w:jc w:val="center"/>
              </w:trPr>
              <w:tc>
                <w:tcPr>
                  <w:tcW w:w="2558" w:type="dxa"/>
                  <w:vMerge w:val="continue"/>
                  <w:vAlign w:val="center"/>
                </w:tcPr>
                <w:p>
                  <w:pPr>
                    <w:pStyle w:val="43"/>
                    <w:rPr>
                      <w:color w:val="auto"/>
                      <w:szCs w:val="21"/>
                      <w:highlight w:val="none"/>
                    </w:rPr>
                  </w:pPr>
                </w:p>
              </w:tc>
              <w:tc>
                <w:tcPr>
                  <w:tcW w:w="1666" w:type="dxa"/>
                  <w:vAlign w:val="center"/>
                </w:tcPr>
                <w:p>
                  <w:pPr>
                    <w:pStyle w:val="43"/>
                    <w:rPr>
                      <w:color w:val="auto"/>
                      <w:szCs w:val="21"/>
                      <w:highlight w:val="none"/>
                    </w:rPr>
                  </w:pPr>
                  <w:r>
                    <w:rPr>
                      <w:color w:val="auto"/>
                      <w:szCs w:val="21"/>
                      <w:highlight w:val="none"/>
                    </w:rPr>
                    <w:t>取值时间</w:t>
                  </w:r>
                </w:p>
              </w:tc>
              <w:tc>
                <w:tcPr>
                  <w:tcW w:w="1663" w:type="dxa"/>
                  <w:vAlign w:val="center"/>
                </w:tcPr>
                <w:p>
                  <w:pPr>
                    <w:pStyle w:val="43"/>
                    <w:rPr>
                      <w:color w:val="auto"/>
                      <w:szCs w:val="21"/>
                      <w:highlight w:val="none"/>
                    </w:rPr>
                  </w:pPr>
                  <w:r>
                    <w:rPr>
                      <w:color w:val="auto"/>
                      <w:szCs w:val="21"/>
                      <w:highlight w:val="none"/>
                    </w:rPr>
                    <w:t>标准值</w:t>
                  </w:r>
                </w:p>
              </w:tc>
              <w:tc>
                <w:tcPr>
                  <w:tcW w:w="2050" w:type="dxa"/>
                  <w:vMerge w:val="continue"/>
                  <w:vAlign w:val="center"/>
                </w:tcPr>
                <w:p>
                  <w:pPr>
                    <w:pStyle w:val="43"/>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Merge w:val="restart"/>
                  <w:vAlign w:val="center"/>
                </w:tcPr>
                <w:p>
                  <w:pPr>
                    <w:pStyle w:val="43"/>
                    <w:rPr>
                      <w:color w:val="auto"/>
                      <w:szCs w:val="21"/>
                      <w:highlight w:val="none"/>
                    </w:rPr>
                  </w:pPr>
                  <w:r>
                    <w:rPr>
                      <w:color w:val="auto"/>
                      <w:szCs w:val="21"/>
                      <w:highlight w:val="none"/>
                    </w:rPr>
                    <w:t>PM</w:t>
                  </w:r>
                  <w:r>
                    <w:rPr>
                      <w:color w:val="auto"/>
                      <w:szCs w:val="21"/>
                      <w:highlight w:val="none"/>
                      <w:vertAlign w:val="subscript"/>
                    </w:rPr>
                    <w:t>10</w:t>
                  </w:r>
                </w:p>
              </w:tc>
              <w:tc>
                <w:tcPr>
                  <w:tcW w:w="1666" w:type="dxa"/>
                  <w:vAlign w:val="center"/>
                </w:tcPr>
                <w:p>
                  <w:pPr>
                    <w:pStyle w:val="43"/>
                    <w:rPr>
                      <w:color w:val="auto"/>
                      <w:szCs w:val="21"/>
                      <w:highlight w:val="none"/>
                    </w:rPr>
                  </w:pPr>
                  <w:r>
                    <w:rPr>
                      <w:color w:val="auto"/>
                      <w:szCs w:val="21"/>
                      <w:highlight w:val="none"/>
                    </w:rPr>
                    <w:t>年平均</w:t>
                  </w:r>
                </w:p>
              </w:tc>
              <w:tc>
                <w:tcPr>
                  <w:tcW w:w="1663" w:type="dxa"/>
                  <w:vAlign w:val="center"/>
                </w:tcPr>
                <w:p>
                  <w:pPr>
                    <w:pStyle w:val="43"/>
                    <w:rPr>
                      <w:color w:val="auto"/>
                      <w:szCs w:val="21"/>
                      <w:highlight w:val="none"/>
                    </w:rPr>
                  </w:pPr>
                  <w:r>
                    <w:rPr>
                      <w:color w:val="auto"/>
                      <w:szCs w:val="21"/>
                      <w:highlight w:val="none"/>
                    </w:rPr>
                    <w:t>70</w:t>
                  </w:r>
                  <w:r>
                    <w:rPr>
                      <w:rFonts w:hint="default" w:ascii="Times New Roman" w:hAnsi="Times New Roman" w:cs="Times New Roman"/>
                      <w:color w:val="auto"/>
                      <w:szCs w:val="21"/>
                      <w:highlight w:val="none"/>
                      <w:lang w:eastAsia="zh-CN"/>
                    </w:rPr>
                    <w:t>μ</w:t>
                  </w:r>
                  <w:r>
                    <w:rPr>
                      <w:color w:val="auto"/>
                      <w:szCs w:val="21"/>
                      <w:highlight w:val="none"/>
                    </w:rPr>
                    <w:t>g/m</w:t>
                  </w:r>
                  <w:r>
                    <w:rPr>
                      <w:color w:val="auto"/>
                      <w:szCs w:val="21"/>
                      <w:highlight w:val="none"/>
                      <w:vertAlign w:val="superscript"/>
                    </w:rPr>
                    <w:t>3</w:t>
                  </w:r>
                </w:p>
              </w:tc>
              <w:tc>
                <w:tcPr>
                  <w:tcW w:w="2050" w:type="dxa"/>
                  <w:vMerge w:val="restart"/>
                  <w:vAlign w:val="center"/>
                </w:tcPr>
                <w:p>
                  <w:pPr>
                    <w:pStyle w:val="43"/>
                    <w:rPr>
                      <w:color w:val="auto"/>
                      <w:szCs w:val="21"/>
                      <w:highlight w:val="none"/>
                    </w:rPr>
                  </w:pPr>
                  <w:r>
                    <w:rPr>
                      <w:rFonts w:hint="eastAsia"/>
                      <w:color w:val="auto"/>
                      <w:szCs w:val="21"/>
                      <w:highlight w:val="none"/>
                    </w:rPr>
                    <w:t>《环境空气质量标准》</w:t>
                  </w:r>
                  <w:r>
                    <w:rPr>
                      <w:rStyle w:val="25"/>
                      <w:rFonts w:hint="eastAsia"/>
                      <w:iCs w:val="0"/>
                      <w:color w:val="auto"/>
                      <w:szCs w:val="20"/>
                      <w:highlight w:val="none"/>
                    </w:rPr>
                    <w:t>（</w:t>
                  </w:r>
                  <w:r>
                    <w:rPr>
                      <w:color w:val="auto"/>
                      <w:szCs w:val="21"/>
                      <w:highlight w:val="none"/>
                    </w:rPr>
                    <w:t>GB3095-2012</w:t>
                  </w:r>
                  <w:r>
                    <w:rPr>
                      <w:rFonts w:hint="eastAsia"/>
                      <w:color w:val="auto"/>
                      <w:szCs w:val="21"/>
                      <w:highlight w:val="none"/>
                    </w:rPr>
                    <w:t>）</w:t>
                  </w:r>
                  <w:r>
                    <w:rPr>
                      <w:color w:val="auto"/>
                      <w:szCs w:val="21"/>
                      <w:highlight w:val="none"/>
                    </w:rPr>
                    <w:t>中的二级标准</w:t>
                  </w:r>
                  <w:r>
                    <w:rPr>
                      <w:rFonts w:hint="eastAsia"/>
                      <w:color w:val="auto"/>
                      <w:szCs w:val="21"/>
                      <w:highlight w:val="none"/>
                    </w:rPr>
                    <w:t>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Merge w:val="continue"/>
                  <w:vAlign w:val="center"/>
                </w:tcPr>
                <w:p>
                  <w:pPr>
                    <w:pStyle w:val="43"/>
                    <w:rPr>
                      <w:color w:val="auto"/>
                      <w:szCs w:val="21"/>
                      <w:highlight w:val="none"/>
                    </w:rPr>
                  </w:pPr>
                </w:p>
              </w:tc>
              <w:tc>
                <w:tcPr>
                  <w:tcW w:w="1666" w:type="dxa"/>
                  <w:vAlign w:val="center"/>
                </w:tcPr>
                <w:p>
                  <w:pPr>
                    <w:pStyle w:val="43"/>
                    <w:rPr>
                      <w:color w:val="auto"/>
                      <w:szCs w:val="21"/>
                      <w:highlight w:val="none"/>
                    </w:rPr>
                  </w:pPr>
                  <w:r>
                    <w:rPr>
                      <w:color w:val="auto"/>
                      <w:szCs w:val="21"/>
                      <w:highlight w:val="none"/>
                    </w:rPr>
                    <w:t>24小时平均</w:t>
                  </w:r>
                </w:p>
              </w:tc>
              <w:tc>
                <w:tcPr>
                  <w:tcW w:w="1663" w:type="dxa"/>
                  <w:vAlign w:val="center"/>
                </w:tcPr>
                <w:p>
                  <w:pPr>
                    <w:pStyle w:val="43"/>
                    <w:rPr>
                      <w:color w:val="auto"/>
                      <w:szCs w:val="21"/>
                      <w:highlight w:val="none"/>
                    </w:rPr>
                  </w:pPr>
                  <w:r>
                    <w:rPr>
                      <w:color w:val="auto"/>
                      <w:szCs w:val="21"/>
                      <w:highlight w:val="none"/>
                    </w:rPr>
                    <w:t>150</w:t>
                  </w:r>
                  <w:r>
                    <w:rPr>
                      <w:rFonts w:hint="default" w:ascii="Times New Roman" w:hAnsi="Times New Roman" w:cs="Times New Roman"/>
                      <w:color w:val="auto"/>
                      <w:szCs w:val="21"/>
                      <w:highlight w:val="none"/>
                      <w:lang w:eastAsia="zh-CN"/>
                    </w:rPr>
                    <w:t>μ</w:t>
                  </w:r>
                  <w:r>
                    <w:rPr>
                      <w:color w:val="auto"/>
                      <w:szCs w:val="21"/>
                      <w:highlight w:val="none"/>
                    </w:rPr>
                    <w:t>g/m</w:t>
                  </w:r>
                  <w:r>
                    <w:rPr>
                      <w:color w:val="auto"/>
                      <w:szCs w:val="21"/>
                      <w:highlight w:val="none"/>
                      <w:vertAlign w:val="superscript"/>
                    </w:rPr>
                    <w:t>3</w:t>
                  </w:r>
                </w:p>
              </w:tc>
              <w:tc>
                <w:tcPr>
                  <w:tcW w:w="2050" w:type="dxa"/>
                  <w:vMerge w:val="continue"/>
                  <w:vAlign w:val="center"/>
                </w:tcPr>
                <w:p>
                  <w:pPr>
                    <w:pStyle w:val="43"/>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Merge w:val="restart"/>
                  <w:vAlign w:val="center"/>
                </w:tcPr>
                <w:p>
                  <w:pPr>
                    <w:pStyle w:val="43"/>
                    <w:rPr>
                      <w:color w:val="auto"/>
                      <w:szCs w:val="21"/>
                      <w:highlight w:val="none"/>
                    </w:rPr>
                  </w:pPr>
                  <w:r>
                    <w:rPr>
                      <w:color w:val="auto"/>
                      <w:szCs w:val="21"/>
                      <w:highlight w:val="none"/>
                    </w:rPr>
                    <w:t>PM</w:t>
                  </w:r>
                  <w:r>
                    <w:rPr>
                      <w:color w:val="auto"/>
                      <w:szCs w:val="21"/>
                      <w:highlight w:val="none"/>
                      <w:vertAlign w:val="subscript"/>
                    </w:rPr>
                    <w:t>2.5</w:t>
                  </w:r>
                </w:p>
              </w:tc>
              <w:tc>
                <w:tcPr>
                  <w:tcW w:w="1666" w:type="dxa"/>
                  <w:vAlign w:val="center"/>
                </w:tcPr>
                <w:p>
                  <w:pPr>
                    <w:pStyle w:val="43"/>
                    <w:rPr>
                      <w:color w:val="auto"/>
                      <w:szCs w:val="21"/>
                      <w:highlight w:val="none"/>
                    </w:rPr>
                  </w:pPr>
                  <w:r>
                    <w:rPr>
                      <w:color w:val="auto"/>
                      <w:szCs w:val="21"/>
                      <w:highlight w:val="none"/>
                    </w:rPr>
                    <w:t>年平均</w:t>
                  </w:r>
                </w:p>
              </w:tc>
              <w:tc>
                <w:tcPr>
                  <w:tcW w:w="1663" w:type="dxa"/>
                  <w:vAlign w:val="center"/>
                </w:tcPr>
                <w:p>
                  <w:pPr>
                    <w:pStyle w:val="43"/>
                    <w:rPr>
                      <w:color w:val="auto"/>
                      <w:szCs w:val="21"/>
                      <w:highlight w:val="none"/>
                    </w:rPr>
                  </w:pPr>
                  <w:r>
                    <w:rPr>
                      <w:color w:val="auto"/>
                      <w:szCs w:val="21"/>
                      <w:highlight w:val="none"/>
                    </w:rPr>
                    <w:t>35</w:t>
                  </w:r>
                  <w:r>
                    <w:rPr>
                      <w:rFonts w:hint="default" w:ascii="Times New Roman" w:hAnsi="Times New Roman" w:cs="Times New Roman"/>
                      <w:color w:val="auto"/>
                      <w:szCs w:val="21"/>
                      <w:highlight w:val="none"/>
                      <w:lang w:eastAsia="zh-CN"/>
                    </w:rPr>
                    <w:t>μ</w:t>
                  </w:r>
                  <w:r>
                    <w:rPr>
                      <w:color w:val="auto"/>
                      <w:szCs w:val="21"/>
                      <w:highlight w:val="none"/>
                    </w:rPr>
                    <w:t>g/m</w:t>
                  </w:r>
                  <w:r>
                    <w:rPr>
                      <w:color w:val="auto"/>
                      <w:szCs w:val="21"/>
                      <w:highlight w:val="none"/>
                      <w:vertAlign w:val="superscript"/>
                    </w:rPr>
                    <w:t>3</w:t>
                  </w:r>
                </w:p>
              </w:tc>
              <w:tc>
                <w:tcPr>
                  <w:tcW w:w="2050" w:type="dxa"/>
                  <w:vMerge w:val="continue"/>
                  <w:vAlign w:val="center"/>
                </w:tcPr>
                <w:p>
                  <w:pPr>
                    <w:pStyle w:val="43"/>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Merge w:val="continue"/>
                  <w:vAlign w:val="center"/>
                </w:tcPr>
                <w:p>
                  <w:pPr>
                    <w:pStyle w:val="43"/>
                    <w:rPr>
                      <w:color w:val="auto"/>
                      <w:szCs w:val="21"/>
                      <w:highlight w:val="none"/>
                    </w:rPr>
                  </w:pPr>
                </w:p>
              </w:tc>
              <w:tc>
                <w:tcPr>
                  <w:tcW w:w="1666" w:type="dxa"/>
                  <w:vAlign w:val="center"/>
                </w:tcPr>
                <w:p>
                  <w:pPr>
                    <w:pStyle w:val="43"/>
                    <w:rPr>
                      <w:color w:val="auto"/>
                      <w:szCs w:val="21"/>
                      <w:highlight w:val="none"/>
                    </w:rPr>
                  </w:pPr>
                  <w:r>
                    <w:rPr>
                      <w:color w:val="auto"/>
                      <w:szCs w:val="21"/>
                      <w:highlight w:val="none"/>
                    </w:rPr>
                    <w:t>24小时平均</w:t>
                  </w:r>
                </w:p>
              </w:tc>
              <w:tc>
                <w:tcPr>
                  <w:tcW w:w="1663" w:type="dxa"/>
                  <w:vAlign w:val="center"/>
                </w:tcPr>
                <w:p>
                  <w:pPr>
                    <w:pStyle w:val="43"/>
                    <w:rPr>
                      <w:color w:val="auto"/>
                      <w:szCs w:val="21"/>
                      <w:highlight w:val="none"/>
                    </w:rPr>
                  </w:pPr>
                  <w:r>
                    <w:rPr>
                      <w:color w:val="auto"/>
                      <w:szCs w:val="21"/>
                      <w:highlight w:val="none"/>
                    </w:rPr>
                    <w:t>75</w:t>
                  </w:r>
                  <w:r>
                    <w:rPr>
                      <w:rFonts w:hint="default" w:ascii="Times New Roman" w:hAnsi="Times New Roman" w:cs="Times New Roman"/>
                      <w:color w:val="auto"/>
                      <w:szCs w:val="21"/>
                      <w:highlight w:val="none"/>
                      <w:lang w:eastAsia="zh-CN"/>
                    </w:rPr>
                    <w:t>μ</w:t>
                  </w:r>
                  <w:r>
                    <w:rPr>
                      <w:color w:val="auto"/>
                      <w:szCs w:val="21"/>
                      <w:highlight w:val="none"/>
                    </w:rPr>
                    <w:t>g/m</w:t>
                  </w:r>
                  <w:r>
                    <w:rPr>
                      <w:color w:val="auto"/>
                      <w:szCs w:val="21"/>
                      <w:highlight w:val="none"/>
                      <w:vertAlign w:val="superscript"/>
                    </w:rPr>
                    <w:t>3</w:t>
                  </w:r>
                </w:p>
              </w:tc>
              <w:tc>
                <w:tcPr>
                  <w:tcW w:w="2050" w:type="dxa"/>
                  <w:vMerge w:val="continue"/>
                  <w:vAlign w:val="center"/>
                </w:tcPr>
                <w:p>
                  <w:pPr>
                    <w:pStyle w:val="43"/>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Merge w:val="restart"/>
                  <w:vAlign w:val="center"/>
                </w:tcPr>
                <w:p>
                  <w:pPr>
                    <w:pStyle w:val="43"/>
                    <w:rPr>
                      <w:color w:val="auto"/>
                      <w:szCs w:val="21"/>
                      <w:highlight w:val="none"/>
                    </w:rPr>
                  </w:pPr>
                  <w:r>
                    <w:rPr>
                      <w:color w:val="auto"/>
                      <w:szCs w:val="21"/>
                      <w:highlight w:val="none"/>
                    </w:rPr>
                    <w:t>二氧化氮（NO</w:t>
                  </w:r>
                  <w:r>
                    <w:rPr>
                      <w:color w:val="auto"/>
                      <w:szCs w:val="21"/>
                      <w:highlight w:val="none"/>
                      <w:vertAlign w:val="subscript"/>
                    </w:rPr>
                    <w:t>2</w:t>
                  </w:r>
                  <w:r>
                    <w:rPr>
                      <w:color w:val="auto"/>
                      <w:szCs w:val="21"/>
                      <w:highlight w:val="none"/>
                    </w:rPr>
                    <w:t>）</w:t>
                  </w:r>
                </w:p>
              </w:tc>
              <w:tc>
                <w:tcPr>
                  <w:tcW w:w="1666" w:type="dxa"/>
                  <w:vAlign w:val="center"/>
                </w:tcPr>
                <w:p>
                  <w:pPr>
                    <w:pStyle w:val="43"/>
                    <w:rPr>
                      <w:color w:val="auto"/>
                      <w:szCs w:val="21"/>
                      <w:highlight w:val="none"/>
                    </w:rPr>
                  </w:pPr>
                  <w:r>
                    <w:rPr>
                      <w:color w:val="auto"/>
                      <w:szCs w:val="21"/>
                      <w:highlight w:val="none"/>
                    </w:rPr>
                    <w:t>年平均</w:t>
                  </w:r>
                </w:p>
              </w:tc>
              <w:tc>
                <w:tcPr>
                  <w:tcW w:w="1663" w:type="dxa"/>
                  <w:vAlign w:val="center"/>
                </w:tcPr>
                <w:p>
                  <w:pPr>
                    <w:pStyle w:val="43"/>
                    <w:rPr>
                      <w:color w:val="auto"/>
                      <w:szCs w:val="21"/>
                      <w:highlight w:val="none"/>
                    </w:rPr>
                  </w:pPr>
                  <w:r>
                    <w:rPr>
                      <w:color w:val="auto"/>
                      <w:szCs w:val="21"/>
                      <w:highlight w:val="none"/>
                    </w:rPr>
                    <w:t>40</w:t>
                  </w:r>
                  <w:r>
                    <w:rPr>
                      <w:rFonts w:hint="default" w:ascii="Times New Roman" w:hAnsi="Times New Roman" w:cs="Times New Roman"/>
                      <w:color w:val="auto"/>
                      <w:szCs w:val="21"/>
                      <w:highlight w:val="none"/>
                      <w:lang w:eastAsia="zh-CN"/>
                    </w:rPr>
                    <w:t>μ</w:t>
                  </w:r>
                  <w:r>
                    <w:rPr>
                      <w:color w:val="auto"/>
                      <w:szCs w:val="21"/>
                      <w:highlight w:val="none"/>
                    </w:rPr>
                    <w:t>g/m</w:t>
                  </w:r>
                  <w:r>
                    <w:rPr>
                      <w:color w:val="auto"/>
                      <w:szCs w:val="21"/>
                      <w:highlight w:val="none"/>
                      <w:vertAlign w:val="superscript"/>
                    </w:rPr>
                    <w:t>3</w:t>
                  </w:r>
                </w:p>
              </w:tc>
              <w:tc>
                <w:tcPr>
                  <w:tcW w:w="2050" w:type="dxa"/>
                  <w:vMerge w:val="continue"/>
                  <w:vAlign w:val="center"/>
                </w:tcPr>
                <w:p>
                  <w:pPr>
                    <w:pStyle w:val="43"/>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Merge w:val="continue"/>
                  <w:vAlign w:val="center"/>
                </w:tcPr>
                <w:p>
                  <w:pPr>
                    <w:pStyle w:val="43"/>
                    <w:rPr>
                      <w:color w:val="auto"/>
                      <w:szCs w:val="21"/>
                      <w:highlight w:val="none"/>
                    </w:rPr>
                  </w:pPr>
                </w:p>
              </w:tc>
              <w:tc>
                <w:tcPr>
                  <w:tcW w:w="1666" w:type="dxa"/>
                  <w:vAlign w:val="center"/>
                </w:tcPr>
                <w:p>
                  <w:pPr>
                    <w:pStyle w:val="43"/>
                    <w:rPr>
                      <w:color w:val="auto"/>
                      <w:szCs w:val="21"/>
                      <w:highlight w:val="none"/>
                    </w:rPr>
                  </w:pPr>
                  <w:r>
                    <w:rPr>
                      <w:color w:val="auto"/>
                      <w:szCs w:val="21"/>
                      <w:highlight w:val="none"/>
                    </w:rPr>
                    <w:t>24小时平均</w:t>
                  </w:r>
                </w:p>
              </w:tc>
              <w:tc>
                <w:tcPr>
                  <w:tcW w:w="1663" w:type="dxa"/>
                  <w:vAlign w:val="center"/>
                </w:tcPr>
                <w:p>
                  <w:pPr>
                    <w:pStyle w:val="43"/>
                    <w:rPr>
                      <w:color w:val="auto"/>
                      <w:szCs w:val="21"/>
                      <w:highlight w:val="none"/>
                    </w:rPr>
                  </w:pPr>
                  <w:r>
                    <w:rPr>
                      <w:color w:val="auto"/>
                      <w:szCs w:val="21"/>
                      <w:highlight w:val="none"/>
                    </w:rPr>
                    <w:t>80</w:t>
                  </w:r>
                  <w:r>
                    <w:rPr>
                      <w:rFonts w:hint="default" w:ascii="Times New Roman" w:hAnsi="Times New Roman" w:cs="Times New Roman"/>
                      <w:color w:val="auto"/>
                      <w:szCs w:val="21"/>
                      <w:highlight w:val="none"/>
                      <w:lang w:eastAsia="zh-CN"/>
                    </w:rPr>
                    <w:t>μ</w:t>
                  </w:r>
                  <w:r>
                    <w:rPr>
                      <w:color w:val="auto"/>
                      <w:szCs w:val="21"/>
                      <w:highlight w:val="none"/>
                    </w:rPr>
                    <w:t>g/m</w:t>
                  </w:r>
                  <w:r>
                    <w:rPr>
                      <w:color w:val="auto"/>
                      <w:szCs w:val="21"/>
                      <w:highlight w:val="none"/>
                      <w:vertAlign w:val="superscript"/>
                    </w:rPr>
                    <w:t>3</w:t>
                  </w:r>
                </w:p>
              </w:tc>
              <w:tc>
                <w:tcPr>
                  <w:tcW w:w="2050" w:type="dxa"/>
                  <w:vMerge w:val="continue"/>
                  <w:vAlign w:val="center"/>
                </w:tcPr>
                <w:p>
                  <w:pPr>
                    <w:pStyle w:val="43"/>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Merge w:val="continue"/>
                  <w:vAlign w:val="center"/>
                </w:tcPr>
                <w:p>
                  <w:pPr>
                    <w:pStyle w:val="43"/>
                    <w:rPr>
                      <w:color w:val="auto"/>
                      <w:szCs w:val="21"/>
                      <w:highlight w:val="none"/>
                    </w:rPr>
                  </w:pPr>
                </w:p>
              </w:tc>
              <w:tc>
                <w:tcPr>
                  <w:tcW w:w="1666" w:type="dxa"/>
                  <w:vAlign w:val="center"/>
                </w:tcPr>
                <w:p>
                  <w:pPr>
                    <w:pStyle w:val="43"/>
                    <w:rPr>
                      <w:color w:val="auto"/>
                      <w:szCs w:val="21"/>
                      <w:highlight w:val="none"/>
                    </w:rPr>
                  </w:pPr>
                  <w:r>
                    <w:rPr>
                      <w:color w:val="auto"/>
                      <w:szCs w:val="21"/>
                      <w:highlight w:val="none"/>
                    </w:rPr>
                    <w:t>1小时平均</w:t>
                  </w:r>
                </w:p>
              </w:tc>
              <w:tc>
                <w:tcPr>
                  <w:tcW w:w="1663" w:type="dxa"/>
                  <w:vAlign w:val="center"/>
                </w:tcPr>
                <w:p>
                  <w:pPr>
                    <w:pStyle w:val="43"/>
                    <w:rPr>
                      <w:color w:val="auto"/>
                      <w:szCs w:val="21"/>
                      <w:highlight w:val="none"/>
                    </w:rPr>
                  </w:pPr>
                  <w:r>
                    <w:rPr>
                      <w:color w:val="auto"/>
                      <w:szCs w:val="21"/>
                      <w:highlight w:val="none"/>
                    </w:rPr>
                    <w:t>200</w:t>
                  </w:r>
                  <w:r>
                    <w:rPr>
                      <w:rFonts w:hint="default" w:ascii="Times New Roman" w:hAnsi="Times New Roman" w:cs="Times New Roman"/>
                      <w:color w:val="auto"/>
                      <w:szCs w:val="21"/>
                      <w:highlight w:val="none"/>
                      <w:lang w:eastAsia="zh-CN"/>
                    </w:rPr>
                    <w:t>μ</w:t>
                  </w:r>
                  <w:r>
                    <w:rPr>
                      <w:color w:val="auto"/>
                      <w:szCs w:val="21"/>
                      <w:highlight w:val="none"/>
                    </w:rPr>
                    <w:t>g/m</w:t>
                  </w:r>
                  <w:r>
                    <w:rPr>
                      <w:color w:val="auto"/>
                      <w:szCs w:val="21"/>
                      <w:highlight w:val="none"/>
                      <w:vertAlign w:val="superscript"/>
                    </w:rPr>
                    <w:t>3</w:t>
                  </w:r>
                </w:p>
              </w:tc>
              <w:tc>
                <w:tcPr>
                  <w:tcW w:w="2050" w:type="dxa"/>
                  <w:vMerge w:val="continue"/>
                  <w:vAlign w:val="center"/>
                </w:tcPr>
                <w:p>
                  <w:pPr>
                    <w:pStyle w:val="43"/>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Merge w:val="restart"/>
                  <w:vAlign w:val="center"/>
                </w:tcPr>
                <w:p>
                  <w:pPr>
                    <w:pStyle w:val="43"/>
                    <w:rPr>
                      <w:color w:val="auto"/>
                      <w:szCs w:val="21"/>
                      <w:highlight w:val="none"/>
                    </w:rPr>
                  </w:pPr>
                  <w:r>
                    <w:rPr>
                      <w:color w:val="auto"/>
                      <w:szCs w:val="21"/>
                      <w:highlight w:val="none"/>
                    </w:rPr>
                    <w:t>一氧化碳（CO）</w:t>
                  </w:r>
                </w:p>
              </w:tc>
              <w:tc>
                <w:tcPr>
                  <w:tcW w:w="1666" w:type="dxa"/>
                  <w:vAlign w:val="center"/>
                </w:tcPr>
                <w:p>
                  <w:pPr>
                    <w:pStyle w:val="43"/>
                    <w:rPr>
                      <w:color w:val="auto"/>
                      <w:szCs w:val="21"/>
                      <w:highlight w:val="none"/>
                    </w:rPr>
                  </w:pPr>
                  <w:r>
                    <w:rPr>
                      <w:color w:val="auto"/>
                      <w:szCs w:val="21"/>
                      <w:highlight w:val="none"/>
                    </w:rPr>
                    <w:t>24小时平均</w:t>
                  </w:r>
                </w:p>
              </w:tc>
              <w:tc>
                <w:tcPr>
                  <w:tcW w:w="1663" w:type="dxa"/>
                  <w:vAlign w:val="center"/>
                </w:tcPr>
                <w:p>
                  <w:pPr>
                    <w:pStyle w:val="43"/>
                    <w:rPr>
                      <w:color w:val="auto"/>
                      <w:szCs w:val="21"/>
                      <w:highlight w:val="none"/>
                    </w:rPr>
                  </w:pPr>
                  <w:r>
                    <w:rPr>
                      <w:color w:val="auto"/>
                      <w:szCs w:val="21"/>
                      <w:highlight w:val="none"/>
                    </w:rPr>
                    <w:t>4mg/m</w:t>
                  </w:r>
                  <w:r>
                    <w:rPr>
                      <w:color w:val="auto"/>
                      <w:szCs w:val="21"/>
                      <w:highlight w:val="none"/>
                      <w:vertAlign w:val="superscript"/>
                    </w:rPr>
                    <w:t>3</w:t>
                  </w:r>
                </w:p>
              </w:tc>
              <w:tc>
                <w:tcPr>
                  <w:tcW w:w="2050" w:type="dxa"/>
                  <w:vMerge w:val="continue"/>
                  <w:vAlign w:val="center"/>
                </w:tcPr>
                <w:p>
                  <w:pPr>
                    <w:pStyle w:val="43"/>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Merge w:val="continue"/>
                  <w:vAlign w:val="center"/>
                </w:tcPr>
                <w:p>
                  <w:pPr>
                    <w:pStyle w:val="43"/>
                    <w:rPr>
                      <w:color w:val="auto"/>
                      <w:szCs w:val="21"/>
                      <w:highlight w:val="none"/>
                    </w:rPr>
                  </w:pPr>
                </w:p>
              </w:tc>
              <w:tc>
                <w:tcPr>
                  <w:tcW w:w="1666" w:type="dxa"/>
                  <w:vAlign w:val="center"/>
                </w:tcPr>
                <w:p>
                  <w:pPr>
                    <w:pStyle w:val="43"/>
                    <w:rPr>
                      <w:color w:val="auto"/>
                      <w:szCs w:val="21"/>
                      <w:highlight w:val="none"/>
                    </w:rPr>
                  </w:pPr>
                  <w:r>
                    <w:rPr>
                      <w:color w:val="auto"/>
                      <w:szCs w:val="21"/>
                      <w:highlight w:val="none"/>
                    </w:rPr>
                    <w:t>1小时平均</w:t>
                  </w:r>
                </w:p>
              </w:tc>
              <w:tc>
                <w:tcPr>
                  <w:tcW w:w="1663" w:type="dxa"/>
                  <w:vAlign w:val="center"/>
                </w:tcPr>
                <w:p>
                  <w:pPr>
                    <w:pStyle w:val="43"/>
                    <w:rPr>
                      <w:color w:val="auto"/>
                      <w:szCs w:val="21"/>
                      <w:highlight w:val="none"/>
                    </w:rPr>
                  </w:pPr>
                  <w:r>
                    <w:rPr>
                      <w:color w:val="auto"/>
                      <w:szCs w:val="21"/>
                      <w:highlight w:val="none"/>
                    </w:rPr>
                    <w:t>10mg/m</w:t>
                  </w:r>
                  <w:r>
                    <w:rPr>
                      <w:color w:val="auto"/>
                      <w:szCs w:val="21"/>
                      <w:highlight w:val="none"/>
                      <w:vertAlign w:val="superscript"/>
                    </w:rPr>
                    <w:t>3</w:t>
                  </w:r>
                </w:p>
              </w:tc>
              <w:tc>
                <w:tcPr>
                  <w:tcW w:w="2050" w:type="dxa"/>
                  <w:vMerge w:val="continue"/>
                  <w:vAlign w:val="center"/>
                </w:tcPr>
                <w:p>
                  <w:pPr>
                    <w:pStyle w:val="43"/>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Merge w:val="restart"/>
                  <w:vAlign w:val="center"/>
                </w:tcPr>
                <w:p>
                  <w:pPr>
                    <w:pStyle w:val="43"/>
                    <w:rPr>
                      <w:color w:val="auto"/>
                      <w:szCs w:val="21"/>
                      <w:highlight w:val="none"/>
                    </w:rPr>
                  </w:pPr>
                  <w:r>
                    <w:rPr>
                      <w:color w:val="auto"/>
                      <w:szCs w:val="21"/>
                      <w:highlight w:val="none"/>
                    </w:rPr>
                    <w:t>二氧化硫（SO</w:t>
                  </w:r>
                  <w:r>
                    <w:rPr>
                      <w:color w:val="auto"/>
                      <w:szCs w:val="21"/>
                      <w:highlight w:val="none"/>
                      <w:vertAlign w:val="subscript"/>
                    </w:rPr>
                    <w:t>2</w:t>
                  </w:r>
                  <w:r>
                    <w:rPr>
                      <w:color w:val="auto"/>
                      <w:szCs w:val="21"/>
                      <w:highlight w:val="none"/>
                    </w:rPr>
                    <w:t>）</w:t>
                  </w:r>
                </w:p>
              </w:tc>
              <w:tc>
                <w:tcPr>
                  <w:tcW w:w="1666" w:type="dxa"/>
                  <w:vAlign w:val="center"/>
                </w:tcPr>
                <w:p>
                  <w:pPr>
                    <w:pStyle w:val="43"/>
                    <w:rPr>
                      <w:color w:val="auto"/>
                      <w:szCs w:val="21"/>
                      <w:highlight w:val="none"/>
                    </w:rPr>
                  </w:pPr>
                  <w:r>
                    <w:rPr>
                      <w:color w:val="auto"/>
                      <w:szCs w:val="21"/>
                      <w:highlight w:val="none"/>
                    </w:rPr>
                    <w:t>年平均</w:t>
                  </w:r>
                </w:p>
              </w:tc>
              <w:tc>
                <w:tcPr>
                  <w:tcW w:w="1663" w:type="dxa"/>
                  <w:vAlign w:val="center"/>
                </w:tcPr>
                <w:p>
                  <w:pPr>
                    <w:pStyle w:val="43"/>
                    <w:rPr>
                      <w:color w:val="auto"/>
                      <w:szCs w:val="21"/>
                      <w:highlight w:val="none"/>
                    </w:rPr>
                  </w:pPr>
                  <w:r>
                    <w:rPr>
                      <w:color w:val="auto"/>
                      <w:szCs w:val="21"/>
                      <w:highlight w:val="none"/>
                    </w:rPr>
                    <w:t>60</w:t>
                  </w:r>
                  <w:r>
                    <w:rPr>
                      <w:rFonts w:hint="default" w:ascii="Times New Roman" w:hAnsi="Times New Roman" w:cs="Times New Roman"/>
                      <w:color w:val="auto"/>
                      <w:szCs w:val="21"/>
                      <w:highlight w:val="none"/>
                      <w:lang w:eastAsia="zh-CN"/>
                    </w:rPr>
                    <w:t>μ</w:t>
                  </w:r>
                  <w:r>
                    <w:rPr>
                      <w:color w:val="auto"/>
                      <w:szCs w:val="21"/>
                      <w:highlight w:val="none"/>
                    </w:rPr>
                    <w:t>g/m</w:t>
                  </w:r>
                  <w:r>
                    <w:rPr>
                      <w:color w:val="auto"/>
                      <w:szCs w:val="21"/>
                      <w:highlight w:val="none"/>
                      <w:vertAlign w:val="superscript"/>
                    </w:rPr>
                    <w:t>3</w:t>
                  </w:r>
                </w:p>
              </w:tc>
              <w:tc>
                <w:tcPr>
                  <w:tcW w:w="2050" w:type="dxa"/>
                  <w:vMerge w:val="continue"/>
                  <w:vAlign w:val="center"/>
                </w:tcPr>
                <w:p>
                  <w:pPr>
                    <w:pStyle w:val="43"/>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Merge w:val="continue"/>
                  <w:vAlign w:val="center"/>
                </w:tcPr>
                <w:p>
                  <w:pPr>
                    <w:pStyle w:val="43"/>
                    <w:rPr>
                      <w:color w:val="auto"/>
                      <w:szCs w:val="21"/>
                      <w:highlight w:val="none"/>
                    </w:rPr>
                  </w:pPr>
                </w:p>
              </w:tc>
              <w:tc>
                <w:tcPr>
                  <w:tcW w:w="1666" w:type="dxa"/>
                  <w:vAlign w:val="center"/>
                </w:tcPr>
                <w:p>
                  <w:pPr>
                    <w:pStyle w:val="43"/>
                    <w:rPr>
                      <w:color w:val="auto"/>
                      <w:szCs w:val="21"/>
                      <w:highlight w:val="none"/>
                    </w:rPr>
                  </w:pPr>
                  <w:r>
                    <w:rPr>
                      <w:color w:val="auto"/>
                      <w:szCs w:val="21"/>
                      <w:highlight w:val="none"/>
                    </w:rPr>
                    <w:t>24小时平均</w:t>
                  </w:r>
                </w:p>
              </w:tc>
              <w:tc>
                <w:tcPr>
                  <w:tcW w:w="1663" w:type="dxa"/>
                  <w:vAlign w:val="center"/>
                </w:tcPr>
                <w:p>
                  <w:pPr>
                    <w:pStyle w:val="43"/>
                    <w:rPr>
                      <w:color w:val="auto"/>
                      <w:szCs w:val="21"/>
                      <w:highlight w:val="none"/>
                    </w:rPr>
                  </w:pPr>
                  <w:r>
                    <w:rPr>
                      <w:color w:val="auto"/>
                      <w:szCs w:val="21"/>
                      <w:highlight w:val="none"/>
                    </w:rPr>
                    <w:t>150</w:t>
                  </w:r>
                  <w:r>
                    <w:rPr>
                      <w:rFonts w:hint="default" w:ascii="Times New Roman" w:hAnsi="Times New Roman" w:cs="Times New Roman"/>
                      <w:color w:val="auto"/>
                      <w:szCs w:val="21"/>
                      <w:highlight w:val="none"/>
                      <w:lang w:eastAsia="zh-CN"/>
                    </w:rPr>
                    <w:t>μ</w:t>
                  </w:r>
                  <w:r>
                    <w:rPr>
                      <w:color w:val="auto"/>
                      <w:szCs w:val="21"/>
                      <w:highlight w:val="none"/>
                    </w:rPr>
                    <w:t>g/m</w:t>
                  </w:r>
                  <w:r>
                    <w:rPr>
                      <w:color w:val="auto"/>
                      <w:szCs w:val="21"/>
                      <w:highlight w:val="none"/>
                      <w:vertAlign w:val="superscript"/>
                    </w:rPr>
                    <w:t>3</w:t>
                  </w:r>
                </w:p>
              </w:tc>
              <w:tc>
                <w:tcPr>
                  <w:tcW w:w="2050" w:type="dxa"/>
                  <w:vMerge w:val="continue"/>
                  <w:vAlign w:val="center"/>
                </w:tcPr>
                <w:p>
                  <w:pPr>
                    <w:pStyle w:val="43"/>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Merge w:val="continue"/>
                  <w:vAlign w:val="center"/>
                </w:tcPr>
                <w:p>
                  <w:pPr>
                    <w:pStyle w:val="43"/>
                    <w:rPr>
                      <w:color w:val="auto"/>
                      <w:szCs w:val="21"/>
                      <w:highlight w:val="none"/>
                    </w:rPr>
                  </w:pPr>
                </w:p>
              </w:tc>
              <w:tc>
                <w:tcPr>
                  <w:tcW w:w="1666" w:type="dxa"/>
                  <w:vAlign w:val="center"/>
                </w:tcPr>
                <w:p>
                  <w:pPr>
                    <w:pStyle w:val="43"/>
                    <w:rPr>
                      <w:color w:val="auto"/>
                      <w:szCs w:val="21"/>
                      <w:highlight w:val="none"/>
                    </w:rPr>
                  </w:pPr>
                  <w:r>
                    <w:rPr>
                      <w:color w:val="auto"/>
                      <w:szCs w:val="21"/>
                      <w:highlight w:val="none"/>
                    </w:rPr>
                    <w:t>1小时平均</w:t>
                  </w:r>
                </w:p>
              </w:tc>
              <w:tc>
                <w:tcPr>
                  <w:tcW w:w="1663" w:type="dxa"/>
                  <w:vAlign w:val="center"/>
                </w:tcPr>
                <w:p>
                  <w:pPr>
                    <w:pStyle w:val="43"/>
                    <w:rPr>
                      <w:color w:val="auto"/>
                      <w:szCs w:val="21"/>
                      <w:highlight w:val="none"/>
                    </w:rPr>
                  </w:pPr>
                  <w:r>
                    <w:rPr>
                      <w:color w:val="auto"/>
                      <w:szCs w:val="21"/>
                      <w:highlight w:val="none"/>
                    </w:rPr>
                    <w:t>500</w:t>
                  </w:r>
                  <w:r>
                    <w:rPr>
                      <w:rFonts w:hint="default" w:ascii="Times New Roman" w:hAnsi="Times New Roman" w:cs="Times New Roman"/>
                      <w:color w:val="auto"/>
                      <w:szCs w:val="21"/>
                      <w:highlight w:val="none"/>
                      <w:lang w:eastAsia="zh-CN"/>
                    </w:rPr>
                    <w:t>μ</w:t>
                  </w:r>
                  <w:r>
                    <w:rPr>
                      <w:color w:val="auto"/>
                      <w:szCs w:val="21"/>
                      <w:highlight w:val="none"/>
                    </w:rPr>
                    <w:t>g/m</w:t>
                  </w:r>
                  <w:r>
                    <w:rPr>
                      <w:color w:val="auto"/>
                      <w:szCs w:val="21"/>
                      <w:highlight w:val="none"/>
                      <w:vertAlign w:val="superscript"/>
                    </w:rPr>
                    <w:t>3</w:t>
                  </w:r>
                </w:p>
              </w:tc>
              <w:tc>
                <w:tcPr>
                  <w:tcW w:w="2050" w:type="dxa"/>
                  <w:vMerge w:val="continue"/>
                  <w:vAlign w:val="center"/>
                </w:tcPr>
                <w:p>
                  <w:pPr>
                    <w:pStyle w:val="43"/>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Merge w:val="restart"/>
                  <w:vAlign w:val="center"/>
                </w:tcPr>
                <w:p>
                  <w:pPr>
                    <w:pStyle w:val="43"/>
                    <w:rPr>
                      <w:color w:val="auto"/>
                      <w:szCs w:val="21"/>
                      <w:highlight w:val="none"/>
                    </w:rPr>
                  </w:pPr>
                  <w:r>
                    <w:rPr>
                      <w:color w:val="auto"/>
                      <w:szCs w:val="21"/>
                      <w:highlight w:val="none"/>
                    </w:rPr>
                    <w:t>总悬浮颗粒物（TSP）</w:t>
                  </w:r>
                </w:p>
              </w:tc>
              <w:tc>
                <w:tcPr>
                  <w:tcW w:w="1666" w:type="dxa"/>
                  <w:vAlign w:val="center"/>
                </w:tcPr>
                <w:p>
                  <w:pPr>
                    <w:pStyle w:val="43"/>
                    <w:rPr>
                      <w:color w:val="auto"/>
                      <w:szCs w:val="21"/>
                      <w:highlight w:val="none"/>
                    </w:rPr>
                  </w:pPr>
                  <w:r>
                    <w:rPr>
                      <w:color w:val="auto"/>
                      <w:szCs w:val="21"/>
                      <w:highlight w:val="none"/>
                    </w:rPr>
                    <w:t>年平均</w:t>
                  </w:r>
                </w:p>
              </w:tc>
              <w:tc>
                <w:tcPr>
                  <w:tcW w:w="1663" w:type="dxa"/>
                  <w:vAlign w:val="center"/>
                </w:tcPr>
                <w:p>
                  <w:pPr>
                    <w:pStyle w:val="43"/>
                    <w:rPr>
                      <w:color w:val="auto"/>
                      <w:szCs w:val="21"/>
                      <w:highlight w:val="none"/>
                    </w:rPr>
                  </w:pPr>
                  <w:r>
                    <w:rPr>
                      <w:color w:val="auto"/>
                      <w:szCs w:val="21"/>
                      <w:highlight w:val="none"/>
                    </w:rPr>
                    <w:t>200</w:t>
                  </w:r>
                  <w:r>
                    <w:rPr>
                      <w:rFonts w:hint="default" w:ascii="Times New Roman" w:hAnsi="Times New Roman" w:cs="Times New Roman"/>
                      <w:color w:val="auto"/>
                      <w:szCs w:val="21"/>
                      <w:highlight w:val="none"/>
                      <w:lang w:eastAsia="zh-CN"/>
                    </w:rPr>
                    <w:t>μ</w:t>
                  </w:r>
                  <w:r>
                    <w:rPr>
                      <w:color w:val="auto"/>
                      <w:szCs w:val="21"/>
                      <w:highlight w:val="none"/>
                    </w:rPr>
                    <w:t>g/m</w:t>
                  </w:r>
                  <w:r>
                    <w:rPr>
                      <w:color w:val="auto"/>
                      <w:szCs w:val="21"/>
                      <w:highlight w:val="none"/>
                      <w:vertAlign w:val="superscript"/>
                    </w:rPr>
                    <w:t>3</w:t>
                  </w:r>
                </w:p>
              </w:tc>
              <w:tc>
                <w:tcPr>
                  <w:tcW w:w="2050" w:type="dxa"/>
                  <w:vMerge w:val="continue"/>
                  <w:vAlign w:val="center"/>
                </w:tcPr>
                <w:p>
                  <w:pPr>
                    <w:pStyle w:val="43"/>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Merge w:val="continue"/>
                  <w:vAlign w:val="center"/>
                </w:tcPr>
                <w:p>
                  <w:pPr>
                    <w:pStyle w:val="43"/>
                    <w:rPr>
                      <w:color w:val="auto"/>
                      <w:szCs w:val="21"/>
                      <w:highlight w:val="none"/>
                    </w:rPr>
                  </w:pPr>
                </w:p>
              </w:tc>
              <w:tc>
                <w:tcPr>
                  <w:tcW w:w="1666" w:type="dxa"/>
                  <w:vAlign w:val="center"/>
                </w:tcPr>
                <w:p>
                  <w:pPr>
                    <w:pStyle w:val="43"/>
                    <w:rPr>
                      <w:color w:val="auto"/>
                      <w:szCs w:val="21"/>
                      <w:highlight w:val="none"/>
                    </w:rPr>
                  </w:pPr>
                  <w:r>
                    <w:rPr>
                      <w:color w:val="auto"/>
                      <w:szCs w:val="21"/>
                      <w:highlight w:val="none"/>
                    </w:rPr>
                    <w:t>24小时平均</w:t>
                  </w:r>
                </w:p>
              </w:tc>
              <w:tc>
                <w:tcPr>
                  <w:tcW w:w="1663" w:type="dxa"/>
                  <w:vAlign w:val="center"/>
                </w:tcPr>
                <w:p>
                  <w:pPr>
                    <w:pStyle w:val="43"/>
                    <w:rPr>
                      <w:color w:val="auto"/>
                      <w:szCs w:val="21"/>
                      <w:highlight w:val="none"/>
                    </w:rPr>
                  </w:pPr>
                  <w:r>
                    <w:rPr>
                      <w:color w:val="auto"/>
                      <w:szCs w:val="21"/>
                      <w:highlight w:val="none"/>
                    </w:rPr>
                    <w:t>300</w:t>
                  </w:r>
                  <w:r>
                    <w:rPr>
                      <w:rFonts w:hint="default" w:ascii="Times New Roman" w:hAnsi="Times New Roman" w:cs="Times New Roman"/>
                      <w:color w:val="auto"/>
                      <w:szCs w:val="21"/>
                      <w:highlight w:val="none"/>
                      <w:lang w:eastAsia="zh-CN"/>
                    </w:rPr>
                    <w:t>μ</w:t>
                  </w:r>
                  <w:r>
                    <w:rPr>
                      <w:color w:val="auto"/>
                      <w:szCs w:val="21"/>
                      <w:highlight w:val="none"/>
                    </w:rPr>
                    <w:t>g/m</w:t>
                  </w:r>
                  <w:r>
                    <w:rPr>
                      <w:color w:val="auto"/>
                      <w:szCs w:val="21"/>
                      <w:highlight w:val="none"/>
                      <w:vertAlign w:val="superscript"/>
                    </w:rPr>
                    <w:t>3</w:t>
                  </w:r>
                </w:p>
              </w:tc>
              <w:tc>
                <w:tcPr>
                  <w:tcW w:w="2050" w:type="dxa"/>
                  <w:vMerge w:val="continue"/>
                  <w:vAlign w:val="center"/>
                </w:tcPr>
                <w:p>
                  <w:pPr>
                    <w:pStyle w:val="43"/>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Merge w:val="restart"/>
                  <w:vAlign w:val="center"/>
                </w:tcPr>
                <w:p>
                  <w:pPr>
                    <w:pStyle w:val="43"/>
                    <w:rPr>
                      <w:color w:val="auto"/>
                      <w:szCs w:val="21"/>
                      <w:highlight w:val="none"/>
                    </w:rPr>
                  </w:pPr>
                  <w:r>
                    <w:rPr>
                      <w:color w:val="auto"/>
                      <w:szCs w:val="21"/>
                      <w:highlight w:val="none"/>
                    </w:rPr>
                    <w:t>氮氧化物（NO</w:t>
                  </w:r>
                  <w:r>
                    <w:rPr>
                      <w:color w:val="auto"/>
                      <w:szCs w:val="21"/>
                      <w:highlight w:val="none"/>
                      <w:vertAlign w:val="subscript"/>
                    </w:rPr>
                    <w:t>X</w:t>
                  </w:r>
                  <w:r>
                    <w:rPr>
                      <w:color w:val="auto"/>
                      <w:szCs w:val="21"/>
                      <w:highlight w:val="none"/>
                    </w:rPr>
                    <w:t>）</w:t>
                  </w:r>
                </w:p>
              </w:tc>
              <w:tc>
                <w:tcPr>
                  <w:tcW w:w="1666" w:type="dxa"/>
                  <w:vAlign w:val="center"/>
                </w:tcPr>
                <w:p>
                  <w:pPr>
                    <w:pStyle w:val="43"/>
                    <w:rPr>
                      <w:color w:val="auto"/>
                      <w:szCs w:val="21"/>
                      <w:highlight w:val="none"/>
                    </w:rPr>
                  </w:pPr>
                  <w:r>
                    <w:rPr>
                      <w:color w:val="auto"/>
                      <w:szCs w:val="21"/>
                      <w:highlight w:val="none"/>
                    </w:rPr>
                    <w:t>年平均</w:t>
                  </w:r>
                </w:p>
              </w:tc>
              <w:tc>
                <w:tcPr>
                  <w:tcW w:w="1663" w:type="dxa"/>
                  <w:vAlign w:val="center"/>
                </w:tcPr>
                <w:p>
                  <w:pPr>
                    <w:pStyle w:val="43"/>
                    <w:rPr>
                      <w:color w:val="auto"/>
                      <w:szCs w:val="21"/>
                      <w:highlight w:val="none"/>
                    </w:rPr>
                  </w:pPr>
                  <w:r>
                    <w:rPr>
                      <w:color w:val="auto"/>
                      <w:szCs w:val="21"/>
                      <w:highlight w:val="none"/>
                    </w:rPr>
                    <w:t>50</w:t>
                  </w:r>
                  <w:r>
                    <w:rPr>
                      <w:rFonts w:hint="default" w:ascii="Times New Roman" w:hAnsi="Times New Roman" w:cs="Times New Roman"/>
                      <w:color w:val="auto"/>
                      <w:szCs w:val="21"/>
                      <w:highlight w:val="none"/>
                      <w:lang w:eastAsia="zh-CN"/>
                    </w:rPr>
                    <w:t>μ</w:t>
                  </w:r>
                  <w:r>
                    <w:rPr>
                      <w:color w:val="auto"/>
                      <w:szCs w:val="21"/>
                      <w:highlight w:val="none"/>
                    </w:rPr>
                    <w:t>g/m</w:t>
                  </w:r>
                  <w:r>
                    <w:rPr>
                      <w:color w:val="auto"/>
                      <w:szCs w:val="21"/>
                      <w:highlight w:val="none"/>
                      <w:vertAlign w:val="superscript"/>
                    </w:rPr>
                    <w:t>3</w:t>
                  </w:r>
                </w:p>
              </w:tc>
              <w:tc>
                <w:tcPr>
                  <w:tcW w:w="2050" w:type="dxa"/>
                  <w:vMerge w:val="continue"/>
                  <w:vAlign w:val="center"/>
                </w:tcPr>
                <w:p>
                  <w:pPr>
                    <w:pStyle w:val="43"/>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Merge w:val="continue"/>
                  <w:vAlign w:val="center"/>
                </w:tcPr>
                <w:p>
                  <w:pPr>
                    <w:pStyle w:val="43"/>
                    <w:rPr>
                      <w:color w:val="auto"/>
                      <w:szCs w:val="21"/>
                      <w:highlight w:val="none"/>
                    </w:rPr>
                  </w:pPr>
                </w:p>
              </w:tc>
              <w:tc>
                <w:tcPr>
                  <w:tcW w:w="1666" w:type="dxa"/>
                  <w:vAlign w:val="center"/>
                </w:tcPr>
                <w:p>
                  <w:pPr>
                    <w:pStyle w:val="43"/>
                    <w:rPr>
                      <w:color w:val="auto"/>
                      <w:szCs w:val="21"/>
                      <w:highlight w:val="none"/>
                    </w:rPr>
                  </w:pPr>
                  <w:r>
                    <w:rPr>
                      <w:color w:val="auto"/>
                      <w:szCs w:val="21"/>
                      <w:highlight w:val="none"/>
                    </w:rPr>
                    <w:t>24小时平均</w:t>
                  </w:r>
                </w:p>
              </w:tc>
              <w:tc>
                <w:tcPr>
                  <w:tcW w:w="1663" w:type="dxa"/>
                  <w:vAlign w:val="center"/>
                </w:tcPr>
                <w:p>
                  <w:pPr>
                    <w:pStyle w:val="43"/>
                    <w:rPr>
                      <w:color w:val="auto"/>
                      <w:szCs w:val="21"/>
                      <w:highlight w:val="none"/>
                    </w:rPr>
                  </w:pPr>
                  <w:r>
                    <w:rPr>
                      <w:color w:val="auto"/>
                      <w:szCs w:val="21"/>
                      <w:highlight w:val="none"/>
                    </w:rPr>
                    <w:t>100</w:t>
                  </w:r>
                  <w:r>
                    <w:rPr>
                      <w:rFonts w:hint="default" w:ascii="Times New Roman" w:hAnsi="Times New Roman" w:cs="Times New Roman"/>
                      <w:color w:val="auto"/>
                      <w:szCs w:val="21"/>
                      <w:highlight w:val="none"/>
                      <w:lang w:eastAsia="zh-CN"/>
                    </w:rPr>
                    <w:t>μ</w:t>
                  </w:r>
                  <w:r>
                    <w:rPr>
                      <w:color w:val="auto"/>
                      <w:szCs w:val="21"/>
                      <w:highlight w:val="none"/>
                    </w:rPr>
                    <w:t>g/m</w:t>
                  </w:r>
                  <w:r>
                    <w:rPr>
                      <w:color w:val="auto"/>
                      <w:szCs w:val="21"/>
                      <w:highlight w:val="none"/>
                      <w:vertAlign w:val="superscript"/>
                    </w:rPr>
                    <w:t>3</w:t>
                  </w:r>
                </w:p>
              </w:tc>
              <w:tc>
                <w:tcPr>
                  <w:tcW w:w="2050" w:type="dxa"/>
                  <w:vMerge w:val="continue"/>
                  <w:vAlign w:val="center"/>
                </w:tcPr>
                <w:p>
                  <w:pPr>
                    <w:pStyle w:val="43"/>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Merge w:val="continue"/>
                  <w:vAlign w:val="center"/>
                </w:tcPr>
                <w:p>
                  <w:pPr>
                    <w:pStyle w:val="43"/>
                    <w:rPr>
                      <w:color w:val="auto"/>
                      <w:szCs w:val="21"/>
                      <w:highlight w:val="none"/>
                    </w:rPr>
                  </w:pPr>
                </w:p>
              </w:tc>
              <w:tc>
                <w:tcPr>
                  <w:tcW w:w="1666" w:type="dxa"/>
                  <w:vAlign w:val="center"/>
                </w:tcPr>
                <w:p>
                  <w:pPr>
                    <w:pStyle w:val="43"/>
                    <w:rPr>
                      <w:color w:val="auto"/>
                      <w:szCs w:val="21"/>
                      <w:highlight w:val="none"/>
                    </w:rPr>
                  </w:pPr>
                  <w:r>
                    <w:rPr>
                      <w:color w:val="auto"/>
                      <w:szCs w:val="21"/>
                      <w:highlight w:val="none"/>
                    </w:rPr>
                    <w:t>1小时平均</w:t>
                  </w:r>
                </w:p>
              </w:tc>
              <w:tc>
                <w:tcPr>
                  <w:tcW w:w="1663" w:type="dxa"/>
                  <w:vAlign w:val="center"/>
                </w:tcPr>
                <w:p>
                  <w:pPr>
                    <w:pStyle w:val="43"/>
                    <w:rPr>
                      <w:color w:val="auto"/>
                      <w:szCs w:val="21"/>
                      <w:highlight w:val="none"/>
                    </w:rPr>
                  </w:pPr>
                  <w:r>
                    <w:rPr>
                      <w:color w:val="auto"/>
                      <w:szCs w:val="21"/>
                      <w:highlight w:val="none"/>
                    </w:rPr>
                    <w:t>250</w:t>
                  </w:r>
                  <w:r>
                    <w:rPr>
                      <w:rFonts w:hint="default" w:ascii="Times New Roman" w:hAnsi="Times New Roman" w:cs="Times New Roman"/>
                      <w:color w:val="auto"/>
                      <w:szCs w:val="21"/>
                      <w:highlight w:val="none"/>
                      <w:lang w:eastAsia="zh-CN"/>
                    </w:rPr>
                    <w:t>μ</w:t>
                  </w:r>
                  <w:r>
                    <w:rPr>
                      <w:color w:val="auto"/>
                      <w:szCs w:val="21"/>
                      <w:highlight w:val="none"/>
                    </w:rPr>
                    <w:t>g/m</w:t>
                  </w:r>
                  <w:r>
                    <w:rPr>
                      <w:color w:val="auto"/>
                      <w:szCs w:val="21"/>
                      <w:highlight w:val="none"/>
                      <w:vertAlign w:val="superscript"/>
                    </w:rPr>
                    <w:t>3</w:t>
                  </w:r>
                </w:p>
              </w:tc>
              <w:tc>
                <w:tcPr>
                  <w:tcW w:w="2050" w:type="dxa"/>
                  <w:vMerge w:val="continue"/>
                  <w:vAlign w:val="center"/>
                </w:tcPr>
                <w:p>
                  <w:pPr>
                    <w:pStyle w:val="43"/>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58" w:type="dxa"/>
                  <w:vAlign w:val="center"/>
                </w:tcPr>
                <w:p>
                  <w:pPr>
                    <w:pStyle w:val="43"/>
                    <w:rPr>
                      <w:color w:val="auto"/>
                      <w:szCs w:val="21"/>
                      <w:highlight w:val="none"/>
                    </w:rPr>
                  </w:pPr>
                  <w:r>
                    <w:rPr>
                      <w:color w:val="auto"/>
                      <w:szCs w:val="21"/>
                      <w:highlight w:val="none"/>
                    </w:rPr>
                    <w:t>非甲烷总烃</w:t>
                  </w:r>
                </w:p>
              </w:tc>
              <w:tc>
                <w:tcPr>
                  <w:tcW w:w="1666" w:type="dxa"/>
                  <w:vAlign w:val="center"/>
                </w:tcPr>
                <w:p>
                  <w:pPr>
                    <w:pStyle w:val="43"/>
                    <w:rPr>
                      <w:color w:val="auto"/>
                      <w:szCs w:val="21"/>
                      <w:highlight w:val="none"/>
                    </w:rPr>
                  </w:pPr>
                  <w:r>
                    <w:rPr>
                      <w:rFonts w:hint="eastAsia"/>
                      <w:color w:val="auto"/>
                      <w:szCs w:val="21"/>
                      <w:highlight w:val="none"/>
                      <w:lang w:val="en-US" w:eastAsia="zh-CN"/>
                    </w:rPr>
                    <w:t>1</w:t>
                  </w:r>
                  <w:r>
                    <w:rPr>
                      <w:color w:val="auto"/>
                      <w:szCs w:val="21"/>
                      <w:highlight w:val="none"/>
                    </w:rPr>
                    <w:t>小时平均</w:t>
                  </w:r>
                </w:p>
              </w:tc>
              <w:tc>
                <w:tcPr>
                  <w:tcW w:w="1663" w:type="dxa"/>
                  <w:vAlign w:val="center"/>
                </w:tcPr>
                <w:p>
                  <w:pPr>
                    <w:pStyle w:val="43"/>
                    <w:rPr>
                      <w:color w:val="auto"/>
                      <w:szCs w:val="21"/>
                      <w:highlight w:val="none"/>
                    </w:rPr>
                  </w:pPr>
                  <w:r>
                    <w:rPr>
                      <w:rFonts w:hint="eastAsia"/>
                      <w:bCs/>
                      <w:color w:val="auto"/>
                      <w:szCs w:val="21"/>
                      <w:highlight w:val="none"/>
                      <w:lang w:val="en-US" w:eastAsia="zh-CN"/>
                    </w:rPr>
                    <w:t>2</w:t>
                  </w:r>
                  <w:r>
                    <w:rPr>
                      <w:rFonts w:hint="eastAsia" w:cs="Times New Roman"/>
                      <w:color w:val="auto"/>
                      <w:szCs w:val="21"/>
                      <w:highlight w:val="none"/>
                      <w:lang w:val="en-US" w:eastAsia="zh-CN"/>
                    </w:rPr>
                    <w:t>m</w:t>
                  </w:r>
                  <w:r>
                    <w:rPr>
                      <w:bCs/>
                      <w:color w:val="auto"/>
                      <w:szCs w:val="21"/>
                      <w:highlight w:val="none"/>
                    </w:rPr>
                    <w:t>g/m</w:t>
                  </w:r>
                  <w:r>
                    <w:rPr>
                      <w:bCs/>
                      <w:color w:val="auto"/>
                      <w:szCs w:val="21"/>
                      <w:highlight w:val="none"/>
                      <w:vertAlign w:val="superscript"/>
                    </w:rPr>
                    <w:t>3</w:t>
                  </w:r>
                </w:p>
              </w:tc>
              <w:tc>
                <w:tcPr>
                  <w:tcW w:w="2050" w:type="dxa"/>
                  <w:vAlign w:val="center"/>
                </w:tcPr>
                <w:p>
                  <w:pPr>
                    <w:pStyle w:val="43"/>
                    <w:rPr>
                      <w:color w:val="auto"/>
                      <w:szCs w:val="21"/>
                      <w:highlight w:val="none"/>
                    </w:rPr>
                  </w:pPr>
                  <w:r>
                    <w:rPr>
                      <w:color w:val="auto"/>
                      <w:highlight w:val="none"/>
                    </w:rPr>
                    <w:t>《</w:t>
                  </w:r>
                  <w:r>
                    <w:rPr>
                      <w:rFonts w:hint="eastAsia"/>
                      <w:color w:val="auto"/>
                      <w:highlight w:val="none"/>
                      <w:lang w:eastAsia="zh-CN"/>
                    </w:rPr>
                    <w:t>环境影响评价技术导则</w:t>
                  </w:r>
                  <w:r>
                    <w:rPr>
                      <w:rFonts w:hint="eastAsia"/>
                      <w:color w:val="auto"/>
                      <w:highlight w:val="none"/>
                      <w:lang w:val="en-US" w:eastAsia="zh-CN"/>
                    </w:rPr>
                    <w:t xml:space="preserve"> 大气环境</w:t>
                  </w:r>
                  <w:r>
                    <w:rPr>
                      <w:color w:val="auto"/>
                      <w:highlight w:val="none"/>
                    </w:rPr>
                    <w:t>》</w:t>
                  </w:r>
                  <w:r>
                    <w:rPr>
                      <w:rFonts w:hint="eastAsia"/>
                      <w:color w:val="auto"/>
                      <w:highlight w:val="none"/>
                      <w:lang w:eastAsia="zh-CN"/>
                    </w:rPr>
                    <w:t>（</w:t>
                  </w:r>
                  <w:r>
                    <w:rPr>
                      <w:rFonts w:hint="eastAsia"/>
                      <w:color w:val="auto"/>
                      <w:highlight w:val="none"/>
                      <w:lang w:val="en-US" w:eastAsia="zh-CN"/>
                    </w:rPr>
                    <w:t>HJ2.2-2018）附录D</w:t>
                  </w:r>
                </w:p>
              </w:tc>
            </w:tr>
          </w:tbl>
          <w:p>
            <w:pPr>
              <w:rPr>
                <w:color w:val="auto"/>
                <w:highlight w:val="none"/>
              </w:rPr>
            </w:pPr>
          </w:p>
          <w:p>
            <w:pPr>
              <w:pStyle w:val="42"/>
              <w:rPr>
                <w:color w:val="auto"/>
                <w:highlight w:val="none"/>
              </w:rPr>
            </w:pPr>
            <w:r>
              <w:rPr>
                <w:rFonts w:hint="eastAsia"/>
                <w:color w:val="auto"/>
                <w:highlight w:val="none"/>
                <w:lang w:val="en-US"/>
              </w:rPr>
              <w:t>（2）环境质量现状</w:t>
            </w:r>
          </w:p>
          <w:p>
            <w:pPr>
              <w:pStyle w:val="42"/>
              <w:rPr>
                <w:color w:val="auto"/>
                <w:highlight w:val="none"/>
                <w:lang w:val="en-US"/>
              </w:rPr>
            </w:pPr>
            <w:r>
              <w:rPr>
                <w:rFonts w:hint="eastAsia"/>
                <w:color w:val="auto"/>
                <w:highlight w:val="none"/>
                <w:lang w:val="en-US"/>
              </w:rPr>
              <w:t>1）项目所在区域达标判断</w:t>
            </w:r>
          </w:p>
          <w:p>
            <w:pPr>
              <w:pStyle w:val="42"/>
              <w:rPr>
                <w:color w:val="auto"/>
                <w:highlight w:val="none"/>
              </w:rPr>
            </w:pPr>
            <w:r>
              <w:rPr>
                <w:rFonts w:hint="eastAsia"/>
                <w:color w:val="auto"/>
                <w:highlight w:val="none"/>
              </w:rPr>
              <w:t>城市环境空气质量达标情况评价指标为SO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2</w:t>
            </w:r>
            <w:r>
              <w:rPr>
                <w:rFonts w:hint="eastAsia"/>
                <w:color w:val="auto"/>
                <w:highlight w:val="none"/>
              </w:rPr>
              <w:t>、PM</w:t>
            </w:r>
            <w:r>
              <w:rPr>
                <w:rFonts w:hint="eastAsia"/>
                <w:color w:val="auto"/>
                <w:highlight w:val="none"/>
                <w:vertAlign w:val="subscript"/>
              </w:rPr>
              <w:t>10</w:t>
            </w:r>
            <w:r>
              <w:rPr>
                <w:rFonts w:hint="eastAsia"/>
                <w:color w:val="auto"/>
                <w:highlight w:val="none"/>
              </w:rPr>
              <w:t>、PM</w:t>
            </w:r>
            <w:r>
              <w:rPr>
                <w:rFonts w:hint="eastAsia"/>
                <w:color w:val="auto"/>
                <w:highlight w:val="none"/>
                <w:vertAlign w:val="subscript"/>
              </w:rPr>
              <w:t>2.5</w:t>
            </w:r>
            <w:r>
              <w:rPr>
                <w:rFonts w:hint="eastAsia"/>
                <w:color w:val="auto"/>
                <w:highlight w:val="none"/>
              </w:rPr>
              <w:t>、CO和O</w:t>
            </w:r>
            <w:r>
              <w:rPr>
                <w:rFonts w:hint="eastAsia"/>
                <w:color w:val="auto"/>
                <w:highlight w:val="none"/>
                <w:vertAlign w:val="subscript"/>
              </w:rPr>
              <w:t>3</w:t>
            </w:r>
            <w:r>
              <w:rPr>
                <w:rFonts w:hint="eastAsia"/>
                <w:color w:val="auto"/>
                <w:highlight w:val="none"/>
              </w:rPr>
              <w:t>，六项污染物全部达标即为城市环境空气质量达标。根据国家或地方生态环境主管部门公开发布的城市环境空气质量达标情况，判断项目所在区域是否属于达标区。</w:t>
            </w:r>
          </w:p>
          <w:p>
            <w:pPr>
              <w:pStyle w:val="42"/>
              <w:rPr>
                <w:color w:val="auto"/>
                <w:highlight w:val="none"/>
                <w:lang w:val="en-US"/>
              </w:rPr>
            </w:pPr>
            <w:r>
              <w:rPr>
                <w:rFonts w:hint="eastAsia"/>
                <w:color w:val="auto"/>
                <w:highlight w:val="none"/>
                <w:lang w:val="en-US"/>
              </w:rPr>
              <w:t>根据福建省生态环境厅发布的202</w:t>
            </w:r>
            <w:r>
              <w:rPr>
                <w:rFonts w:hint="eastAsia"/>
                <w:color w:val="auto"/>
                <w:highlight w:val="none"/>
                <w:lang w:val="en-US" w:eastAsia="zh-CN"/>
              </w:rPr>
              <w:t>2</w:t>
            </w:r>
            <w:r>
              <w:rPr>
                <w:rFonts w:hint="eastAsia"/>
                <w:color w:val="auto"/>
                <w:highlight w:val="none"/>
                <w:lang w:val="en-US"/>
              </w:rPr>
              <w:t>年福建省</w:t>
            </w:r>
            <w:r>
              <w:rPr>
                <w:rFonts w:hint="eastAsia"/>
                <w:color w:val="auto"/>
                <w:highlight w:val="none"/>
                <w:lang w:val="en-US" w:eastAsia="zh-CN"/>
              </w:rPr>
              <w:t>生态环境状况公报</w:t>
            </w:r>
            <w:r>
              <w:rPr>
                <w:rFonts w:hint="eastAsia"/>
                <w:color w:val="auto"/>
                <w:highlight w:val="none"/>
                <w:lang w:val="en-US"/>
              </w:rPr>
              <w:t>，202</w:t>
            </w:r>
            <w:r>
              <w:rPr>
                <w:rFonts w:hint="eastAsia"/>
                <w:color w:val="auto"/>
                <w:highlight w:val="none"/>
                <w:lang w:val="en-US" w:eastAsia="zh-CN"/>
              </w:rPr>
              <w:t>2</w:t>
            </w:r>
            <w:r>
              <w:rPr>
                <w:rFonts w:hint="eastAsia"/>
                <w:color w:val="auto"/>
                <w:highlight w:val="none"/>
                <w:lang w:val="en-US"/>
              </w:rPr>
              <w:t>年，福州市</w:t>
            </w:r>
            <w:r>
              <w:rPr>
                <w:rFonts w:hint="eastAsia"/>
                <w:color w:val="auto"/>
                <w:highlight w:val="none"/>
                <w:lang w:val="en-US" w:eastAsia="zh-CN"/>
              </w:rPr>
              <w:t>环境空气质量指标为优良</w:t>
            </w:r>
            <w:r>
              <w:rPr>
                <w:rFonts w:hint="eastAsia"/>
                <w:color w:val="auto"/>
                <w:highlight w:val="none"/>
                <w:lang w:val="en-US"/>
              </w:rPr>
              <w:t>天数</w:t>
            </w:r>
            <w:r>
              <w:rPr>
                <w:rFonts w:hint="eastAsia"/>
                <w:color w:val="auto"/>
                <w:highlight w:val="none"/>
                <w:lang w:val="en-US" w:eastAsia="zh-CN"/>
              </w:rPr>
              <w:t>的</w:t>
            </w:r>
            <w:r>
              <w:rPr>
                <w:rFonts w:hint="eastAsia"/>
                <w:color w:val="auto"/>
                <w:highlight w:val="none"/>
                <w:lang w:val="en-US"/>
              </w:rPr>
              <w:t>比例在</w:t>
            </w:r>
            <w:r>
              <w:rPr>
                <w:rFonts w:hint="eastAsia"/>
                <w:color w:val="auto"/>
                <w:highlight w:val="none"/>
                <w:lang w:val="en-US" w:eastAsia="zh-CN"/>
              </w:rPr>
              <w:t>97.5</w:t>
            </w:r>
            <w:r>
              <w:rPr>
                <w:rFonts w:hint="eastAsia"/>
                <w:color w:val="auto"/>
                <w:highlight w:val="none"/>
                <w:lang w:val="en-US"/>
              </w:rPr>
              <w:t>%，环境空气质量综合指数在2.5</w:t>
            </w:r>
            <w:r>
              <w:rPr>
                <w:rFonts w:hint="eastAsia"/>
                <w:color w:val="auto"/>
                <w:highlight w:val="none"/>
                <w:lang w:val="en-US" w:eastAsia="zh-CN"/>
              </w:rPr>
              <w:t>1</w:t>
            </w:r>
            <w:r>
              <w:rPr>
                <w:rFonts w:hint="eastAsia"/>
                <w:color w:val="auto"/>
                <w:highlight w:val="none"/>
                <w:lang w:val="en-US"/>
              </w:rPr>
              <w:t>。由此可知，福州市城区环境空气质量总体达到二级标准，闽侯县属于达标区域。</w:t>
            </w:r>
          </w:p>
          <w:p>
            <w:pPr>
              <w:pStyle w:val="42"/>
              <w:rPr>
                <w:color w:val="auto"/>
                <w:highlight w:val="none"/>
                <w:lang w:val="en-US"/>
              </w:rPr>
            </w:pPr>
            <w:r>
              <w:rPr>
                <w:rFonts w:hint="eastAsia"/>
                <w:color w:val="auto"/>
                <w:highlight w:val="none"/>
                <w:lang w:val="en-US"/>
              </w:rPr>
              <w:t>2）环境空气质量现状</w:t>
            </w:r>
          </w:p>
          <w:p>
            <w:pPr>
              <w:pStyle w:val="42"/>
              <w:rPr>
                <w:color w:val="auto"/>
                <w:highlight w:val="none"/>
                <w:lang w:val="en-US"/>
              </w:rPr>
            </w:pPr>
            <w:r>
              <w:rPr>
                <w:rFonts w:hint="eastAsia"/>
                <w:color w:val="auto"/>
                <w:highlight w:val="none"/>
              </w:rPr>
              <w:t>①</w:t>
            </w:r>
            <w:r>
              <w:rPr>
                <w:color w:val="auto"/>
                <w:highlight w:val="none"/>
              </w:rPr>
              <w:t>基本污染因子</w:t>
            </w:r>
          </w:p>
          <w:p>
            <w:pPr>
              <w:pStyle w:val="42"/>
              <w:rPr>
                <w:color w:val="auto"/>
                <w:highlight w:val="none"/>
              </w:rPr>
            </w:pPr>
            <w:r>
              <w:rPr>
                <w:rFonts w:hint="eastAsia"/>
                <w:color w:val="auto"/>
                <w:highlight w:val="none"/>
              </w:rPr>
              <w:t>闽侯县202</w:t>
            </w:r>
            <w:r>
              <w:rPr>
                <w:rFonts w:hint="eastAsia"/>
                <w:color w:val="auto"/>
                <w:highlight w:val="none"/>
                <w:lang w:val="en-US" w:eastAsia="zh-CN"/>
              </w:rPr>
              <w:t>3</w:t>
            </w:r>
            <w:r>
              <w:rPr>
                <w:rFonts w:hint="eastAsia"/>
                <w:color w:val="auto"/>
                <w:highlight w:val="none"/>
              </w:rPr>
              <w:t>年</w:t>
            </w:r>
            <w:r>
              <w:rPr>
                <w:rFonts w:hint="eastAsia"/>
                <w:color w:val="auto"/>
                <w:highlight w:val="none"/>
                <w:lang w:val="en-US" w:eastAsia="zh-CN"/>
              </w:rPr>
              <w:t>8</w:t>
            </w:r>
            <w:r>
              <w:rPr>
                <w:rFonts w:hint="eastAsia"/>
                <w:color w:val="auto"/>
                <w:highlight w:val="none"/>
              </w:rPr>
              <w:t>月份县城空气质量SO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2</w:t>
            </w:r>
            <w:r>
              <w:rPr>
                <w:rFonts w:hint="eastAsia"/>
                <w:color w:val="auto"/>
                <w:highlight w:val="none"/>
              </w:rPr>
              <w:t>、PM</w:t>
            </w:r>
            <w:r>
              <w:rPr>
                <w:rFonts w:hint="eastAsia"/>
                <w:color w:val="auto"/>
                <w:highlight w:val="none"/>
                <w:vertAlign w:val="subscript"/>
              </w:rPr>
              <w:t>10</w:t>
            </w:r>
            <w:r>
              <w:rPr>
                <w:rFonts w:hint="eastAsia"/>
                <w:color w:val="auto"/>
                <w:highlight w:val="none"/>
              </w:rPr>
              <w:t>、CO、O</w:t>
            </w:r>
            <w:r>
              <w:rPr>
                <w:rFonts w:hint="eastAsia"/>
                <w:color w:val="auto"/>
                <w:highlight w:val="none"/>
                <w:vertAlign w:val="subscript"/>
              </w:rPr>
              <w:t>3</w:t>
            </w:r>
            <w:r>
              <w:rPr>
                <w:rFonts w:hint="eastAsia"/>
                <w:color w:val="auto"/>
                <w:highlight w:val="none"/>
              </w:rPr>
              <w:t>、PM</w:t>
            </w:r>
            <w:r>
              <w:rPr>
                <w:rFonts w:hint="eastAsia"/>
                <w:color w:val="auto"/>
                <w:highlight w:val="none"/>
                <w:vertAlign w:val="subscript"/>
              </w:rPr>
              <w:t>2.5</w:t>
            </w:r>
            <w:r>
              <w:rPr>
                <w:rFonts w:hint="eastAsia"/>
                <w:color w:val="auto"/>
                <w:highlight w:val="none"/>
              </w:rPr>
              <w:t>等6项污染物浓度指标的24小时均值（其中O</w:t>
            </w:r>
            <w:r>
              <w:rPr>
                <w:rFonts w:hint="eastAsia"/>
                <w:color w:val="auto"/>
                <w:highlight w:val="none"/>
                <w:vertAlign w:val="subscript"/>
              </w:rPr>
              <w:t>3</w:t>
            </w:r>
            <w:r>
              <w:rPr>
                <w:rFonts w:hint="eastAsia"/>
                <w:color w:val="auto"/>
                <w:highlight w:val="none"/>
              </w:rPr>
              <w:t>为日最大8小时平均）达到国家环境空气质量标准（GB 3095-2012）一级水平。</w:t>
            </w:r>
          </w:p>
          <w:p>
            <w:pPr>
              <w:pStyle w:val="42"/>
              <w:rPr>
                <w:color w:val="auto"/>
                <w:highlight w:val="none"/>
              </w:rPr>
            </w:pPr>
            <w:r>
              <w:rPr>
                <w:color w:val="auto"/>
                <w:highlight w:val="none"/>
              </w:rPr>
              <w:t>根据《环境影响评价技术导则</w:t>
            </w:r>
            <w:r>
              <w:rPr>
                <w:color w:val="auto"/>
                <w:highlight w:val="none"/>
                <w:lang w:val="en-US"/>
              </w:rPr>
              <w:t xml:space="preserve"> </w:t>
            </w:r>
            <w:r>
              <w:rPr>
                <w:color w:val="auto"/>
                <w:highlight w:val="none"/>
              </w:rPr>
              <w:t>大气环境》(HJ2.2-2018)的</w:t>
            </w:r>
            <w:r>
              <w:rPr>
                <w:color w:val="auto"/>
                <w:highlight w:val="none"/>
                <w:lang w:val="en-US"/>
              </w:rPr>
              <w:t>6.2.1.2</w:t>
            </w:r>
            <w:r>
              <w:rPr>
                <w:color w:val="auto"/>
                <w:highlight w:val="none"/>
              </w:rPr>
              <w:t>要求：</w:t>
            </w:r>
            <w:r>
              <w:rPr>
                <w:rFonts w:hint="eastAsia"/>
                <w:color w:val="auto"/>
                <w:highlight w:val="none"/>
              </w:rPr>
              <w:t>“</w:t>
            </w:r>
            <w:r>
              <w:rPr>
                <w:color w:val="auto"/>
                <w:highlight w:val="none"/>
              </w:rPr>
              <w:t>大气环境质量现状调查可采用评价范围内国家或地方环境空气质量监测网中评价基准年连续</w:t>
            </w:r>
            <w:r>
              <w:rPr>
                <w:color w:val="auto"/>
                <w:highlight w:val="none"/>
                <w:lang w:val="en-US"/>
              </w:rPr>
              <w:t>1年的监测数据，或采用生态环境主管部门发布的环境空气质量现状数据</w:t>
            </w:r>
            <w:r>
              <w:rPr>
                <w:rFonts w:hint="eastAsia"/>
                <w:color w:val="auto"/>
                <w:highlight w:val="none"/>
              </w:rPr>
              <w:t>”</w:t>
            </w:r>
            <w:r>
              <w:rPr>
                <w:color w:val="auto"/>
                <w:highlight w:val="none"/>
              </w:rPr>
              <w:t>，本</w:t>
            </w:r>
            <w:r>
              <w:rPr>
                <w:rFonts w:hint="eastAsia"/>
                <w:color w:val="auto"/>
                <w:highlight w:val="none"/>
              </w:rPr>
              <w:t>次</w:t>
            </w:r>
            <w:r>
              <w:rPr>
                <w:color w:val="auto"/>
                <w:highlight w:val="none"/>
              </w:rPr>
              <w:t>评价选取福州闽侯县人民政府网址发布环境空气质量环境状况信息，符合《环境影响评价技术导则</w:t>
            </w:r>
            <w:r>
              <w:rPr>
                <w:color w:val="auto"/>
                <w:highlight w:val="none"/>
                <w:lang w:val="en-US"/>
              </w:rPr>
              <w:t xml:space="preserve"> </w:t>
            </w:r>
            <w:r>
              <w:rPr>
                <w:color w:val="auto"/>
                <w:highlight w:val="none"/>
              </w:rPr>
              <w:t>大气环境》</w:t>
            </w:r>
            <w:r>
              <w:rPr>
                <w:rFonts w:hint="eastAsia"/>
                <w:color w:val="auto"/>
                <w:highlight w:val="none"/>
              </w:rPr>
              <w:t>（</w:t>
            </w:r>
            <w:r>
              <w:rPr>
                <w:color w:val="auto"/>
                <w:highlight w:val="none"/>
              </w:rPr>
              <w:t>HJ2.2-2018</w:t>
            </w:r>
            <w:r>
              <w:rPr>
                <w:rFonts w:hint="eastAsia"/>
                <w:color w:val="auto"/>
                <w:highlight w:val="none"/>
              </w:rPr>
              <w:t>）</w:t>
            </w:r>
            <w:r>
              <w:rPr>
                <w:color w:val="auto"/>
                <w:highlight w:val="none"/>
              </w:rPr>
              <w:t>的要求，环境现状监测数据可行。</w:t>
            </w:r>
          </w:p>
          <w:p>
            <w:pPr>
              <w:pStyle w:val="44"/>
              <w:rPr>
                <w:color w:val="auto"/>
                <w:highlight w:val="none"/>
              </w:rPr>
            </w:pPr>
            <w:r>
              <w:rPr>
                <w:color w:val="auto"/>
              </w:rPr>
              <w:drawing>
                <wp:inline distT="0" distB="0" distL="114300" distR="114300">
                  <wp:extent cx="5420995" cy="3600450"/>
                  <wp:effectExtent l="0" t="0" r="825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4"/>
                          <a:stretch>
                            <a:fillRect/>
                          </a:stretch>
                        </pic:blipFill>
                        <pic:spPr>
                          <a:xfrm>
                            <a:off x="0" y="0"/>
                            <a:ext cx="5420995" cy="3600450"/>
                          </a:xfrm>
                          <a:prstGeom prst="rect">
                            <a:avLst/>
                          </a:prstGeom>
                          <a:noFill/>
                          <a:ln>
                            <a:noFill/>
                          </a:ln>
                        </pic:spPr>
                      </pic:pic>
                    </a:graphicData>
                  </a:graphic>
                </wp:inline>
              </w:drawing>
            </w:r>
          </w:p>
          <w:p>
            <w:pPr>
              <w:pStyle w:val="32"/>
              <w:rPr>
                <w:color w:val="auto"/>
                <w:highlight w:val="none"/>
              </w:rPr>
            </w:pPr>
            <w:r>
              <w:rPr>
                <w:rFonts w:hint="eastAsia"/>
                <w:color w:val="auto"/>
                <w:highlight w:val="none"/>
              </w:rPr>
              <w:t>图3.1-1  闽侯县202</w:t>
            </w:r>
            <w:r>
              <w:rPr>
                <w:rFonts w:hint="eastAsia"/>
                <w:color w:val="auto"/>
                <w:highlight w:val="none"/>
                <w:lang w:val="en-US" w:eastAsia="zh-CN"/>
              </w:rPr>
              <w:t>3</w:t>
            </w:r>
            <w:r>
              <w:rPr>
                <w:rFonts w:hint="eastAsia"/>
                <w:color w:val="auto"/>
                <w:highlight w:val="none"/>
              </w:rPr>
              <w:t>年</w:t>
            </w:r>
            <w:r>
              <w:rPr>
                <w:rFonts w:hint="eastAsia"/>
                <w:color w:val="auto"/>
                <w:highlight w:val="none"/>
                <w:lang w:val="en-US" w:eastAsia="zh-CN"/>
              </w:rPr>
              <w:t>8</w:t>
            </w:r>
            <w:r>
              <w:rPr>
                <w:rFonts w:hint="eastAsia"/>
                <w:color w:val="auto"/>
                <w:highlight w:val="none"/>
              </w:rPr>
              <w:t>月空气质量月报</w:t>
            </w:r>
          </w:p>
          <w:p>
            <w:pPr>
              <w:pStyle w:val="42"/>
              <w:rPr>
                <w:rFonts w:hint="eastAsia"/>
                <w:color w:val="auto"/>
                <w:highlight w:val="none"/>
              </w:rPr>
            </w:pPr>
          </w:p>
          <w:p>
            <w:pPr>
              <w:pStyle w:val="42"/>
              <w:rPr>
                <w:color w:val="auto"/>
                <w:highlight w:val="none"/>
              </w:rPr>
            </w:pPr>
            <w:r>
              <w:rPr>
                <w:rFonts w:hint="eastAsia"/>
                <w:color w:val="auto"/>
                <w:highlight w:val="none"/>
              </w:rPr>
              <w:t>②特征污染</w:t>
            </w:r>
            <w:r>
              <w:rPr>
                <w:color w:val="auto"/>
                <w:highlight w:val="none"/>
              </w:rPr>
              <w:t>因子</w:t>
            </w:r>
          </w:p>
          <w:p>
            <w:pPr>
              <w:pStyle w:val="42"/>
              <w:rPr>
                <w:color w:val="auto"/>
                <w:highlight w:val="none"/>
              </w:rPr>
            </w:pPr>
            <w:r>
              <w:rPr>
                <w:color w:val="auto"/>
                <w:highlight w:val="none"/>
              </w:rPr>
              <w:t>为了解项目所在区域特征因子的大气环境质量现状，本</w:t>
            </w:r>
            <w:r>
              <w:rPr>
                <w:rFonts w:hint="eastAsia"/>
                <w:color w:val="auto"/>
                <w:highlight w:val="none"/>
              </w:rPr>
              <w:t>评价委托福建创投环境检测有限公司于</w:t>
            </w:r>
            <w:r>
              <w:rPr>
                <w:rFonts w:hint="eastAsia"/>
                <w:color w:val="auto"/>
                <w:highlight w:val="none"/>
                <w:lang w:val="en-US"/>
              </w:rPr>
              <w:t>2022年6月10日~6月12日在项目下风向处设置1个监测点位，监测非甲烷总烃。</w:t>
            </w:r>
            <w:r>
              <w:rPr>
                <w:color w:val="auto"/>
                <w:highlight w:val="none"/>
              </w:rPr>
              <w:t>监测</w:t>
            </w:r>
            <w:r>
              <w:rPr>
                <w:rFonts w:hint="eastAsia"/>
                <w:color w:val="auto"/>
                <w:highlight w:val="none"/>
              </w:rPr>
              <w:t>方法与监测</w:t>
            </w:r>
            <w:r>
              <w:rPr>
                <w:color w:val="auto"/>
                <w:highlight w:val="none"/>
              </w:rPr>
              <w:t>结果见表</w:t>
            </w:r>
            <w:r>
              <w:rPr>
                <w:rFonts w:hint="eastAsia"/>
                <w:color w:val="auto"/>
                <w:highlight w:val="none"/>
                <w:lang w:val="en-US"/>
              </w:rPr>
              <w:t>3.1.2~表3.1.3</w:t>
            </w:r>
            <w:r>
              <w:rPr>
                <w:color w:val="auto"/>
                <w:highlight w:val="none"/>
              </w:rPr>
              <w:t>。</w:t>
            </w:r>
            <w:r>
              <w:rPr>
                <w:rFonts w:hint="eastAsia"/>
                <w:color w:val="auto"/>
                <w:highlight w:val="none"/>
              </w:rPr>
              <w:t>监测结果表明，项目所在区域非甲烷总烃低于</w:t>
            </w:r>
            <w:r>
              <w:rPr>
                <w:color w:val="auto"/>
                <w:highlight w:val="none"/>
              </w:rPr>
              <w:t>《</w:t>
            </w:r>
            <w:r>
              <w:rPr>
                <w:rFonts w:hint="eastAsia"/>
                <w:color w:val="auto"/>
                <w:highlight w:val="none"/>
                <w:lang w:eastAsia="zh-CN"/>
              </w:rPr>
              <w:t>环境影响评价技术导则</w:t>
            </w:r>
            <w:r>
              <w:rPr>
                <w:rFonts w:hint="eastAsia"/>
                <w:color w:val="auto"/>
                <w:highlight w:val="none"/>
                <w:lang w:val="en-US" w:eastAsia="zh-CN"/>
              </w:rPr>
              <w:t xml:space="preserve"> 大气环境</w:t>
            </w:r>
            <w:r>
              <w:rPr>
                <w:color w:val="auto"/>
                <w:highlight w:val="none"/>
              </w:rPr>
              <w:t>》</w:t>
            </w:r>
            <w:r>
              <w:rPr>
                <w:rFonts w:hint="eastAsia"/>
                <w:color w:val="auto"/>
                <w:highlight w:val="none"/>
                <w:lang w:eastAsia="zh-CN"/>
              </w:rPr>
              <w:t>（</w:t>
            </w:r>
            <w:r>
              <w:rPr>
                <w:rFonts w:hint="eastAsia"/>
                <w:color w:val="auto"/>
                <w:highlight w:val="none"/>
                <w:lang w:val="en-US" w:eastAsia="zh-CN"/>
              </w:rPr>
              <w:t>HJ2.2-2018）附录D</w:t>
            </w:r>
            <w:r>
              <w:rPr>
                <w:color w:val="auto"/>
                <w:highlight w:val="none"/>
              </w:rPr>
              <w:t>中取值</w:t>
            </w:r>
            <w:r>
              <w:rPr>
                <w:rFonts w:hint="eastAsia"/>
                <w:color w:val="auto"/>
                <w:highlight w:val="none"/>
              </w:rPr>
              <w:t>，</w:t>
            </w:r>
            <w:r>
              <w:rPr>
                <w:color w:val="auto"/>
                <w:highlight w:val="none"/>
              </w:rPr>
              <w:t>能满足环境空气质量功能区要求。</w:t>
            </w:r>
          </w:p>
          <w:p>
            <w:pPr>
              <w:pStyle w:val="42"/>
              <w:rPr>
                <w:color w:val="auto"/>
                <w:highlight w:val="none"/>
                <w:lang w:val="en-US"/>
              </w:rPr>
            </w:pPr>
            <w:r>
              <w:rPr>
                <w:rFonts w:hint="eastAsia"/>
                <w:color w:val="auto"/>
                <w:highlight w:val="none"/>
              </w:rPr>
              <w:t>本次监测点位示意图如图</w:t>
            </w:r>
            <w:r>
              <w:rPr>
                <w:rFonts w:hint="eastAsia"/>
                <w:color w:val="auto"/>
                <w:highlight w:val="none"/>
                <w:lang w:val="en-US"/>
              </w:rPr>
              <w:t>3.1-2所示。</w:t>
            </w:r>
          </w:p>
          <w:p>
            <w:pPr>
              <w:pStyle w:val="32"/>
              <w:rPr>
                <w:color w:val="auto"/>
                <w:highlight w:val="none"/>
              </w:rPr>
            </w:pPr>
            <w:r>
              <w:rPr>
                <w:rFonts w:hint="eastAsia"/>
                <w:color w:val="auto"/>
                <w:highlight w:val="none"/>
              </w:rPr>
              <w:t>表3.1.2 大气环境特征因子监测项目与监测方法</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335"/>
              <w:gridCol w:w="3495"/>
              <w:gridCol w:w="1061"/>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pPr>
                    <w:pStyle w:val="30"/>
                    <w:rPr>
                      <w:color w:val="auto"/>
                      <w:highlight w:val="none"/>
                    </w:rPr>
                  </w:pPr>
                  <w:r>
                    <w:rPr>
                      <w:rFonts w:hint="eastAsia"/>
                      <w:color w:val="auto"/>
                      <w:highlight w:val="none"/>
                    </w:rPr>
                    <w:t>序号</w:t>
                  </w:r>
                </w:p>
              </w:tc>
              <w:tc>
                <w:tcPr>
                  <w:tcW w:w="1335" w:type="dxa"/>
                  <w:vAlign w:val="center"/>
                </w:tcPr>
                <w:p>
                  <w:pPr>
                    <w:pStyle w:val="30"/>
                    <w:rPr>
                      <w:color w:val="auto"/>
                      <w:highlight w:val="none"/>
                    </w:rPr>
                  </w:pPr>
                  <w:r>
                    <w:rPr>
                      <w:rFonts w:hint="eastAsia"/>
                      <w:color w:val="auto"/>
                      <w:highlight w:val="none"/>
                    </w:rPr>
                    <w:t>检测项目</w:t>
                  </w:r>
                </w:p>
              </w:tc>
              <w:tc>
                <w:tcPr>
                  <w:tcW w:w="3495" w:type="dxa"/>
                  <w:vAlign w:val="center"/>
                </w:tcPr>
                <w:p>
                  <w:pPr>
                    <w:pStyle w:val="30"/>
                    <w:rPr>
                      <w:color w:val="auto"/>
                      <w:highlight w:val="none"/>
                    </w:rPr>
                  </w:pPr>
                  <w:r>
                    <w:rPr>
                      <w:rFonts w:hint="eastAsia"/>
                      <w:color w:val="auto"/>
                      <w:highlight w:val="none"/>
                    </w:rPr>
                    <w:t>检测方法</w:t>
                  </w:r>
                </w:p>
              </w:tc>
              <w:tc>
                <w:tcPr>
                  <w:tcW w:w="1061" w:type="dxa"/>
                  <w:vAlign w:val="center"/>
                </w:tcPr>
                <w:p>
                  <w:pPr>
                    <w:pStyle w:val="30"/>
                    <w:rPr>
                      <w:color w:val="auto"/>
                      <w:highlight w:val="none"/>
                    </w:rPr>
                  </w:pPr>
                  <w:r>
                    <w:rPr>
                      <w:rFonts w:hint="eastAsia"/>
                      <w:color w:val="auto"/>
                      <w:highlight w:val="none"/>
                    </w:rPr>
                    <w:t>检出限</w:t>
                  </w:r>
                </w:p>
              </w:tc>
              <w:tc>
                <w:tcPr>
                  <w:tcW w:w="1683" w:type="dxa"/>
                  <w:vAlign w:val="center"/>
                </w:tcPr>
                <w:p>
                  <w:pPr>
                    <w:pStyle w:val="30"/>
                    <w:rPr>
                      <w:color w:val="auto"/>
                      <w:highlight w:val="none"/>
                    </w:rPr>
                  </w:pPr>
                  <w:r>
                    <w:rPr>
                      <w:rFonts w:hint="eastAsia"/>
                      <w:color w:val="auto"/>
                      <w:highlight w:val="none"/>
                    </w:rPr>
                    <w:t>检测仪器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pPr>
                    <w:pStyle w:val="30"/>
                    <w:rPr>
                      <w:color w:val="auto"/>
                      <w:highlight w:val="none"/>
                    </w:rPr>
                  </w:pPr>
                  <w:r>
                    <w:rPr>
                      <w:color w:val="auto"/>
                      <w:highlight w:val="none"/>
                    </w:rPr>
                    <w:t>1</w:t>
                  </w:r>
                </w:p>
              </w:tc>
              <w:tc>
                <w:tcPr>
                  <w:tcW w:w="1335" w:type="dxa"/>
                  <w:vAlign w:val="center"/>
                </w:tcPr>
                <w:p>
                  <w:pPr>
                    <w:pStyle w:val="30"/>
                    <w:rPr>
                      <w:color w:val="auto"/>
                      <w:highlight w:val="none"/>
                    </w:rPr>
                  </w:pPr>
                  <w:r>
                    <w:rPr>
                      <w:rFonts w:hint="eastAsia"/>
                      <w:color w:val="auto"/>
                      <w:highlight w:val="none"/>
                    </w:rPr>
                    <w:t>非甲烷总烃</w:t>
                  </w:r>
                </w:p>
              </w:tc>
              <w:tc>
                <w:tcPr>
                  <w:tcW w:w="3495" w:type="dxa"/>
                  <w:vAlign w:val="center"/>
                </w:tcPr>
                <w:p>
                  <w:pPr>
                    <w:pStyle w:val="30"/>
                    <w:rPr>
                      <w:color w:val="auto"/>
                      <w:highlight w:val="none"/>
                    </w:rPr>
                  </w:pPr>
                  <w:r>
                    <w:rPr>
                      <w:rFonts w:hint="eastAsia"/>
                      <w:color w:val="auto"/>
                      <w:highlight w:val="none"/>
                    </w:rPr>
                    <w:t>环境空气</w:t>
                  </w:r>
                  <w:r>
                    <w:rPr>
                      <w:color w:val="auto"/>
                      <w:highlight w:val="none"/>
                    </w:rPr>
                    <w:t xml:space="preserve"> </w:t>
                  </w:r>
                  <w:r>
                    <w:rPr>
                      <w:rFonts w:hint="eastAsia"/>
                      <w:color w:val="auto"/>
                      <w:highlight w:val="none"/>
                    </w:rPr>
                    <w:t>总烃、甲烷、非甲烷总烃的测定 直接进样</w:t>
                  </w:r>
                  <w:r>
                    <w:rPr>
                      <w:color w:val="auto"/>
                      <w:highlight w:val="none"/>
                    </w:rPr>
                    <w:t>-</w:t>
                  </w:r>
                  <w:r>
                    <w:rPr>
                      <w:rFonts w:hint="eastAsia"/>
                      <w:color w:val="auto"/>
                      <w:highlight w:val="none"/>
                    </w:rPr>
                    <w:t>气相色谱法</w:t>
                  </w:r>
                  <w:r>
                    <w:rPr>
                      <w:color w:val="auto"/>
                      <w:highlight w:val="none"/>
                    </w:rPr>
                    <w:t xml:space="preserve"> </w:t>
                  </w:r>
                </w:p>
                <w:p>
                  <w:pPr>
                    <w:pStyle w:val="30"/>
                    <w:rPr>
                      <w:color w:val="auto"/>
                      <w:highlight w:val="none"/>
                    </w:rPr>
                  </w:pPr>
                  <w:r>
                    <w:rPr>
                      <w:color w:val="auto"/>
                      <w:highlight w:val="none"/>
                    </w:rPr>
                    <w:t>HJ 604-2017</w:t>
                  </w:r>
                </w:p>
              </w:tc>
              <w:tc>
                <w:tcPr>
                  <w:tcW w:w="1061" w:type="dxa"/>
                  <w:vAlign w:val="center"/>
                </w:tcPr>
                <w:p>
                  <w:pPr>
                    <w:pStyle w:val="30"/>
                    <w:rPr>
                      <w:color w:val="auto"/>
                      <w:highlight w:val="none"/>
                    </w:rPr>
                  </w:pPr>
                  <w:r>
                    <w:rPr>
                      <w:color w:val="auto"/>
                      <w:highlight w:val="none"/>
                    </w:rPr>
                    <w:t>0.07</w:t>
                  </w:r>
                </w:p>
                <w:p>
                  <w:pPr>
                    <w:pStyle w:val="30"/>
                    <w:rPr>
                      <w:color w:val="auto"/>
                      <w:highlight w:val="none"/>
                    </w:rPr>
                  </w:pPr>
                  <w:r>
                    <w:rPr>
                      <w:color w:val="auto"/>
                      <w:highlight w:val="none"/>
                    </w:rPr>
                    <w:t>mg/m</w:t>
                  </w:r>
                  <w:r>
                    <w:rPr>
                      <w:color w:val="auto"/>
                      <w:highlight w:val="none"/>
                      <w:vertAlign w:val="superscript"/>
                    </w:rPr>
                    <w:t>3</w:t>
                  </w:r>
                </w:p>
              </w:tc>
              <w:tc>
                <w:tcPr>
                  <w:tcW w:w="1683" w:type="dxa"/>
                  <w:vAlign w:val="center"/>
                </w:tcPr>
                <w:p>
                  <w:pPr>
                    <w:pStyle w:val="30"/>
                    <w:rPr>
                      <w:color w:val="auto"/>
                      <w:highlight w:val="none"/>
                    </w:rPr>
                  </w:pPr>
                  <w:r>
                    <w:rPr>
                      <w:rFonts w:hint="eastAsia"/>
                      <w:color w:val="auto"/>
                      <w:highlight w:val="none"/>
                    </w:rPr>
                    <w:t>气相色谱仪</w:t>
                  </w:r>
                  <w:r>
                    <w:rPr>
                      <w:color w:val="auto"/>
                      <w:highlight w:val="none"/>
                    </w:rPr>
                    <w:t>GC-4000A</w:t>
                  </w:r>
                </w:p>
              </w:tc>
            </w:tr>
          </w:tbl>
          <w:p>
            <w:pPr>
              <w:pStyle w:val="32"/>
              <w:rPr>
                <w:color w:val="auto"/>
                <w:highlight w:val="none"/>
              </w:rPr>
            </w:pPr>
          </w:p>
          <w:p>
            <w:pPr>
              <w:pStyle w:val="32"/>
              <w:rPr>
                <w:color w:val="auto"/>
                <w:highlight w:val="none"/>
              </w:rPr>
            </w:pPr>
          </w:p>
          <w:p>
            <w:pPr>
              <w:pStyle w:val="32"/>
              <w:rPr>
                <w:color w:val="auto"/>
                <w:highlight w:val="none"/>
              </w:rPr>
            </w:pPr>
          </w:p>
          <w:p>
            <w:pPr>
              <w:pStyle w:val="32"/>
              <w:rPr>
                <w:color w:val="auto"/>
                <w:highlight w:val="none"/>
              </w:rPr>
            </w:pPr>
          </w:p>
          <w:p>
            <w:pPr>
              <w:pStyle w:val="32"/>
              <w:rPr>
                <w:color w:val="auto"/>
                <w:highlight w:val="none"/>
              </w:rPr>
            </w:pPr>
          </w:p>
          <w:p>
            <w:pPr>
              <w:pStyle w:val="32"/>
              <w:rPr>
                <w:color w:val="auto"/>
                <w:highlight w:val="none"/>
              </w:rPr>
            </w:pPr>
          </w:p>
          <w:p>
            <w:pPr>
              <w:pStyle w:val="32"/>
              <w:rPr>
                <w:color w:val="auto"/>
                <w:highlight w:val="none"/>
              </w:rPr>
            </w:pPr>
            <w:r>
              <w:rPr>
                <w:color w:val="auto"/>
                <w:highlight w:val="none"/>
              </w:rPr>
              <w:t>表</w:t>
            </w:r>
            <w:r>
              <w:rPr>
                <w:rFonts w:hint="eastAsia"/>
                <w:color w:val="auto"/>
                <w:highlight w:val="none"/>
              </w:rPr>
              <w:t>3.1.3  特征因子现状监测数据</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7"/>
              <w:gridCol w:w="641"/>
              <w:gridCol w:w="1309"/>
              <w:gridCol w:w="932"/>
              <w:gridCol w:w="932"/>
              <w:gridCol w:w="927"/>
              <w:gridCol w:w="940"/>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06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rFonts w:hint="eastAsia"/>
                      <w:color w:val="auto"/>
                      <w:highlight w:val="none"/>
                    </w:rPr>
                    <w:t>采样日期</w:t>
                  </w:r>
                </w:p>
              </w:tc>
              <w:tc>
                <w:tcPr>
                  <w:tcW w:w="3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rFonts w:hint="eastAsia"/>
                      <w:color w:val="auto"/>
                      <w:highlight w:val="none"/>
                    </w:rPr>
                    <w:t>检测</w:t>
                  </w:r>
                </w:p>
                <w:p>
                  <w:pPr>
                    <w:pStyle w:val="30"/>
                    <w:rPr>
                      <w:color w:val="auto"/>
                      <w:highlight w:val="none"/>
                    </w:rPr>
                  </w:pPr>
                  <w:r>
                    <w:rPr>
                      <w:rFonts w:hint="eastAsia"/>
                      <w:color w:val="auto"/>
                      <w:highlight w:val="none"/>
                    </w:rPr>
                    <w:t>点位</w:t>
                  </w:r>
                </w:p>
              </w:tc>
              <w:tc>
                <w:tcPr>
                  <w:tcW w:w="77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rFonts w:hint="eastAsia"/>
                      <w:color w:val="auto"/>
                      <w:highlight w:val="none"/>
                    </w:rPr>
                    <w:t>检测项目</w:t>
                  </w:r>
                </w:p>
              </w:tc>
              <w:tc>
                <w:tcPr>
                  <w:tcW w:w="2218"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rFonts w:hint="eastAsia"/>
                      <w:color w:val="auto"/>
                      <w:highlight w:val="none"/>
                    </w:rPr>
                    <w:t>检测结果（</w:t>
                  </w:r>
                  <w:r>
                    <w:rPr>
                      <w:color w:val="auto"/>
                      <w:highlight w:val="none"/>
                    </w:rPr>
                    <w:t>mg/m</w:t>
                  </w:r>
                  <w:r>
                    <w:rPr>
                      <w:color w:val="auto"/>
                      <w:highlight w:val="none"/>
                      <w:vertAlign w:val="superscript"/>
                    </w:rPr>
                    <w:t>3</w:t>
                  </w:r>
                  <w:r>
                    <w:rPr>
                      <w:rFonts w:hint="eastAsia"/>
                      <w:color w:val="auto"/>
                      <w:highlight w:val="none"/>
                    </w:rPr>
                    <w:t>）</w:t>
                  </w:r>
                </w:p>
              </w:tc>
              <w:tc>
                <w:tcPr>
                  <w:tcW w:w="559" w:type="pct"/>
                  <w:vMerge w:val="restart"/>
                  <w:tcBorders>
                    <w:top w:val="single" w:color="auto" w:sz="4" w:space="0"/>
                    <w:left w:val="single" w:color="auto" w:sz="4" w:space="0"/>
                    <w:right w:val="single" w:color="auto" w:sz="4" w:space="0"/>
                  </w:tcBorders>
                  <w:shd w:val="clear" w:color="auto" w:fill="auto"/>
                  <w:vAlign w:val="center"/>
                </w:tcPr>
                <w:p>
                  <w:pPr>
                    <w:pStyle w:val="30"/>
                    <w:rPr>
                      <w:color w:val="auto"/>
                      <w:highlight w:val="none"/>
                    </w:rPr>
                  </w:pPr>
                  <w:r>
                    <w:rPr>
                      <w:rFonts w:hint="eastAsia"/>
                      <w:color w:val="auto"/>
                      <w:highlight w:val="none"/>
                    </w:rPr>
                    <w:t>达标</w:t>
                  </w:r>
                </w:p>
                <w:p>
                  <w:pPr>
                    <w:pStyle w:val="30"/>
                    <w:rPr>
                      <w:color w:val="auto"/>
                      <w:highlight w:val="none"/>
                    </w:rPr>
                  </w:pPr>
                  <w:r>
                    <w:rPr>
                      <w:rFonts w:hint="eastAsia"/>
                      <w:color w:val="auto"/>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06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p>
              </w:tc>
              <w:tc>
                <w:tcPr>
                  <w:tcW w:w="3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p>
              </w:tc>
              <w:tc>
                <w:tcPr>
                  <w:tcW w:w="7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rFonts w:hint="eastAsia"/>
                      <w:color w:val="auto"/>
                      <w:highlight w:val="none"/>
                    </w:rPr>
                    <w:t>第</w:t>
                  </w:r>
                  <w:r>
                    <w:rPr>
                      <w:color w:val="auto"/>
                      <w:highlight w:val="none"/>
                    </w:rPr>
                    <w:t>1</w:t>
                  </w:r>
                  <w:r>
                    <w:rPr>
                      <w:rFonts w:hint="eastAsia"/>
                      <w:color w:val="auto"/>
                      <w:highlight w:val="none"/>
                    </w:rPr>
                    <w:t>次</w:t>
                  </w: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rFonts w:hint="eastAsia"/>
                      <w:color w:val="auto"/>
                      <w:highlight w:val="none"/>
                    </w:rPr>
                    <w:t>第</w:t>
                  </w:r>
                  <w:r>
                    <w:rPr>
                      <w:color w:val="auto"/>
                      <w:highlight w:val="none"/>
                    </w:rPr>
                    <w:t>2</w:t>
                  </w:r>
                  <w:r>
                    <w:rPr>
                      <w:rFonts w:hint="eastAsia"/>
                      <w:color w:val="auto"/>
                      <w:highlight w:val="none"/>
                    </w:rPr>
                    <w:t>次</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rFonts w:hint="eastAsia"/>
                      <w:color w:val="auto"/>
                      <w:highlight w:val="none"/>
                    </w:rPr>
                    <w:t>第</w:t>
                  </w:r>
                  <w:r>
                    <w:rPr>
                      <w:color w:val="auto"/>
                      <w:highlight w:val="none"/>
                    </w:rPr>
                    <w:t>3</w:t>
                  </w:r>
                  <w:r>
                    <w:rPr>
                      <w:rFonts w:hint="eastAsia"/>
                      <w:color w:val="auto"/>
                      <w:highlight w:val="none"/>
                    </w:rPr>
                    <w:t>次</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rFonts w:hint="eastAsia"/>
                      <w:color w:val="auto"/>
                      <w:highlight w:val="none"/>
                    </w:rPr>
                    <w:t>第</w:t>
                  </w:r>
                  <w:r>
                    <w:rPr>
                      <w:color w:val="auto"/>
                      <w:highlight w:val="none"/>
                    </w:rPr>
                    <w:t>4</w:t>
                  </w:r>
                  <w:r>
                    <w:rPr>
                      <w:rFonts w:hint="eastAsia"/>
                      <w:color w:val="auto"/>
                      <w:highlight w:val="none"/>
                    </w:rPr>
                    <w:t>次</w:t>
                  </w:r>
                </w:p>
              </w:tc>
              <w:tc>
                <w:tcPr>
                  <w:tcW w:w="559" w:type="pct"/>
                  <w:vMerge w:val="continue"/>
                  <w:tcBorders>
                    <w:left w:val="single" w:color="auto" w:sz="4" w:space="0"/>
                    <w:bottom w:val="single" w:color="auto" w:sz="4" w:space="0"/>
                    <w:right w:val="single" w:color="auto" w:sz="4" w:space="0"/>
                  </w:tcBorders>
                  <w:shd w:val="clear" w:color="auto" w:fill="auto"/>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06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2022</w:t>
                  </w:r>
                  <w:r>
                    <w:rPr>
                      <w:rFonts w:hint="eastAsia"/>
                      <w:color w:val="auto"/>
                      <w:highlight w:val="none"/>
                    </w:rPr>
                    <w:t>年</w:t>
                  </w:r>
                  <w:r>
                    <w:rPr>
                      <w:color w:val="auto"/>
                      <w:highlight w:val="none"/>
                    </w:rPr>
                    <w:t>6</w:t>
                  </w:r>
                  <w:r>
                    <w:rPr>
                      <w:rFonts w:hint="eastAsia"/>
                      <w:color w:val="auto"/>
                      <w:highlight w:val="none"/>
                    </w:rPr>
                    <w:t>月</w:t>
                  </w:r>
                  <w:r>
                    <w:rPr>
                      <w:color w:val="auto"/>
                      <w:highlight w:val="none"/>
                    </w:rPr>
                    <w:t>10</w:t>
                  </w:r>
                  <w:r>
                    <w:rPr>
                      <w:rFonts w:hint="eastAsia"/>
                      <w:color w:val="auto"/>
                      <w:highlight w:val="none"/>
                    </w:rPr>
                    <w:t>日</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G1</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rFonts w:hint="eastAsia"/>
                      <w:color w:val="auto"/>
                      <w:highlight w:val="none"/>
                    </w:rPr>
                    <w:t>非甲烷总烃</w:t>
                  </w: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0.23</w:t>
                  </w: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0.28</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0.23</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0.19</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rFonts w:hint="eastAsia"/>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06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2022</w:t>
                  </w:r>
                  <w:r>
                    <w:rPr>
                      <w:rFonts w:hint="eastAsia"/>
                      <w:color w:val="auto"/>
                      <w:highlight w:val="none"/>
                    </w:rPr>
                    <w:t>年</w:t>
                  </w:r>
                  <w:r>
                    <w:rPr>
                      <w:color w:val="auto"/>
                      <w:highlight w:val="none"/>
                    </w:rPr>
                    <w:t>6</w:t>
                  </w:r>
                  <w:r>
                    <w:rPr>
                      <w:rFonts w:hint="eastAsia"/>
                      <w:color w:val="auto"/>
                      <w:highlight w:val="none"/>
                    </w:rPr>
                    <w:t>月</w:t>
                  </w:r>
                  <w:r>
                    <w:rPr>
                      <w:color w:val="auto"/>
                      <w:highlight w:val="none"/>
                    </w:rPr>
                    <w:t>11</w:t>
                  </w:r>
                  <w:r>
                    <w:rPr>
                      <w:rFonts w:hint="eastAsia"/>
                      <w:color w:val="auto"/>
                      <w:highlight w:val="none"/>
                    </w:rPr>
                    <w:t>日</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G1</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rFonts w:hint="eastAsia"/>
                      <w:color w:val="auto"/>
                      <w:highlight w:val="none"/>
                    </w:rPr>
                    <w:t>非甲烷总烃</w:t>
                  </w: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0.25</w:t>
                  </w: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0.19</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0.24</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0.23</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rFonts w:hint="eastAsia"/>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6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2022</w:t>
                  </w:r>
                  <w:r>
                    <w:rPr>
                      <w:rFonts w:hint="eastAsia"/>
                      <w:color w:val="auto"/>
                      <w:highlight w:val="none"/>
                    </w:rPr>
                    <w:t>年</w:t>
                  </w:r>
                  <w:r>
                    <w:rPr>
                      <w:color w:val="auto"/>
                      <w:highlight w:val="none"/>
                    </w:rPr>
                    <w:t>6</w:t>
                  </w:r>
                  <w:r>
                    <w:rPr>
                      <w:rFonts w:hint="eastAsia"/>
                      <w:color w:val="auto"/>
                      <w:highlight w:val="none"/>
                    </w:rPr>
                    <w:t>月</w:t>
                  </w:r>
                  <w:r>
                    <w:rPr>
                      <w:color w:val="auto"/>
                      <w:highlight w:val="none"/>
                    </w:rPr>
                    <w:t>12</w:t>
                  </w:r>
                  <w:r>
                    <w:rPr>
                      <w:rFonts w:hint="eastAsia"/>
                      <w:color w:val="auto"/>
                      <w:highlight w:val="none"/>
                    </w:rPr>
                    <w:t>日</w:t>
                  </w:r>
                </w:p>
              </w:tc>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G1</w:t>
                  </w: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rFonts w:hint="eastAsia"/>
                      <w:color w:val="auto"/>
                      <w:highlight w:val="none"/>
                    </w:rPr>
                    <w:t>非甲烷总烃</w:t>
                  </w: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0.25</w:t>
                  </w: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0.30</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0.27</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color w:val="auto"/>
                      <w:highlight w:val="none"/>
                    </w:rPr>
                    <w:t>0.26</w:t>
                  </w:r>
                </w:p>
              </w:tc>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0"/>
                    <w:rPr>
                      <w:color w:val="auto"/>
                      <w:highlight w:val="none"/>
                    </w:rPr>
                  </w:pPr>
                  <w:r>
                    <w:rPr>
                      <w:rFonts w:hint="eastAsia"/>
                      <w:color w:val="auto"/>
                      <w:highlight w:val="none"/>
                    </w:rPr>
                    <w:t>达标</w:t>
                  </w:r>
                </w:p>
              </w:tc>
            </w:tr>
          </w:tbl>
          <w:p>
            <w:pPr>
              <w:pStyle w:val="45"/>
              <w:rPr>
                <w:color w:val="auto"/>
                <w:szCs w:val="21"/>
                <w:highlight w:val="none"/>
              </w:rPr>
            </w:pPr>
          </w:p>
        </w:tc>
      </w:tr>
    </w:tbl>
    <w:p>
      <w:pPr>
        <w:rPr>
          <w:color w:val="auto"/>
          <w:highlight w:val="none"/>
        </w:rPr>
        <w:sectPr>
          <w:pgSz w:w="11907" w:h="16840"/>
          <w:pgMar w:top="1701" w:right="1531" w:bottom="2127" w:left="1531" w:header="851" w:footer="851" w:gutter="0"/>
          <w:cols w:space="720" w:num="1"/>
          <w:docGrid w:linePitch="312" w:charSpace="0"/>
        </w:sectPr>
      </w:pPr>
    </w:p>
    <w:p>
      <w:pPr>
        <w:pStyle w:val="9"/>
        <w:ind w:firstLine="0" w:firstLineChars="0"/>
        <w:jc w:val="center"/>
        <w:rPr>
          <w:color w:val="auto"/>
          <w:highlight w:val="none"/>
        </w:rPr>
      </w:pPr>
      <w:r>
        <w:rPr>
          <w:rFonts w:hint="eastAsia"/>
          <w:color w:val="auto"/>
          <w:highlight w:val="none"/>
        </w:rPr>
        <w:drawing>
          <wp:inline distT="0" distB="0" distL="114300" distR="114300">
            <wp:extent cx="5274310" cy="5495290"/>
            <wp:effectExtent l="0" t="0" r="10160" b="2540"/>
            <wp:docPr id="27" name="图片 27" descr="监测点位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监测点位图_00"/>
                    <pic:cNvPicPr>
                      <a:picLocks noChangeAspect="1"/>
                    </pic:cNvPicPr>
                  </pic:nvPicPr>
                  <pic:blipFill>
                    <a:blip r:embed="rId35"/>
                    <a:srcRect b="26319"/>
                    <a:stretch>
                      <a:fillRect/>
                    </a:stretch>
                  </pic:blipFill>
                  <pic:spPr>
                    <a:xfrm rot="16200000">
                      <a:off x="0" y="0"/>
                      <a:ext cx="5274310" cy="5495290"/>
                    </a:xfrm>
                    <a:prstGeom prst="rect">
                      <a:avLst/>
                    </a:prstGeom>
                  </pic:spPr>
                </pic:pic>
              </a:graphicData>
            </a:graphic>
          </wp:inline>
        </w:drawing>
      </w:r>
    </w:p>
    <w:p>
      <w:pPr>
        <w:pStyle w:val="32"/>
        <w:rPr>
          <w:color w:val="auto"/>
          <w:highlight w:val="none"/>
        </w:rPr>
        <w:sectPr>
          <w:pgSz w:w="16840" w:h="11907" w:orient="landscape"/>
          <w:pgMar w:top="1531" w:right="1701" w:bottom="1531" w:left="2127" w:header="851" w:footer="851" w:gutter="0"/>
          <w:cols w:space="720" w:num="1"/>
          <w:docGrid w:linePitch="312" w:charSpace="0"/>
        </w:sectPr>
      </w:pPr>
      <w:r>
        <w:rPr>
          <w:rFonts w:hint="eastAsia"/>
          <w:color w:val="auto"/>
          <w:highlight w:val="none"/>
        </w:rPr>
        <w:t>图3.1-2 项目监测点位示意图</w:t>
      </w:r>
    </w:p>
    <w:p>
      <w:pPr>
        <w:pStyle w:val="9"/>
        <w:rPr>
          <w:color w:val="auto"/>
          <w:highlight w:val="none"/>
        </w:r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8" w:hRule="atLeast"/>
          <w:jc w:val="center"/>
        </w:trPr>
        <w:tc>
          <w:tcPr>
            <w:tcW w:w="424" w:type="dxa"/>
            <w:vAlign w:val="center"/>
          </w:tcPr>
          <w:p>
            <w:pPr>
              <w:adjustRightInd w:val="0"/>
              <w:snapToGrid w:val="0"/>
              <w:jc w:val="center"/>
              <w:rPr>
                <w:color w:val="auto"/>
                <w:kern w:val="0"/>
                <w:szCs w:val="21"/>
                <w:highlight w:val="none"/>
              </w:rPr>
            </w:pPr>
          </w:p>
        </w:tc>
        <w:tc>
          <w:tcPr>
            <w:tcW w:w="8637" w:type="dxa"/>
            <w:vAlign w:val="center"/>
          </w:tcPr>
          <w:p>
            <w:pPr>
              <w:pStyle w:val="31"/>
              <w:rPr>
                <w:color w:val="auto"/>
                <w:highlight w:val="none"/>
              </w:rPr>
            </w:pPr>
            <w:r>
              <w:rPr>
                <w:color w:val="auto"/>
                <w:highlight w:val="none"/>
              </w:rPr>
              <w:t>3.</w:t>
            </w:r>
            <w:r>
              <w:rPr>
                <w:rFonts w:hint="eastAsia"/>
                <w:color w:val="auto"/>
                <w:highlight w:val="none"/>
              </w:rPr>
              <w:t>1.</w:t>
            </w:r>
            <w:r>
              <w:rPr>
                <w:color w:val="auto"/>
                <w:highlight w:val="none"/>
              </w:rPr>
              <w:t>2</w:t>
            </w:r>
            <w:r>
              <w:rPr>
                <w:rFonts w:hint="eastAsia"/>
                <w:color w:val="auto"/>
                <w:highlight w:val="none"/>
              </w:rPr>
              <w:t xml:space="preserve"> 水环境现状调查与评价</w:t>
            </w:r>
          </w:p>
          <w:p>
            <w:pPr>
              <w:pStyle w:val="42"/>
              <w:rPr>
                <w:color w:val="auto"/>
                <w:highlight w:val="none"/>
              </w:rPr>
            </w:pPr>
            <w:r>
              <w:rPr>
                <w:rFonts w:hint="eastAsia"/>
                <w:color w:val="auto"/>
                <w:highlight w:val="none"/>
                <w:lang w:val="en-US"/>
              </w:rPr>
              <w:t>（1）环境功能区划及环境质量标准</w:t>
            </w:r>
          </w:p>
          <w:p>
            <w:pPr>
              <w:pStyle w:val="42"/>
              <w:rPr>
                <w:color w:val="auto"/>
                <w:highlight w:val="none"/>
              </w:rPr>
            </w:pPr>
            <w:r>
              <w:rPr>
                <w:rFonts w:hint="eastAsia"/>
                <w:color w:val="auto"/>
                <w:highlight w:val="none"/>
              </w:rPr>
              <w:t>本项目所在区域周边的地表水体为溪源江，根据闽侯县水环境功能区划，溪源江水域环境功能区划为Ⅳ类水体，水质指标执行《地表水环境质量标准》（GB3838-2002）中Ⅳ类水质标准。见表</w:t>
            </w:r>
            <w:r>
              <w:rPr>
                <w:rFonts w:hint="eastAsia"/>
                <w:color w:val="auto"/>
                <w:highlight w:val="none"/>
                <w:lang w:val="en-US"/>
              </w:rPr>
              <w:t>3.1.4</w:t>
            </w:r>
            <w:r>
              <w:rPr>
                <w:rFonts w:hint="eastAsia"/>
                <w:color w:val="auto"/>
                <w:highlight w:val="none"/>
              </w:rPr>
              <w:t>。</w:t>
            </w:r>
          </w:p>
          <w:p>
            <w:pPr>
              <w:pStyle w:val="32"/>
              <w:rPr>
                <w:color w:val="auto"/>
                <w:highlight w:val="none"/>
              </w:rPr>
            </w:pPr>
            <w:r>
              <w:rPr>
                <w:color w:val="auto"/>
                <w:highlight w:val="none"/>
              </w:rPr>
              <w:t>表</w:t>
            </w:r>
            <w:r>
              <w:rPr>
                <w:rFonts w:hint="eastAsia"/>
                <w:color w:val="auto"/>
                <w:highlight w:val="none"/>
              </w:rPr>
              <w:t xml:space="preserve">3.1.4  </w:t>
            </w:r>
            <w:r>
              <w:rPr>
                <w:color w:val="auto"/>
                <w:highlight w:val="none"/>
              </w:rPr>
              <w:t>地表水环境质量标准（摘录）</w:t>
            </w:r>
            <w:r>
              <w:rPr>
                <w:rFonts w:hint="eastAsia"/>
                <w:color w:val="auto"/>
                <w:highlight w:val="none"/>
              </w:rPr>
              <w:t xml:space="preserve">  </w:t>
            </w:r>
            <w:r>
              <w:rPr>
                <w:color w:val="auto"/>
                <w:highlight w:val="none"/>
              </w:rPr>
              <w:t>单位：mg/L</w:t>
            </w:r>
          </w:p>
          <w:tbl>
            <w:tblPr>
              <w:tblStyle w:val="1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09"/>
              <w:gridCol w:w="1807"/>
              <w:gridCol w:w="1290"/>
              <w:gridCol w:w="121"/>
              <w:gridCol w:w="958"/>
              <w:gridCol w:w="1117"/>
              <w:gridCol w:w="1117"/>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5" w:type="dxa"/>
                  <w:shd w:val="clear" w:color="auto" w:fill="auto"/>
                  <w:vAlign w:val="center"/>
                </w:tcPr>
                <w:p>
                  <w:pPr>
                    <w:pStyle w:val="43"/>
                    <w:rPr>
                      <w:color w:val="auto"/>
                      <w:highlight w:val="none"/>
                    </w:rPr>
                  </w:pP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205105</wp:posOffset>
                            </wp:positionH>
                            <wp:positionV relativeFrom="paragraph">
                              <wp:posOffset>210820</wp:posOffset>
                            </wp:positionV>
                            <wp:extent cx="1163955" cy="326390"/>
                            <wp:effectExtent l="1270" t="4445" r="15875" b="12065"/>
                            <wp:wrapNone/>
                            <wp:docPr id="61" name="任意多边形 61"/>
                            <wp:cNvGraphicFramePr/>
                            <a:graphic xmlns:a="http://schemas.openxmlformats.org/drawingml/2006/main">
                              <a:graphicData uri="http://schemas.microsoft.com/office/word/2010/wordprocessingShape">
                                <wps:wsp>
                                  <wps:cNvSpPr/>
                                  <wps:spPr>
                                    <a:xfrm>
                                      <a:off x="0" y="0"/>
                                      <a:ext cx="1163955" cy="326390"/>
                                    </a:xfrm>
                                    <a:custGeom>
                                      <a:avLst/>
                                      <a:gdLst/>
                                      <a:ahLst/>
                                      <a:cxnLst/>
                                      <a:rect l="0" t="0" r="0" b="0"/>
                                      <a:pathLst>
                                        <a:path w="2088" h="415">
                                          <a:moveTo>
                                            <a:pt x="0" y="0"/>
                                          </a:moveTo>
                                          <a:lnTo>
                                            <a:pt x="2088" y="415"/>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16.15pt;margin-top:16.6pt;height:25.7pt;width:91.65pt;z-index:251666432;mso-width-relative:page;mso-height-relative:page;" filled="f" stroked="t" coordsize="2088,415" o:gfxdata="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JgXF3ZAAAACAEAAA8AAAAAAAAAAQAgAAAA&#10;IgAAAGRycy9kb3ducmV2LnhtbFBLAQIUABQAAAAIAIdO4kC8JfhWQwIAAL4EAAAOAAAAAAAAAAEA&#10;IAAAACgBAABkcnMvZTJvRG9jLnhtbFBLBQYAAAAABgAGAFkBAADdBQAAAAA=&#10;" path="m0,0l2088,415e">
                            <v:fill on="f" focussize="0,0"/>
                            <v:stroke color="#000000" joinstyle="round"/>
                            <v:imagedata o:title=""/>
                            <o:lock v:ext="edit" aspectratio="f"/>
                          </v:shape>
                        </w:pict>
                      </mc:Fallback>
                    </mc:AlternateContent>
                  </w:r>
                  <w:r>
                    <w:rPr>
                      <w:color w:val="auto"/>
                      <w:highlight w:val="none"/>
                    </w:rPr>
                    <w:t>序号</w:t>
                  </w:r>
                </w:p>
              </w:tc>
              <w:tc>
                <w:tcPr>
                  <w:tcW w:w="1986" w:type="dxa"/>
                  <w:shd w:val="clear" w:color="auto" w:fill="auto"/>
                  <w:vAlign w:val="center"/>
                </w:tcPr>
                <w:p>
                  <w:pPr>
                    <w:pStyle w:val="43"/>
                    <w:rPr>
                      <w:color w:val="auto"/>
                      <w:highlight w:val="none"/>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420370</wp:posOffset>
                            </wp:positionH>
                            <wp:positionV relativeFrom="paragraph">
                              <wp:posOffset>-8255</wp:posOffset>
                            </wp:positionV>
                            <wp:extent cx="659765" cy="533400"/>
                            <wp:effectExtent l="3175" t="3810" r="3810" b="15240"/>
                            <wp:wrapNone/>
                            <wp:docPr id="62" name="任意多边形 62"/>
                            <wp:cNvGraphicFramePr/>
                            <a:graphic xmlns:a="http://schemas.openxmlformats.org/drawingml/2006/main">
                              <a:graphicData uri="http://schemas.microsoft.com/office/word/2010/wordprocessingShape">
                                <wps:wsp>
                                  <wps:cNvSpPr/>
                                  <wps:spPr>
                                    <a:xfrm>
                                      <a:off x="0" y="0"/>
                                      <a:ext cx="659765" cy="533400"/>
                                    </a:xfrm>
                                    <a:custGeom>
                                      <a:avLst/>
                                      <a:gdLst/>
                                      <a:ahLst/>
                                      <a:cxnLst/>
                                      <a:rect l="0" t="0" r="0" b="0"/>
                                      <a:pathLst>
                                        <a:path w="1361" h="801">
                                          <a:moveTo>
                                            <a:pt x="0" y="0"/>
                                          </a:moveTo>
                                          <a:lnTo>
                                            <a:pt x="1361" y="801"/>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33.1pt;margin-top:-0.65pt;height:42pt;width:51.95pt;z-index:251665408;mso-width-relative:page;mso-height-relative:page;" filled="f" stroked="t" coordsize="1361,801" o:gfxdata="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7oA2V1wAAAAgBAAAPAAAAAAAAAAEAIAAAACIA&#10;AABkcnMvZG93bnJldi54bWxQSwECFAAUAAAACACHTuJAwSnkJUMCAAC9BAAADgAAAAAAAAABACAA&#10;AAAmAQAAZHJzL2Uyb0RvYy54bWxQSwUGAAAAAAYABgBZAQAA2wUAAAAA&#10;" path="m0,0l1361,801e">
                            <v:fill on="f" focussize="0,0"/>
                            <v:stroke color="#000000" joinstyle="round"/>
                            <v:imagedata o:title=""/>
                            <o:lock v:ext="edit" aspectratio="f"/>
                          </v:shape>
                        </w:pict>
                      </mc:Fallback>
                    </mc:AlternateContent>
                  </w:r>
                  <w:r>
                    <w:rPr>
                      <w:rFonts w:hint="eastAsia"/>
                      <w:color w:val="auto"/>
                      <w:highlight w:val="none"/>
                    </w:rPr>
                    <w:t xml:space="preserve">       </w:t>
                  </w:r>
                  <w:r>
                    <w:rPr>
                      <w:color w:val="auto"/>
                      <w:highlight w:val="none"/>
                    </w:rPr>
                    <w:t>分类</w:t>
                  </w:r>
                </w:p>
                <w:p>
                  <w:pPr>
                    <w:pStyle w:val="43"/>
                    <w:rPr>
                      <w:color w:val="auto"/>
                      <w:highlight w:val="none"/>
                    </w:rPr>
                  </w:pPr>
                  <w:r>
                    <w:rPr>
                      <w:color w:val="auto"/>
                      <w:highlight w:val="none"/>
                    </w:rPr>
                    <w:t>标准值</w:t>
                  </w:r>
                </w:p>
                <w:p>
                  <w:pPr>
                    <w:pStyle w:val="43"/>
                    <w:jc w:val="both"/>
                    <w:rPr>
                      <w:color w:val="auto"/>
                      <w:highlight w:val="none"/>
                    </w:rPr>
                  </w:pPr>
                  <w:r>
                    <w:rPr>
                      <w:color w:val="auto"/>
                      <w:highlight w:val="none"/>
                    </w:rPr>
                    <w:t>项目</w:t>
                  </w:r>
                </w:p>
              </w:tc>
              <w:tc>
                <w:tcPr>
                  <w:tcW w:w="1560" w:type="dxa"/>
                  <w:gridSpan w:val="2"/>
                  <w:shd w:val="clear" w:color="auto" w:fill="auto"/>
                  <w:vAlign w:val="center"/>
                </w:tcPr>
                <w:p>
                  <w:pPr>
                    <w:pStyle w:val="43"/>
                    <w:rPr>
                      <w:color w:val="auto"/>
                      <w:highlight w:val="none"/>
                    </w:rPr>
                  </w:pPr>
                  <w:r>
                    <w:rPr>
                      <w:rFonts w:hint="eastAsia" w:ascii="宋体" w:hAnsi="宋体" w:cs="宋体"/>
                      <w:color w:val="auto"/>
                      <w:highlight w:val="none"/>
                    </w:rPr>
                    <w:t>Ⅰ</w:t>
                  </w:r>
                  <w:r>
                    <w:rPr>
                      <w:color w:val="auto"/>
                      <w:highlight w:val="none"/>
                    </w:rPr>
                    <w:t>类</w:t>
                  </w:r>
                </w:p>
              </w:tc>
              <w:tc>
                <w:tcPr>
                  <w:tcW w:w="1065" w:type="dxa"/>
                  <w:shd w:val="clear" w:color="auto" w:fill="auto"/>
                  <w:vAlign w:val="center"/>
                </w:tcPr>
                <w:p>
                  <w:pPr>
                    <w:pStyle w:val="43"/>
                    <w:rPr>
                      <w:color w:val="auto"/>
                      <w:highlight w:val="none"/>
                    </w:rPr>
                  </w:pPr>
                  <w:r>
                    <w:rPr>
                      <w:rFonts w:hint="eastAsia" w:ascii="宋体" w:hAnsi="宋体" w:cs="宋体"/>
                      <w:color w:val="auto"/>
                      <w:highlight w:val="none"/>
                    </w:rPr>
                    <w:t>Ⅱ</w:t>
                  </w:r>
                  <w:r>
                    <w:rPr>
                      <w:color w:val="auto"/>
                      <w:highlight w:val="none"/>
                    </w:rPr>
                    <w:t>类</w:t>
                  </w:r>
                </w:p>
              </w:tc>
              <w:tc>
                <w:tcPr>
                  <w:tcW w:w="1251" w:type="dxa"/>
                  <w:shd w:val="clear" w:color="auto" w:fill="auto"/>
                  <w:vAlign w:val="center"/>
                </w:tcPr>
                <w:p>
                  <w:pPr>
                    <w:pStyle w:val="43"/>
                    <w:rPr>
                      <w:color w:val="auto"/>
                      <w:highlight w:val="none"/>
                    </w:rPr>
                  </w:pPr>
                  <w:r>
                    <w:rPr>
                      <w:rFonts w:hint="eastAsia" w:ascii="宋体" w:hAnsi="宋体" w:cs="宋体"/>
                      <w:color w:val="auto"/>
                      <w:highlight w:val="none"/>
                    </w:rPr>
                    <w:t>Ⅲ</w:t>
                  </w:r>
                  <w:r>
                    <w:rPr>
                      <w:color w:val="auto"/>
                      <w:highlight w:val="none"/>
                    </w:rPr>
                    <w:t>类</w:t>
                  </w:r>
                </w:p>
              </w:tc>
              <w:tc>
                <w:tcPr>
                  <w:tcW w:w="1251" w:type="dxa"/>
                  <w:shd w:val="pct10" w:color="auto" w:fill="auto"/>
                  <w:vAlign w:val="center"/>
                </w:tcPr>
                <w:p>
                  <w:pPr>
                    <w:pStyle w:val="43"/>
                    <w:rPr>
                      <w:color w:val="auto"/>
                      <w:highlight w:val="none"/>
                    </w:rPr>
                  </w:pPr>
                  <w:r>
                    <w:rPr>
                      <w:rFonts w:hint="eastAsia" w:ascii="宋体" w:hAnsi="宋体" w:cs="宋体"/>
                      <w:color w:val="auto"/>
                      <w:highlight w:val="none"/>
                    </w:rPr>
                    <w:t>Ⅳ</w:t>
                  </w:r>
                  <w:r>
                    <w:rPr>
                      <w:color w:val="auto"/>
                      <w:highlight w:val="none"/>
                    </w:rPr>
                    <w:t>类</w:t>
                  </w:r>
                </w:p>
              </w:tc>
              <w:tc>
                <w:tcPr>
                  <w:tcW w:w="1251" w:type="dxa"/>
                  <w:vAlign w:val="center"/>
                </w:tcPr>
                <w:p>
                  <w:pPr>
                    <w:pStyle w:val="43"/>
                    <w:rPr>
                      <w:color w:val="auto"/>
                      <w:highlight w:val="none"/>
                    </w:rPr>
                  </w:pPr>
                  <w:r>
                    <w:rPr>
                      <w:rFonts w:hint="eastAsia" w:ascii="宋体" w:hAnsi="宋体" w:cs="宋体"/>
                      <w:color w:val="auto"/>
                      <w:highlight w:val="none"/>
                    </w:rPr>
                    <w:t>Ⅴ</w:t>
                  </w:r>
                  <w:r>
                    <w:rPr>
                      <w:color w:val="auto"/>
                      <w:highlight w:val="none"/>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5" w:type="dxa"/>
                  <w:shd w:val="clear" w:color="auto" w:fill="auto"/>
                  <w:vAlign w:val="center"/>
                </w:tcPr>
                <w:p>
                  <w:pPr>
                    <w:pStyle w:val="43"/>
                    <w:rPr>
                      <w:color w:val="auto"/>
                      <w:highlight w:val="none"/>
                    </w:rPr>
                  </w:pPr>
                  <w:r>
                    <w:rPr>
                      <w:color w:val="auto"/>
                      <w:highlight w:val="none"/>
                    </w:rPr>
                    <w:t>1</w:t>
                  </w:r>
                </w:p>
              </w:tc>
              <w:tc>
                <w:tcPr>
                  <w:tcW w:w="1986" w:type="dxa"/>
                  <w:shd w:val="clear" w:color="auto" w:fill="auto"/>
                  <w:vAlign w:val="center"/>
                </w:tcPr>
                <w:p>
                  <w:pPr>
                    <w:pStyle w:val="43"/>
                    <w:rPr>
                      <w:color w:val="auto"/>
                      <w:highlight w:val="none"/>
                    </w:rPr>
                  </w:pPr>
                  <w:r>
                    <w:rPr>
                      <w:color w:val="auto"/>
                      <w:highlight w:val="none"/>
                    </w:rPr>
                    <w:t>水温</w:t>
                  </w:r>
                </w:p>
              </w:tc>
              <w:tc>
                <w:tcPr>
                  <w:tcW w:w="6378" w:type="dxa"/>
                  <w:gridSpan w:val="6"/>
                  <w:shd w:val="pct10" w:color="auto" w:fill="auto"/>
                  <w:vAlign w:val="center"/>
                </w:tcPr>
                <w:p>
                  <w:pPr>
                    <w:pStyle w:val="43"/>
                    <w:rPr>
                      <w:color w:val="auto"/>
                      <w:highlight w:val="none"/>
                    </w:rPr>
                  </w:pPr>
                  <w:r>
                    <w:rPr>
                      <w:color w:val="auto"/>
                      <w:highlight w:val="none"/>
                    </w:rPr>
                    <w:t>人为造成的环境水温变化应限制在：周平均最大温升≤1</w:t>
                  </w:r>
                </w:p>
                <w:p>
                  <w:pPr>
                    <w:pStyle w:val="43"/>
                    <w:rPr>
                      <w:color w:val="auto"/>
                      <w:highlight w:val="none"/>
                    </w:rPr>
                  </w:pPr>
                  <w:r>
                    <w:rPr>
                      <w:color w:val="auto"/>
                      <w:highlight w:val="none"/>
                    </w:rPr>
                    <w:t>周平均最大温降≤2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5" w:type="dxa"/>
                  <w:shd w:val="clear" w:color="auto" w:fill="auto"/>
                  <w:vAlign w:val="center"/>
                </w:tcPr>
                <w:p>
                  <w:pPr>
                    <w:pStyle w:val="43"/>
                    <w:rPr>
                      <w:color w:val="auto"/>
                      <w:highlight w:val="none"/>
                    </w:rPr>
                  </w:pPr>
                  <w:r>
                    <w:rPr>
                      <w:color w:val="auto"/>
                      <w:highlight w:val="none"/>
                    </w:rPr>
                    <w:t>2</w:t>
                  </w:r>
                </w:p>
              </w:tc>
              <w:tc>
                <w:tcPr>
                  <w:tcW w:w="1986" w:type="dxa"/>
                  <w:shd w:val="clear" w:color="auto" w:fill="auto"/>
                  <w:vAlign w:val="center"/>
                </w:tcPr>
                <w:p>
                  <w:pPr>
                    <w:pStyle w:val="43"/>
                    <w:rPr>
                      <w:color w:val="auto"/>
                      <w:highlight w:val="none"/>
                    </w:rPr>
                  </w:pPr>
                  <w:r>
                    <w:rPr>
                      <w:rFonts w:hint="eastAsia"/>
                      <w:color w:val="auto"/>
                      <w:highlight w:val="none"/>
                    </w:rPr>
                    <w:t>p</w:t>
                  </w:r>
                  <w:r>
                    <w:rPr>
                      <w:color w:val="auto"/>
                      <w:highlight w:val="none"/>
                    </w:rPr>
                    <w:t>H值（无量纲）</w:t>
                  </w:r>
                </w:p>
              </w:tc>
              <w:tc>
                <w:tcPr>
                  <w:tcW w:w="6378" w:type="dxa"/>
                  <w:gridSpan w:val="6"/>
                  <w:shd w:val="pct10" w:color="auto" w:fill="auto"/>
                  <w:vAlign w:val="center"/>
                </w:tcPr>
                <w:p>
                  <w:pPr>
                    <w:pStyle w:val="43"/>
                    <w:rPr>
                      <w:color w:val="auto"/>
                      <w:highlight w:val="none"/>
                    </w:rPr>
                  </w:pPr>
                  <w:r>
                    <w:rPr>
                      <w:color w:val="auto"/>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5" w:type="dxa"/>
                  <w:shd w:val="clear" w:color="auto" w:fill="auto"/>
                  <w:vAlign w:val="center"/>
                </w:tcPr>
                <w:p>
                  <w:pPr>
                    <w:pStyle w:val="43"/>
                    <w:rPr>
                      <w:color w:val="auto"/>
                      <w:highlight w:val="none"/>
                    </w:rPr>
                  </w:pPr>
                  <w:r>
                    <w:rPr>
                      <w:color w:val="auto"/>
                      <w:highlight w:val="none"/>
                    </w:rPr>
                    <w:t>3</w:t>
                  </w:r>
                </w:p>
              </w:tc>
              <w:tc>
                <w:tcPr>
                  <w:tcW w:w="1986" w:type="dxa"/>
                  <w:shd w:val="clear" w:color="auto" w:fill="auto"/>
                  <w:vAlign w:val="center"/>
                </w:tcPr>
                <w:p>
                  <w:pPr>
                    <w:pStyle w:val="43"/>
                    <w:rPr>
                      <w:color w:val="auto"/>
                      <w:highlight w:val="none"/>
                    </w:rPr>
                  </w:pPr>
                  <w:r>
                    <w:rPr>
                      <w:color w:val="auto"/>
                      <w:highlight w:val="none"/>
                    </w:rPr>
                    <w:t>溶解氧≥</w:t>
                  </w:r>
                </w:p>
              </w:tc>
              <w:tc>
                <w:tcPr>
                  <w:tcW w:w="1418" w:type="dxa"/>
                  <w:shd w:val="clear" w:color="auto" w:fill="auto"/>
                  <w:vAlign w:val="center"/>
                </w:tcPr>
                <w:p>
                  <w:pPr>
                    <w:pStyle w:val="43"/>
                    <w:rPr>
                      <w:color w:val="auto"/>
                      <w:highlight w:val="none"/>
                    </w:rPr>
                  </w:pPr>
                  <w:r>
                    <w:rPr>
                      <w:color w:val="auto"/>
                      <w:highlight w:val="none"/>
                    </w:rPr>
                    <w:t>饱和率90%</w:t>
                  </w:r>
                </w:p>
                <w:p>
                  <w:pPr>
                    <w:pStyle w:val="43"/>
                    <w:rPr>
                      <w:color w:val="auto"/>
                      <w:highlight w:val="none"/>
                    </w:rPr>
                  </w:pPr>
                  <w:r>
                    <w:rPr>
                      <w:color w:val="auto"/>
                      <w:highlight w:val="none"/>
                    </w:rPr>
                    <w:t>（或7.5）</w:t>
                  </w:r>
                </w:p>
              </w:tc>
              <w:tc>
                <w:tcPr>
                  <w:tcW w:w="1207" w:type="dxa"/>
                  <w:gridSpan w:val="2"/>
                  <w:shd w:val="clear" w:color="auto" w:fill="auto"/>
                  <w:vAlign w:val="center"/>
                </w:tcPr>
                <w:p>
                  <w:pPr>
                    <w:pStyle w:val="43"/>
                    <w:rPr>
                      <w:color w:val="auto"/>
                      <w:highlight w:val="none"/>
                    </w:rPr>
                  </w:pPr>
                  <w:r>
                    <w:rPr>
                      <w:color w:val="auto"/>
                      <w:highlight w:val="none"/>
                    </w:rPr>
                    <w:t>6</w:t>
                  </w:r>
                </w:p>
              </w:tc>
              <w:tc>
                <w:tcPr>
                  <w:tcW w:w="1251" w:type="dxa"/>
                  <w:shd w:val="clear" w:color="auto" w:fill="auto"/>
                  <w:vAlign w:val="center"/>
                </w:tcPr>
                <w:p>
                  <w:pPr>
                    <w:pStyle w:val="43"/>
                    <w:rPr>
                      <w:color w:val="auto"/>
                      <w:highlight w:val="none"/>
                    </w:rPr>
                  </w:pPr>
                  <w:r>
                    <w:rPr>
                      <w:color w:val="auto"/>
                      <w:highlight w:val="none"/>
                    </w:rPr>
                    <w:t>5</w:t>
                  </w:r>
                </w:p>
              </w:tc>
              <w:tc>
                <w:tcPr>
                  <w:tcW w:w="1251" w:type="dxa"/>
                  <w:shd w:val="pct10" w:color="auto" w:fill="auto"/>
                  <w:vAlign w:val="center"/>
                </w:tcPr>
                <w:p>
                  <w:pPr>
                    <w:pStyle w:val="43"/>
                    <w:rPr>
                      <w:color w:val="auto"/>
                      <w:highlight w:val="none"/>
                    </w:rPr>
                  </w:pPr>
                  <w:r>
                    <w:rPr>
                      <w:color w:val="auto"/>
                      <w:highlight w:val="none"/>
                    </w:rPr>
                    <w:t>3</w:t>
                  </w:r>
                </w:p>
              </w:tc>
              <w:tc>
                <w:tcPr>
                  <w:tcW w:w="1251" w:type="dxa"/>
                  <w:vAlign w:val="center"/>
                </w:tcPr>
                <w:p>
                  <w:pPr>
                    <w:pStyle w:val="43"/>
                    <w:rPr>
                      <w:color w:val="auto"/>
                      <w:highlight w:val="none"/>
                    </w:rPr>
                  </w:pPr>
                  <w:r>
                    <w:rPr>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5" w:type="dxa"/>
                  <w:shd w:val="clear" w:color="auto" w:fill="auto"/>
                  <w:vAlign w:val="center"/>
                </w:tcPr>
                <w:p>
                  <w:pPr>
                    <w:pStyle w:val="43"/>
                    <w:rPr>
                      <w:color w:val="auto"/>
                      <w:highlight w:val="none"/>
                    </w:rPr>
                  </w:pPr>
                  <w:r>
                    <w:rPr>
                      <w:color w:val="auto"/>
                      <w:highlight w:val="none"/>
                    </w:rPr>
                    <w:t>4</w:t>
                  </w:r>
                </w:p>
              </w:tc>
              <w:tc>
                <w:tcPr>
                  <w:tcW w:w="1986" w:type="dxa"/>
                  <w:shd w:val="clear" w:color="auto" w:fill="auto"/>
                  <w:vAlign w:val="center"/>
                </w:tcPr>
                <w:p>
                  <w:pPr>
                    <w:pStyle w:val="43"/>
                    <w:rPr>
                      <w:color w:val="auto"/>
                      <w:highlight w:val="none"/>
                    </w:rPr>
                  </w:pPr>
                  <w:r>
                    <w:rPr>
                      <w:color w:val="auto"/>
                      <w:highlight w:val="none"/>
                    </w:rPr>
                    <w:t>高锰酸盐指数≤</w:t>
                  </w:r>
                </w:p>
              </w:tc>
              <w:tc>
                <w:tcPr>
                  <w:tcW w:w="1418" w:type="dxa"/>
                  <w:shd w:val="clear" w:color="auto" w:fill="auto"/>
                  <w:vAlign w:val="center"/>
                </w:tcPr>
                <w:p>
                  <w:pPr>
                    <w:pStyle w:val="43"/>
                    <w:rPr>
                      <w:color w:val="auto"/>
                      <w:highlight w:val="none"/>
                    </w:rPr>
                  </w:pPr>
                  <w:r>
                    <w:rPr>
                      <w:color w:val="auto"/>
                      <w:highlight w:val="none"/>
                    </w:rPr>
                    <w:t>2</w:t>
                  </w:r>
                </w:p>
              </w:tc>
              <w:tc>
                <w:tcPr>
                  <w:tcW w:w="1207" w:type="dxa"/>
                  <w:gridSpan w:val="2"/>
                  <w:shd w:val="clear" w:color="auto" w:fill="auto"/>
                  <w:vAlign w:val="center"/>
                </w:tcPr>
                <w:p>
                  <w:pPr>
                    <w:pStyle w:val="43"/>
                    <w:rPr>
                      <w:color w:val="auto"/>
                      <w:highlight w:val="none"/>
                    </w:rPr>
                  </w:pPr>
                  <w:r>
                    <w:rPr>
                      <w:color w:val="auto"/>
                      <w:highlight w:val="none"/>
                    </w:rPr>
                    <w:t>4</w:t>
                  </w:r>
                </w:p>
              </w:tc>
              <w:tc>
                <w:tcPr>
                  <w:tcW w:w="1251" w:type="dxa"/>
                  <w:shd w:val="clear" w:color="auto" w:fill="auto"/>
                  <w:vAlign w:val="center"/>
                </w:tcPr>
                <w:p>
                  <w:pPr>
                    <w:pStyle w:val="43"/>
                    <w:rPr>
                      <w:color w:val="auto"/>
                      <w:highlight w:val="none"/>
                    </w:rPr>
                  </w:pPr>
                  <w:r>
                    <w:rPr>
                      <w:color w:val="auto"/>
                      <w:highlight w:val="none"/>
                    </w:rPr>
                    <w:t>6</w:t>
                  </w:r>
                </w:p>
              </w:tc>
              <w:tc>
                <w:tcPr>
                  <w:tcW w:w="1251" w:type="dxa"/>
                  <w:shd w:val="pct10" w:color="auto" w:fill="auto"/>
                  <w:vAlign w:val="center"/>
                </w:tcPr>
                <w:p>
                  <w:pPr>
                    <w:pStyle w:val="43"/>
                    <w:rPr>
                      <w:color w:val="auto"/>
                      <w:highlight w:val="none"/>
                    </w:rPr>
                  </w:pPr>
                  <w:r>
                    <w:rPr>
                      <w:color w:val="auto"/>
                      <w:highlight w:val="none"/>
                    </w:rPr>
                    <w:t>10</w:t>
                  </w:r>
                </w:p>
              </w:tc>
              <w:tc>
                <w:tcPr>
                  <w:tcW w:w="1251" w:type="dxa"/>
                  <w:vAlign w:val="center"/>
                </w:tcPr>
                <w:p>
                  <w:pPr>
                    <w:pStyle w:val="43"/>
                    <w:rPr>
                      <w:color w:val="auto"/>
                      <w:highlight w:val="none"/>
                    </w:rPr>
                  </w:pPr>
                  <w:r>
                    <w:rPr>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5" w:type="dxa"/>
                  <w:shd w:val="clear" w:color="auto" w:fill="auto"/>
                  <w:vAlign w:val="center"/>
                </w:tcPr>
                <w:p>
                  <w:pPr>
                    <w:pStyle w:val="43"/>
                    <w:rPr>
                      <w:color w:val="auto"/>
                      <w:highlight w:val="none"/>
                    </w:rPr>
                  </w:pPr>
                  <w:r>
                    <w:rPr>
                      <w:color w:val="auto"/>
                      <w:highlight w:val="none"/>
                    </w:rPr>
                    <w:t>5</w:t>
                  </w:r>
                </w:p>
              </w:tc>
              <w:tc>
                <w:tcPr>
                  <w:tcW w:w="1986" w:type="dxa"/>
                  <w:shd w:val="clear" w:color="auto" w:fill="auto"/>
                  <w:vAlign w:val="center"/>
                </w:tcPr>
                <w:p>
                  <w:pPr>
                    <w:pStyle w:val="43"/>
                    <w:rPr>
                      <w:color w:val="auto"/>
                      <w:highlight w:val="none"/>
                    </w:rPr>
                  </w:pPr>
                  <w:r>
                    <w:rPr>
                      <w:color w:val="auto"/>
                      <w:highlight w:val="none"/>
                    </w:rPr>
                    <w:t>COD≤</w:t>
                  </w:r>
                </w:p>
              </w:tc>
              <w:tc>
                <w:tcPr>
                  <w:tcW w:w="1418" w:type="dxa"/>
                  <w:shd w:val="clear" w:color="auto" w:fill="auto"/>
                  <w:vAlign w:val="center"/>
                </w:tcPr>
                <w:p>
                  <w:pPr>
                    <w:pStyle w:val="43"/>
                    <w:rPr>
                      <w:color w:val="auto"/>
                      <w:highlight w:val="none"/>
                    </w:rPr>
                  </w:pPr>
                  <w:r>
                    <w:rPr>
                      <w:color w:val="auto"/>
                      <w:highlight w:val="none"/>
                    </w:rPr>
                    <w:t>15</w:t>
                  </w:r>
                </w:p>
              </w:tc>
              <w:tc>
                <w:tcPr>
                  <w:tcW w:w="1207" w:type="dxa"/>
                  <w:gridSpan w:val="2"/>
                  <w:shd w:val="clear" w:color="auto" w:fill="auto"/>
                  <w:vAlign w:val="center"/>
                </w:tcPr>
                <w:p>
                  <w:pPr>
                    <w:pStyle w:val="43"/>
                    <w:rPr>
                      <w:color w:val="auto"/>
                      <w:highlight w:val="none"/>
                    </w:rPr>
                  </w:pPr>
                  <w:r>
                    <w:rPr>
                      <w:color w:val="auto"/>
                      <w:highlight w:val="none"/>
                    </w:rPr>
                    <w:t>15</w:t>
                  </w:r>
                </w:p>
              </w:tc>
              <w:tc>
                <w:tcPr>
                  <w:tcW w:w="1251" w:type="dxa"/>
                  <w:shd w:val="clear" w:color="auto" w:fill="auto"/>
                  <w:vAlign w:val="center"/>
                </w:tcPr>
                <w:p>
                  <w:pPr>
                    <w:pStyle w:val="43"/>
                    <w:rPr>
                      <w:color w:val="auto"/>
                      <w:highlight w:val="none"/>
                    </w:rPr>
                  </w:pPr>
                  <w:r>
                    <w:rPr>
                      <w:color w:val="auto"/>
                      <w:highlight w:val="none"/>
                    </w:rPr>
                    <w:t>20</w:t>
                  </w:r>
                </w:p>
              </w:tc>
              <w:tc>
                <w:tcPr>
                  <w:tcW w:w="1251" w:type="dxa"/>
                  <w:shd w:val="pct10" w:color="auto" w:fill="auto"/>
                  <w:vAlign w:val="center"/>
                </w:tcPr>
                <w:p>
                  <w:pPr>
                    <w:pStyle w:val="43"/>
                    <w:rPr>
                      <w:color w:val="auto"/>
                      <w:highlight w:val="none"/>
                    </w:rPr>
                  </w:pPr>
                  <w:r>
                    <w:rPr>
                      <w:color w:val="auto"/>
                      <w:highlight w:val="none"/>
                    </w:rPr>
                    <w:t>30</w:t>
                  </w:r>
                </w:p>
              </w:tc>
              <w:tc>
                <w:tcPr>
                  <w:tcW w:w="1251" w:type="dxa"/>
                  <w:vAlign w:val="center"/>
                </w:tcPr>
                <w:p>
                  <w:pPr>
                    <w:pStyle w:val="43"/>
                    <w:rPr>
                      <w:color w:val="auto"/>
                      <w:highlight w:val="none"/>
                    </w:rPr>
                  </w:pPr>
                  <w:r>
                    <w:rPr>
                      <w:color w:val="auto"/>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5" w:type="dxa"/>
                  <w:shd w:val="clear" w:color="auto" w:fill="auto"/>
                  <w:vAlign w:val="center"/>
                </w:tcPr>
                <w:p>
                  <w:pPr>
                    <w:pStyle w:val="43"/>
                    <w:rPr>
                      <w:color w:val="auto"/>
                      <w:highlight w:val="none"/>
                    </w:rPr>
                  </w:pPr>
                  <w:r>
                    <w:rPr>
                      <w:color w:val="auto"/>
                      <w:highlight w:val="none"/>
                    </w:rPr>
                    <w:t>6</w:t>
                  </w:r>
                </w:p>
              </w:tc>
              <w:tc>
                <w:tcPr>
                  <w:tcW w:w="1986" w:type="dxa"/>
                  <w:shd w:val="clear" w:color="auto" w:fill="auto"/>
                  <w:vAlign w:val="center"/>
                </w:tcPr>
                <w:p>
                  <w:pPr>
                    <w:pStyle w:val="43"/>
                    <w:rPr>
                      <w:color w:val="auto"/>
                      <w:highlight w:val="none"/>
                    </w:rPr>
                  </w:pPr>
                  <w:r>
                    <w:rPr>
                      <w:color w:val="auto"/>
                      <w:highlight w:val="none"/>
                    </w:rPr>
                    <w:t>BOD</w:t>
                  </w:r>
                  <w:r>
                    <w:rPr>
                      <w:color w:val="auto"/>
                      <w:highlight w:val="none"/>
                      <w:vertAlign w:val="subscript"/>
                    </w:rPr>
                    <w:t>5</w:t>
                  </w:r>
                  <w:r>
                    <w:rPr>
                      <w:color w:val="auto"/>
                      <w:highlight w:val="none"/>
                    </w:rPr>
                    <w:t>≤</w:t>
                  </w:r>
                </w:p>
              </w:tc>
              <w:tc>
                <w:tcPr>
                  <w:tcW w:w="1418" w:type="dxa"/>
                  <w:shd w:val="clear" w:color="auto" w:fill="auto"/>
                  <w:vAlign w:val="center"/>
                </w:tcPr>
                <w:p>
                  <w:pPr>
                    <w:pStyle w:val="43"/>
                    <w:rPr>
                      <w:color w:val="auto"/>
                      <w:highlight w:val="none"/>
                    </w:rPr>
                  </w:pPr>
                  <w:r>
                    <w:rPr>
                      <w:color w:val="auto"/>
                      <w:highlight w:val="none"/>
                    </w:rPr>
                    <w:t>3</w:t>
                  </w:r>
                </w:p>
              </w:tc>
              <w:tc>
                <w:tcPr>
                  <w:tcW w:w="1207" w:type="dxa"/>
                  <w:gridSpan w:val="2"/>
                  <w:shd w:val="clear" w:color="auto" w:fill="auto"/>
                  <w:vAlign w:val="center"/>
                </w:tcPr>
                <w:p>
                  <w:pPr>
                    <w:pStyle w:val="43"/>
                    <w:rPr>
                      <w:color w:val="auto"/>
                      <w:highlight w:val="none"/>
                    </w:rPr>
                  </w:pPr>
                  <w:r>
                    <w:rPr>
                      <w:color w:val="auto"/>
                      <w:highlight w:val="none"/>
                    </w:rPr>
                    <w:t>3</w:t>
                  </w:r>
                </w:p>
              </w:tc>
              <w:tc>
                <w:tcPr>
                  <w:tcW w:w="1251" w:type="dxa"/>
                  <w:shd w:val="clear" w:color="auto" w:fill="auto"/>
                  <w:vAlign w:val="center"/>
                </w:tcPr>
                <w:p>
                  <w:pPr>
                    <w:pStyle w:val="43"/>
                    <w:rPr>
                      <w:color w:val="auto"/>
                      <w:highlight w:val="none"/>
                    </w:rPr>
                  </w:pPr>
                  <w:r>
                    <w:rPr>
                      <w:color w:val="auto"/>
                      <w:highlight w:val="none"/>
                    </w:rPr>
                    <w:t>4</w:t>
                  </w:r>
                </w:p>
              </w:tc>
              <w:tc>
                <w:tcPr>
                  <w:tcW w:w="1251" w:type="dxa"/>
                  <w:shd w:val="pct10" w:color="auto" w:fill="auto"/>
                  <w:vAlign w:val="center"/>
                </w:tcPr>
                <w:p>
                  <w:pPr>
                    <w:pStyle w:val="43"/>
                    <w:rPr>
                      <w:color w:val="auto"/>
                      <w:highlight w:val="none"/>
                    </w:rPr>
                  </w:pPr>
                  <w:r>
                    <w:rPr>
                      <w:color w:val="auto"/>
                      <w:highlight w:val="none"/>
                    </w:rPr>
                    <w:t>6</w:t>
                  </w:r>
                </w:p>
              </w:tc>
              <w:tc>
                <w:tcPr>
                  <w:tcW w:w="1251" w:type="dxa"/>
                  <w:vAlign w:val="center"/>
                </w:tcPr>
                <w:p>
                  <w:pPr>
                    <w:pStyle w:val="43"/>
                    <w:rPr>
                      <w:color w:val="auto"/>
                      <w:highlight w:val="none"/>
                    </w:rPr>
                  </w:pPr>
                  <w:r>
                    <w:rPr>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5" w:type="dxa"/>
                  <w:shd w:val="clear" w:color="auto" w:fill="auto"/>
                  <w:vAlign w:val="center"/>
                </w:tcPr>
                <w:p>
                  <w:pPr>
                    <w:pStyle w:val="43"/>
                    <w:rPr>
                      <w:color w:val="auto"/>
                      <w:highlight w:val="none"/>
                    </w:rPr>
                  </w:pPr>
                  <w:r>
                    <w:rPr>
                      <w:color w:val="auto"/>
                      <w:highlight w:val="none"/>
                    </w:rPr>
                    <w:t>7</w:t>
                  </w:r>
                </w:p>
              </w:tc>
              <w:tc>
                <w:tcPr>
                  <w:tcW w:w="1986" w:type="dxa"/>
                  <w:shd w:val="clear" w:color="auto" w:fill="auto"/>
                  <w:vAlign w:val="center"/>
                </w:tcPr>
                <w:p>
                  <w:pPr>
                    <w:pStyle w:val="43"/>
                    <w:rPr>
                      <w:color w:val="auto"/>
                      <w:highlight w:val="none"/>
                    </w:rPr>
                  </w:pPr>
                  <w:r>
                    <w:rPr>
                      <w:color w:val="auto"/>
                      <w:highlight w:val="none"/>
                    </w:rPr>
                    <w:t>NH</w:t>
                  </w:r>
                  <w:r>
                    <w:rPr>
                      <w:color w:val="auto"/>
                      <w:highlight w:val="none"/>
                      <w:vertAlign w:val="subscript"/>
                    </w:rPr>
                    <w:t>3</w:t>
                  </w:r>
                  <w:r>
                    <w:rPr>
                      <w:color w:val="auto"/>
                      <w:highlight w:val="none"/>
                    </w:rPr>
                    <w:t>-N≤</w:t>
                  </w:r>
                </w:p>
              </w:tc>
              <w:tc>
                <w:tcPr>
                  <w:tcW w:w="1418" w:type="dxa"/>
                  <w:shd w:val="clear" w:color="auto" w:fill="auto"/>
                  <w:vAlign w:val="center"/>
                </w:tcPr>
                <w:p>
                  <w:pPr>
                    <w:pStyle w:val="43"/>
                    <w:rPr>
                      <w:color w:val="auto"/>
                      <w:highlight w:val="none"/>
                    </w:rPr>
                  </w:pPr>
                  <w:r>
                    <w:rPr>
                      <w:color w:val="auto"/>
                      <w:highlight w:val="none"/>
                    </w:rPr>
                    <w:t>0.15</w:t>
                  </w:r>
                </w:p>
              </w:tc>
              <w:tc>
                <w:tcPr>
                  <w:tcW w:w="1207" w:type="dxa"/>
                  <w:gridSpan w:val="2"/>
                  <w:shd w:val="clear" w:color="auto" w:fill="auto"/>
                  <w:vAlign w:val="center"/>
                </w:tcPr>
                <w:p>
                  <w:pPr>
                    <w:pStyle w:val="43"/>
                    <w:rPr>
                      <w:color w:val="auto"/>
                      <w:highlight w:val="none"/>
                    </w:rPr>
                  </w:pPr>
                  <w:r>
                    <w:rPr>
                      <w:color w:val="auto"/>
                      <w:highlight w:val="none"/>
                    </w:rPr>
                    <w:t>0.5</w:t>
                  </w:r>
                </w:p>
              </w:tc>
              <w:tc>
                <w:tcPr>
                  <w:tcW w:w="1251" w:type="dxa"/>
                  <w:shd w:val="clear" w:color="auto" w:fill="auto"/>
                  <w:vAlign w:val="center"/>
                </w:tcPr>
                <w:p>
                  <w:pPr>
                    <w:pStyle w:val="43"/>
                    <w:rPr>
                      <w:color w:val="auto"/>
                      <w:highlight w:val="none"/>
                    </w:rPr>
                  </w:pPr>
                  <w:r>
                    <w:rPr>
                      <w:color w:val="auto"/>
                      <w:highlight w:val="none"/>
                    </w:rPr>
                    <w:t>1.0</w:t>
                  </w:r>
                </w:p>
              </w:tc>
              <w:tc>
                <w:tcPr>
                  <w:tcW w:w="1251" w:type="dxa"/>
                  <w:shd w:val="pct10" w:color="auto" w:fill="auto"/>
                  <w:vAlign w:val="center"/>
                </w:tcPr>
                <w:p>
                  <w:pPr>
                    <w:pStyle w:val="43"/>
                    <w:rPr>
                      <w:color w:val="auto"/>
                      <w:highlight w:val="none"/>
                    </w:rPr>
                  </w:pPr>
                  <w:r>
                    <w:rPr>
                      <w:color w:val="auto"/>
                      <w:highlight w:val="none"/>
                    </w:rPr>
                    <w:t>1.5</w:t>
                  </w:r>
                </w:p>
              </w:tc>
              <w:tc>
                <w:tcPr>
                  <w:tcW w:w="1251" w:type="dxa"/>
                  <w:vAlign w:val="center"/>
                </w:tcPr>
                <w:p>
                  <w:pPr>
                    <w:pStyle w:val="43"/>
                    <w:rPr>
                      <w:color w:val="auto"/>
                      <w:highlight w:val="none"/>
                    </w:rPr>
                  </w:pPr>
                  <w:r>
                    <w:rPr>
                      <w:color w:val="auto"/>
                      <w:highlight w:val="none"/>
                    </w:rPr>
                    <w:t>2.0</w:t>
                  </w:r>
                </w:p>
              </w:tc>
            </w:tr>
          </w:tbl>
          <w:p>
            <w:pPr>
              <w:rPr>
                <w:color w:val="auto"/>
                <w:highlight w:val="none"/>
              </w:rPr>
            </w:pPr>
          </w:p>
          <w:p>
            <w:pPr>
              <w:pStyle w:val="42"/>
              <w:rPr>
                <w:color w:val="auto"/>
                <w:highlight w:val="none"/>
                <w:lang w:val="en-US"/>
              </w:rPr>
            </w:pPr>
            <w:r>
              <w:rPr>
                <w:rFonts w:hint="eastAsia"/>
                <w:color w:val="auto"/>
                <w:highlight w:val="none"/>
                <w:lang w:val="en-US"/>
              </w:rPr>
              <w:t>（2）环境质量现状</w:t>
            </w:r>
          </w:p>
          <w:p>
            <w:pPr>
              <w:pStyle w:val="42"/>
              <w:rPr>
                <w:color w:val="auto"/>
                <w:highlight w:val="none"/>
                <w:lang w:val="en-US"/>
              </w:rPr>
            </w:pPr>
            <w:r>
              <w:rPr>
                <w:color w:val="auto"/>
                <w:highlight w:val="none"/>
                <w:lang w:val="en-US"/>
              </w:rPr>
              <w:t>为了解项目周边</w:t>
            </w:r>
            <w:r>
              <w:rPr>
                <w:rFonts w:hint="eastAsia"/>
                <w:color w:val="auto"/>
                <w:highlight w:val="none"/>
                <w:lang w:val="en-US"/>
              </w:rPr>
              <w:t>溪源江</w:t>
            </w:r>
            <w:r>
              <w:rPr>
                <w:color w:val="auto"/>
                <w:highlight w:val="none"/>
                <w:lang w:val="en-US"/>
              </w:rPr>
              <w:t>地表水环境质量现状，根据福建省生态环境厅网站发布的福建省主要流域水环境质量状况</w:t>
            </w:r>
            <w:r>
              <w:rPr>
                <w:rFonts w:hint="eastAsia"/>
                <w:color w:val="auto"/>
                <w:highlight w:val="none"/>
                <w:lang w:val="en-US"/>
              </w:rPr>
              <w:t>（</w:t>
            </w:r>
            <w:r>
              <w:rPr>
                <w:color w:val="auto"/>
                <w:highlight w:val="none"/>
                <w:lang w:val="en-US"/>
              </w:rPr>
              <w:t>202</w:t>
            </w:r>
            <w:r>
              <w:rPr>
                <w:rFonts w:hint="eastAsia"/>
                <w:color w:val="auto"/>
                <w:highlight w:val="none"/>
                <w:lang w:val="en-US" w:eastAsia="zh-CN"/>
              </w:rPr>
              <w:t>2</w:t>
            </w:r>
            <w:r>
              <w:rPr>
                <w:color w:val="auto"/>
                <w:highlight w:val="none"/>
                <w:lang w:val="en-US"/>
              </w:rPr>
              <w:t>年1-12月</w:t>
            </w:r>
            <w:r>
              <w:rPr>
                <w:rFonts w:hint="eastAsia"/>
                <w:color w:val="auto"/>
                <w:highlight w:val="none"/>
                <w:lang w:val="en-US"/>
              </w:rPr>
              <w:t>）：</w:t>
            </w:r>
            <w:r>
              <w:rPr>
                <w:color w:val="auto"/>
                <w:highlight w:val="none"/>
                <w:lang w:val="en-US"/>
              </w:rPr>
              <w:t>202</w:t>
            </w:r>
            <w:r>
              <w:rPr>
                <w:rFonts w:hint="eastAsia"/>
                <w:color w:val="auto"/>
                <w:highlight w:val="none"/>
                <w:lang w:val="en-US" w:eastAsia="zh-CN"/>
              </w:rPr>
              <w:t>2</w:t>
            </w:r>
            <w:r>
              <w:rPr>
                <w:color w:val="auto"/>
                <w:highlight w:val="none"/>
                <w:lang w:val="en-US"/>
              </w:rPr>
              <w:t>年1-12月，</w:t>
            </w:r>
            <w:r>
              <w:rPr>
                <w:rFonts w:hint="eastAsia"/>
                <w:color w:val="auto"/>
                <w:highlight w:val="none"/>
                <w:lang w:val="en-US"/>
              </w:rPr>
              <w:t>全省主要流域“十四五”375个评价断面总体水质为优，Ⅰ～Ⅲ类水质比例为</w:t>
            </w:r>
            <w:r>
              <w:rPr>
                <w:rFonts w:hint="eastAsia"/>
                <w:color w:val="auto"/>
                <w:highlight w:val="none"/>
                <w:lang w:val="en-US" w:eastAsia="zh-CN"/>
              </w:rPr>
              <w:t>98.7</w:t>
            </w:r>
            <w:r>
              <w:rPr>
                <w:rFonts w:hint="eastAsia"/>
                <w:color w:val="auto"/>
                <w:highlight w:val="none"/>
                <w:lang w:val="en-US"/>
              </w:rPr>
              <w:t>%，Ⅰ～Ⅱ类水质比例为</w:t>
            </w:r>
            <w:r>
              <w:rPr>
                <w:rFonts w:hint="eastAsia"/>
                <w:color w:val="auto"/>
                <w:highlight w:val="none"/>
                <w:lang w:val="en-US" w:eastAsia="zh-CN"/>
              </w:rPr>
              <w:t>55.5</w:t>
            </w:r>
            <w:r>
              <w:rPr>
                <w:rFonts w:hint="eastAsia"/>
                <w:color w:val="auto"/>
                <w:highlight w:val="none"/>
                <w:lang w:val="en-US"/>
              </w:rPr>
              <w:t>%。各类水质比例如下：Ⅰ类占</w:t>
            </w:r>
            <w:r>
              <w:rPr>
                <w:rFonts w:hint="eastAsia"/>
                <w:color w:val="auto"/>
                <w:highlight w:val="none"/>
                <w:lang w:val="en-US" w:eastAsia="zh-CN"/>
              </w:rPr>
              <w:t>1.1</w:t>
            </w:r>
            <w:r>
              <w:rPr>
                <w:rFonts w:hint="eastAsia"/>
                <w:color w:val="auto"/>
                <w:highlight w:val="none"/>
                <w:lang w:val="en-US"/>
              </w:rPr>
              <w:t>％，Ⅱ类占</w:t>
            </w:r>
            <w:r>
              <w:rPr>
                <w:rFonts w:hint="eastAsia"/>
                <w:color w:val="auto"/>
                <w:highlight w:val="none"/>
                <w:lang w:val="en-US" w:eastAsia="zh-CN"/>
              </w:rPr>
              <w:t>54.4</w:t>
            </w:r>
            <w:r>
              <w:rPr>
                <w:rFonts w:hint="eastAsia"/>
                <w:color w:val="auto"/>
                <w:highlight w:val="none"/>
                <w:lang w:val="en-US"/>
              </w:rPr>
              <w:t>％，Ⅲ类占</w:t>
            </w:r>
            <w:r>
              <w:rPr>
                <w:rFonts w:hint="eastAsia"/>
                <w:color w:val="auto"/>
                <w:highlight w:val="none"/>
                <w:lang w:val="en-US" w:eastAsia="zh-CN"/>
              </w:rPr>
              <w:t>43.2</w:t>
            </w:r>
            <w:r>
              <w:rPr>
                <w:rFonts w:hint="eastAsia"/>
                <w:color w:val="auto"/>
                <w:highlight w:val="none"/>
                <w:lang w:val="en-US"/>
              </w:rPr>
              <w:t>％，Ⅳ类占</w:t>
            </w:r>
            <w:r>
              <w:rPr>
                <w:rFonts w:hint="eastAsia"/>
                <w:color w:val="auto"/>
                <w:highlight w:val="none"/>
                <w:lang w:val="en-US" w:eastAsia="zh-CN"/>
              </w:rPr>
              <w:t>1.3</w:t>
            </w:r>
            <w:r>
              <w:rPr>
                <w:rFonts w:hint="eastAsia"/>
                <w:color w:val="auto"/>
                <w:highlight w:val="none"/>
                <w:lang w:val="en-US"/>
              </w:rPr>
              <w:t>％，无Ⅴ类和劣Ⅴ类水。</w:t>
            </w:r>
          </w:p>
          <w:p>
            <w:pPr>
              <w:jc w:val="center"/>
              <w:rPr>
                <w:color w:val="auto"/>
                <w:highlight w:val="none"/>
              </w:rPr>
            </w:pPr>
            <w:r>
              <w:rPr>
                <w:color w:val="auto"/>
              </w:rPr>
              <w:drawing>
                <wp:inline distT="0" distB="0" distL="114300" distR="114300">
                  <wp:extent cx="5406390" cy="4673600"/>
                  <wp:effectExtent l="0" t="0" r="3810" b="12700"/>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1"/>
                          </pic:cNvPicPr>
                        </pic:nvPicPr>
                        <pic:blipFill>
                          <a:blip r:embed="rId36"/>
                          <a:stretch>
                            <a:fillRect/>
                          </a:stretch>
                        </pic:blipFill>
                        <pic:spPr>
                          <a:xfrm>
                            <a:off x="0" y="0"/>
                            <a:ext cx="5406390" cy="4673600"/>
                          </a:xfrm>
                          <a:prstGeom prst="rect">
                            <a:avLst/>
                          </a:prstGeom>
                          <a:noFill/>
                          <a:ln>
                            <a:noFill/>
                          </a:ln>
                        </pic:spPr>
                      </pic:pic>
                    </a:graphicData>
                  </a:graphic>
                </wp:inline>
              </w:drawing>
            </w:r>
          </w:p>
          <w:p>
            <w:pPr>
              <w:pStyle w:val="32"/>
              <w:rPr>
                <w:color w:val="auto"/>
                <w:highlight w:val="none"/>
              </w:rPr>
            </w:pPr>
            <w:r>
              <w:rPr>
                <w:color w:val="auto"/>
                <w:highlight w:val="none"/>
              </w:rPr>
              <w:t>图</w:t>
            </w:r>
            <w:r>
              <w:rPr>
                <w:rFonts w:hint="eastAsia"/>
                <w:color w:val="auto"/>
                <w:highlight w:val="none"/>
              </w:rPr>
              <w:t>3.1-3</w:t>
            </w:r>
            <w:r>
              <w:rPr>
                <w:color w:val="auto"/>
                <w:highlight w:val="none"/>
              </w:rPr>
              <w:t xml:space="preserve"> </w:t>
            </w:r>
            <w:r>
              <w:rPr>
                <w:rFonts w:hint="eastAsia"/>
                <w:color w:val="auto"/>
                <w:highlight w:val="none"/>
              </w:rPr>
              <w:t xml:space="preserve"> </w:t>
            </w:r>
            <w:r>
              <w:rPr>
                <w:color w:val="auto"/>
                <w:highlight w:val="none"/>
              </w:rPr>
              <w:t>福建省主要流域水环境质量状况(202</w:t>
            </w:r>
            <w:r>
              <w:rPr>
                <w:rFonts w:hint="eastAsia"/>
                <w:color w:val="auto"/>
                <w:highlight w:val="none"/>
                <w:lang w:val="en-US" w:eastAsia="zh-CN"/>
              </w:rPr>
              <w:t>2</w:t>
            </w:r>
            <w:r>
              <w:rPr>
                <w:color w:val="auto"/>
                <w:highlight w:val="none"/>
              </w:rPr>
              <w:t>年1-</w:t>
            </w:r>
            <w:r>
              <w:rPr>
                <w:rFonts w:hint="eastAsia"/>
                <w:color w:val="auto"/>
                <w:highlight w:val="none"/>
              </w:rPr>
              <w:t>1</w:t>
            </w:r>
            <w:r>
              <w:rPr>
                <w:color w:val="auto"/>
                <w:highlight w:val="none"/>
              </w:rPr>
              <w:t>2月)</w:t>
            </w:r>
          </w:p>
          <w:p>
            <w:pPr>
              <w:pStyle w:val="42"/>
              <w:rPr>
                <w:color w:val="auto"/>
                <w:highlight w:val="none"/>
              </w:rPr>
            </w:pPr>
          </w:p>
          <w:p>
            <w:pPr>
              <w:pStyle w:val="42"/>
              <w:rPr>
                <w:rFonts w:hint="eastAsia"/>
                <w:color w:val="auto"/>
                <w:highlight w:val="none"/>
                <w:lang w:val="en-US"/>
              </w:rPr>
            </w:pPr>
            <w:r>
              <w:rPr>
                <w:rFonts w:hint="eastAsia"/>
                <w:color w:val="auto"/>
                <w:highlight w:val="none"/>
                <w:lang w:val="en-US"/>
              </w:rPr>
              <w:t>溪源江属于闽江支流，闽江在省生态环境厅监测的全省12条主要河流内。</w:t>
            </w:r>
          </w:p>
          <w:p>
            <w:pPr>
              <w:pStyle w:val="42"/>
              <w:rPr>
                <w:color w:val="auto"/>
                <w:highlight w:val="none"/>
                <w:lang w:val="en-US"/>
              </w:rPr>
            </w:pPr>
            <w:r>
              <w:rPr>
                <w:rFonts w:hint="eastAsia"/>
                <w:color w:val="auto"/>
                <w:highlight w:val="none"/>
                <w:lang w:val="en-US" w:eastAsia="zh-CN"/>
              </w:rPr>
              <w:t>同时，根据福州市人民政府网站福州市生态环境局发布的2023年1-9月福州市水环境质量状况，2023年1-9月，福州市54个省考小流域断面Ⅰ-Ⅲ类水质比例为96.3%。溪源江已纳入福州市省考小流域断面考核内。</w:t>
            </w:r>
            <w:r>
              <w:rPr>
                <w:color w:val="auto"/>
                <w:highlight w:val="none"/>
              </w:rPr>
              <w:t>由此可知，项目周边</w:t>
            </w:r>
            <w:r>
              <w:rPr>
                <w:rFonts w:hint="eastAsia"/>
                <w:color w:val="auto"/>
                <w:highlight w:val="none"/>
              </w:rPr>
              <w:t>溪源江</w:t>
            </w:r>
            <w:r>
              <w:rPr>
                <w:color w:val="auto"/>
                <w:highlight w:val="none"/>
              </w:rPr>
              <w:t>地表水环境质量满足《地表水环境质量标准》(GB3838-2002)中</w:t>
            </w:r>
            <w:r>
              <w:rPr>
                <w:rFonts w:hint="eastAsia"/>
                <w:color w:val="auto"/>
                <w:highlight w:val="none"/>
                <w:lang w:val="en-US"/>
              </w:rPr>
              <w:t>Ⅲ</w:t>
            </w:r>
            <w:r>
              <w:rPr>
                <w:rFonts w:hint="eastAsia"/>
                <w:color w:val="auto"/>
                <w:highlight w:val="none"/>
              </w:rPr>
              <w:t>类</w:t>
            </w:r>
            <w:r>
              <w:rPr>
                <w:color w:val="auto"/>
                <w:highlight w:val="none"/>
              </w:rPr>
              <w:t>水质标准</w:t>
            </w:r>
            <w:r>
              <w:rPr>
                <w:color w:val="auto"/>
                <w:highlight w:val="none"/>
                <w:lang w:val="en-US"/>
              </w:rPr>
              <w:t>。</w:t>
            </w:r>
          </w:p>
          <w:p>
            <w:pPr>
              <w:rPr>
                <w:color w:val="auto"/>
              </w:rPr>
            </w:pPr>
            <w:r>
              <w:rPr>
                <w:color w:val="auto"/>
              </w:rPr>
              <w:drawing>
                <wp:inline distT="0" distB="0" distL="114300" distR="114300">
                  <wp:extent cx="5411470" cy="3343910"/>
                  <wp:effectExtent l="0" t="0" r="8255" b="889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37"/>
                          <a:stretch>
                            <a:fillRect/>
                          </a:stretch>
                        </pic:blipFill>
                        <pic:spPr>
                          <a:xfrm>
                            <a:off x="0" y="0"/>
                            <a:ext cx="5411470" cy="3343910"/>
                          </a:xfrm>
                          <a:prstGeom prst="rect">
                            <a:avLst/>
                          </a:prstGeom>
                          <a:noFill/>
                          <a:ln>
                            <a:noFill/>
                          </a:ln>
                        </pic:spPr>
                      </pic:pic>
                    </a:graphicData>
                  </a:graphic>
                </wp:inline>
              </w:drawing>
            </w:r>
          </w:p>
          <w:p>
            <w:pPr>
              <w:pStyle w:val="2"/>
              <w:rPr>
                <w:color w:val="auto"/>
                <w:lang w:val="en-US"/>
              </w:rPr>
            </w:pPr>
          </w:p>
          <w:p>
            <w:pPr>
              <w:pStyle w:val="32"/>
              <w:rPr>
                <w:rFonts w:hint="default" w:eastAsia="黑体"/>
                <w:color w:val="auto"/>
                <w:highlight w:val="none"/>
                <w:lang w:val="en-US" w:eastAsia="zh-CN"/>
              </w:rPr>
            </w:pPr>
            <w:r>
              <w:rPr>
                <w:color w:val="auto"/>
                <w:highlight w:val="none"/>
              </w:rPr>
              <w:t>图</w:t>
            </w:r>
            <w:r>
              <w:rPr>
                <w:rFonts w:hint="eastAsia"/>
                <w:color w:val="auto"/>
                <w:highlight w:val="none"/>
              </w:rPr>
              <w:t>3.1-</w:t>
            </w:r>
            <w:r>
              <w:rPr>
                <w:rFonts w:hint="eastAsia"/>
                <w:color w:val="auto"/>
                <w:highlight w:val="none"/>
                <w:lang w:val="en-US" w:eastAsia="zh-CN"/>
              </w:rPr>
              <w:t>3</w:t>
            </w:r>
            <w:r>
              <w:rPr>
                <w:color w:val="auto"/>
                <w:highlight w:val="none"/>
              </w:rPr>
              <w:t xml:space="preserve"> </w:t>
            </w:r>
            <w:r>
              <w:rPr>
                <w:rFonts w:hint="eastAsia"/>
                <w:color w:val="auto"/>
                <w:highlight w:val="none"/>
              </w:rPr>
              <w:t xml:space="preserve"> </w:t>
            </w:r>
            <w:r>
              <w:rPr>
                <w:rFonts w:hint="eastAsia"/>
                <w:color w:val="auto"/>
                <w:highlight w:val="none"/>
                <w:lang w:val="en-US" w:eastAsia="zh-CN"/>
              </w:rPr>
              <w:t>2023年1-9月福州市水环境质量状况</w:t>
            </w:r>
          </w:p>
          <w:p>
            <w:pPr>
              <w:pStyle w:val="42"/>
              <w:rPr>
                <w:color w:val="auto"/>
                <w:highlight w:val="none"/>
              </w:rPr>
            </w:pPr>
          </w:p>
          <w:p>
            <w:pPr>
              <w:pStyle w:val="42"/>
              <w:rPr>
                <w:color w:val="auto"/>
                <w:highlight w:val="none"/>
              </w:rPr>
            </w:pPr>
            <w:r>
              <w:rPr>
                <w:color w:val="auto"/>
                <w:highlight w:val="none"/>
              </w:rPr>
              <w:t>根据《环境影响评价技术导则</w:t>
            </w:r>
            <w:r>
              <w:rPr>
                <w:color w:val="auto"/>
                <w:highlight w:val="none"/>
                <w:lang w:val="en-US"/>
              </w:rPr>
              <w:t xml:space="preserve"> </w:t>
            </w:r>
            <w:r>
              <w:rPr>
                <w:color w:val="auto"/>
                <w:highlight w:val="none"/>
              </w:rPr>
              <w:t>地表水环境》(HJ 2.3-2018)</w:t>
            </w:r>
            <w:r>
              <w:rPr>
                <w:color w:val="auto"/>
                <w:highlight w:val="none"/>
                <w:lang w:val="en-US"/>
              </w:rPr>
              <w:t>中6.6.3.2要求</w:t>
            </w:r>
            <w:r>
              <w:rPr>
                <w:color w:val="auto"/>
                <w:highlight w:val="none"/>
              </w:rPr>
              <w:t>：“水环境质量现状调查应优先采用国务院生态环境保护主管部门统一发布的水环境状况信息”，本此评价选取福建省生态环境厅网站</w:t>
            </w:r>
            <w:r>
              <w:rPr>
                <w:rFonts w:hint="eastAsia"/>
                <w:color w:val="auto"/>
                <w:highlight w:val="none"/>
                <w:lang w:eastAsia="zh-CN"/>
              </w:rPr>
              <w:t>、</w:t>
            </w:r>
            <w:r>
              <w:rPr>
                <w:rFonts w:hint="eastAsia"/>
                <w:color w:val="auto"/>
                <w:highlight w:val="none"/>
                <w:lang w:val="en-US" w:eastAsia="zh-CN"/>
              </w:rPr>
              <w:t>福州市生态环境局</w:t>
            </w:r>
            <w:r>
              <w:rPr>
                <w:color w:val="auto"/>
                <w:highlight w:val="none"/>
              </w:rPr>
              <w:t>发布水环境状况信息，符合《环境影响评价技术导则</w:t>
            </w:r>
            <w:r>
              <w:rPr>
                <w:color w:val="auto"/>
                <w:highlight w:val="none"/>
                <w:lang w:val="en-US"/>
              </w:rPr>
              <w:t xml:space="preserve"> </w:t>
            </w:r>
            <w:r>
              <w:rPr>
                <w:color w:val="auto"/>
                <w:highlight w:val="none"/>
              </w:rPr>
              <w:t>地表水环境》</w:t>
            </w:r>
            <w:r>
              <w:rPr>
                <w:rFonts w:hint="eastAsia"/>
                <w:color w:val="auto"/>
                <w:highlight w:val="none"/>
              </w:rPr>
              <w:t>（</w:t>
            </w:r>
            <w:r>
              <w:rPr>
                <w:color w:val="auto"/>
                <w:highlight w:val="none"/>
              </w:rPr>
              <w:t>HJ 2.3-2018</w:t>
            </w:r>
            <w:r>
              <w:rPr>
                <w:rFonts w:hint="eastAsia"/>
                <w:color w:val="auto"/>
                <w:highlight w:val="none"/>
              </w:rPr>
              <w:t>）</w:t>
            </w:r>
            <w:r>
              <w:rPr>
                <w:color w:val="auto"/>
                <w:highlight w:val="none"/>
                <w:lang w:val="en-US"/>
              </w:rPr>
              <w:t>6.6.3.2中要求</w:t>
            </w:r>
            <w:r>
              <w:rPr>
                <w:color w:val="auto"/>
                <w:highlight w:val="none"/>
              </w:rPr>
              <w:t>，环境现状监测数据有效可行。</w:t>
            </w:r>
          </w:p>
          <w:p>
            <w:pPr>
              <w:pStyle w:val="31"/>
              <w:rPr>
                <w:color w:val="auto"/>
                <w:highlight w:val="none"/>
              </w:rPr>
            </w:pPr>
            <w:r>
              <w:rPr>
                <w:color w:val="auto"/>
                <w:highlight w:val="none"/>
              </w:rPr>
              <w:t>3.</w:t>
            </w:r>
            <w:r>
              <w:rPr>
                <w:rFonts w:hint="eastAsia"/>
                <w:color w:val="auto"/>
                <w:highlight w:val="none"/>
              </w:rPr>
              <w:t>1.3声环境现状调查与评价</w:t>
            </w:r>
          </w:p>
          <w:p>
            <w:pPr>
              <w:pStyle w:val="45"/>
              <w:ind w:firstLine="480" w:firstLineChars="200"/>
              <w:rPr>
                <w:rFonts w:hint="eastAsia" w:eastAsia="宋体"/>
                <w:b w:val="0"/>
                <w:bCs/>
                <w:snapToGrid w:val="0"/>
                <w:color w:val="auto"/>
                <w:sz w:val="24"/>
                <w:szCs w:val="21"/>
                <w:highlight w:val="none"/>
                <w:lang w:val="en-US"/>
              </w:rPr>
            </w:pPr>
            <w:r>
              <w:rPr>
                <w:rFonts w:hint="eastAsia" w:eastAsia="宋体"/>
                <w:b w:val="0"/>
                <w:bCs/>
                <w:snapToGrid w:val="0"/>
                <w:color w:val="auto"/>
                <w:sz w:val="24"/>
                <w:szCs w:val="21"/>
                <w:highlight w:val="none"/>
                <w:lang w:val="en-US"/>
              </w:rPr>
              <w:t>为了解评价区域的声环境质量现状，本次评价委托福建创投环境检测有限公司于2022年6月10日对项目所在地环境噪声进行现状监测。环境噪声现状监测原则沿校区边界四周布点，并考虑周边敏感点位置，具体点位布设情况见图3.1-2。噪声监测结果详见下表。</w:t>
            </w:r>
          </w:p>
          <w:p>
            <w:pPr>
              <w:pStyle w:val="45"/>
              <w:ind w:firstLine="480" w:firstLineChars="200"/>
              <w:rPr>
                <w:rFonts w:hint="eastAsia" w:eastAsia="宋体"/>
                <w:b w:val="0"/>
                <w:bCs/>
                <w:snapToGrid w:val="0"/>
                <w:color w:val="auto"/>
                <w:sz w:val="24"/>
                <w:szCs w:val="21"/>
                <w:highlight w:val="none"/>
                <w:lang w:val="en-US"/>
              </w:rPr>
            </w:pPr>
          </w:p>
          <w:p>
            <w:pPr>
              <w:pStyle w:val="45"/>
              <w:ind w:firstLine="480" w:firstLineChars="200"/>
              <w:rPr>
                <w:rFonts w:hint="eastAsia" w:eastAsia="宋体"/>
                <w:b w:val="0"/>
                <w:bCs/>
                <w:snapToGrid w:val="0"/>
                <w:color w:val="auto"/>
                <w:sz w:val="24"/>
                <w:szCs w:val="21"/>
                <w:highlight w:val="none"/>
                <w:lang w:val="en-US"/>
              </w:rPr>
            </w:pPr>
          </w:p>
          <w:p>
            <w:pPr>
              <w:pStyle w:val="45"/>
              <w:ind w:firstLine="480" w:firstLineChars="200"/>
              <w:rPr>
                <w:rFonts w:hint="eastAsia" w:eastAsia="宋体"/>
                <w:b w:val="0"/>
                <w:bCs/>
                <w:snapToGrid w:val="0"/>
                <w:color w:val="auto"/>
                <w:sz w:val="24"/>
                <w:szCs w:val="21"/>
                <w:highlight w:val="none"/>
                <w:lang w:val="en-US"/>
              </w:rPr>
            </w:pPr>
          </w:p>
          <w:p>
            <w:pPr>
              <w:pStyle w:val="29"/>
              <w:rPr>
                <w:color w:val="auto"/>
                <w:highlight w:val="none"/>
              </w:rPr>
            </w:pPr>
          </w:p>
          <w:p>
            <w:pPr>
              <w:pStyle w:val="29"/>
              <w:rPr>
                <w:color w:val="auto"/>
                <w:highlight w:val="none"/>
              </w:rPr>
            </w:pPr>
          </w:p>
          <w:p>
            <w:pPr>
              <w:pStyle w:val="29"/>
              <w:rPr>
                <w:color w:val="auto"/>
                <w:highlight w:val="none"/>
              </w:rPr>
            </w:pPr>
            <w:r>
              <w:rPr>
                <w:rFonts w:hint="eastAsia"/>
                <w:color w:val="auto"/>
                <w:highlight w:val="none"/>
              </w:rPr>
              <w:t xml:space="preserve">表3.1.5 噪声现状监测结果一览表 </w:t>
            </w:r>
            <w:r>
              <w:rPr>
                <w:color w:val="auto"/>
                <w:highlight w:val="none"/>
              </w:rPr>
              <w:t>单位：dB(A)</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2535"/>
              <w:gridCol w:w="1231"/>
              <w:gridCol w:w="1095"/>
              <w:gridCol w:w="1230"/>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63"/>
                    <w:widowControl/>
                    <w:spacing w:line="240" w:lineRule="auto"/>
                    <w:rPr>
                      <w:color w:val="auto"/>
                      <w:szCs w:val="21"/>
                      <w:highlight w:val="none"/>
                    </w:rPr>
                  </w:pPr>
                  <w:r>
                    <w:rPr>
                      <w:rFonts w:hint="eastAsia" w:cs="宋体"/>
                      <w:color w:val="auto"/>
                      <w:szCs w:val="21"/>
                      <w:highlight w:val="none"/>
                    </w:rPr>
                    <w:t>检测日期</w:t>
                  </w:r>
                </w:p>
              </w:tc>
              <w:tc>
                <w:tcPr>
                  <w:tcW w:w="150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63"/>
                    <w:widowControl/>
                    <w:spacing w:line="240" w:lineRule="auto"/>
                    <w:rPr>
                      <w:color w:val="auto"/>
                      <w:szCs w:val="21"/>
                      <w:highlight w:val="none"/>
                    </w:rPr>
                  </w:pPr>
                  <w:r>
                    <w:rPr>
                      <w:rFonts w:hint="eastAsia" w:cs="宋体"/>
                      <w:color w:val="auto"/>
                      <w:szCs w:val="21"/>
                      <w:highlight w:val="none"/>
                    </w:rPr>
                    <w:t>检测点位编号及位置</w:t>
                  </w:r>
                </w:p>
              </w:tc>
              <w:tc>
                <w:tcPr>
                  <w:tcW w:w="138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63"/>
                    <w:widowControl/>
                    <w:spacing w:line="240" w:lineRule="auto"/>
                    <w:rPr>
                      <w:color w:val="auto"/>
                      <w:szCs w:val="21"/>
                      <w:highlight w:val="none"/>
                    </w:rPr>
                  </w:pPr>
                  <w:r>
                    <w:rPr>
                      <w:rFonts w:hint="eastAsia" w:cs="宋体"/>
                      <w:color w:val="auto"/>
                      <w:szCs w:val="21"/>
                      <w:highlight w:val="none"/>
                    </w:rPr>
                    <w:t>检测结果</w:t>
                  </w:r>
                </w:p>
              </w:tc>
              <w:tc>
                <w:tcPr>
                  <w:tcW w:w="731" w:type="pct"/>
                  <w:vMerge w:val="restart"/>
                  <w:tcBorders>
                    <w:top w:val="single" w:color="auto" w:sz="4" w:space="0"/>
                    <w:left w:val="single" w:color="auto" w:sz="4" w:space="0"/>
                    <w:right w:val="single" w:color="auto" w:sz="4" w:space="0"/>
                  </w:tcBorders>
                  <w:shd w:val="clear" w:color="auto" w:fill="auto"/>
                  <w:vAlign w:val="center"/>
                </w:tcPr>
                <w:p>
                  <w:pPr>
                    <w:pStyle w:val="63"/>
                    <w:widowControl/>
                    <w:spacing w:line="240" w:lineRule="auto"/>
                    <w:rPr>
                      <w:rFonts w:cs="宋体"/>
                      <w:color w:val="auto"/>
                      <w:szCs w:val="21"/>
                      <w:highlight w:val="none"/>
                    </w:rPr>
                  </w:pPr>
                  <w:r>
                    <w:rPr>
                      <w:rFonts w:hint="eastAsia" w:cs="宋体"/>
                      <w:color w:val="auto"/>
                      <w:szCs w:val="21"/>
                      <w:highlight w:val="none"/>
                    </w:rPr>
                    <w:t>标准值</w:t>
                  </w:r>
                </w:p>
              </w:tc>
              <w:tc>
                <w:tcPr>
                  <w:tcW w:w="720" w:type="pct"/>
                  <w:vMerge w:val="restart"/>
                  <w:tcBorders>
                    <w:top w:val="single" w:color="auto" w:sz="4" w:space="0"/>
                    <w:left w:val="single" w:color="auto" w:sz="4" w:space="0"/>
                    <w:right w:val="single" w:color="auto" w:sz="4" w:space="0"/>
                  </w:tcBorders>
                  <w:shd w:val="clear" w:color="auto" w:fill="auto"/>
                  <w:vAlign w:val="center"/>
                </w:tcPr>
                <w:p>
                  <w:pPr>
                    <w:pStyle w:val="63"/>
                    <w:widowControl/>
                    <w:spacing w:line="240" w:lineRule="auto"/>
                    <w:rPr>
                      <w:rFonts w:cs="宋体"/>
                      <w:color w:val="auto"/>
                      <w:szCs w:val="21"/>
                      <w:highlight w:val="none"/>
                    </w:rPr>
                  </w:pPr>
                  <w:r>
                    <w:rPr>
                      <w:rFonts w:hint="eastAsia" w:cs="宋体"/>
                      <w:color w:val="auto"/>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0"/>
                      <w:szCs w:val="20"/>
                      <w:highlight w:val="none"/>
                    </w:rPr>
                  </w:pPr>
                </w:p>
              </w:tc>
              <w:tc>
                <w:tcPr>
                  <w:tcW w:w="150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0"/>
                      <w:szCs w:val="20"/>
                      <w:highlight w:val="none"/>
                    </w:rPr>
                  </w:pPr>
                </w:p>
              </w:tc>
              <w:tc>
                <w:tcPr>
                  <w:tcW w:w="73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widowControl/>
                    <w:spacing w:line="240" w:lineRule="auto"/>
                    <w:rPr>
                      <w:color w:val="auto"/>
                      <w:szCs w:val="21"/>
                      <w:highlight w:val="none"/>
                    </w:rPr>
                  </w:pPr>
                  <w:r>
                    <w:rPr>
                      <w:rFonts w:hint="eastAsia" w:cs="宋体"/>
                      <w:color w:val="auto"/>
                      <w:szCs w:val="21"/>
                      <w:highlight w:val="none"/>
                    </w:rPr>
                    <w:t>昼间</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63"/>
                    <w:widowControl/>
                    <w:spacing w:line="240" w:lineRule="auto"/>
                    <w:rPr>
                      <w:color w:val="auto"/>
                      <w:szCs w:val="21"/>
                      <w:highlight w:val="none"/>
                    </w:rPr>
                  </w:pPr>
                  <w:r>
                    <w:rPr>
                      <w:rFonts w:hint="eastAsia" w:cs="宋体"/>
                      <w:color w:val="auto"/>
                      <w:szCs w:val="21"/>
                      <w:highlight w:val="none"/>
                    </w:rPr>
                    <w:t>夜间</w:t>
                  </w:r>
                </w:p>
              </w:tc>
              <w:tc>
                <w:tcPr>
                  <w:tcW w:w="731" w:type="pct"/>
                  <w:vMerge w:val="continue"/>
                  <w:tcBorders>
                    <w:left w:val="single" w:color="auto" w:sz="4" w:space="0"/>
                    <w:bottom w:val="single" w:color="auto" w:sz="4" w:space="0"/>
                    <w:right w:val="single" w:color="auto" w:sz="4" w:space="0"/>
                  </w:tcBorders>
                  <w:shd w:val="clear" w:color="auto" w:fill="auto"/>
                  <w:vAlign w:val="center"/>
                </w:tcPr>
                <w:p>
                  <w:pPr>
                    <w:pStyle w:val="63"/>
                    <w:widowControl/>
                    <w:spacing w:line="240" w:lineRule="auto"/>
                    <w:rPr>
                      <w:rFonts w:cs="宋体"/>
                      <w:color w:val="auto"/>
                      <w:szCs w:val="21"/>
                      <w:highlight w:val="none"/>
                    </w:rPr>
                  </w:pPr>
                </w:p>
              </w:tc>
              <w:tc>
                <w:tcPr>
                  <w:tcW w:w="720" w:type="pct"/>
                  <w:vMerge w:val="continue"/>
                  <w:tcBorders>
                    <w:left w:val="single" w:color="auto" w:sz="4" w:space="0"/>
                    <w:bottom w:val="single" w:color="auto" w:sz="4" w:space="0"/>
                    <w:right w:val="single" w:color="auto" w:sz="4" w:space="0"/>
                  </w:tcBorders>
                  <w:shd w:val="clear" w:color="auto" w:fill="auto"/>
                  <w:vAlign w:val="center"/>
                </w:tcPr>
                <w:p>
                  <w:pPr>
                    <w:pStyle w:val="63"/>
                    <w:widowControl/>
                    <w:spacing w:line="240" w:lineRule="auto"/>
                    <w:rPr>
                      <w:rFonts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restart"/>
                  <w:tcBorders>
                    <w:top w:val="single" w:color="auto" w:sz="4" w:space="0"/>
                    <w:left w:val="single" w:color="auto" w:sz="4" w:space="0"/>
                    <w:right w:val="single" w:color="auto" w:sz="4" w:space="0"/>
                  </w:tcBorders>
                  <w:shd w:val="clear" w:color="auto" w:fill="auto"/>
                  <w:vAlign w:val="center"/>
                </w:tcPr>
                <w:p>
                  <w:pPr>
                    <w:jc w:val="center"/>
                    <w:rPr>
                      <w:color w:val="auto"/>
                      <w:szCs w:val="21"/>
                      <w:highlight w:val="none"/>
                    </w:rPr>
                  </w:pPr>
                  <w:r>
                    <w:rPr>
                      <w:color w:val="auto"/>
                      <w:szCs w:val="21"/>
                      <w:highlight w:val="none"/>
                      <w:lang w:bidi="ar"/>
                    </w:rPr>
                    <w:t>2022</w:t>
                  </w:r>
                  <w:r>
                    <w:rPr>
                      <w:rFonts w:hint="eastAsia" w:cs="宋体"/>
                      <w:color w:val="auto"/>
                      <w:szCs w:val="21"/>
                      <w:highlight w:val="none"/>
                      <w:lang w:bidi="ar"/>
                    </w:rPr>
                    <w:t>年</w:t>
                  </w:r>
                </w:p>
                <w:p>
                  <w:pPr>
                    <w:jc w:val="center"/>
                    <w:rPr>
                      <w:color w:val="auto"/>
                      <w:highlight w:val="none"/>
                    </w:rPr>
                  </w:pPr>
                  <w:r>
                    <w:rPr>
                      <w:color w:val="auto"/>
                      <w:szCs w:val="21"/>
                      <w:highlight w:val="none"/>
                      <w:lang w:bidi="ar"/>
                    </w:rPr>
                    <w:t>6</w:t>
                  </w:r>
                  <w:r>
                    <w:rPr>
                      <w:rFonts w:hint="eastAsia" w:cs="宋体"/>
                      <w:color w:val="auto"/>
                      <w:szCs w:val="21"/>
                      <w:highlight w:val="none"/>
                      <w:lang w:bidi="ar"/>
                    </w:rPr>
                    <w:t>月</w:t>
                  </w:r>
                  <w:r>
                    <w:rPr>
                      <w:color w:val="auto"/>
                      <w:szCs w:val="21"/>
                      <w:highlight w:val="none"/>
                      <w:lang w:bidi="ar"/>
                    </w:rPr>
                    <w:t>10</w:t>
                  </w:r>
                  <w:r>
                    <w:rPr>
                      <w:rFonts w:hint="eastAsia" w:cs="宋体"/>
                      <w:color w:val="auto"/>
                      <w:szCs w:val="21"/>
                      <w:highlight w:val="none"/>
                      <w:lang w:bidi="ar"/>
                    </w:rPr>
                    <w:t>日</w:t>
                  </w:r>
                </w:p>
              </w:tc>
              <w:tc>
                <w:tcPr>
                  <w:tcW w:w="15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lang w:bidi="ar"/>
                    </w:rPr>
                    <w:t>N1</w:t>
                  </w:r>
                  <w:r>
                    <w:rPr>
                      <w:rFonts w:hint="eastAsia" w:cs="宋体"/>
                      <w:color w:val="auto"/>
                      <w:highlight w:val="none"/>
                      <w:lang w:bidi="ar"/>
                    </w:rPr>
                    <w:t>项目西北侧厂界</w:t>
                  </w:r>
                </w:p>
              </w:tc>
              <w:tc>
                <w:tcPr>
                  <w:tcW w:w="7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lang w:bidi="ar"/>
                    </w:rPr>
                    <w:t>52</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lang w:bidi="ar"/>
                    </w:rPr>
                    <w:t>43</w:t>
                  </w:r>
                </w:p>
              </w:tc>
              <w:tc>
                <w:tcPr>
                  <w:tcW w:w="731" w:type="pct"/>
                  <w:vMerge w:val="restart"/>
                  <w:tcBorders>
                    <w:top w:val="single" w:color="auto" w:sz="4" w:space="0"/>
                    <w:left w:val="single" w:color="auto" w:sz="4" w:space="0"/>
                    <w:right w:val="single" w:color="auto" w:sz="4" w:space="0"/>
                  </w:tcBorders>
                  <w:shd w:val="clear" w:color="auto" w:fill="auto"/>
                  <w:vAlign w:val="center"/>
                </w:tcPr>
                <w:p>
                  <w:pPr>
                    <w:jc w:val="center"/>
                    <w:rPr>
                      <w:color w:val="auto"/>
                      <w:highlight w:val="none"/>
                      <w:lang w:bidi="ar"/>
                    </w:rPr>
                  </w:pPr>
                  <w:r>
                    <w:rPr>
                      <w:rFonts w:hint="eastAsia"/>
                      <w:color w:val="auto"/>
                      <w:highlight w:val="none"/>
                      <w:lang w:bidi="ar"/>
                    </w:rPr>
                    <w:t>昼间≤55，夜间≤45</w:t>
                  </w: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rFonts w:hint="eastAsia"/>
                      <w:color w:val="auto"/>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left w:val="single" w:color="auto" w:sz="4" w:space="0"/>
                    <w:right w:val="single" w:color="auto" w:sz="4" w:space="0"/>
                  </w:tcBorders>
                  <w:shd w:val="clear" w:color="auto" w:fill="auto"/>
                  <w:vAlign w:val="center"/>
                </w:tcPr>
                <w:p>
                  <w:pPr>
                    <w:rPr>
                      <w:color w:val="auto"/>
                      <w:sz w:val="20"/>
                      <w:szCs w:val="20"/>
                      <w:highlight w:val="none"/>
                    </w:rPr>
                  </w:pPr>
                </w:p>
              </w:tc>
              <w:tc>
                <w:tcPr>
                  <w:tcW w:w="15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lang w:bidi="ar"/>
                    </w:rPr>
                    <w:t>N2</w:t>
                  </w:r>
                  <w:r>
                    <w:rPr>
                      <w:rFonts w:hint="eastAsia" w:cs="宋体"/>
                      <w:color w:val="auto"/>
                      <w:highlight w:val="none"/>
                      <w:lang w:bidi="ar"/>
                    </w:rPr>
                    <w:t>项目东侧厂界</w:t>
                  </w:r>
                </w:p>
              </w:tc>
              <w:tc>
                <w:tcPr>
                  <w:tcW w:w="7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lang w:bidi="ar"/>
                    </w:rPr>
                    <w:t>53</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lang w:bidi="ar"/>
                    </w:rPr>
                    <w:t>44</w:t>
                  </w:r>
                </w:p>
              </w:tc>
              <w:tc>
                <w:tcPr>
                  <w:tcW w:w="731" w:type="pct"/>
                  <w:vMerge w:val="continue"/>
                  <w:tcBorders>
                    <w:left w:val="single" w:color="auto" w:sz="4" w:space="0"/>
                    <w:right w:val="single" w:color="auto" w:sz="4" w:space="0"/>
                  </w:tcBorders>
                  <w:shd w:val="clear" w:color="auto" w:fill="auto"/>
                  <w:vAlign w:val="center"/>
                </w:tcPr>
                <w:p>
                  <w:pPr>
                    <w:jc w:val="center"/>
                    <w:rPr>
                      <w:color w:val="auto"/>
                      <w:highlight w:val="none"/>
                      <w:lang w:bidi="ar"/>
                    </w:rPr>
                  </w:pP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rFonts w:hint="eastAsia"/>
                      <w:color w:val="auto"/>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left w:val="single" w:color="auto" w:sz="4" w:space="0"/>
                    <w:right w:val="single" w:color="auto" w:sz="4" w:space="0"/>
                  </w:tcBorders>
                  <w:shd w:val="clear" w:color="auto" w:fill="auto"/>
                  <w:vAlign w:val="center"/>
                </w:tcPr>
                <w:p>
                  <w:pPr>
                    <w:rPr>
                      <w:color w:val="auto"/>
                      <w:sz w:val="20"/>
                      <w:szCs w:val="20"/>
                      <w:highlight w:val="none"/>
                    </w:rPr>
                  </w:pPr>
                </w:p>
              </w:tc>
              <w:tc>
                <w:tcPr>
                  <w:tcW w:w="15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lang w:bidi="ar"/>
                    </w:rPr>
                    <w:t>N3</w:t>
                  </w:r>
                  <w:r>
                    <w:rPr>
                      <w:rFonts w:hint="eastAsia" w:cs="宋体"/>
                      <w:color w:val="auto"/>
                      <w:highlight w:val="none"/>
                      <w:lang w:bidi="ar"/>
                    </w:rPr>
                    <w:t>项目南侧厂界</w:t>
                  </w:r>
                </w:p>
              </w:tc>
              <w:tc>
                <w:tcPr>
                  <w:tcW w:w="7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lang w:bidi="ar"/>
                    </w:rPr>
                    <w:t>52</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lang w:bidi="ar"/>
                    </w:rPr>
                    <w:t>42</w:t>
                  </w:r>
                </w:p>
              </w:tc>
              <w:tc>
                <w:tcPr>
                  <w:tcW w:w="731" w:type="pct"/>
                  <w:vMerge w:val="continue"/>
                  <w:tcBorders>
                    <w:left w:val="single" w:color="auto" w:sz="4" w:space="0"/>
                    <w:right w:val="single" w:color="auto" w:sz="4" w:space="0"/>
                  </w:tcBorders>
                  <w:shd w:val="clear" w:color="auto" w:fill="auto"/>
                  <w:vAlign w:val="center"/>
                </w:tcPr>
                <w:p>
                  <w:pPr>
                    <w:jc w:val="center"/>
                    <w:rPr>
                      <w:color w:val="auto"/>
                      <w:highlight w:val="none"/>
                      <w:lang w:bidi="ar"/>
                    </w:rPr>
                  </w:pP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rFonts w:hint="eastAsia"/>
                      <w:color w:val="auto"/>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left w:val="single" w:color="auto" w:sz="4" w:space="0"/>
                    <w:right w:val="single" w:color="auto" w:sz="4" w:space="0"/>
                  </w:tcBorders>
                  <w:shd w:val="clear" w:color="auto" w:fill="auto"/>
                  <w:vAlign w:val="center"/>
                </w:tcPr>
                <w:p>
                  <w:pPr>
                    <w:rPr>
                      <w:color w:val="auto"/>
                      <w:sz w:val="20"/>
                      <w:szCs w:val="20"/>
                      <w:highlight w:val="none"/>
                    </w:rPr>
                  </w:pPr>
                </w:p>
              </w:tc>
              <w:tc>
                <w:tcPr>
                  <w:tcW w:w="15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color w:val="auto"/>
                      <w:highlight w:val="none"/>
                      <w:lang w:bidi="ar"/>
                    </w:rPr>
                    <w:t>N4</w:t>
                  </w:r>
                  <w:r>
                    <w:rPr>
                      <w:rFonts w:hint="eastAsia" w:cs="宋体"/>
                      <w:color w:val="auto"/>
                      <w:highlight w:val="none"/>
                      <w:lang w:bidi="ar"/>
                    </w:rPr>
                    <w:t>项目西侧厂界</w:t>
                  </w:r>
                </w:p>
              </w:tc>
              <w:tc>
                <w:tcPr>
                  <w:tcW w:w="7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color w:val="auto"/>
                      <w:highlight w:val="none"/>
                      <w:lang w:bidi="ar"/>
                    </w:rPr>
                    <w:t>50</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color w:val="auto"/>
                      <w:highlight w:val="none"/>
                      <w:lang w:bidi="ar"/>
                    </w:rPr>
                    <w:t>41</w:t>
                  </w:r>
                </w:p>
              </w:tc>
              <w:tc>
                <w:tcPr>
                  <w:tcW w:w="731" w:type="pct"/>
                  <w:vMerge w:val="continue"/>
                  <w:tcBorders>
                    <w:left w:val="single" w:color="auto" w:sz="4" w:space="0"/>
                    <w:right w:val="single" w:color="auto" w:sz="4" w:space="0"/>
                  </w:tcBorders>
                  <w:shd w:val="clear" w:color="auto" w:fill="auto"/>
                  <w:vAlign w:val="center"/>
                </w:tcPr>
                <w:p>
                  <w:pPr>
                    <w:jc w:val="center"/>
                    <w:rPr>
                      <w:color w:val="auto"/>
                      <w:highlight w:val="none"/>
                      <w:lang w:bidi="ar"/>
                    </w:rPr>
                  </w:pP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rFonts w:hint="eastAsia"/>
                      <w:color w:val="auto"/>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left w:val="single" w:color="auto" w:sz="4" w:space="0"/>
                    <w:right w:val="single" w:color="auto" w:sz="4" w:space="0"/>
                  </w:tcBorders>
                  <w:shd w:val="clear" w:color="auto" w:fill="auto"/>
                  <w:vAlign w:val="center"/>
                </w:tcPr>
                <w:p>
                  <w:pPr>
                    <w:rPr>
                      <w:color w:val="auto"/>
                      <w:sz w:val="20"/>
                      <w:szCs w:val="20"/>
                      <w:highlight w:val="none"/>
                    </w:rPr>
                  </w:pPr>
                </w:p>
              </w:tc>
              <w:tc>
                <w:tcPr>
                  <w:tcW w:w="15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color w:val="auto"/>
                      <w:highlight w:val="none"/>
                      <w:lang w:bidi="ar"/>
                    </w:rPr>
                    <w:t>N5</w:t>
                  </w:r>
                  <w:r>
                    <w:rPr>
                      <w:rFonts w:hint="eastAsia" w:cs="宋体"/>
                      <w:color w:val="auto"/>
                      <w:highlight w:val="none"/>
                      <w:lang w:bidi="ar"/>
                    </w:rPr>
                    <w:t>福建工程学院</w:t>
                  </w:r>
                </w:p>
              </w:tc>
              <w:tc>
                <w:tcPr>
                  <w:tcW w:w="7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color w:val="auto"/>
                      <w:highlight w:val="none"/>
                      <w:lang w:bidi="ar"/>
                    </w:rPr>
                    <w:t>51</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color w:val="auto"/>
                      <w:highlight w:val="none"/>
                      <w:lang w:bidi="ar"/>
                    </w:rPr>
                    <w:t>43</w:t>
                  </w:r>
                </w:p>
              </w:tc>
              <w:tc>
                <w:tcPr>
                  <w:tcW w:w="731" w:type="pct"/>
                  <w:vMerge w:val="continue"/>
                  <w:tcBorders>
                    <w:left w:val="single" w:color="auto" w:sz="4" w:space="0"/>
                    <w:right w:val="single" w:color="auto" w:sz="4" w:space="0"/>
                  </w:tcBorders>
                  <w:shd w:val="clear" w:color="auto" w:fill="auto"/>
                  <w:vAlign w:val="center"/>
                </w:tcPr>
                <w:p>
                  <w:pPr>
                    <w:jc w:val="center"/>
                    <w:rPr>
                      <w:color w:val="auto"/>
                      <w:highlight w:val="none"/>
                      <w:lang w:bidi="ar"/>
                    </w:rPr>
                  </w:pP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rFonts w:hint="eastAsia"/>
                      <w:color w:val="auto"/>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left w:val="single" w:color="auto" w:sz="4" w:space="0"/>
                    <w:right w:val="single" w:color="auto" w:sz="4" w:space="0"/>
                  </w:tcBorders>
                  <w:shd w:val="clear" w:color="auto" w:fill="auto"/>
                  <w:vAlign w:val="center"/>
                </w:tcPr>
                <w:p>
                  <w:pPr>
                    <w:rPr>
                      <w:color w:val="auto"/>
                      <w:sz w:val="20"/>
                      <w:szCs w:val="20"/>
                      <w:highlight w:val="none"/>
                    </w:rPr>
                  </w:pPr>
                </w:p>
              </w:tc>
              <w:tc>
                <w:tcPr>
                  <w:tcW w:w="15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color w:val="auto"/>
                      <w:highlight w:val="none"/>
                      <w:lang w:bidi="ar"/>
                    </w:rPr>
                    <w:t>N6</w:t>
                  </w:r>
                  <w:r>
                    <w:rPr>
                      <w:rFonts w:hint="eastAsia" w:cs="宋体"/>
                      <w:color w:val="auto"/>
                      <w:highlight w:val="none"/>
                      <w:lang w:bidi="ar"/>
                    </w:rPr>
                    <w:t>华南女子学院</w:t>
                  </w:r>
                </w:p>
              </w:tc>
              <w:tc>
                <w:tcPr>
                  <w:tcW w:w="7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color w:val="auto"/>
                      <w:highlight w:val="none"/>
                      <w:lang w:bidi="ar"/>
                    </w:rPr>
                    <w:t>54</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color w:val="auto"/>
                      <w:highlight w:val="none"/>
                      <w:lang w:bidi="ar"/>
                    </w:rPr>
                    <w:t>43</w:t>
                  </w:r>
                </w:p>
              </w:tc>
              <w:tc>
                <w:tcPr>
                  <w:tcW w:w="731" w:type="pct"/>
                  <w:vMerge w:val="continue"/>
                  <w:tcBorders>
                    <w:left w:val="single" w:color="auto" w:sz="4" w:space="0"/>
                    <w:right w:val="single" w:color="auto" w:sz="4" w:space="0"/>
                  </w:tcBorders>
                  <w:shd w:val="clear" w:color="auto" w:fill="auto"/>
                  <w:vAlign w:val="center"/>
                </w:tcPr>
                <w:p>
                  <w:pPr>
                    <w:jc w:val="center"/>
                    <w:rPr>
                      <w:color w:val="auto"/>
                      <w:highlight w:val="none"/>
                      <w:lang w:bidi="ar"/>
                    </w:rPr>
                  </w:pP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rFonts w:hint="eastAsia"/>
                      <w:color w:val="auto"/>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left w:val="single" w:color="auto" w:sz="4" w:space="0"/>
                    <w:right w:val="single" w:color="auto" w:sz="4" w:space="0"/>
                  </w:tcBorders>
                  <w:shd w:val="clear" w:color="auto" w:fill="auto"/>
                  <w:vAlign w:val="center"/>
                </w:tcPr>
                <w:p>
                  <w:pPr>
                    <w:rPr>
                      <w:color w:val="auto"/>
                      <w:sz w:val="20"/>
                      <w:szCs w:val="20"/>
                      <w:highlight w:val="none"/>
                    </w:rPr>
                  </w:pPr>
                </w:p>
              </w:tc>
              <w:tc>
                <w:tcPr>
                  <w:tcW w:w="15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color w:val="auto"/>
                      <w:highlight w:val="none"/>
                      <w:lang w:bidi="ar"/>
                    </w:rPr>
                    <w:t>N7</w:t>
                  </w:r>
                  <w:r>
                    <w:rPr>
                      <w:rFonts w:hint="eastAsia" w:cs="宋体"/>
                      <w:color w:val="auto"/>
                      <w:highlight w:val="none"/>
                      <w:lang w:bidi="ar"/>
                    </w:rPr>
                    <w:t>师大协和学院</w:t>
                  </w:r>
                </w:p>
              </w:tc>
              <w:tc>
                <w:tcPr>
                  <w:tcW w:w="7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color w:val="auto"/>
                      <w:highlight w:val="none"/>
                      <w:lang w:bidi="ar"/>
                    </w:rPr>
                    <w:t>53</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color w:val="auto"/>
                      <w:highlight w:val="none"/>
                      <w:lang w:bidi="ar"/>
                    </w:rPr>
                    <w:t>44</w:t>
                  </w:r>
                </w:p>
              </w:tc>
              <w:tc>
                <w:tcPr>
                  <w:tcW w:w="731" w:type="pct"/>
                  <w:vMerge w:val="continue"/>
                  <w:tcBorders>
                    <w:left w:val="single" w:color="auto" w:sz="4" w:space="0"/>
                    <w:right w:val="single" w:color="auto" w:sz="4" w:space="0"/>
                  </w:tcBorders>
                  <w:shd w:val="clear" w:color="auto" w:fill="auto"/>
                  <w:vAlign w:val="center"/>
                </w:tcPr>
                <w:p>
                  <w:pPr>
                    <w:jc w:val="center"/>
                    <w:rPr>
                      <w:color w:val="auto"/>
                      <w:highlight w:val="none"/>
                      <w:lang w:bidi="ar"/>
                    </w:rPr>
                  </w:pP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rFonts w:hint="eastAsia"/>
                      <w:color w:val="auto"/>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vMerge w:val="continue"/>
                  <w:tcBorders>
                    <w:left w:val="single" w:color="auto" w:sz="4" w:space="0"/>
                    <w:bottom w:val="single" w:color="auto" w:sz="4" w:space="0"/>
                    <w:right w:val="single" w:color="auto" w:sz="4" w:space="0"/>
                  </w:tcBorders>
                  <w:shd w:val="clear" w:color="auto" w:fill="auto"/>
                  <w:vAlign w:val="center"/>
                </w:tcPr>
                <w:p>
                  <w:pPr>
                    <w:rPr>
                      <w:color w:val="auto"/>
                      <w:sz w:val="20"/>
                      <w:szCs w:val="20"/>
                      <w:highlight w:val="none"/>
                    </w:rPr>
                  </w:pPr>
                </w:p>
              </w:tc>
              <w:tc>
                <w:tcPr>
                  <w:tcW w:w="150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color w:val="auto"/>
                      <w:highlight w:val="none"/>
                      <w:lang w:bidi="ar"/>
                    </w:rPr>
                    <w:t>N8</w:t>
                  </w:r>
                  <w:r>
                    <w:rPr>
                      <w:rFonts w:hint="eastAsia" w:cs="宋体"/>
                      <w:color w:val="auto"/>
                      <w:highlight w:val="none"/>
                      <w:lang w:bidi="ar"/>
                    </w:rPr>
                    <w:t>闽江师范学校</w:t>
                  </w:r>
                </w:p>
              </w:tc>
              <w:tc>
                <w:tcPr>
                  <w:tcW w:w="7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color w:val="auto"/>
                      <w:highlight w:val="none"/>
                      <w:lang w:bidi="ar"/>
                    </w:rPr>
                    <w:t>54</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color w:val="auto"/>
                      <w:highlight w:val="none"/>
                      <w:lang w:bidi="ar"/>
                    </w:rPr>
                    <w:t>43</w:t>
                  </w:r>
                </w:p>
              </w:tc>
              <w:tc>
                <w:tcPr>
                  <w:tcW w:w="731" w:type="pct"/>
                  <w:vMerge w:val="continue"/>
                  <w:tcBorders>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p>
              </w:tc>
              <w:tc>
                <w:tcPr>
                  <w:tcW w:w="7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r>
                    <w:rPr>
                      <w:rFonts w:hint="eastAsia"/>
                      <w:color w:val="auto"/>
                      <w:highlight w:val="none"/>
                      <w:lang w:bidi="ar"/>
                    </w:rPr>
                    <w:t>达标</w:t>
                  </w:r>
                </w:p>
              </w:tc>
            </w:tr>
          </w:tbl>
          <w:p>
            <w:pPr>
              <w:pStyle w:val="29"/>
              <w:rPr>
                <w:color w:val="auto"/>
                <w:highlight w:val="none"/>
              </w:rPr>
            </w:pPr>
          </w:p>
          <w:p>
            <w:pPr>
              <w:pStyle w:val="36"/>
              <w:ind w:firstLine="480"/>
              <w:rPr>
                <w:color w:val="auto"/>
                <w:highlight w:val="none"/>
              </w:rPr>
            </w:pPr>
            <w:r>
              <w:rPr>
                <w:rFonts w:hint="eastAsia" w:hAnsi="宋体"/>
                <w:color w:val="auto"/>
                <w:szCs w:val="21"/>
                <w:highlight w:val="none"/>
              </w:rPr>
              <w:t>根据</w:t>
            </w:r>
            <w:r>
              <w:rPr>
                <w:rFonts w:hAnsi="宋体"/>
                <w:color w:val="auto"/>
                <w:szCs w:val="21"/>
                <w:highlight w:val="none"/>
              </w:rPr>
              <w:t>《声环境质量标准》（</w:t>
            </w:r>
            <w:r>
              <w:rPr>
                <w:color w:val="auto"/>
                <w:szCs w:val="21"/>
                <w:highlight w:val="none"/>
              </w:rPr>
              <w:t>GB3096-2008</w:t>
            </w:r>
            <w:r>
              <w:rPr>
                <w:rFonts w:hAnsi="宋体"/>
                <w:color w:val="auto"/>
                <w:szCs w:val="21"/>
                <w:highlight w:val="none"/>
              </w:rPr>
              <w:t>）</w:t>
            </w:r>
            <w:r>
              <w:rPr>
                <w:rFonts w:hint="eastAsia" w:hAnsi="宋体"/>
                <w:color w:val="auto"/>
                <w:szCs w:val="21"/>
                <w:highlight w:val="none"/>
              </w:rPr>
              <w:t>，项目所在区域及周边敏感点所在区域以居民住宅、文化教育、科研设计、行政办公为主要功能，为1类声环境功能区。</w:t>
            </w:r>
            <w:r>
              <w:rPr>
                <w:rFonts w:hint="eastAsia"/>
                <w:color w:val="auto"/>
                <w:highlight w:val="none"/>
              </w:rPr>
              <w:t>由监测结果可看出，项目所在区域环境噪声现状良好，各点位监测结果可符合</w:t>
            </w:r>
            <w:r>
              <w:rPr>
                <w:rFonts w:hAnsi="宋体"/>
                <w:color w:val="auto"/>
                <w:szCs w:val="21"/>
                <w:highlight w:val="none"/>
              </w:rPr>
              <w:t>《声环境质量标准》（</w:t>
            </w:r>
            <w:r>
              <w:rPr>
                <w:color w:val="auto"/>
                <w:szCs w:val="21"/>
                <w:highlight w:val="none"/>
              </w:rPr>
              <w:t>GB3096-2008</w:t>
            </w:r>
            <w:r>
              <w:rPr>
                <w:rFonts w:hAnsi="宋体"/>
                <w:color w:val="auto"/>
                <w:szCs w:val="21"/>
                <w:highlight w:val="none"/>
              </w:rPr>
              <w:t>）中</w:t>
            </w:r>
            <w:r>
              <w:rPr>
                <w:rFonts w:hint="eastAsia"/>
                <w:color w:val="auto"/>
                <w:szCs w:val="21"/>
                <w:highlight w:val="none"/>
              </w:rPr>
              <w:t>1</w:t>
            </w:r>
            <w:r>
              <w:rPr>
                <w:rFonts w:hAnsi="宋体"/>
                <w:color w:val="auto"/>
                <w:szCs w:val="21"/>
                <w:highlight w:val="none"/>
              </w:rPr>
              <w:t>类标准</w:t>
            </w:r>
            <w:r>
              <w:rPr>
                <w:rFonts w:hint="eastAsia" w:hAnsi="宋体"/>
                <w:color w:val="auto"/>
                <w:szCs w:val="21"/>
                <w:highlight w:val="none"/>
              </w:rPr>
              <w:t>。</w:t>
            </w:r>
          </w:p>
          <w:p>
            <w:pPr>
              <w:pStyle w:val="31"/>
              <w:rPr>
                <w:color w:val="auto"/>
                <w:highlight w:val="none"/>
              </w:rPr>
            </w:pPr>
            <w:r>
              <w:rPr>
                <w:color w:val="auto"/>
                <w:highlight w:val="none"/>
              </w:rPr>
              <w:t>3.</w:t>
            </w:r>
            <w:r>
              <w:rPr>
                <w:rFonts w:hint="eastAsia"/>
                <w:color w:val="auto"/>
                <w:highlight w:val="none"/>
              </w:rPr>
              <w:t>1.4生态环境现状调查与评价</w:t>
            </w:r>
          </w:p>
          <w:p>
            <w:pPr>
              <w:pStyle w:val="36"/>
              <w:ind w:firstLine="480"/>
              <w:rPr>
                <w:color w:val="auto"/>
                <w:highlight w:val="none"/>
              </w:rPr>
            </w:pPr>
            <w:r>
              <w:rPr>
                <w:rFonts w:hint="eastAsia"/>
                <w:color w:val="auto"/>
                <w:highlight w:val="none"/>
              </w:rPr>
              <w:t>本项目为普通高等教育学校教学楼的建设，建设地点为福建师范大学已有红线内；根据调查，</w:t>
            </w:r>
            <w:r>
              <w:rPr>
                <w:rFonts w:hint="eastAsia"/>
                <w:color w:val="auto"/>
                <w:highlight w:val="none"/>
                <w:lang w:val="zh-CN"/>
              </w:rPr>
              <w:t>项目用地周边为城市道路、其他学校及居住用地等，项目区域附近主要植被为草坪、行道树等景观树种，主要动物为常见的蛙类、鸟类和昆虫类等。项目西侧为</w:t>
            </w:r>
            <w:r>
              <w:rPr>
                <w:rFonts w:hint="eastAsia"/>
                <w:color w:val="auto"/>
                <w:highlight w:val="none"/>
              </w:rPr>
              <w:t>溪源江，水中鱼类为草鱼等常见内河鱼类，根据《福建省生态环境功能区划》，项目周边水域无珍稀保护的鱼类及珍稀保护鱼类的“三场”，不涉及典型海湾港口发展和生态系统保护（或水产资源保护）生态功能区、河口湾港口和生物多样性保护（湿地、珍稀海洋生物等）生态功能区。生态环境现状质量良好。</w:t>
            </w:r>
          </w:p>
          <w:p>
            <w:pPr>
              <w:pStyle w:val="31"/>
              <w:rPr>
                <w:color w:val="auto"/>
                <w:highlight w:val="none"/>
              </w:rPr>
            </w:pPr>
            <w:r>
              <w:rPr>
                <w:color w:val="auto"/>
                <w:highlight w:val="none"/>
              </w:rPr>
              <w:t>3.</w:t>
            </w:r>
            <w:r>
              <w:rPr>
                <w:rFonts w:hint="eastAsia"/>
                <w:color w:val="auto"/>
                <w:highlight w:val="none"/>
              </w:rPr>
              <w:t>1.5电磁辐射现状调查与评价</w:t>
            </w:r>
          </w:p>
          <w:p>
            <w:pPr>
              <w:pStyle w:val="45"/>
              <w:ind w:firstLine="480" w:firstLineChars="200"/>
              <w:rPr>
                <w:rFonts w:eastAsia="宋体"/>
                <w:b w:val="0"/>
                <w:bCs/>
                <w:snapToGrid w:val="0"/>
                <w:color w:val="auto"/>
                <w:sz w:val="24"/>
                <w:szCs w:val="21"/>
                <w:highlight w:val="none"/>
                <w:lang w:val="en-US"/>
              </w:rPr>
            </w:pPr>
            <w:r>
              <w:rPr>
                <w:rFonts w:hint="eastAsia" w:eastAsia="宋体"/>
                <w:b w:val="0"/>
                <w:bCs/>
                <w:snapToGrid w:val="0"/>
                <w:color w:val="auto"/>
                <w:sz w:val="24"/>
                <w:szCs w:val="21"/>
                <w:highlight w:val="none"/>
                <w:lang w:val="en-US"/>
              </w:rPr>
              <w:t>本项目为普通高等教育学校教学楼的建设，不属于广播电台、差转台、电视塔台、卫星地球上行站、雷达等电磁辐射项目，此次评价不开展电磁辐射现状监测与评价。</w:t>
            </w:r>
          </w:p>
          <w:p>
            <w:pPr>
              <w:pStyle w:val="31"/>
              <w:rPr>
                <w:color w:val="auto"/>
                <w:highlight w:val="none"/>
              </w:rPr>
            </w:pPr>
            <w:r>
              <w:rPr>
                <w:color w:val="auto"/>
                <w:highlight w:val="none"/>
              </w:rPr>
              <w:t>3.</w:t>
            </w:r>
            <w:r>
              <w:rPr>
                <w:rFonts w:hint="eastAsia"/>
                <w:color w:val="auto"/>
                <w:highlight w:val="none"/>
              </w:rPr>
              <w:t>1.6地下水、土壤现状调查与评价</w:t>
            </w:r>
          </w:p>
          <w:p>
            <w:pPr>
              <w:pStyle w:val="45"/>
              <w:ind w:firstLine="480" w:firstLineChars="200"/>
              <w:rPr>
                <w:rFonts w:eastAsia="宋体"/>
                <w:b w:val="0"/>
                <w:bCs/>
                <w:snapToGrid w:val="0"/>
                <w:color w:val="auto"/>
                <w:sz w:val="24"/>
                <w:szCs w:val="21"/>
                <w:highlight w:val="none"/>
                <w:lang w:val="en-US"/>
              </w:rPr>
            </w:pPr>
            <w:r>
              <w:rPr>
                <w:rFonts w:hint="eastAsia" w:eastAsia="宋体"/>
                <w:b w:val="0"/>
                <w:bCs/>
                <w:snapToGrid w:val="0"/>
                <w:color w:val="auto"/>
                <w:sz w:val="24"/>
                <w:szCs w:val="21"/>
                <w:highlight w:val="none"/>
                <w:lang w:val="en-US"/>
              </w:rPr>
              <w:t>根据《建设项目环境影响报告表编制技术指南（污染影响类）（试行）》，原则上不开展环境质量现状调查，此次评价不开展土壤及地下水环境质量现状调查。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7" w:hRule="atLeast"/>
          <w:jc w:val="center"/>
        </w:trPr>
        <w:tc>
          <w:tcPr>
            <w:tcW w:w="424" w:type="dxa"/>
            <w:vAlign w:val="center"/>
          </w:tcPr>
          <w:p>
            <w:pPr>
              <w:adjustRightInd w:val="0"/>
              <w:snapToGrid w:val="0"/>
              <w:jc w:val="center"/>
              <w:rPr>
                <w:color w:val="auto"/>
                <w:kern w:val="0"/>
                <w:szCs w:val="21"/>
                <w:highlight w:val="none"/>
              </w:rPr>
            </w:pPr>
            <w:r>
              <w:rPr>
                <w:color w:val="auto"/>
                <w:kern w:val="0"/>
                <w:szCs w:val="21"/>
                <w:highlight w:val="none"/>
              </w:rPr>
              <w:t>环境</w:t>
            </w:r>
          </w:p>
          <w:p>
            <w:pPr>
              <w:adjustRightInd w:val="0"/>
              <w:snapToGrid w:val="0"/>
              <w:jc w:val="center"/>
              <w:rPr>
                <w:color w:val="auto"/>
                <w:kern w:val="0"/>
                <w:szCs w:val="21"/>
                <w:highlight w:val="none"/>
              </w:rPr>
            </w:pPr>
            <w:r>
              <w:rPr>
                <w:color w:val="auto"/>
                <w:kern w:val="0"/>
                <w:szCs w:val="21"/>
                <w:highlight w:val="none"/>
              </w:rPr>
              <w:t>保护</w:t>
            </w:r>
          </w:p>
          <w:p>
            <w:pPr>
              <w:adjustRightInd w:val="0"/>
              <w:snapToGrid w:val="0"/>
              <w:jc w:val="center"/>
              <w:rPr>
                <w:color w:val="auto"/>
                <w:kern w:val="0"/>
                <w:szCs w:val="21"/>
                <w:highlight w:val="none"/>
              </w:rPr>
            </w:pPr>
            <w:r>
              <w:rPr>
                <w:color w:val="auto"/>
                <w:kern w:val="0"/>
                <w:szCs w:val="21"/>
                <w:highlight w:val="none"/>
              </w:rPr>
              <w:t>目标</w:t>
            </w:r>
          </w:p>
        </w:tc>
        <w:tc>
          <w:tcPr>
            <w:tcW w:w="8637" w:type="dxa"/>
            <w:vAlign w:val="center"/>
          </w:tcPr>
          <w:p>
            <w:pPr>
              <w:adjustRightInd w:val="0"/>
              <w:snapToGrid w:val="0"/>
              <w:spacing w:line="360" w:lineRule="auto"/>
              <w:ind w:firstLine="480" w:firstLineChars="200"/>
              <w:rPr>
                <w:snapToGrid w:val="0"/>
                <w:color w:val="auto"/>
                <w:kern w:val="0"/>
                <w:sz w:val="24"/>
                <w:szCs w:val="21"/>
                <w:highlight w:val="none"/>
              </w:rPr>
            </w:pPr>
            <w:r>
              <w:rPr>
                <w:rFonts w:hint="eastAsia"/>
                <w:snapToGrid w:val="0"/>
                <w:color w:val="auto"/>
                <w:kern w:val="0"/>
                <w:sz w:val="24"/>
                <w:szCs w:val="21"/>
                <w:highlight w:val="none"/>
              </w:rPr>
              <w:t>根据现场调查，本项目的环境保护目标见表3.2.1及图3.2-1。</w:t>
            </w:r>
          </w:p>
          <w:p>
            <w:pPr>
              <w:pStyle w:val="32"/>
              <w:rPr>
                <w:color w:val="auto"/>
                <w:highlight w:val="none"/>
              </w:rPr>
            </w:pPr>
            <w:bookmarkStart w:id="9" w:name="_Ref507754487"/>
            <w:r>
              <w:rPr>
                <w:rFonts w:hint="eastAsia"/>
                <w:color w:val="auto"/>
                <w:highlight w:val="none"/>
              </w:rPr>
              <w:t>表</w:t>
            </w:r>
            <w:r>
              <w:rPr>
                <w:color w:val="auto"/>
                <w:highlight w:val="none"/>
              </w:rPr>
              <w:fldChar w:fldCharType="begin"/>
            </w:r>
            <w:r>
              <w:rPr>
                <w:color w:val="auto"/>
                <w:highlight w:val="none"/>
              </w:rPr>
              <w:instrText xml:space="preserve"> </w:instrText>
            </w:r>
            <w:r>
              <w:rPr>
                <w:rFonts w:hint="eastAsia"/>
                <w:color w:val="auto"/>
                <w:highlight w:val="none"/>
              </w:rPr>
              <w:instrText xml:space="preserve">STYLEREF 2 \s</w:instrText>
            </w:r>
            <w:r>
              <w:rPr>
                <w:color w:val="auto"/>
                <w:highlight w:val="none"/>
              </w:rPr>
              <w:instrText xml:space="preserve"> </w:instrText>
            </w:r>
            <w:r>
              <w:rPr>
                <w:color w:val="auto"/>
                <w:highlight w:val="none"/>
              </w:rPr>
              <w:fldChar w:fldCharType="separate"/>
            </w:r>
            <w:r>
              <w:rPr>
                <w:rFonts w:hint="eastAsia"/>
                <w:color w:val="auto"/>
                <w:highlight w:val="none"/>
              </w:rPr>
              <w:t>3</w:t>
            </w:r>
            <w:r>
              <w:rPr>
                <w:color w:val="auto"/>
                <w:highlight w:val="none"/>
              </w:rPr>
              <w:t>.</w:t>
            </w:r>
            <w:r>
              <w:rPr>
                <w:rFonts w:hint="eastAsia"/>
                <w:color w:val="auto"/>
                <w:highlight w:val="none"/>
              </w:rPr>
              <w:t>2</w:t>
            </w:r>
            <w:r>
              <w:rPr>
                <w:color w:val="auto"/>
                <w:highlight w:val="none"/>
              </w:rPr>
              <w:fldChar w:fldCharType="end"/>
            </w:r>
            <w:r>
              <w:rPr>
                <w:color w:val="auto"/>
                <w:highlight w:val="none"/>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 \* ARABIC \s 2</w:instrText>
            </w:r>
            <w:r>
              <w:rPr>
                <w:color w:val="auto"/>
                <w:highlight w:val="none"/>
              </w:rPr>
              <w:instrText xml:space="preserve"> </w:instrText>
            </w:r>
            <w:r>
              <w:rPr>
                <w:color w:val="auto"/>
                <w:highlight w:val="none"/>
              </w:rPr>
              <w:fldChar w:fldCharType="separate"/>
            </w:r>
            <w:r>
              <w:rPr>
                <w:rFonts w:hint="eastAsia"/>
                <w:color w:val="auto"/>
                <w:highlight w:val="none"/>
              </w:rPr>
              <w:t>1</w:t>
            </w:r>
            <w:r>
              <w:rPr>
                <w:color w:val="auto"/>
                <w:highlight w:val="none"/>
              </w:rPr>
              <w:fldChar w:fldCharType="end"/>
            </w:r>
            <w:bookmarkEnd w:id="9"/>
            <w:r>
              <w:rPr>
                <w:color w:val="auto"/>
                <w:highlight w:val="none"/>
              </w:rPr>
              <w:t xml:space="preserve">  </w:t>
            </w:r>
            <w:r>
              <w:rPr>
                <w:rFonts w:hint="eastAsia"/>
                <w:color w:val="auto"/>
                <w:highlight w:val="none"/>
              </w:rPr>
              <w:t>项目周边主要保护目标情况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736"/>
              <w:gridCol w:w="1884"/>
              <w:gridCol w:w="1946"/>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vAlign w:val="center"/>
                </w:tcPr>
                <w:p>
                  <w:pPr>
                    <w:adjustRightInd w:val="0"/>
                    <w:snapToGrid w:val="0"/>
                    <w:spacing w:line="340" w:lineRule="exact"/>
                    <w:jc w:val="center"/>
                    <w:rPr>
                      <w:color w:val="auto"/>
                      <w:highlight w:val="none"/>
                    </w:rPr>
                  </w:pPr>
                  <w:r>
                    <w:rPr>
                      <w:color w:val="auto"/>
                      <w:highlight w:val="none"/>
                    </w:rPr>
                    <w:t>环境要素</w:t>
                  </w:r>
                </w:p>
              </w:tc>
              <w:tc>
                <w:tcPr>
                  <w:tcW w:w="1032" w:type="pct"/>
                  <w:vAlign w:val="center"/>
                </w:tcPr>
                <w:p>
                  <w:pPr>
                    <w:adjustRightInd w:val="0"/>
                    <w:snapToGrid w:val="0"/>
                    <w:spacing w:line="340" w:lineRule="exact"/>
                    <w:jc w:val="center"/>
                    <w:rPr>
                      <w:color w:val="auto"/>
                      <w:highlight w:val="none"/>
                    </w:rPr>
                  </w:pPr>
                  <w:r>
                    <w:rPr>
                      <w:color w:val="auto"/>
                      <w:highlight w:val="none"/>
                    </w:rPr>
                    <w:t>环境保护对象名称</w:t>
                  </w:r>
                </w:p>
              </w:tc>
              <w:tc>
                <w:tcPr>
                  <w:tcW w:w="1120" w:type="pct"/>
                  <w:vAlign w:val="center"/>
                </w:tcPr>
                <w:p>
                  <w:pPr>
                    <w:adjustRightInd w:val="0"/>
                    <w:snapToGrid w:val="0"/>
                    <w:spacing w:line="340" w:lineRule="exact"/>
                    <w:jc w:val="center"/>
                    <w:rPr>
                      <w:color w:val="auto"/>
                      <w:highlight w:val="none"/>
                    </w:rPr>
                  </w:pPr>
                  <w:r>
                    <w:rPr>
                      <w:color w:val="auto"/>
                      <w:highlight w:val="none"/>
                    </w:rPr>
                    <w:t>相对项目的方位和最近距离</w:t>
                  </w:r>
                </w:p>
              </w:tc>
              <w:tc>
                <w:tcPr>
                  <w:tcW w:w="1157" w:type="pct"/>
                  <w:vAlign w:val="center"/>
                </w:tcPr>
                <w:p>
                  <w:pPr>
                    <w:adjustRightInd w:val="0"/>
                    <w:snapToGrid w:val="0"/>
                    <w:spacing w:line="340" w:lineRule="exact"/>
                    <w:jc w:val="center"/>
                    <w:rPr>
                      <w:color w:val="auto"/>
                      <w:highlight w:val="none"/>
                    </w:rPr>
                  </w:pPr>
                  <w:r>
                    <w:rPr>
                      <w:color w:val="auto"/>
                      <w:highlight w:val="none"/>
                    </w:rPr>
                    <w:t>目标规模</w:t>
                  </w:r>
                </w:p>
              </w:tc>
              <w:tc>
                <w:tcPr>
                  <w:tcW w:w="1178" w:type="pct"/>
                  <w:vAlign w:val="center"/>
                </w:tcPr>
                <w:p>
                  <w:pPr>
                    <w:adjustRightInd w:val="0"/>
                    <w:snapToGrid w:val="0"/>
                    <w:spacing w:line="340" w:lineRule="exact"/>
                    <w:jc w:val="center"/>
                    <w:rPr>
                      <w:color w:val="auto"/>
                      <w:highlight w:val="none"/>
                    </w:rPr>
                  </w:pPr>
                  <w:r>
                    <w:rPr>
                      <w:color w:val="auto"/>
                      <w:highlight w:val="none"/>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vMerge w:val="restart"/>
                  <w:vAlign w:val="center"/>
                </w:tcPr>
                <w:p>
                  <w:pPr>
                    <w:adjustRightInd w:val="0"/>
                    <w:snapToGrid w:val="0"/>
                    <w:spacing w:line="340" w:lineRule="exact"/>
                    <w:jc w:val="center"/>
                    <w:rPr>
                      <w:color w:val="auto"/>
                      <w:highlight w:val="none"/>
                    </w:rPr>
                  </w:pPr>
                  <w:r>
                    <w:rPr>
                      <w:color w:val="auto"/>
                      <w:highlight w:val="none"/>
                    </w:rPr>
                    <w:t>环境</w:t>
                  </w:r>
                </w:p>
                <w:p>
                  <w:pPr>
                    <w:adjustRightInd w:val="0"/>
                    <w:snapToGrid w:val="0"/>
                    <w:spacing w:line="340" w:lineRule="exact"/>
                    <w:jc w:val="center"/>
                    <w:rPr>
                      <w:color w:val="auto"/>
                      <w:highlight w:val="none"/>
                    </w:rPr>
                  </w:pPr>
                  <w:r>
                    <w:rPr>
                      <w:color w:val="auto"/>
                      <w:highlight w:val="none"/>
                    </w:rPr>
                    <w:t>空气</w:t>
                  </w:r>
                </w:p>
              </w:tc>
              <w:tc>
                <w:tcPr>
                  <w:tcW w:w="1032" w:type="pct"/>
                  <w:vAlign w:val="center"/>
                </w:tcPr>
                <w:p>
                  <w:pPr>
                    <w:jc w:val="center"/>
                    <w:rPr>
                      <w:color w:val="auto"/>
                      <w:highlight w:val="none"/>
                    </w:rPr>
                  </w:pPr>
                  <w:r>
                    <w:rPr>
                      <w:rFonts w:hint="eastAsia"/>
                      <w:color w:val="auto"/>
                      <w:highlight w:val="none"/>
                    </w:rPr>
                    <w:t>保利阅云台</w:t>
                  </w:r>
                </w:p>
              </w:tc>
              <w:tc>
                <w:tcPr>
                  <w:tcW w:w="1120" w:type="pct"/>
                  <w:vAlign w:val="center"/>
                </w:tcPr>
                <w:p>
                  <w:pPr>
                    <w:jc w:val="center"/>
                    <w:rPr>
                      <w:color w:val="auto"/>
                      <w:highlight w:val="none"/>
                    </w:rPr>
                  </w:pPr>
                  <w:r>
                    <w:rPr>
                      <w:rFonts w:hint="eastAsia"/>
                      <w:color w:val="auto"/>
                      <w:highlight w:val="none"/>
                    </w:rPr>
                    <w:t>球差电镜室北侧482m</w:t>
                  </w:r>
                </w:p>
              </w:tc>
              <w:tc>
                <w:tcPr>
                  <w:tcW w:w="1157" w:type="pct"/>
                  <w:vAlign w:val="center"/>
                </w:tcPr>
                <w:p>
                  <w:pPr>
                    <w:jc w:val="center"/>
                    <w:rPr>
                      <w:color w:val="auto"/>
                      <w:highlight w:val="none"/>
                    </w:rPr>
                  </w:pPr>
                  <w:r>
                    <w:rPr>
                      <w:rFonts w:hint="eastAsia"/>
                      <w:color w:val="auto"/>
                      <w:highlight w:val="none"/>
                    </w:rPr>
                    <w:t>1000人</w:t>
                  </w:r>
                </w:p>
              </w:tc>
              <w:tc>
                <w:tcPr>
                  <w:tcW w:w="1178" w:type="pct"/>
                  <w:vMerge w:val="restart"/>
                  <w:vAlign w:val="center"/>
                </w:tcPr>
                <w:p>
                  <w:pPr>
                    <w:adjustRightInd w:val="0"/>
                    <w:snapToGrid w:val="0"/>
                    <w:spacing w:line="340" w:lineRule="exact"/>
                    <w:jc w:val="center"/>
                    <w:rPr>
                      <w:color w:val="auto"/>
                      <w:highlight w:val="none"/>
                    </w:rPr>
                  </w:pPr>
                  <w:r>
                    <w:rPr>
                      <w:color w:val="auto"/>
                      <w:highlight w:val="none"/>
                    </w:rPr>
                    <w:t>《环境空气质量标准》(GB3095-2012)及其修改单二级标准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vMerge w:val="continue"/>
                  <w:vAlign w:val="center"/>
                </w:tcPr>
                <w:p>
                  <w:pPr>
                    <w:adjustRightInd w:val="0"/>
                    <w:snapToGrid w:val="0"/>
                    <w:spacing w:line="340" w:lineRule="exact"/>
                    <w:jc w:val="center"/>
                    <w:rPr>
                      <w:color w:val="auto"/>
                      <w:highlight w:val="none"/>
                    </w:rPr>
                  </w:pPr>
                </w:p>
              </w:tc>
              <w:tc>
                <w:tcPr>
                  <w:tcW w:w="1032" w:type="pct"/>
                  <w:vAlign w:val="center"/>
                </w:tcPr>
                <w:p>
                  <w:pPr>
                    <w:jc w:val="center"/>
                    <w:rPr>
                      <w:color w:val="auto"/>
                      <w:highlight w:val="none"/>
                    </w:rPr>
                  </w:pPr>
                  <w:r>
                    <w:rPr>
                      <w:rFonts w:hint="eastAsia"/>
                      <w:color w:val="auto"/>
                      <w:highlight w:val="none"/>
                    </w:rPr>
                    <w:t>福建工程学院</w:t>
                  </w:r>
                </w:p>
              </w:tc>
              <w:tc>
                <w:tcPr>
                  <w:tcW w:w="1120" w:type="pct"/>
                  <w:vAlign w:val="center"/>
                </w:tcPr>
                <w:p>
                  <w:pPr>
                    <w:jc w:val="center"/>
                    <w:rPr>
                      <w:color w:val="auto"/>
                      <w:highlight w:val="none"/>
                    </w:rPr>
                  </w:pPr>
                  <w:r>
                    <w:rPr>
                      <w:rFonts w:hint="eastAsia"/>
                      <w:color w:val="auto"/>
                      <w:highlight w:val="none"/>
                    </w:rPr>
                    <w:t>球差电镜室西侧241m</w:t>
                  </w:r>
                </w:p>
              </w:tc>
              <w:tc>
                <w:tcPr>
                  <w:tcW w:w="1157" w:type="pct"/>
                  <w:vAlign w:val="center"/>
                </w:tcPr>
                <w:p>
                  <w:pPr>
                    <w:jc w:val="center"/>
                    <w:rPr>
                      <w:color w:val="auto"/>
                      <w:highlight w:val="none"/>
                    </w:rPr>
                  </w:pPr>
                  <w:r>
                    <w:rPr>
                      <w:rFonts w:hint="eastAsia"/>
                      <w:color w:val="auto"/>
                      <w:highlight w:val="none"/>
                    </w:rPr>
                    <w:t>23000人</w:t>
                  </w:r>
                </w:p>
              </w:tc>
              <w:tc>
                <w:tcPr>
                  <w:tcW w:w="1178" w:type="pct"/>
                  <w:vMerge w:val="continue"/>
                  <w:vAlign w:val="center"/>
                </w:tcPr>
                <w:p>
                  <w:pPr>
                    <w:adjustRightInd w:val="0"/>
                    <w:snapToGrid w:val="0"/>
                    <w:spacing w:line="3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vMerge w:val="continue"/>
                  <w:vAlign w:val="center"/>
                </w:tcPr>
                <w:p>
                  <w:pPr>
                    <w:adjustRightInd w:val="0"/>
                    <w:snapToGrid w:val="0"/>
                    <w:spacing w:line="340" w:lineRule="exact"/>
                    <w:jc w:val="center"/>
                    <w:rPr>
                      <w:color w:val="auto"/>
                      <w:highlight w:val="none"/>
                    </w:rPr>
                  </w:pPr>
                </w:p>
              </w:tc>
              <w:tc>
                <w:tcPr>
                  <w:tcW w:w="1032" w:type="pct"/>
                  <w:vAlign w:val="center"/>
                </w:tcPr>
                <w:p>
                  <w:pPr>
                    <w:jc w:val="center"/>
                    <w:rPr>
                      <w:color w:val="auto"/>
                      <w:highlight w:val="none"/>
                    </w:rPr>
                  </w:pPr>
                  <w:r>
                    <w:rPr>
                      <w:rFonts w:hint="eastAsia"/>
                      <w:color w:val="auto"/>
                      <w:highlight w:val="none"/>
                    </w:rPr>
                    <w:t>华南女子学院</w:t>
                  </w:r>
                </w:p>
              </w:tc>
              <w:tc>
                <w:tcPr>
                  <w:tcW w:w="1120" w:type="pct"/>
                  <w:vAlign w:val="center"/>
                </w:tcPr>
                <w:p>
                  <w:pPr>
                    <w:jc w:val="center"/>
                    <w:rPr>
                      <w:color w:val="auto"/>
                      <w:highlight w:val="none"/>
                    </w:rPr>
                  </w:pPr>
                  <w:r>
                    <w:rPr>
                      <w:rFonts w:hint="eastAsia"/>
                      <w:color w:val="auto"/>
                      <w:highlight w:val="none"/>
                    </w:rPr>
                    <w:t>球差电镜室西南侧280m</w:t>
                  </w:r>
                </w:p>
              </w:tc>
              <w:tc>
                <w:tcPr>
                  <w:tcW w:w="1157" w:type="pct"/>
                  <w:vAlign w:val="center"/>
                </w:tcPr>
                <w:p>
                  <w:pPr>
                    <w:jc w:val="center"/>
                    <w:rPr>
                      <w:color w:val="auto"/>
                      <w:highlight w:val="none"/>
                    </w:rPr>
                  </w:pPr>
                  <w:r>
                    <w:rPr>
                      <w:rFonts w:hint="eastAsia"/>
                      <w:color w:val="auto"/>
                      <w:highlight w:val="none"/>
                    </w:rPr>
                    <w:t>4300人</w:t>
                  </w:r>
                </w:p>
              </w:tc>
              <w:tc>
                <w:tcPr>
                  <w:tcW w:w="1178" w:type="pct"/>
                  <w:vMerge w:val="continue"/>
                  <w:vAlign w:val="center"/>
                </w:tcPr>
                <w:p>
                  <w:pPr>
                    <w:adjustRightInd w:val="0"/>
                    <w:snapToGrid w:val="0"/>
                    <w:spacing w:line="3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vMerge w:val="continue"/>
                  <w:vAlign w:val="center"/>
                </w:tcPr>
                <w:p>
                  <w:pPr>
                    <w:adjustRightInd w:val="0"/>
                    <w:snapToGrid w:val="0"/>
                    <w:spacing w:line="340" w:lineRule="exact"/>
                    <w:jc w:val="center"/>
                    <w:rPr>
                      <w:color w:val="auto"/>
                      <w:highlight w:val="none"/>
                    </w:rPr>
                  </w:pPr>
                </w:p>
              </w:tc>
              <w:tc>
                <w:tcPr>
                  <w:tcW w:w="1032" w:type="pct"/>
                  <w:vAlign w:val="center"/>
                </w:tcPr>
                <w:p>
                  <w:pPr>
                    <w:jc w:val="center"/>
                    <w:rPr>
                      <w:color w:val="auto"/>
                      <w:highlight w:val="none"/>
                    </w:rPr>
                  </w:pPr>
                  <w:r>
                    <w:rPr>
                      <w:rFonts w:hint="eastAsia"/>
                      <w:color w:val="auto"/>
                      <w:highlight w:val="none"/>
                    </w:rPr>
                    <w:t>新洲村</w:t>
                  </w:r>
                </w:p>
              </w:tc>
              <w:tc>
                <w:tcPr>
                  <w:tcW w:w="1120" w:type="pct"/>
                  <w:vAlign w:val="center"/>
                </w:tcPr>
                <w:p>
                  <w:pPr>
                    <w:jc w:val="center"/>
                    <w:rPr>
                      <w:color w:val="auto"/>
                      <w:highlight w:val="none"/>
                    </w:rPr>
                  </w:pPr>
                  <w:r>
                    <w:rPr>
                      <w:rFonts w:hint="eastAsia"/>
                      <w:color w:val="auto"/>
                      <w:highlight w:val="none"/>
                    </w:rPr>
                    <w:t>综合楼北侧450m</w:t>
                  </w:r>
                </w:p>
              </w:tc>
              <w:tc>
                <w:tcPr>
                  <w:tcW w:w="1157" w:type="pct"/>
                  <w:vAlign w:val="center"/>
                </w:tcPr>
                <w:p>
                  <w:pPr>
                    <w:jc w:val="center"/>
                    <w:rPr>
                      <w:color w:val="auto"/>
                      <w:highlight w:val="none"/>
                    </w:rPr>
                  </w:pPr>
                  <w:r>
                    <w:rPr>
                      <w:rFonts w:hint="eastAsia"/>
                      <w:color w:val="auto"/>
                      <w:highlight w:val="none"/>
                    </w:rPr>
                    <w:t>4000人</w:t>
                  </w:r>
                </w:p>
              </w:tc>
              <w:tc>
                <w:tcPr>
                  <w:tcW w:w="1178" w:type="pct"/>
                  <w:vMerge w:val="continue"/>
                  <w:vAlign w:val="center"/>
                </w:tcPr>
                <w:p>
                  <w:pPr>
                    <w:adjustRightInd w:val="0"/>
                    <w:snapToGrid w:val="0"/>
                    <w:spacing w:line="3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vMerge w:val="continue"/>
                  <w:vAlign w:val="center"/>
                </w:tcPr>
                <w:p>
                  <w:pPr>
                    <w:adjustRightInd w:val="0"/>
                    <w:snapToGrid w:val="0"/>
                    <w:spacing w:line="340" w:lineRule="exact"/>
                    <w:jc w:val="center"/>
                    <w:rPr>
                      <w:color w:val="auto"/>
                      <w:highlight w:val="none"/>
                    </w:rPr>
                  </w:pPr>
                </w:p>
              </w:tc>
              <w:tc>
                <w:tcPr>
                  <w:tcW w:w="1032" w:type="pct"/>
                  <w:vAlign w:val="center"/>
                </w:tcPr>
                <w:p>
                  <w:pPr>
                    <w:jc w:val="center"/>
                    <w:rPr>
                      <w:color w:val="auto"/>
                      <w:highlight w:val="none"/>
                    </w:rPr>
                  </w:pPr>
                  <w:r>
                    <w:rPr>
                      <w:rFonts w:hint="eastAsia"/>
                      <w:color w:val="auto"/>
                      <w:highlight w:val="none"/>
                    </w:rPr>
                    <w:t>闽江师范高等专科附属实验小学</w:t>
                  </w:r>
                </w:p>
              </w:tc>
              <w:tc>
                <w:tcPr>
                  <w:tcW w:w="1120" w:type="pct"/>
                  <w:vAlign w:val="center"/>
                </w:tcPr>
                <w:p>
                  <w:pPr>
                    <w:jc w:val="center"/>
                    <w:rPr>
                      <w:color w:val="auto"/>
                      <w:highlight w:val="none"/>
                    </w:rPr>
                  </w:pPr>
                  <w:r>
                    <w:rPr>
                      <w:rFonts w:hint="eastAsia"/>
                      <w:color w:val="auto"/>
                      <w:highlight w:val="none"/>
                    </w:rPr>
                    <w:t>综合楼西南侧419m</w:t>
                  </w:r>
                </w:p>
              </w:tc>
              <w:tc>
                <w:tcPr>
                  <w:tcW w:w="1157" w:type="pct"/>
                  <w:vAlign w:val="center"/>
                </w:tcPr>
                <w:p>
                  <w:pPr>
                    <w:jc w:val="center"/>
                    <w:rPr>
                      <w:color w:val="auto"/>
                      <w:highlight w:val="none"/>
                    </w:rPr>
                  </w:pPr>
                  <w:r>
                    <w:rPr>
                      <w:rFonts w:hint="eastAsia"/>
                      <w:color w:val="auto"/>
                      <w:highlight w:val="none"/>
                    </w:rPr>
                    <w:t>1500人</w:t>
                  </w:r>
                </w:p>
              </w:tc>
              <w:tc>
                <w:tcPr>
                  <w:tcW w:w="1178" w:type="pct"/>
                  <w:vMerge w:val="continue"/>
                  <w:vAlign w:val="center"/>
                </w:tcPr>
                <w:p>
                  <w:pPr>
                    <w:adjustRightInd w:val="0"/>
                    <w:snapToGrid w:val="0"/>
                    <w:spacing w:line="3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vMerge w:val="continue"/>
                  <w:vAlign w:val="center"/>
                </w:tcPr>
                <w:p>
                  <w:pPr>
                    <w:adjustRightInd w:val="0"/>
                    <w:snapToGrid w:val="0"/>
                    <w:spacing w:line="340" w:lineRule="exact"/>
                    <w:jc w:val="center"/>
                    <w:rPr>
                      <w:color w:val="auto"/>
                      <w:highlight w:val="none"/>
                    </w:rPr>
                  </w:pPr>
                </w:p>
              </w:tc>
              <w:tc>
                <w:tcPr>
                  <w:tcW w:w="1032" w:type="pct"/>
                  <w:vAlign w:val="center"/>
                </w:tcPr>
                <w:p>
                  <w:pPr>
                    <w:jc w:val="center"/>
                    <w:rPr>
                      <w:color w:val="auto"/>
                      <w:highlight w:val="none"/>
                    </w:rPr>
                  </w:pPr>
                  <w:r>
                    <w:rPr>
                      <w:rFonts w:hint="eastAsia"/>
                      <w:color w:val="auto"/>
                      <w:highlight w:val="none"/>
                    </w:rPr>
                    <w:t>闽江师范高等专科学校</w:t>
                  </w:r>
                </w:p>
              </w:tc>
              <w:tc>
                <w:tcPr>
                  <w:tcW w:w="1120" w:type="pct"/>
                  <w:vAlign w:val="center"/>
                </w:tcPr>
                <w:p>
                  <w:pPr>
                    <w:jc w:val="center"/>
                    <w:rPr>
                      <w:color w:val="auto"/>
                      <w:highlight w:val="none"/>
                    </w:rPr>
                  </w:pPr>
                  <w:r>
                    <w:rPr>
                      <w:rFonts w:hint="eastAsia"/>
                      <w:color w:val="auto"/>
                      <w:highlight w:val="none"/>
                    </w:rPr>
                    <w:t>综合楼东南侧396m</w:t>
                  </w:r>
                </w:p>
              </w:tc>
              <w:tc>
                <w:tcPr>
                  <w:tcW w:w="1157" w:type="pct"/>
                  <w:vAlign w:val="center"/>
                </w:tcPr>
                <w:p>
                  <w:pPr>
                    <w:jc w:val="center"/>
                    <w:rPr>
                      <w:color w:val="auto"/>
                      <w:highlight w:val="none"/>
                    </w:rPr>
                  </w:pPr>
                  <w:r>
                    <w:rPr>
                      <w:rFonts w:hint="eastAsia"/>
                      <w:color w:val="auto"/>
                      <w:highlight w:val="none"/>
                    </w:rPr>
                    <w:t>10000人</w:t>
                  </w:r>
                </w:p>
              </w:tc>
              <w:tc>
                <w:tcPr>
                  <w:tcW w:w="1178" w:type="pct"/>
                  <w:vMerge w:val="continue"/>
                  <w:vAlign w:val="center"/>
                </w:tcPr>
                <w:p>
                  <w:pPr>
                    <w:adjustRightInd w:val="0"/>
                    <w:snapToGrid w:val="0"/>
                    <w:spacing w:line="3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vAlign w:val="center"/>
                </w:tcPr>
                <w:p>
                  <w:pPr>
                    <w:adjustRightInd w:val="0"/>
                    <w:snapToGrid w:val="0"/>
                    <w:spacing w:line="340" w:lineRule="exact"/>
                    <w:jc w:val="center"/>
                    <w:rPr>
                      <w:color w:val="auto"/>
                      <w:highlight w:val="none"/>
                    </w:rPr>
                  </w:pPr>
                  <w:r>
                    <w:rPr>
                      <w:color w:val="auto"/>
                      <w:highlight w:val="none"/>
                    </w:rPr>
                    <w:t>声环境</w:t>
                  </w:r>
                </w:p>
              </w:tc>
              <w:tc>
                <w:tcPr>
                  <w:tcW w:w="4487" w:type="pct"/>
                  <w:gridSpan w:val="4"/>
                  <w:vAlign w:val="center"/>
                </w:tcPr>
                <w:p>
                  <w:pPr>
                    <w:adjustRightInd w:val="0"/>
                    <w:snapToGrid w:val="0"/>
                    <w:spacing w:line="340" w:lineRule="exact"/>
                    <w:jc w:val="center"/>
                    <w:rPr>
                      <w:color w:val="auto"/>
                      <w:highlight w:val="none"/>
                    </w:rPr>
                  </w:pPr>
                  <w:r>
                    <w:rPr>
                      <w:color w:val="auto"/>
                      <w:highlight w:val="none"/>
                    </w:rPr>
                    <w:t>项目厂界50m范围内无声环境保护目标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vAlign w:val="center"/>
                </w:tcPr>
                <w:p>
                  <w:pPr>
                    <w:adjustRightInd w:val="0"/>
                    <w:snapToGrid w:val="0"/>
                    <w:spacing w:line="340" w:lineRule="exact"/>
                    <w:jc w:val="center"/>
                    <w:rPr>
                      <w:color w:val="auto"/>
                      <w:highlight w:val="none"/>
                    </w:rPr>
                  </w:pPr>
                  <w:r>
                    <w:rPr>
                      <w:rFonts w:hint="eastAsia"/>
                      <w:color w:val="auto"/>
                      <w:highlight w:val="none"/>
                    </w:rPr>
                    <w:t>地表水环境</w:t>
                  </w:r>
                </w:p>
              </w:tc>
              <w:tc>
                <w:tcPr>
                  <w:tcW w:w="4487" w:type="pct"/>
                  <w:gridSpan w:val="4"/>
                  <w:vAlign w:val="center"/>
                </w:tcPr>
                <w:p>
                  <w:pPr>
                    <w:adjustRightInd w:val="0"/>
                    <w:snapToGrid w:val="0"/>
                    <w:spacing w:line="340" w:lineRule="exact"/>
                    <w:jc w:val="center"/>
                    <w:rPr>
                      <w:color w:val="auto"/>
                      <w:highlight w:val="none"/>
                    </w:rPr>
                  </w:pPr>
                  <w:r>
                    <w:rPr>
                      <w:rFonts w:hint="eastAsia"/>
                      <w:color w:val="auto"/>
                      <w:highlight w:val="none"/>
                    </w:rPr>
                    <w:t>项目周边地表水流域为溪源江，执行</w:t>
                  </w:r>
                  <w:r>
                    <w:rPr>
                      <w:color w:val="auto"/>
                      <w:highlight w:val="none"/>
                    </w:rPr>
                    <w:t>《地表水环境质量标准》(GB3838-2002)中</w:t>
                  </w:r>
                  <w:r>
                    <w:rPr>
                      <w:rFonts w:hint="eastAsia"/>
                      <w:color w:val="auto"/>
                      <w:highlight w:val="none"/>
                    </w:rPr>
                    <w:t>Ⅲ类</w:t>
                  </w:r>
                  <w:r>
                    <w:rPr>
                      <w:color w:val="auto"/>
                      <w:highlight w:val="none"/>
                    </w:rPr>
                    <w:t>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vAlign w:val="center"/>
                </w:tcPr>
                <w:p>
                  <w:pPr>
                    <w:pStyle w:val="46"/>
                    <w:spacing w:before="24" w:after="24" w:line="320" w:lineRule="exact"/>
                    <w:rPr>
                      <w:color w:val="auto"/>
                      <w:highlight w:val="none"/>
                    </w:rPr>
                  </w:pPr>
                  <w:r>
                    <w:rPr>
                      <w:color w:val="auto"/>
                      <w:highlight w:val="none"/>
                    </w:rPr>
                    <w:t>地下水环境</w:t>
                  </w:r>
                </w:p>
              </w:tc>
              <w:tc>
                <w:tcPr>
                  <w:tcW w:w="4487" w:type="pct"/>
                  <w:gridSpan w:val="4"/>
                  <w:vAlign w:val="center"/>
                </w:tcPr>
                <w:p>
                  <w:pPr>
                    <w:pStyle w:val="46"/>
                    <w:spacing w:before="24" w:after="24" w:line="320" w:lineRule="exact"/>
                    <w:rPr>
                      <w:color w:val="auto"/>
                      <w:highlight w:val="none"/>
                    </w:rPr>
                  </w:pPr>
                  <w:r>
                    <w:rPr>
                      <w:color w:val="auto"/>
                      <w:highlight w:val="none"/>
                    </w:rPr>
                    <w:t>厂</w:t>
                  </w:r>
                  <w:r>
                    <w:rPr>
                      <w:rFonts w:ascii="Times New Roman"/>
                      <w:color w:val="auto"/>
                      <w:highlight w:val="none"/>
                    </w:rPr>
                    <w:t>界外500米范围内无地下水集中式饮用水水源和热水、矿泉水、温泉等特殊地下水资源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2" w:type="pct"/>
                  <w:vAlign w:val="center"/>
                </w:tcPr>
                <w:p>
                  <w:pPr>
                    <w:pStyle w:val="46"/>
                    <w:spacing w:before="24" w:after="24" w:line="320" w:lineRule="exact"/>
                    <w:rPr>
                      <w:color w:val="auto"/>
                      <w:highlight w:val="none"/>
                    </w:rPr>
                  </w:pPr>
                  <w:r>
                    <w:rPr>
                      <w:color w:val="auto"/>
                      <w:highlight w:val="none"/>
                    </w:rPr>
                    <w:t>生态环境</w:t>
                  </w:r>
                </w:p>
              </w:tc>
              <w:tc>
                <w:tcPr>
                  <w:tcW w:w="4487" w:type="pct"/>
                  <w:gridSpan w:val="4"/>
                  <w:vAlign w:val="center"/>
                </w:tcPr>
                <w:p>
                  <w:pPr>
                    <w:pStyle w:val="46"/>
                    <w:spacing w:before="24" w:after="24" w:line="320" w:lineRule="exact"/>
                    <w:rPr>
                      <w:color w:val="auto"/>
                      <w:highlight w:val="none"/>
                    </w:rPr>
                  </w:pPr>
                  <w:r>
                    <w:rPr>
                      <w:color w:val="auto"/>
                      <w:highlight w:val="none"/>
                    </w:rPr>
                    <w:t>不新增用地，仅使用出租方已建的厂房，因此不新增用地范围内生态环境保护目标</w:t>
                  </w:r>
                </w:p>
              </w:tc>
            </w:tr>
          </w:tbl>
          <w:p>
            <w:pPr>
              <w:pStyle w:val="32"/>
              <w:jc w:val="both"/>
              <w:rPr>
                <w:rFonts w:eastAsia="宋体"/>
                <w:color w:val="auto"/>
                <w:highlight w:val="none"/>
              </w:rPr>
            </w:pPr>
          </w:p>
        </w:tc>
      </w:tr>
    </w:tbl>
    <w:p>
      <w:pPr>
        <w:rPr>
          <w:color w:val="auto"/>
          <w:highlight w:val="none"/>
        </w:rPr>
        <w:sectPr>
          <w:pgSz w:w="11907" w:h="16840"/>
          <w:pgMar w:top="1701" w:right="1531" w:bottom="2127" w:left="1531" w:header="851" w:footer="851" w:gutter="0"/>
          <w:cols w:space="720" w:num="1"/>
          <w:docGrid w:linePitch="312" w:charSpace="0"/>
        </w:sectPr>
      </w:pPr>
    </w:p>
    <w:p>
      <w:pPr>
        <w:pStyle w:val="2"/>
        <w:ind w:left="0" w:leftChars="0" w:firstLine="0" w:firstLineChars="0"/>
        <w:jc w:val="center"/>
        <w:rPr>
          <w:color w:val="auto"/>
          <w:highlight w:val="none"/>
        </w:rPr>
      </w:pPr>
      <w:r>
        <w:rPr>
          <w:rFonts w:hint="eastAsia"/>
          <w:color w:val="auto"/>
          <w:highlight w:val="none"/>
        </w:rPr>
        <w:drawing>
          <wp:inline distT="0" distB="0" distL="114300" distR="114300">
            <wp:extent cx="5034915" cy="5741670"/>
            <wp:effectExtent l="0" t="0" r="11430" b="13335"/>
            <wp:docPr id="49" name="图片 49" descr="敏感目标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敏感目标图_00"/>
                    <pic:cNvPicPr>
                      <a:picLocks noChangeAspect="1"/>
                    </pic:cNvPicPr>
                  </pic:nvPicPr>
                  <pic:blipFill>
                    <a:blip r:embed="rId38"/>
                    <a:srcRect b="19357"/>
                    <a:stretch>
                      <a:fillRect/>
                    </a:stretch>
                  </pic:blipFill>
                  <pic:spPr>
                    <a:xfrm rot="16200000">
                      <a:off x="0" y="0"/>
                      <a:ext cx="5034915" cy="5741670"/>
                    </a:xfrm>
                    <a:prstGeom prst="rect">
                      <a:avLst/>
                    </a:prstGeom>
                  </pic:spPr>
                </pic:pic>
              </a:graphicData>
            </a:graphic>
          </wp:inline>
        </w:drawing>
      </w:r>
    </w:p>
    <w:p>
      <w:pPr>
        <w:pStyle w:val="32"/>
        <w:rPr>
          <w:color w:val="auto"/>
          <w:highlight w:val="none"/>
        </w:rPr>
        <w:sectPr>
          <w:pgSz w:w="16840" w:h="11907" w:orient="landscape"/>
          <w:pgMar w:top="1531" w:right="1701" w:bottom="1531" w:left="2127" w:header="851" w:footer="851" w:gutter="0"/>
          <w:cols w:space="720" w:num="1"/>
          <w:docGrid w:linePitch="312" w:charSpace="0"/>
        </w:sectPr>
      </w:pPr>
      <w:r>
        <w:rPr>
          <w:rFonts w:hint="eastAsia"/>
          <w:color w:val="auto"/>
          <w:highlight w:val="none"/>
        </w:rPr>
        <w:t>图3.2-1 项目敏感目标示意图</w:t>
      </w:r>
    </w:p>
    <w:tbl>
      <w:tblPr>
        <w:tblStyle w:val="19"/>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6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39" w:hRule="atLeast"/>
          <w:jc w:val="center"/>
        </w:trPr>
        <w:tc>
          <w:tcPr>
            <w:tcW w:w="424" w:type="dxa"/>
            <w:tcMar>
              <w:left w:w="28" w:type="dxa"/>
              <w:right w:w="28" w:type="dxa"/>
            </w:tcMar>
            <w:vAlign w:val="center"/>
          </w:tcPr>
          <w:p>
            <w:pPr>
              <w:adjustRightInd w:val="0"/>
              <w:snapToGrid w:val="0"/>
              <w:jc w:val="center"/>
              <w:rPr>
                <w:color w:val="auto"/>
                <w:kern w:val="0"/>
                <w:szCs w:val="21"/>
                <w:highlight w:val="none"/>
              </w:rPr>
            </w:pPr>
            <w:r>
              <w:rPr>
                <w:color w:val="auto"/>
                <w:kern w:val="0"/>
                <w:szCs w:val="21"/>
                <w:highlight w:val="none"/>
              </w:rPr>
              <w:t>污染</w:t>
            </w:r>
          </w:p>
          <w:p>
            <w:pPr>
              <w:adjustRightInd w:val="0"/>
              <w:snapToGrid w:val="0"/>
              <w:jc w:val="center"/>
              <w:rPr>
                <w:color w:val="auto"/>
                <w:kern w:val="0"/>
                <w:szCs w:val="21"/>
                <w:highlight w:val="none"/>
              </w:rPr>
            </w:pPr>
            <w:r>
              <w:rPr>
                <w:color w:val="auto"/>
                <w:kern w:val="0"/>
                <w:szCs w:val="21"/>
                <w:highlight w:val="none"/>
              </w:rPr>
              <w:t>物排</w:t>
            </w:r>
          </w:p>
          <w:p>
            <w:pPr>
              <w:adjustRightInd w:val="0"/>
              <w:snapToGrid w:val="0"/>
              <w:jc w:val="center"/>
              <w:rPr>
                <w:color w:val="auto"/>
                <w:kern w:val="0"/>
                <w:szCs w:val="21"/>
                <w:highlight w:val="none"/>
              </w:rPr>
            </w:pPr>
            <w:r>
              <w:rPr>
                <w:color w:val="auto"/>
                <w:kern w:val="0"/>
                <w:szCs w:val="21"/>
                <w:highlight w:val="none"/>
              </w:rPr>
              <w:t>放控</w:t>
            </w:r>
          </w:p>
          <w:p>
            <w:pPr>
              <w:adjustRightInd w:val="0"/>
              <w:snapToGrid w:val="0"/>
              <w:jc w:val="center"/>
              <w:rPr>
                <w:color w:val="auto"/>
                <w:kern w:val="0"/>
                <w:szCs w:val="21"/>
                <w:highlight w:val="none"/>
              </w:rPr>
            </w:pPr>
            <w:r>
              <w:rPr>
                <w:color w:val="auto"/>
                <w:kern w:val="0"/>
                <w:szCs w:val="21"/>
                <w:highlight w:val="none"/>
              </w:rPr>
              <w:t>制标</w:t>
            </w:r>
          </w:p>
          <w:p>
            <w:pPr>
              <w:adjustRightInd w:val="0"/>
              <w:snapToGrid w:val="0"/>
              <w:jc w:val="center"/>
              <w:rPr>
                <w:color w:val="auto"/>
                <w:kern w:val="0"/>
                <w:szCs w:val="21"/>
                <w:highlight w:val="none"/>
              </w:rPr>
            </w:pPr>
            <w:r>
              <w:rPr>
                <w:color w:val="auto"/>
                <w:kern w:val="0"/>
                <w:szCs w:val="21"/>
                <w:highlight w:val="none"/>
              </w:rPr>
              <w:t>准</w:t>
            </w:r>
          </w:p>
        </w:tc>
        <w:tc>
          <w:tcPr>
            <w:tcW w:w="8637" w:type="dxa"/>
            <w:vAlign w:val="center"/>
          </w:tcPr>
          <w:p>
            <w:pPr>
              <w:pStyle w:val="31"/>
              <w:rPr>
                <w:color w:val="auto"/>
                <w:highlight w:val="none"/>
              </w:rPr>
            </w:pPr>
            <w:bookmarkStart w:id="10" w:name="_Toc527299653"/>
            <w:bookmarkStart w:id="11" w:name="_Toc527299547"/>
            <w:r>
              <w:rPr>
                <w:rFonts w:hint="eastAsia"/>
                <w:color w:val="auto"/>
                <w:highlight w:val="none"/>
              </w:rPr>
              <w:t>3.3.1 施工期污染物排放标准</w:t>
            </w:r>
          </w:p>
          <w:p>
            <w:pPr>
              <w:pStyle w:val="36"/>
              <w:ind w:firstLine="480"/>
              <w:rPr>
                <w:color w:val="auto"/>
                <w:highlight w:val="none"/>
              </w:rPr>
            </w:pPr>
            <w:r>
              <w:rPr>
                <w:rFonts w:hint="eastAsia"/>
                <w:color w:val="auto"/>
                <w:highlight w:val="none"/>
              </w:rPr>
              <w:t>本项目施工期间所产生的污染物排放执行标准详见下表。</w:t>
            </w:r>
          </w:p>
          <w:p>
            <w:pPr>
              <w:pStyle w:val="29"/>
              <w:rPr>
                <w:color w:val="auto"/>
                <w:highlight w:val="none"/>
              </w:rPr>
            </w:pPr>
            <w:r>
              <w:rPr>
                <w:rFonts w:hint="eastAsia"/>
                <w:color w:val="auto"/>
                <w:highlight w:val="none"/>
              </w:rPr>
              <w:t>表3.3.1 施工期污染物排放标准表</w:t>
            </w:r>
          </w:p>
          <w:tbl>
            <w:tblPr>
              <w:tblStyle w:val="19"/>
              <w:tblW w:w="4998" w:type="pct"/>
              <w:tblInd w:w="-1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931"/>
              <w:gridCol w:w="3135"/>
              <w:gridCol w:w="1561"/>
              <w:gridCol w:w="2781"/>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3" w:type="pct"/>
                  <w:tcBorders>
                    <w:tl2br w:val="nil"/>
                    <w:tr2bl w:val="nil"/>
                  </w:tcBorders>
                  <w:vAlign w:val="center"/>
                </w:tcPr>
                <w:p>
                  <w:pPr>
                    <w:widowControl/>
                    <w:spacing w:before="31" w:after="31"/>
                    <w:jc w:val="center"/>
                    <w:rPr>
                      <w:bCs/>
                      <w:color w:val="auto"/>
                      <w:kern w:val="0"/>
                      <w:szCs w:val="21"/>
                      <w:highlight w:val="none"/>
                    </w:rPr>
                  </w:pPr>
                  <w:r>
                    <w:rPr>
                      <w:bCs/>
                      <w:color w:val="auto"/>
                      <w:kern w:val="0"/>
                      <w:szCs w:val="21"/>
                      <w:highlight w:val="none"/>
                    </w:rPr>
                    <w:t>污染源</w:t>
                  </w:r>
                </w:p>
              </w:tc>
              <w:tc>
                <w:tcPr>
                  <w:tcW w:w="1864" w:type="pct"/>
                  <w:tcBorders>
                    <w:tl2br w:val="nil"/>
                    <w:tr2bl w:val="nil"/>
                  </w:tcBorders>
                  <w:vAlign w:val="center"/>
                </w:tcPr>
                <w:p>
                  <w:pPr>
                    <w:widowControl/>
                    <w:spacing w:before="31" w:after="31"/>
                    <w:jc w:val="center"/>
                    <w:rPr>
                      <w:bCs/>
                      <w:color w:val="auto"/>
                      <w:kern w:val="0"/>
                      <w:szCs w:val="21"/>
                      <w:highlight w:val="none"/>
                    </w:rPr>
                  </w:pPr>
                  <w:r>
                    <w:rPr>
                      <w:bCs/>
                      <w:color w:val="auto"/>
                      <w:kern w:val="0"/>
                      <w:szCs w:val="21"/>
                      <w:highlight w:val="none"/>
                    </w:rPr>
                    <w:t>标准</w:t>
                  </w:r>
                </w:p>
              </w:tc>
              <w:tc>
                <w:tcPr>
                  <w:tcW w:w="928" w:type="pct"/>
                  <w:tcBorders>
                    <w:tl2br w:val="nil"/>
                    <w:tr2bl w:val="nil"/>
                  </w:tcBorders>
                  <w:vAlign w:val="center"/>
                </w:tcPr>
                <w:p>
                  <w:pPr>
                    <w:widowControl/>
                    <w:spacing w:before="31" w:after="31"/>
                    <w:jc w:val="center"/>
                    <w:rPr>
                      <w:bCs/>
                      <w:color w:val="auto"/>
                      <w:kern w:val="0"/>
                      <w:szCs w:val="21"/>
                      <w:highlight w:val="none"/>
                    </w:rPr>
                  </w:pPr>
                  <w:r>
                    <w:rPr>
                      <w:bCs/>
                      <w:color w:val="auto"/>
                      <w:kern w:val="0"/>
                      <w:szCs w:val="21"/>
                      <w:highlight w:val="none"/>
                    </w:rPr>
                    <w:t>项目</w:t>
                  </w:r>
                </w:p>
              </w:tc>
              <w:tc>
                <w:tcPr>
                  <w:tcW w:w="1653" w:type="pct"/>
                  <w:tcBorders>
                    <w:tl2br w:val="nil"/>
                    <w:tr2bl w:val="nil"/>
                  </w:tcBorders>
                  <w:vAlign w:val="center"/>
                </w:tcPr>
                <w:p>
                  <w:pPr>
                    <w:widowControl/>
                    <w:spacing w:before="31" w:after="31"/>
                    <w:jc w:val="center"/>
                    <w:rPr>
                      <w:bCs/>
                      <w:color w:val="auto"/>
                      <w:kern w:val="0"/>
                      <w:szCs w:val="21"/>
                      <w:highlight w:val="none"/>
                    </w:rPr>
                  </w:pPr>
                  <w:r>
                    <w:rPr>
                      <w:bCs/>
                      <w:color w:val="auto"/>
                      <w:kern w:val="0"/>
                      <w:szCs w:val="21"/>
                      <w:highlight w:val="none"/>
                    </w:rPr>
                    <w:t>标准限值</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3" w:type="pct"/>
                  <w:vMerge w:val="restart"/>
                  <w:tcBorders>
                    <w:tl2br w:val="nil"/>
                    <w:tr2bl w:val="nil"/>
                  </w:tcBorders>
                  <w:vAlign w:val="center"/>
                </w:tcPr>
                <w:p>
                  <w:pPr>
                    <w:widowControl/>
                    <w:spacing w:before="31" w:after="31"/>
                    <w:jc w:val="center"/>
                    <w:rPr>
                      <w:color w:val="auto"/>
                      <w:kern w:val="0"/>
                      <w:szCs w:val="21"/>
                      <w:highlight w:val="none"/>
                    </w:rPr>
                  </w:pPr>
                  <w:r>
                    <w:rPr>
                      <w:color w:val="auto"/>
                      <w:kern w:val="0"/>
                      <w:szCs w:val="21"/>
                      <w:highlight w:val="none"/>
                    </w:rPr>
                    <w:t>废水</w:t>
                  </w:r>
                </w:p>
              </w:tc>
              <w:tc>
                <w:tcPr>
                  <w:tcW w:w="1864" w:type="pct"/>
                  <w:vMerge w:val="restart"/>
                  <w:tcBorders>
                    <w:tl2br w:val="nil"/>
                    <w:tr2bl w:val="nil"/>
                  </w:tcBorders>
                  <w:vAlign w:val="center"/>
                </w:tcPr>
                <w:p>
                  <w:pPr>
                    <w:widowControl/>
                    <w:spacing w:before="31" w:after="31"/>
                    <w:jc w:val="center"/>
                    <w:rPr>
                      <w:color w:val="auto"/>
                      <w:kern w:val="0"/>
                      <w:szCs w:val="21"/>
                      <w:highlight w:val="none"/>
                    </w:rPr>
                  </w:pPr>
                  <w:r>
                    <w:rPr>
                      <w:color w:val="auto"/>
                      <w:kern w:val="0"/>
                      <w:szCs w:val="21"/>
                      <w:highlight w:val="none"/>
                    </w:rPr>
                    <w:t>《污水综合排放标准》（GB</w:t>
                  </w:r>
                  <w:r>
                    <w:rPr>
                      <w:rFonts w:hint="eastAsia"/>
                      <w:color w:val="auto"/>
                      <w:kern w:val="0"/>
                      <w:szCs w:val="21"/>
                      <w:highlight w:val="none"/>
                    </w:rPr>
                    <w:t xml:space="preserve"> </w:t>
                  </w:r>
                  <w:r>
                    <w:rPr>
                      <w:color w:val="auto"/>
                      <w:kern w:val="0"/>
                      <w:szCs w:val="21"/>
                      <w:highlight w:val="none"/>
                    </w:rPr>
                    <w:t>8978-1996）</w:t>
                  </w:r>
                  <w:r>
                    <w:rPr>
                      <w:rFonts w:hint="eastAsia"/>
                      <w:color w:val="auto"/>
                      <w:kern w:val="0"/>
                      <w:szCs w:val="21"/>
                      <w:highlight w:val="none"/>
                    </w:rPr>
                    <w:t>三</w:t>
                  </w:r>
                  <w:r>
                    <w:rPr>
                      <w:color w:val="auto"/>
                      <w:kern w:val="0"/>
                      <w:szCs w:val="21"/>
                      <w:highlight w:val="none"/>
                    </w:rPr>
                    <w:t>级标准</w:t>
                  </w:r>
                  <w:r>
                    <w:rPr>
                      <w:rFonts w:hint="eastAsia"/>
                      <w:color w:val="auto"/>
                      <w:kern w:val="0"/>
                      <w:szCs w:val="21"/>
                      <w:highlight w:val="none"/>
                    </w:rPr>
                    <w:t>（</w:t>
                  </w:r>
                  <w:r>
                    <w:rPr>
                      <w:color w:val="auto"/>
                      <w:szCs w:val="21"/>
                      <w:highlight w:val="none"/>
                    </w:rPr>
                    <w:t>氨氮参照《污水排入城镇下水道水质标准》（GB</w:t>
                  </w:r>
                  <w:r>
                    <w:rPr>
                      <w:rFonts w:hint="eastAsia"/>
                      <w:color w:val="auto"/>
                      <w:szCs w:val="21"/>
                      <w:highlight w:val="none"/>
                    </w:rPr>
                    <w:t>/</w:t>
                  </w:r>
                  <w:r>
                    <w:rPr>
                      <w:color w:val="auto"/>
                      <w:szCs w:val="21"/>
                      <w:highlight w:val="none"/>
                    </w:rPr>
                    <w:t>T</w:t>
                  </w:r>
                  <w:r>
                    <w:rPr>
                      <w:rFonts w:hint="eastAsia"/>
                      <w:color w:val="auto"/>
                      <w:szCs w:val="21"/>
                      <w:highlight w:val="none"/>
                    </w:rPr>
                    <w:t xml:space="preserve"> </w:t>
                  </w:r>
                  <w:r>
                    <w:rPr>
                      <w:color w:val="auto"/>
                      <w:szCs w:val="21"/>
                      <w:highlight w:val="none"/>
                    </w:rPr>
                    <w:t>31962-2015）表1的B等级标准执行</w:t>
                  </w:r>
                  <w:r>
                    <w:rPr>
                      <w:rFonts w:hint="eastAsia"/>
                      <w:color w:val="auto"/>
                      <w:szCs w:val="21"/>
                      <w:highlight w:val="none"/>
                    </w:rPr>
                    <w:t>）</w:t>
                  </w:r>
                </w:p>
              </w:tc>
              <w:tc>
                <w:tcPr>
                  <w:tcW w:w="928" w:type="pct"/>
                  <w:tcBorders>
                    <w:tl2br w:val="nil"/>
                    <w:tr2bl w:val="nil"/>
                  </w:tcBorders>
                  <w:vAlign w:val="center"/>
                </w:tcPr>
                <w:p>
                  <w:pPr>
                    <w:widowControl/>
                    <w:jc w:val="center"/>
                    <w:rPr>
                      <w:color w:val="auto"/>
                      <w:szCs w:val="21"/>
                      <w:highlight w:val="none"/>
                    </w:rPr>
                  </w:pPr>
                  <w:r>
                    <w:rPr>
                      <w:color w:val="auto"/>
                      <w:szCs w:val="21"/>
                      <w:highlight w:val="none"/>
                    </w:rPr>
                    <w:t>pH</w:t>
                  </w:r>
                  <w:r>
                    <w:rPr>
                      <w:rFonts w:hint="eastAsia"/>
                      <w:color w:val="auto"/>
                      <w:szCs w:val="21"/>
                      <w:highlight w:val="none"/>
                    </w:rPr>
                    <w:t>（无量纲）</w:t>
                  </w:r>
                </w:p>
              </w:tc>
              <w:tc>
                <w:tcPr>
                  <w:tcW w:w="1653" w:type="pct"/>
                  <w:tcBorders>
                    <w:tl2br w:val="nil"/>
                    <w:tr2bl w:val="nil"/>
                  </w:tcBorders>
                  <w:vAlign w:val="center"/>
                </w:tcPr>
                <w:p>
                  <w:pPr>
                    <w:widowControl/>
                    <w:jc w:val="center"/>
                    <w:rPr>
                      <w:color w:val="auto"/>
                      <w:szCs w:val="21"/>
                      <w:highlight w:val="none"/>
                    </w:rPr>
                  </w:pPr>
                  <w:r>
                    <w:rPr>
                      <w:color w:val="auto"/>
                      <w:szCs w:val="21"/>
                      <w:highlight w:val="none"/>
                    </w:rPr>
                    <w:t>6-9</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3" w:type="pct"/>
                  <w:vMerge w:val="continue"/>
                  <w:tcBorders>
                    <w:tl2br w:val="nil"/>
                    <w:tr2bl w:val="nil"/>
                  </w:tcBorders>
                  <w:vAlign w:val="center"/>
                </w:tcPr>
                <w:p>
                  <w:pPr>
                    <w:widowControl/>
                    <w:jc w:val="center"/>
                    <w:rPr>
                      <w:color w:val="auto"/>
                      <w:kern w:val="0"/>
                      <w:szCs w:val="21"/>
                      <w:highlight w:val="none"/>
                    </w:rPr>
                  </w:pPr>
                </w:p>
              </w:tc>
              <w:tc>
                <w:tcPr>
                  <w:tcW w:w="1864" w:type="pct"/>
                  <w:vMerge w:val="continue"/>
                  <w:tcBorders>
                    <w:tl2br w:val="nil"/>
                    <w:tr2bl w:val="nil"/>
                  </w:tcBorders>
                  <w:vAlign w:val="center"/>
                </w:tcPr>
                <w:p>
                  <w:pPr>
                    <w:widowControl/>
                    <w:jc w:val="center"/>
                    <w:rPr>
                      <w:color w:val="auto"/>
                      <w:kern w:val="0"/>
                      <w:szCs w:val="21"/>
                      <w:highlight w:val="none"/>
                    </w:rPr>
                  </w:pPr>
                </w:p>
              </w:tc>
              <w:tc>
                <w:tcPr>
                  <w:tcW w:w="928" w:type="pct"/>
                  <w:tcBorders>
                    <w:tl2br w:val="nil"/>
                    <w:tr2bl w:val="nil"/>
                  </w:tcBorders>
                  <w:vAlign w:val="center"/>
                </w:tcPr>
                <w:p>
                  <w:pPr>
                    <w:widowControl/>
                    <w:jc w:val="center"/>
                    <w:rPr>
                      <w:color w:val="auto"/>
                      <w:szCs w:val="21"/>
                      <w:highlight w:val="none"/>
                    </w:rPr>
                  </w:pPr>
                  <w:r>
                    <w:rPr>
                      <w:color w:val="auto"/>
                      <w:szCs w:val="21"/>
                      <w:highlight w:val="none"/>
                    </w:rPr>
                    <w:t>BOD</w:t>
                  </w:r>
                  <w:r>
                    <w:rPr>
                      <w:color w:val="auto"/>
                      <w:szCs w:val="21"/>
                      <w:highlight w:val="none"/>
                      <w:vertAlign w:val="subscript"/>
                    </w:rPr>
                    <w:t>5</w:t>
                  </w:r>
                </w:p>
              </w:tc>
              <w:tc>
                <w:tcPr>
                  <w:tcW w:w="1653" w:type="pct"/>
                  <w:tcBorders>
                    <w:tl2br w:val="nil"/>
                    <w:tr2bl w:val="nil"/>
                  </w:tcBorders>
                  <w:vAlign w:val="center"/>
                </w:tcPr>
                <w:p>
                  <w:pPr>
                    <w:widowControl/>
                    <w:jc w:val="center"/>
                    <w:rPr>
                      <w:color w:val="auto"/>
                      <w:szCs w:val="21"/>
                      <w:highlight w:val="none"/>
                    </w:rPr>
                  </w:pPr>
                  <w:r>
                    <w:rPr>
                      <w:rFonts w:hint="eastAsia"/>
                      <w:color w:val="auto"/>
                      <w:szCs w:val="21"/>
                      <w:highlight w:val="none"/>
                    </w:rPr>
                    <w:t>200</w:t>
                  </w:r>
                  <w:r>
                    <w:rPr>
                      <w:color w:val="auto"/>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3" w:type="pct"/>
                  <w:vMerge w:val="continue"/>
                  <w:tcBorders>
                    <w:tl2br w:val="nil"/>
                    <w:tr2bl w:val="nil"/>
                  </w:tcBorders>
                  <w:vAlign w:val="center"/>
                </w:tcPr>
                <w:p>
                  <w:pPr>
                    <w:widowControl/>
                    <w:jc w:val="center"/>
                    <w:rPr>
                      <w:color w:val="auto"/>
                      <w:kern w:val="0"/>
                      <w:szCs w:val="21"/>
                      <w:highlight w:val="none"/>
                    </w:rPr>
                  </w:pPr>
                </w:p>
              </w:tc>
              <w:tc>
                <w:tcPr>
                  <w:tcW w:w="1864" w:type="pct"/>
                  <w:vMerge w:val="continue"/>
                  <w:tcBorders>
                    <w:tl2br w:val="nil"/>
                    <w:tr2bl w:val="nil"/>
                  </w:tcBorders>
                  <w:vAlign w:val="center"/>
                </w:tcPr>
                <w:p>
                  <w:pPr>
                    <w:widowControl/>
                    <w:jc w:val="center"/>
                    <w:rPr>
                      <w:color w:val="auto"/>
                      <w:kern w:val="0"/>
                      <w:szCs w:val="21"/>
                      <w:highlight w:val="none"/>
                    </w:rPr>
                  </w:pPr>
                </w:p>
              </w:tc>
              <w:tc>
                <w:tcPr>
                  <w:tcW w:w="928" w:type="pct"/>
                  <w:tcBorders>
                    <w:tl2br w:val="nil"/>
                    <w:tr2bl w:val="nil"/>
                  </w:tcBorders>
                  <w:vAlign w:val="center"/>
                </w:tcPr>
                <w:p>
                  <w:pPr>
                    <w:widowControl/>
                    <w:jc w:val="center"/>
                    <w:rPr>
                      <w:color w:val="auto"/>
                      <w:szCs w:val="21"/>
                      <w:highlight w:val="none"/>
                    </w:rPr>
                  </w:pPr>
                  <w:r>
                    <w:rPr>
                      <w:color w:val="auto"/>
                      <w:szCs w:val="21"/>
                      <w:highlight w:val="none"/>
                    </w:rPr>
                    <w:t>COD</w:t>
                  </w:r>
                </w:p>
              </w:tc>
              <w:tc>
                <w:tcPr>
                  <w:tcW w:w="1653" w:type="pct"/>
                  <w:tcBorders>
                    <w:tl2br w:val="nil"/>
                    <w:tr2bl w:val="nil"/>
                  </w:tcBorders>
                  <w:vAlign w:val="center"/>
                </w:tcPr>
                <w:p>
                  <w:pPr>
                    <w:widowControl/>
                    <w:jc w:val="center"/>
                    <w:rPr>
                      <w:color w:val="auto"/>
                      <w:szCs w:val="21"/>
                      <w:highlight w:val="none"/>
                    </w:rPr>
                  </w:pPr>
                  <w:r>
                    <w:rPr>
                      <w:rFonts w:hint="eastAsia"/>
                      <w:color w:val="auto"/>
                      <w:szCs w:val="21"/>
                      <w:highlight w:val="none"/>
                    </w:rPr>
                    <w:t>5</w:t>
                  </w:r>
                  <w:r>
                    <w:rPr>
                      <w:color w:val="auto"/>
                      <w:szCs w:val="21"/>
                      <w:highlight w:val="none"/>
                    </w:rPr>
                    <w:t>00mg/L</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3" w:type="pct"/>
                  <w:vMerge w:val="continue"/>
                  <w:tcBorders>
                    <w:tl2br w:val="nil"/>
                    <w:tr2bl w:val="nil"/>
                  </w:tcBorders>
                  <w:vAlign w:val="center"/>
                </w:tcPr>
                <w:p>
                  <w:pPr>
                    <w:widowControl/>
                    <w:jc w:val="center"/>
                    <w:rPr>
                      <w:color w:val="auto"/>
                      <w:kern w:val="0"/>
                      <w:szCs w:val="21"/>
                      <w:highlight w:val="none"/>
                    </w:rPr>
                  </w:pPr>
                </w:p>
              </w:tc>
              <w:tc>
                <w:tcPr>
                  <w:tcW w:w="1864" w:type="pct"/>
                  <w:vMerge w:val="continue"/>
                  <w:tcBorders>
                    <w:tl2br w:val="nil"/>
                    <w:tr2bl w:val="nil"/>
                  </w:tcBorders>
                  <w:vAlign w:val="center"/>
                </w:tcPr>
                <w:p>
                  <w:pPr>
                    <w:widowControl/>
                    <w:jc w:val="center"/>
                    <w:rPr>
                      <w:color w:val="auto"/>
                      <w:kern w:val="0"/>
                      <w:szCs w:val="21"/>
                      <w:highlight w:val="none"/>
                    </w:rPr>
                  </w:pPr>
                </w:p>
              </w:tc>
              <w:tc>
                <w:tcPr>
                  <w:tcW w:w="928" w:type="pct"/>
                  <w:tcBorders>
                    <w:tl2br w:val="nil"/>
                    <w:tr2bl w:val="nil"/>
                  </w:tcBorders>
                  <w:vAlign w:val="center"/>
                </w:tcPr>
                <w:p>
                  <w:pPr>
                    <w:widowControl/>
                    <w:jc w:val="center"/>
                    <w:rPr>
                      <w:color w:val="auto"/>
                      <w:szCs w:val="21"/>
                      <w:highlight w:val="none"/>
                    </w:rPr>
                  </w:pPr>
                  <w:r>
                    <w:rPr>
                      <w:color w:val="auto"/>
                      <w:szCs w:val="21"/>
                      <w:highlight w:val="none"/>
                    </w:rPr>
                    <w:t>SS</w:t>
                  </w:r>
                </w:p>
              </w:tc>
              <w:tc>
                <w:tcPr>
                  <w:tcW w:w="1653" w:type="pct"/>
                  <w:tcBorders>
                    <w:tl2br w:val="nil"/>
                    <w:tr2bl w:val="nil"/>
                  </w:tcBorders>
                  <w:vAlign w:val="center"/>
                </w:tcPr>
                <w:p>
                  <w:pPr>
                    <w:widowControl/>
                    <w:jc w:val="center"/>
                    <w:rPr>
                      <w:color w:val="auto"/>
                      <w:szCs w:val="21"/>
                      <w:highlight w:val="none"/>
                    </w:rPr>
                  </w:pPr>
                  <w:r>
                    <w:rPr>
                      <w:rFonts w:hint="eastAsia"/>
                      <w:color w:val="auto"/>
                      <w:szCs w:val="21"/>
                      <w:highlight w:val="none"/>
                    </w:rPr>
                    <w:t>400</w:t>
                  </w:r>
                  <w:r>
                    <w:rPr>
                      <w:color w:val="auto"/>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3" w:type="pct"/>
                  <w:vMerge w:val="continue"/>
                  <w:tcBorders>
                    <w:tl2br w:val="nil"/>
                    <w:tr2bl w:val="nil"/>
                  </w:tcBorders>
                  <w:vAlign w:val="center"/>
                </w:tcPr>
                <w:p>
                  <w:pPr>
                    <w:widowControl/>
                    <w:jc w:val="center"/>
                    <w:rPr>
                      <w:color w:val="auto"/>
                      <w:kern w:val="0"/>
                      <w:szCs w:val="21"/>
                      <w:highlight w:val="none"/>
                    </w:rPr>
                  </w:pPr>
                </w:p>
              </w:tc>
              <w:tc>
                <w:tcPr>
                  <w:tcW w:w="1864" w:type="pct"/>
                  <w:vMerge w:val="continue"/>
                  <w:tcBorders>
                    <w:tl2br w:val="nil"/>
                    <w:tr2bl w:val="nil"/>
                  </w:tcBorders>
                  <w:vAlign w:val="center"/>
                </w:tcPr>
                <w:p>
                  <w:pPr>
                    <w:widowControl/>
                    <w:jc w:val="center"/>
                    <w:rPr>
                      <w:color w:val="auto"/>
                      <w:kern w:val="0"/>
                      <w:szCs w:val="21"/>
                      <w:highlight w:val="none"/>
                    </w:rPr>
                  </w:pPr>
                </w:p>
              </w:tc>
              <w:tc>
                <w:tcPr>
                  <w:tcW w:w="928" w:type="pct"/>
                  <w:tcBorders>
                    <w:tl2br w:val="nil"/>
                    <w:tr2bl w:val="nil"/>
                  </w:tcBorders>
                  <w:vAlign w:val="center"/>
                </w:tcPr>
                <w:p>
                  <w:pPr>
                    <w:widowControl/>
                    <w:jc w:val="center"/>
                    <w:rPr>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1653" w:type="pct"/>
                  <w:tcBorders>
                    <w:tl2br w:val="nil"/>
                    <w:tr2bl w:val="nil"/>
                  </w:tcBorders>
                  <w:vAlign w:val="center"/>
                </w:tcPr>
                <w:p>
                  <w:pPr>
                    <w:widowControl/>
                    <w:jc w:val="center"/>
                    <w:rPr>
                      <w:color w:val="auto"/>
                      <w:szCs w:val="21"/>
                      <w:highlight w:val="none"/>
                    </w:rPr>
                  </w:pPr>
                  <w:r>
                    <w:rPr>
                      <w:rFonts w:hint="eastAsia"/>
                      <w:color w:val="auto"/>
                      <w:szCs w:val="21"/>
                      <w:highlight w:val="none"/>
                    </w:rPr>
                    <w:t>4</w:t>
                  </w:r>
                  <w:r>
                    <w:rPr>
                      <w:color w:val="auto"/>
                      <w:szCs w:val="21"/>
                      <w:highlight w:val="none"/>
                    </w:rPr>
                    <w:t>5mg/L</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3" w:type="pct"/>
                  <w:vMerge w:val="continue"/>
                  <w:tcBorders>
                    <w:tl2br w:val="nil"/>
                    <w:tr2bl w:val="nil"/>
                  </w:tcBorders>
                  <w:vAlign w:val="center"/>
                </w:tcPr>
                <w:p>
                  <w:pPr>
                    <w:widowControl/>
                    <w:jc w:val="center"/>
                    <w:rPr>
                      <w:color w:val="auto"/>
                      <w:kern w:val="0"/>
                      <w:szCs w:val="21"/>
                      <w:highlight w:val="none"/>
                    </w:rPr>
                  </w:pPr>
                </w:p>
              </w:tc>
              <w:tc>
                <w:tcPr>
                  <w:tcW w:w="1864" w:type="pct"/>
                  <w:vMerge w:val="continue"/>
                  <w:tcBorders>
                    <w:tl2br w:val="nil"/>
                    <w:tr2bl w:val="nil"/>
                  </w:tcBorders>
                  <w:vAlign w:val="center"/>
                </w:tcPr>
                <w:p>
                  <w:pPr>
                    <w:widowControl/>
                    <w:jc w:val="center"/>
                    <w:rPr>
                      <w:color w:val="auto"/>
                      <w:kern w:val="0"/>
                      <w:szCs w:val="21"/>
                      <w:highlight w:val="none"/>
                    </w:rPr>
                  </w:pPr>
                </w:p>
              </w:tc>
              <w:tc>
                <w:tcPr>
                  <w:tcW w:w="928" w:type="pct"/>
                  <w:tcBorders>
                    <w:tl2br w:val="nil"/>
                    <w:tr2bl w:val="nil"/>
                  </w:tcBorders>
                  <w:vAlign w:val="center"/>
                </w:tcPr>
                <w:p>
                  <w:pPr>
                    <w:widowControl/>
                    <w:jc w:val="center"/>
                    <w:rPr>
                      <w:color w:val="auto"/>
                      <w:szCs w:val="21"/>
                      <w:highlight w:val="none"/>
                    </w:rPr>
                  </w:pPr>
                  <w:r>
                    <w:rPr>
                      <w:color w:val="auto"/>
                      <w:szCs w:val="21"/>
                      <w:highlight w:val="none"/>
                    </w:rPr>
                    <w:t>石油类</w:t>
                  </w:r>
                </w:p>
              </w:tc>
              <w:tc>
                <w:tcPr>
                  <w:tcW w:w="1653" w:type="pct"/>
                  <w:tcBorders>
                    <w:tl2br w:val="nil"/>
                    <w:tr2bl w:val="nil"/>
                  </w:tcBorders>
                  <w:vAlign w:val="center"/>
                </w:tcPr>
                <w:p>
                  <w:pPr>
                    <w:widowControl/>
                    <w:jc w:val="center"/>
                    <w:rPr>
                      <w:color w:val="auto"/>
                      <w:szCs w:val="21"/>
                      <w:highlight w:val="none"/>
                    </w:rPr>
                  </w:pPr>
                  <w:r>
                    <w:rPr>
                      <w:rFonts w:hint="eastAsia"/>
                      <w:color w:val="auto"/>
                      <w:szCs w:val="21"/>
                      <w:highlight w:val="none"/>
                    </w:rPr>
                    <w:t>30</w:t>
                  </w:r>
                  <w:r>
                    <w:rPr>
                      <w:color w:val="auto"/>
                      <w:szCs w:val="21"/>
                      <w:highlight w:val="none"/>
                    </w:rPr>
                    <w:t>mg/L</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94" w:hRule="atLeast"/>
              </w:trPr>
              <w:tc>
                <w:tcPr>
                  <w:tcW w:w="553" w:type="pct"/>
                  <w:tcBorders>
                    <w:tl2br w:val="nil"/>
                    <w:tr2bl w:val="nil"/>
                  </w:tcBorders>
                  <w:vAlign w:val="center"/>
                </w:tcPr>
                <w:p>
                  <w:pPr>
                    <w:widowControl/>
                    <w:spacing w:before="31" w:after="31"/>
                    <w:jc w:val="center"/>
                    <w:rPr>
                      <w:color w:val="auto"/>
                      <w:kern w:val="0"/>
                      <w:szCs w:val="21"/>
                      <w:highlight w:val="none"/>
                    </w:rPr>
                  </w:pPr>
                  <w:r>
                    <w:rPr>
                      <w:color w:val="auto"/>
                      <w:kern w:val="0"/>
                      <w:szCs w:val="21"/>
                      <w:highlight w:val="none"/>
                    </w:rPr>
                    <w:t>废气</w:t>
                  </w:r>
                </w:p>
              </w:tc>
              <w:tc>
                <w:tcPr>
                  <w:tcW w:w="1864" w:type="pct"/>
                  <w:tcBorders>
                    <w:tl2br w:val="nil"/>
                    <w:tr2bl w:val="nil"/>
                  </w:tcBorders>
                  <w:vAlign w:val="center"/>
                </w:tcPr>
                <w:p>
                  <w:pPr>
                    <w:widowControl/>
                    <w:spacing w:before="31" w:after="31"/>
                    <w:jc w:val="center"/>
                    <w:rPr>
                      <w:color w:val="auto"/>
                      <w:kern w:val="0"/>
                      <w:szCs w:val="21"/>
                      <w:highlight w:val="none"/>
                    </w:rPr>
                  </w:pPr>
                  <w:r>
                    <w:rPr>
                      <w:color w:val="auto"/>
                      <w:kern w:val="0"/>
                      <w:szCs w:val="21"/>
                      <w:highlight w:val="none"/>
                    </w:rPr>
                    <w:t>《大气污染物综合排放标准》（GB16297-1996）表2</w:t>
                  </w:r>
                  <w:r>
                    <w:rPr>
                      <w:rFonts w:hint="eastAsia"/>
                      <w:color w:val="auto"/>
                      <w:kern w:val="0"/>
                      <w:szCs w:val="21"/>
                      <w:highlight w:val="none"/>
                    </w:rPr>
                    <w:t>标准</w:t>
                  </w:r>
                  <w:r>
                    <w:rPr>
                      <w:color w:val="auto"/>
                      <w:kern w:val="0"/>
                      <w:szCs w:val="21"/>
                      <w:highlight w:val="none"/>
                    </w:rPr>
                    <w:t>限值</w:t>
                  </w:r>
                </w:p>
              </w:tc>
              <w:tc>
                <w:tcPr>
                  <w:tcW w:w="928" w:type="pct"/>
                  <w:tcBorders>
                    <w:tl2br w:val="nil"/>
                    <w:tr2bl w:val="nil"/>
                  </w:tcBorders>
                  <w:vAlign w:val="center"/>
                </w:tcPr>
                <w:p>
                  <w:pPr>
                    <w:widowControl/>
                    <w:spacing w:before="31" w:after="31"/>
                    <w:jc w:val="center"/>
                    <w:rPr>
                      <w:color w:val="auto"/>
                      <w:kern w:val="0"/>
                      <w:szCs w:val="21"/>
                      <w:highlight w:val="none"/>
                    </w:rPr>
                  </w:pPr>
                  <w:r>
                    <w:rPr>
                      <w:color w:val="auto"/>
                      <w:kern w:val="0"/>
                      <w:szCs w:val="21"/>
                      <w:highlight w:val="none"/>
                    </w:rPr>
                    <w:t>颗粒物</w:t>
                  </w:r>
                </w:p>
              </w:tc>
              <w:tc>
                <w:tcPr>
                  <w:tcW w:w="1653" w:type="pct"/>
                  <w:tcBorders>
                    <w:tl2br w:val="nil"/>
                    <w:tr2bl w:val="nil"/>
                  </w:tcBorders>
                  <w:vAlign w:val="center"/>
                </w:tcPr>
                <w:p>
                  <w:pPr>
                    <w:widowControl/>
                    <w:spacing w:before="31" w:after="31"/>
                    <w:rPr>
                      <w:color w:val="auto"/>
                      <w:kern w:val="0"/>
                      <w:szCs w:val="21"/>
                      <w:highlight w:val="none"/>
                    </w:rPr>
                  </w:pPr>
                  <w:r>
                    <w:rPr>
                      <w:color w:val="auto"/>
                      <w:kern w:val="0"/>
                      <w:szCs w:val="21"/>
                      <w:highlight w:val="none"/>
                    </w:rPr>
                    <w:t>周界外浓度最高点1.0mg/m</w:t>
                  </w:r>
                  <w:r>
                    <w:rPr>
                      <w:color w:val="auto"/>
                      <w:kern w:val="0"/>
                      <w:szCs w:val="21"/>
                      <w:highlight w:val="none"/>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3" w:type="pct"/>
                  <w:vMerge w:val="restart"/>
                  <w:tcBorders>
                    <w:tl2br w:val="nil"/>
                    <w:tr2bl w:val="nil"/>
                  </w:tcBorders>
                  <w:vAlign w:val="center"/>
                </w:tcPr>
                <w:p>
                  <w:pPr>
                    <w:widowControl/>
                    <w:spacing w:before="31" w:after="31"/>
                    <w:jc w:val="center"/>
                    <w:rPr>
                      <w:color w:val="auto"/>
                      <w:kern w:val="0"/>
                      <w:szCs w:val="21"/>
                      <w:highlight w:val="none"/>
                    </w:rPr>
                  </w:pPr>
                  <w:r>
                    <w:rPr>
                      <w:color w:val="auto"/>
                      <w:kern w:val="0"/>
                      <w:szCs w:val="21"/>
                      <w:highlight w:val="none"/>
                    </w:rPr>
                    <w:t>噪声</w:t>
                  </w:r>
                </w:p>
              </w:tc>
              <w:tc>
                <w:tcPr>
                  <w:tcW w:w="1864" w:type="pct"/>
                  <w:vMerge w:val="restart"/>
                  <w:tcBorders>
                    <w:tl2br w:val="nil"/>
                    <w:tr2bl w:val="nil"/>
                  </w:tcBorders>
                  <w:vAlign w:val="center"/>
                </w:tcPr>
                <w:p>
                  <w:pPr>
                    <w:widowControl/>
                    <w:spacing w:before="31" w:after="31"/>
                    <w:jc w:val="center"/>
                    <w:rPr>
                      <w:color w:val="auto"/>
                      <w:kern w:val="0"/>
                      <w:szCs w:val="21"/>
                      <w:highlight w:val="none"/>
                    </w:rPr>
                  </w:pPr>
                  <w:r>
                    <w:rPr>
                      <w:color w:val="auto"/>
                      <w:kern w:val="0"/>
                      <w:szCs w:val="21"/>
                      <w:highlight w:val="none"/>
                    </w:rPr>
                    <w:t>《建筑施工场界环境噪声排放标准（GB12523-2011）</w:t>
                  </w:r>
                  <w:r>
                    <w:rPr>
                      <w:rFonts w:hint="eastAsia"/>
                      <w:color w:val="auto"/>
                      <w:kern w:val="0"/>
                      <w:szCs w:val="21"/>
                      <w:highlight w:val="none"/>
                    </w:rPr>
                    <w:t>》</w:t>
                  </w:r>
                </w:p>
              </w:tc>
              <w:tc>
                <w:tcPr>
                  <w:tcW w:w="928" w:type="pct"/>
                  <w:tcBorders>
                    <w:tl2br w:val="nil"/>
                    <w:tr2bl w:val="nil"/>
                  </w:tcBorders>
                  <w:vAlign w:val="center"/>
                </w:tcPr>
                <w:p>
                  <w:pPr>
                    <w:widowControl/>
                    <w:spacing w:before="31" w:after="31"/>
                    <w:jc w:val="center"/>
                    <w:rPr>
                      <w:color w:val="auto"/>
                      <w:kern w:val="0"/>
                      <w:szCs w:val="21"/>
                      <w:highlight w:val="none"/>
                    </w:rPr>
                  </w:pPr>
                  <w:r>
                    <w:rPr>
                      <w:color w:val="auto"/>
                      <w:kern w:val="0"/>
                      <w:szCs w:val="21"/>
                      <w:highlight w:val="none"/>
                    </w:rPr>
                    <w:t>昼间</w:t>
                  </w:r>
                </w:p>
              </w:tc>
              <w:tc>
                <w:tcPr>
                  <w:tcW w:w="1653" w:type="pct"/>
                  <w:tcBorders>
                    <w:tl2br w:val="nil"/>
                    <w:tr2bl w:val="nil"/>
                  </w:tcBorders>
                  <w:vAlign w:val="center"/>
                </w:tcPr>
                <w:p>
                  <w:pPr>
                    <w:widowControl/>
                    <w:spacing w:before="31" w:after="31"/>
                    <w:jc w:val="center"/>
                    <w:rPr>
                      <w:color w:val="auto"/>
                      <w:kern w:val="0"/>
                      <w:szCs w:val="21"/>
                      <w:highlight w:val="none"/>
                    </w:rPr>
                  </w:pPr>
                  <w:r>
                    <w:rPr>
                      <w:color w:val="auto"/>
                      <w:kern w:val="0"/>
                      <w:szCs w:val="21"/>
                      <w:highlight w:val="none"/>
                    </w:rPr>
                    <w:t>70dB（A）</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3" w:type="pct"/>
                  <w:vMerge w:val="continue"/>
                  <w:tcBorders>
                    <w:tl2br w:val="nil"/>
                    <w:tr2bl w:val="nil"/>
                  </w:tcBorders>
                  <w:vAlign w:val="center"/>
                </w:tcPr>
                <w:p>
                  <w:pPr>
                    <w:widowControl/>
                    <w:jc w:val="center"/>
                    <w:rPr>
                      <w:color w:val="auto"/>
                      <w:kern w:val="0"/>
                      <w:szCs w:val="21"/>
                      <w:highlight w:val="none"/>
                    </w:rPr>
                  </w:pPr>
                </w:p>
              </w:tc>
              <w:tc>
                <w:tcPr>
                  <w:tcW w:w="1864" w:type="pct"/>
                  <w:vMerge w:val="continue"/>
                  <w:tcBorders>
                    <w:tl2br w:val="nil"/>
                    <w:tr2bl w:val="nil"/>
                  </w:tcBorders>
                  <w:vAlign w:val="center"/>
                </w:tcPr>
                <w:p>
                  <w:pPr>
                    <w:widowControl/>
                    <w:jc w:val="center"/>
                    <w:rPr>
                      <w:color w:val="auto"/>
                      <w:kern w:val="0"/>
                      <w:szCs w:val="21"/>
                      <w:highlight w:val="none"/>
                    </w:rPr>
                  </w:pPr>
                </w:p>
              </w:tc>
              <w:tc>
                <w:tcPr>
                  <w:tcW w:w="928" w:type="pct"/>
                  <w:tcBorders>
                    <w:tl2br w:val="nil"/>
                    <w:tr2bl w:val="nil"/>
                  </w:tcBorders>
                  <w:vAlign w:val="center"/>
                </w:tcPr>
                <w:p>
                  <w:pPr>
                    <w:widowControl/>
                    <w:spacing w:before="31" w:after="31"/>
                    <w:jc w:val="center"/>
                    <w:rPr>
                      <w:color w:val="auto"/>
                      <w:kern w:val="0"/>
                      <w:szCs w:val="21"/>
                      <w:highlight w:val="none"/>
                    </w:rPr>
                  </w:pPr>
                  <w:r>
                    <w:rPr>
                      <w:color w:val="auto"/>
                      <w:kern w:val="0"/>
                      <w:szCs w:val="21"/>
                      <w:highlight w:val="none"/>
                    </w:rPr>
                    <w:t>夜间</w:t>
                  </w:r>
                </w:p>
              </w:tc>
              <w:tc>
                <w:tcPr>
                  <w:tcW w:w="1653" w:type="pct"/>
                  <w:tcBorders>
                    <w:tl2br w:val="nil"/>
                    <w:tr2bl w:val="nil"/>
                  </w:tcBorders>
                  <w:vAlign w:val="center"/>
                </w:tcPr>
                <w:p>
                  <w:pPr>
                    <w:widowControl/>
                    <w:spacing w:before="31" w:after="31"/>
                    <w:jc w:val="center"/>
                    <w:rPr>
                      <w:color w:val="auto"/>
                      <w:kern w:val="0"/>
                      <w:szCs w:val="21"/>
                      <w:highlight w:val="none"/>
                    </w:rPr>
                  </w:pPr>
                  <w:r>
                    <w:rPr>
                      <w:color w:val="auto"/>
                      <w:kern w:val="0"/>
                      <w:szCs w:val="21"/>
                      <w:highlight w:val="none"/>
                    </w:rPr>
                    <w:t>55dB（A）</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3" w:type="pct"/>
                  <w:tcBorders>
                    <w:tl2br w:val="nil"/>
                    <w:tr2bl w:val="nil"/>
                  </w:tcBorders>
                  <w:vAlign w:val="center"/>
                </w:tcPr>
                <w:p>
                  <w:pPr>
                    <w:widowControl/>
                    <w:jc w:val="center"/>
                    <w:rPr>
                      <w:bCs/>
                      <w:color w:val="auto"/>
                      <w:szCs w:val="21"/>
                      <w:highlight w:val="none"/>
                    </w:rPr>
                  </w:pPr>
                  <w:r>
                    <w:rPr>
                      <w:bCs/>
                      <w:color w:val="auto"/>
                      <w:szCs w:val="21"/>
                      <w:highlight w:val="none"/>
                    </w:rPr>
                    <w:t>建筑垃圾</w:t>
                  </w:r>
                </w:p>
              </w:tc>
              <w:tc>
                <w:tcPr>
                  <w:tcW w:w="4446" w:type="pct"/>
                  <w:gridSpan w:val="3"/>
                  <w:tcBorders>
                    <w:tl2br w:val="nil"/>
                    <w:tr2bl w:val="nil"/>
                  </w:tcBorders>
                  <w:vAlign w:val="center"/>
                </w:tcPr>
                <w:p>
                  <w:pPr>
                    <w:widowControl/>
                    <w:spacing w:before="31" w:after="31"/>
                    <w:rPr>
                      <w:color w:val="auto"/>
                      <w:kern w:val="0"/>
                      <w:szCs w:val="21"/>
                      <w:highlight w:val="none"/>
                    </w:rPr>
                  </w:pPr>
                  <w:r>
                    <w:rPr>
                      <w:rFonts w:hint="eastAsia"/>
                      <w:color w:val="auto"/>
                      <w:kern w:val="0"/>
                      <w:szCs w:val="21"/>
                      <w:highlight w:val="none"/>
                    </w:rPr>
                    <w:t>《一般工业固体废物贮存和填埋污染控制标准》（GB18599-2020）</w:t>
                  </w:r>
                </w:p>
              </w:tc>
            </w:tr>
          </w:tbl>
          <w:p>
            <w:pPr>
              <w:pStyle w:val="31"/>
              <w:rPr>
                <w:color w:val="auto"/>
                <w:highlight w:val="none"/>
              </w:rPr>
            </w:pPr>
          </w:p>
          <w:p>
            <w:pPr>
              <w:pStyle w:val="31"/>
              <w:rPr>
                <w:color w:val="auto"/>
                <w:highlight w:val="none"/>
              </w:rPr>
            </w:pPr>
            <w:r>
              <w:rPr>
                <w:rFonts w:hint="eastAsia"/>
                <w:color w:val="auto"/>
                <w:highlight w:val="none"/>
              </w:rPr>
              <w:t>3.3.2 运营期污染物排放标准</w:t>
            </w:r>
          </w:p>
          <w:p>
            <w:pPr>
              <w:pStyle w:val="37"/>
              <w:rPr>
                <w:color w:val="auto"/>
                <w:highlight w:val="none"/>
              </w:rPr>
            </w:pPr>
            <w:r>
              <w:rPr>
                <w:rFonts w:hint="eastAsia"/>
                <w:color w:val="auto"/>
                <w:highlight w:val="none"/>
              </w:rPr>
              <w:t>3</w:t>
            </w:r>
            <w:r>
              <w:rPr>
                <w:color w:val="auto"/>
                <w:highlight w:val="none"/>
              </w:rPr>
              <w:t>.</w:t>
            </w:r>
            <w:r>
              <w:rPr>
                <w:rFonts w:hint="eastAsia"/>
                <w:color w:val="auto"/>
                <w:highlight w:val="none"/>
              </w:rPr>
              <w:t>3.2.1</w:t>
            </w:r>
            <w:r>
              <w:rPr>
                <w:color w:val="auto"/>
                <w:highlight w:val="none"/>
              </w:rPr>
              <w:t>水污染物排放标准</w:t>
            </w:r>
            <w:bookmarkEnd w:id="10"/>
            <w:bookmarkEnd w:id="11"/>
          </w:p>
          <w:p>
            <w:pPr>
              <w:pStyle w:val="36"/>
              <w:ind w:firstLine="480"/>
              <w:rPr>
                <w:color w:val="auto"/>
                <w:highlight w:val="none"/>
              </w:rPr>
            </w:pPr>
            <w:bookmarkStart w:id="12" w:name="_Toc527299654"/>
            <w:bookmarkStart w:id="13" w:name="_Toc527299548"/>
            <w:r>
              <w:rPr>
                <w:rFonts w:hint="eastAsia"/>
                <w:color w:val="auto"/>
                <w:highlight w:val="none"/>
              </w:rPr>
              <w:t>实验室产生废水除去按照危险废物处理的高浓度实验废液，其余实验废水经酸碱中和池+消毒池+化粪池处理达标准后排入市政污水管网；生活污水中的食堂废水经隔油池处理后，与其余生活污水经化粪池处理后汇入市政污水管网，纳入大学城污水处理厂，经污水处理厂处理达标后排放。</w:t>
            </w:r>
          </w:p>
          <w:p>
            <w:pPr>
              <w:pStyle w:val="36"/>
              <w:ind w:firstLine="480"/>
              <w:rPr>
                <w:color w:val="auto"/>
                <w:highlight w:val="none"/>
              </w:rPr>
            </w:pPr>
            <w:r>
              <w:rPr>
                <w:rFonts w:hint="eastAsia"/>
                <w:color w:val="auto"/>
                <w:highlight w:val="none"/>
              </w:rPr>
              <w:t>项目污水排放口执行福州大学城污水处理厂的纳管标准，即符合福州大学城污水处理厂设计进水水质要求。福州大学城污水处理厂出水执行《城镇污水处理厂污染物排放标准》（GB18918-2002）一级 A 标准，具体详见下表。</w:t>
            </w:r>
          </w:p>
          <w:p>
            <w:pPr>
              <w:pStyle w:val="29"/>
              <w:rPr>
                <w:color w:val="auto"/>
                <w:highlight w:val="none"/>
              </w:rPr>
            </w:pPr>
            <w:r>
              <w:rPr>
                <w:rFonts w:hint="eastAsia"/>
                <w:color w:val="auto"/>
                <w:highlight w:val="none"/>
              </w:rPr>
              <w:t>表3.3.2 运营期废水排放标准表 单位：mg/L</w:t>
            </w:r>
          </w:p>
          <w:tbl>
            <w:tblPr>
              <w:tblStyle w:val="19"/>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362"/>
              <w:gridCol w:w="953"/>
              <w:gridCol w:w="953"/>
              <w:gridCol w:w="952"/>
              <w:gridCol w:w="952"/>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1" w:hRule="atLeast"/>
                <w:jc w:val="center"/>
              </w:trPr>
              <w:tc>
                <w:tcPr>
                  <w:tcW w:w="1996" w:type="pct"/>
                </w:tcPr>
                <w:p>
                  <w:pPr>
                    <w:pStyle w:val="40"/>
                    <w:rPr>
                      <w:color w:val="auto"/>
                      <w:highlight w:val="none"/>
                    </w:rPr>
                  </w:pPr>
                  <w:r>
                    <w:rPr>
                      <w:rFonts w:hint="eastAsia"/>
                      <w:color w:val="auto"/>
                      <w:highlight w:val="none"/>
                    </w:rPr>
                    <w:t>标准</w:t>
                  </w:r>
                </w:p>
              </w:tc>
              <w:tc>
                <w:tcPr>
                  <w:tcW w:w="566" w:type="pct"/>
                  <w:vAlign w:val="center"/>
                </w:tcPr>
                <w:p>
                  <w:pPr>
                    <w:pStyle w:val="40"/>
                    <w:rPr>
                      <w:color w:val="auto"/>
                      <w:highlight w:val="none"/>
                    </w:rPr>
                  </w:pPr>
                  <w:r>
                    <w:rPr>
                      <w:rFonts w:hint="eastAsia"/>
                      <w:color w:val="auto"/>
                      <w:highlight w:val="none"/>
                    </w:rPr>
                    <w:t>COD</w:t>
                  </w:r>
                </w:p>
              </w:tc>
              <w:tc>
                <w:tcPr>
                  <w:tcW w:w="566" w:type="pct"/>
                  <w:vAlign w:val="center"/>
                </w:tcPr>
                <w:p>
                  <w:pPr>
                    <w:pStyle w:val="40"/>
                    <w:rPr>
                      <w:color w:val="auto"/>
                      <w:highlight w:val="none"/>
                    </w:rPr>
                  </w:pPr>
                  <w:r>
                    <w:rPr>
                      <w:rFonts w:hint="eastAsia"/>
                      <w:color w:val="auto"/>
                      <w:highlight w:val="none"/>
                    </w:rPr>
                    <w:t>BOD</w:t>
                  </w:r>
                  <w:r>
                    <w:rPr>
                      <w:rFonts w:hint="eastAsia"/>
                      <w:color w:val="auto"/>
                      <w:highlight w:val="none"/>
                      <w:vertAlign w:val="subscript"/>
                    </w:rPr>
                    <w:t>5</w:t>
                  </w:r>
                </w:p>
              </w:tc>
              <w:tc>
                <w:tcPr>
                  <w:tcW w:w="566" w:type="pct"/>
                  <w:vAlign w:val="center"/>
                </w:tcPr>
                <w:p>
                  <w:pPr>
                    <w:pStyle w:val="40"/>
                    <w:rPr>
                      <w:color w:val="auto"/>
                      <w:highlight w:val="none"/>
                    </w:rPr>
                  </w:pPr>
                  <w:r>
                    <w:rPr>
                      <w:rFonts w:hint="eastAsia"/>
                      <w:color w:val="auto"/>
                      <w:highlight w:val="none"/>
                    </w:rPr>
                    <w:t>NH</w:t>
                  </w:r>
                  <w:r>
                    <w:rPr>
                      <w:rFonts w:hint="eastAsia"/>
                      <w:color w:val="auto"/>
                      <w:highlight w:val="none"/>
                      <w:vertAlign w:val="subscript"/>
                    </w:rPr>
                    <w:t>3</w:t>
                  </w:r>
                  <w:r>
                    <w:rPr>
                      <w:rFonts w:hint="eastAsia"/>
                      <w:color w:val="auto"/>
                      <w:highlight w:val="none"/>
                    </w:rPr>
                    <w:t>-N</w:t>
                  </w:r>
                </w:p>
              </w:tc>
              <w:tc>
                <w:tcPr>
                  <w:tcW w:w="566" w:type="pct"/>
                  <w:vAlign w:val="center"/>
                </w:tcPr>
                <w:p>
                  <w:pPr>
                    <w:pStyle w:val="40"/>
                    <w:rPr>
                      <w:color w:val="auto"/>
                      <w:highlight w:val="none"/>
                    </w:rPr>
                  </w:pPr>
                  <w:r>
                    <w:rPr>
                      <w:rFonts w:hint="eastAsia"/>
                      <w:color w:val="auto"/>
                      <w:highlight w:val="none"/>
                    </w:rPr>
                    <w:t>SS</w:t>
                  </w:r>
                </w:p>
              </w:tc>
              <w:tc>
                <w:tcPr>
                  <w:tcW w:w="593" w:type="pct"/>
                  <w:vAlign w:val="center"/>
                </w:tcPr>
                <w:p>
                  <w:pPr>
                    <w:pStyle w:val="40"/>
                    <w:rPr>
                      <w:color w:val="auto"/>
                      <w:highlight w:val="none"/>
                    </w:rPr>
                  </w:pPr>
                  <w:r>
                    <w:rPr>
                      <w:rFonts w:hint="eastAsia"/>
                      <w:color w:val="auto"/>
                      <w:highlight w:val="none"/>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1" w:hRule="atLeast"/>
                <w:jc w:val="center"/>
              </w:trPr>
              <w:tc>
                <w:tcPr>
                  <w:tcW w:w="1996" w:type="pct"/>
                </w:tcPr>
                <w:p>
                  <w:pPr>
                    <w:pStyle w:val="40"/>
                    <w:rPr>
                      <w:color w:val="auto"/>
                      <w:highlight w:val="none"/>
                    </w:rPr>
                  </w:pPr>
                  <w:r>
                    <w:rPr>
                      <w:color w:val="auto"/>
                      <w:highlight w:val="none"/>
                    </w:rPr>
                    <w:t>福州大学城污水处理厂的纳管标准</w:t>
                  </w:r>
                </w:p>
              </w:tc>
              <w:tc>
                <w:tcPr>
                  <w:tcW w:w="566" w:type="pct"/>
                  <w:vAlign w:val="center"/>
                </w:tcPr>
                <w:p>
                  <w:pPr>
                    <w:pStyle w:val="40"/>
                    <w:rPr>
                      <w:color w:val="auto"/>
                      <w:highlight w:val="none"/>
                    </w:rPr>
                  </w:pPr>
                  <w:r>
                    <w:rPr>
                      <w:rFonts w:hint="eastAsia"/>
                      <w:color w:val="auto"/>
                      <w:highlight w:val="none"/>
                    </w:rPr>
                    <w:t>240</w:t>
                  </w:r>
                </w:p>
              </w:tc>
              <w:tc>
                <w:tcPr>
                  <w:tcW w:w="566" w:type="pct"/>
                  <w:vAlign w:val="center"/>
                </w:tcPr>
                <w:p>
                  <w:pPr>
                    <w:pStyle w:val="40"/>
                    <w:rPr>
                      <w:color w:val="auto"/>
                      <w:highlight w:val="none"/>
                    </w:rPr>
                  </w:pPr>
                  <w:r>
                    <w:rPr>
                      <w:rFonts w:hint="eastAsia"/>
                      <w:color w:val="auto"/>
                      <w:highlight w:val="none"/>
                    </w:rPr>
                    <w:t>120</w:t>
                  </w:r>
                </w:p>
              </w:tc>
              <w:tc>
                <w:tcPr>
                  <w:tcW w:w="566" w:type="pct"/>
                  <w:vAlign w:val="center"/>
                </w:tcPr>
                <w:p>
                  <w:pPr>
                    <w:pStyle w:val="40"/>
                    <w:rPr>
                      <w:color w:val="auto"/>
                      <w:highlight w:val="none"/>
                    </w:rPr>
                  </w:pPr>
                  <w:r>
                    <w:rPr>
                      <w:rFonts w:hint="eastAsia"/>
                      <w:color w:val="auto"/>
                      <w:highlight w:val="none"/>
                    </w:rPr>
                    <w:t>30</w:t>
                  </w:r>
                </w:p>
              </w:tc>
              <w:tc>
                <w:tcPr>
                  <w:tcW w:w="566" w:type="pct"/>
                  <w:vAlign w:val="center"/>
                </w:tcPr>
                <w:p>
                  <w:pPr>
                    <w:pStyle w:val="40"/>
                    <w:rPr>
                      <w:color w:val="auto"/>
                      <w:highlight w:val="none"/>
                    </w:rPr>
                  </w:pPr>
                  <w:r>
                    <w:rPr>
                      <w:rFonts w:hint="eastAsia"/>
                      <w:color w:val="auto"/>
                      <w:highlight w:val="none"/>
                    </w:rPr>
                    <w:t>180</w:t>
                  </w:r>
                </w:p>
              </w:tc>
              <w:tc>
                <w:tcPr>
                  <w:tcW w:w="593" w:type="pct"/>
                  <w:vAlign w:val="center"/>
                </w:tcPr>
                <w:p>
                  <w:pPr>
                    <w:pStyle w:val="40"/>
                    <w:rPr>
                      <w:color w:val="auto"/>
                      <w:highlight w:val="none"/>
                    </w:rPr>
                  </w:pPr>
                  <w:r>
                    <w:rPr>
                      <w:rFonts w:hint="eastAsia"/>
                      <w:color w:val="auto"/>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1" w:hRule="atLeast"/>
                <w:jc w:val="center"/>
              </w:trPr>
              <w:tc>
                <w:tcPr>
                  <w:tcW w:w="1996" w:type="pct"/>
                </w:tcPr>
                <w:p>
                  <w:pPr>
                    <w:pStyle w:val="40"/>
                    <w:rPr>
                      <w:color w:val="auto"/>
                      <w:highlight w:val="none"/>
                    </w:rPr>
                  </w:pPr>
                  <w:r>
                    <w:rPr>
                      <w:rFonts w:hint="eastAsia"/>
                      <w:color w:val="auto"/>
                      <w:highlight w:val="none"/>
                    </w:rPr>
                    <w:t>《城镇污水处理厂污染物排放标准》（GB18918-2002）一级 A 标准</w:t>
                  </w:r>
                </w:p>
              </w:tc>
              <w:tc>
                <w:tcPr>
                  <w:tcW w:w="566" w:type="pct"/>
                  <w:vAlign w:val="center"/>
                </w:tcPr>
                <w:p>
                  <w:pPr>
                    <w:pStyle w:val="40"/>
                    <w:rPr>
                      <w:color w:val="auto"/>
                      <w:highlight w:val="none"/>
                    </w:rPr>
                  </w:pPr>
                  <w:r>
                    <w:rPr>
                      <w:rFonts w:hint="eastAsia"/>
                      <w:color w:val="auto"/>
                      <w:highlight w:val="none"/>
                    </w:rPr>
                    <w:t>50</w:t>
                  </w:r>
                </w:p>
              </w:tc>
              <w:tc>
                <w:tcPr>
                  <w:tcW w:w="566" w:type="pct"/>
                  <w:vAlign w:val="center"/>
                </w:tcPr>
                <w:p>
                  <w:pPr>
                    <w:pStyle w:val="40"/>
                    <w:rPr>
                      <w:color w:val="auto"/>
                      <w:highlight w:val="none"/>
                    </w:rPr>
                  </w:pPr>
                  <w:r>
                    <w:rPr>
                      <w:rFonts w:hint="eastAsia"/>
                      <w:color w:val="auto"/>
                      <w:highlight w:val="none"/>
                    </w:rPr>
                    <w:t>10</w:t>
                  </w:r>
                </w:p>
              </w:tc>
              <w:tc>
                <w:tcPr>
                  <w:tcW w:w="566" w:type="pct"/>
                  <w:vAlign w:val="center"/>
                </w:tcPr>
                <w:p>
                  <w:pPr>
                    <w:pStyle w:val="40"/>
                    <w:rPr>
                      <w:color w:val="auto"/>
                      <w:highlight w:val="none"/>
                    </w:rPr>
                  </w:pPr>
                  <w:r>
                    <w:rPr>
                      <w:rFonts w:hint="eastAsia"/>
                      <w:color w:val="auto"/>
                      <w:highlight w:val="none"/>
                    </w:rPr>
                    <w:t>5</w:t>
                  </w:r>
                </w:p>
              </w:tc>
              <w:tc>
                <w:tcPr>
                  <w:tcW w:w="566" w:type="pct"/>
                  <w:vAlign w:val="center"/>
                </w:tcPr>
                <w:p>
                  <w:pPr>
                    <w:pStyle w:val="40"/>
                    <w:rPr>
                      <w:color w:val="auto"/>
                      <w:highlight w:val="none"/>
                    </w:rPr>
                  </w:pPr>
                  <w:r>
                    <w:rPr>
                      <w:rFonts w:hint="eastAsia"/>
                      <w:color w:val="auto"/>
                      <w:highlight w:val="none"/>
                    </w:rPr>
                    <w:t>10</w:t>
                  </w:r>
                </w:p>
              </w:tc>
              <w:tc>
                <w:tcPr>
                  <w:tcW w:w="593" w:type="pct"/>
                  <w:vAlign w:val="center"/>
                </w:tcPr>
                <w:p>
                  <w:pPr>
                    <w:pStyle w:val="40"/>
                    <w:rPr>
                      <w:color w:val="auto"/>
                      <w:highlight w:val="none"/>
                    </w:rPr>
                  </w:pPr>
                  <w:r>
                    <w:rPr>
                      <w:rFonts w:hint="eastAsia"/>
                      <w:color w:val="auto"/>
                      <w:highlight w:val="none"/>
                    </w:rPr>
                    <w:t>1</w:t>
                  </w:r>
                </w:p>
              </w:tc>
            </w:tr>
          </w:tbl>
          <w:p>
            <w:pPr>
              <w:pStyle w:val="36"/>
              <w:ind w:firstLine="480"/>
              <w:rPr>
                <w:rFonts w:hAnsi="宋体"/>
                <w:color w:val="auto"/>
                <w:highlight w:val="none"/>
              </w:rPr>
            </w:pPr>
          </w:p>
          <w:p>
            <w:pPr>
              <w:pStyle w:val="37"/>
              <w:rPr>
                <w:color w:val="auto"/>
                <w:highlight w:val="none"/>
              </w:rPr>
            </w:pPr>
            <w:r>
              <w:rPr>
                <w:rFonts w:hint="eastAsia"/>
                <w:color w:val="auto"/>
                <w:highlight w:val="none"/>
              </w:rPr>
              <w:t>3.3.2.2  大气污染物排放标准</w:t>
            </w:r>
            <w:bookmarkEnd w:id="12"/>
            <w:bookmarkEnd w:id="13"/>
          </w:p>
          <w:p>
            <w:pPr>
              <w:pStyle w:val="36"/>
              <w:ind w:firstLine="480"/>
              <w:rPr>
                <w:color w:val="auto"/>
                <w:highlight w:val="none"/>
              </w:rPr>
            </w:pPr>
            <w:r>
              <w:rPr>
                <w:rFonts w:hint="eastAsia"/>
                <w:color w:val="auto"/>
                <w:highlight w:val="none"/>
              </w:rPr>
              <w:t>本项目实验室产生的非甲烷总烃有组织排放执行</w:t>
            </w:r>
            <w:r>
              <w:rPr>
                <w:color w:val="auto"/>
                <w:highlight w:val="none"/>
              </w:rPr>
              <w:t>《大气污染物综合排放标准》（GB16297-1996）</w:t>
            </w:r>
            <w:r>
              <w:rPr>
                <w:rFonts w:hint="eastAsia"/>
                <w:color w:val="auto"/>
                <w:highlight w:val="none"/>
              </w:rPr>
              <w:t>表2中标准限值。非甲烷总烃无组织执行</w:t>
            </w:r>
            <w:r>
              <w:rPr>
                <w:color w:val="auto"/>
                <w:highlight w:val="none"/>
              </w:rPr>
              <w:t>《大气污染物综合排放标准》（GB16297-1996）</w:t>
            </w:r>
            <w:r>
              <w:rPr>
                <w:rFonts w:hint="eastAsia"/>
                <w:color w:val="auto"/>
                <w:highlight w:val="none"/>
              </w:rPr>
              <w:t>表2中标准限值及</w:t>
            </w:r>
            <w:r>
              <w:rPr>
                <w:color w:val="auto"/>
                <w:highlight w:val="none"/>
              </w:rPr>
              <w:t>《挥发性有机物无组织排放控制标准》</w:t>
            </w:r>
            <w:r>
              <w:rPr>
                <w:rFonts w:hint="eastAsia"/>
                <w:color w:val="auto"/>
                <w:highlight w:val="none"/>
              </w:rPr>
              <w:t>（</w:t>
            </w:r>
            <w:r>
              <w:rPr>
                <w:color w:val="auto"/>
                <w:highlight w:val="none"/>
              </w:rPr>
              <w:t>GB 37822-2019</w:t>
            </w:r>
            <w:r>
              <w:rPr>
                <w:rFonts w:hint="eastAsia"/>
                <w:color w:val="auto"/>
                <w:highlight w:val="none"/>
              </w:rPr>
              <w:t>）</w:t>
            </w:r>
            <w:r>
              <w:rPr>
                <w:color w:val="auto"/>
                <w:highlight w:val="none"/>
              </w:rPr>
              <w:t>中附录A表A.1标准限值</w:t>
            </w:r>
            <w:r>
              <w:rPr>
                <w:rFonts w:hint="eastAsia"/>
                <w:color w:val="auto"/>
                <w:highlight w:val="none"/>
              </w:rPr>
              <w:t>中最严格限值。</w:t>
            </w:r>
          </w:p>
          <w:p>
            <w:pPr>
              <w:pStyle w:val="29"/>
              <w:rPr>
                <w:color w:val="auto"/>
                <w:highlight w:val="none"/>
              </w:rPr>
            </w:pPr>
            <w:r>
              <w:rPr>
                <w:color w:val="auto"/>
                <w:highlight w:val="none"/>
              </w:rPr>
              <w:t>表</w:t>
            </w:r>
            <w:r>
              <w:rPr>
                <w:rFonts w:hint="eastAsia"/>
                <w:color w:val="auto"/>
                <w:highlight w:val="none"/>
              </w:rPr>
              <w:t>3.3.3</w:t>
            </w:r>
            <w:r>
              <w:rPr>
                <w:color w:val="auto"/>
                <w:highlight w:val="none"/>
              </w:rPr>
              <w:t xml:space="preserve"> 项目废气排放标准一览表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155"/>
              <w:gridCol w:w="1570"/>
              <w:gridCol w:w="1411"/>
              <w:gridCol w:w="1180"/>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restart"/>
                  <w:vAlign w:val="center"/>
                </w:tcPr>
                <w:p>
                  <w:pPr>
                    <w:jc w:val="center"/>
                    <w:rPr>
                      <w:color w:val="auto"/>
                      <w:szCs w:val="21"/>
                      <w:highlight w:val="none"/>
                    </w:rPr>
                  </w:pPr>
                  <w:r>
                    <w:rPr>
                      <w:color w:val="auto"/>
                      <w:szCs w:val="21"/>
                      <w:highlight w:val="none"/>
                    </w:rPr>
                    <w:t>序号</w:t>
                  </w:r>
                </w:p>
              </w:tc>
              <w:tc>
                <w:tcPr>
                  <w:tcW w:w="1280" w:type="pct"/>
                  <w:vMerge w:val="restart"/>
                  <w:vAlign w:val="center"/>
                </w:tcPr>
                <w:p>
                  <w:pPr>
                    <w:jc w:val="center"/>
                    <w:rPr>
                      <w:color w:val="auto"/>
                      <w:szCs w:val="21"/>
                      <w:highlight w:val="none"/>
                    </w:rPr>
                  </w:pPr>
                  <w:r>
                    <w:rPr>
                      <w:color w:val="auto"/>
                      <w:szCs w:val="21"/>
                      <w:highlight w:val="none"/>
                    </w:rPr>
                    <w:t>污染物</w:t>
                  </w:r>
                </w:p>
              </w:tc>
              <w:tc>
                <w:tcPr>
                  <w:tcW w:w="933" w:type="pct"/>
                  <w:vMerge w:val="restart"/>
                  <w:vAlign w:val="center"/>
                </w:tcPr>
                <w:p>
                  <w:pPr>
                    <w:ind w:left="41"/>
                    <w:jc w:val="center"/>
                    <w:rPr>
                      <w:color w:val="auto"/>
                      <w:szCs w:val="21"/>
                      <w:highlight w:val="none"/>
                    </w:rPr>
                  </w:pPr>
                  <w:r>
                    <w:rPr>
                      <w:color w:val="auto"/>
                      <w:szCs w:val="21"/>
                      <w:highlight w:val="none"/>
                    </w:rPr>
                    <w:t>最高允许排放浓度mg/m</w:t>
                  </w:r>
                  <w:r>
                    <w:rPr>
                      <w:color w:val="auto"/>
                      <w:szCs w:val="21"/>
                      <w:highlight w:val="none"/>
                      <w:vertAlign w:val="superscript"/>
                    </w:rPr>
                    <w:t>3</w:t>
                  </w:r>
                </w:p>
              </w:tc>
              <w:tc>
                <w:tcPr>
                  <w:tcW w:w="1541" w:type="pct"/>
                  <w:gridSpan w:val="2"/>
                  <w:vAlign w:val="center"/>
                </w:tcPr>
                <w:p>
                  <w:pPr>
                    <w:ind w:left="41"/>
                    <w:jc w:val="center"/>
                    <w:rPr>
                      <w:color w:val="auto"/>
                      <w:szCs w:val="21"/>
                      <w:highlight w:val="none"/>
                    </w:rPr>
                  </w:pPr>
                  <w:r>
                    <w:rPr>
                      <w:color w:val="auto"/>
                      <w:szCs w:val="21"/>
                      <w:highlight w:val="none"/>
                    </w:rPr>
                    <w:t>最高允许排放速率，kg/h</w:t>
                  </w:r>
                </w:p>
              </w:tc>
              <w:tc>
                <w:tcPr>
                  <w:tcW w:w="790" w:type="pct"/>
                  <w:vMerge w:val="restart"/>
                  <w:vAlign w:val="center"/>
                </w:tcPr>
                <w:p>
                  <w:pPr>
                    <w:ind w:left="41"/>
                    <w:jc w:val="center"/>
                    <w:rPr>
                      <w:color w:val="auto"/>
                      <w:szCs w:val="21"/>
                      <w:highlight w:val="none"/>
                    </w:rPr>
                  </w:pPr>
                  <w:r>
                    <w:rPr>
                      <w:color w:val="auto"/>
                      <w:szCs w:val="21"/>
                      <w:highlight w:val="none"/>
                    </w:rPr>
                    <w:t>无组织监控浓度mg/m</w:t>
                  </w:r>
                  <w:r>
                    <w:rPr>
                      <w:color w:val="auto"/>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continue"/>
                  <w:vAlign w:val="center"/>
                </w:tcPr>
                <w:p>
                  <w:pPr>
                    <w:jc w:val="center"/>
                    <w:rPr>
                      <w:color w:val="auto"/>
                      <w:szCs w:val="21"/>
                      <w:highlight w:val="none"/>
                    </w:rPr>
                  </w:pPr>
                </w:p>
              </w:tc>
              <w:tc>
                <w:tcPr>
                  <w:tcW w:w="1280" w:type="pct"/>
                  <w:vMerge w:val="continue"/>
                  <w:vAlign w:val="center"/>
                </w:tcPr>
                <w:p>
                  <w:pPr>
                    <w:jc w:val="center"/>
                    <w:rPr>
                      <w:color w:val="auto"/>
                      <w:szCs w:val="21"/>
                      <w:highlight w:val="none"/>
                    </w:rPr>
                  </w:pPr>
                </w:p>
              </w:tc>
              <w:tc>
                <w:tcPr>
                  <w:tcW w:w="933" w:type="pct"/>
                  <w:vMerge w:val="continue"/>
                  <w:vAlign w:val="center"/>
                </w:tcPr>
                <w:p>
                  <w:pPr>
                    <w:ind w:left="41"/>
                    <w:jc w:val="center"/>
                    <w:rPr>
                      <w:color w:val="auto"/>
                      <w:szCs w:val="21"/>
                      <w:highlight w:val="none"/>
                    </w:rPr>
                  </w:pPr>
                </w:p>
              </w:tc>
              <w:tc>
                <w:tcPr>
                  <w:tcW w:w="839" w:type="pct"/>
                  <w:vAlign w:val="center"/>
                </w:tcPr>
                <w:p>
                  <w:pPr>
                    <w:ind w:left="41"/>
                    <w:jc w:val="center"/>
                    <w:rPr>
                      <w:color w:val="auto"/>
                      <w:szCs w:val="21"/>
                      <w:highlight w:val="none"/>
                    </w:rPr>
                  </w:pPr>
                  <w:r>
                    <w:rPr>
                      <w:color w:val="auto"/>
                      <w:szCs w:val="21"/>
                      <w:highlight w:val="none"/>
                    </w:rPr>
                    <w:t>排气筒高度m</w:t>
                  </w:r>
                </w:p>
              </w:tc>
              <w:tc>
                <w:tcPr>
                  <w:tcW w:w="702" w:type="pct"/>
                  <w:vAlign w:val="center"/>
                </w:tcPr>
                <w:p>
                  <w:pPr>
                    <w:ind w:left="41"/>
                    <w:jc w:val="center"/>
                    <w:rPr>
                      <w:color w:val="auto"/>
                      <w:szCs w:val="21"/>
                      <w:highlight w:val="none"/>
                    </w:rPr>
                  </w:pPr>
                  <w:r>
                    <w:rPr>
                      <w:color w:val="auto"/>
                      <w:szCs w:val="21"/>
                      <w:highlight w:val="none"/>
                    </w:rPr>
                    <w:t>二级</w:t>
                  </w:r>
                </w:p>
              </w:tc>
              <w:tc>
                <w:tcPr>
                  <w:tcW w:w="790" w:type="pct"/>
                  <w:vMerge w:val="continue"/>
                  <w:vAlign w:val="center"/>
                </w:tcPr>
                <w:p>
                  <w:pPr>
                    <w:ind w:left="41"/>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4" w:type="pct"/>
                  <w:vAlign w:val="center"/>
                </w:tcPr>
                <w:p>
                  <w:pPr>
                    <w:jc w:val="center"/>
                    <w:rPr>
                      <w:color w:val="auto"/>
                      <w:szCs w:val="21"/>
                      <w:highlight w:val="none"/>
                    </w:rPr>
                  </w:pPr>
                  <w:r>
                    <w:rPr>
                      <w:color w:val="auto"/>
                      <w:szCs w:val="21"/>
                      <w:highlight w:val="none"/>
                    </w:rPr>
                    <w:t>1</w:t>
                  </w:r>
                </w:p>
              </w:tc>
              <w:tc>
                <w:tcPr>
                  <w:tcW w:w="1280" w:type="pct"/>
                  <w:vAlign w:val="center"/>
                </w:tcPr>
                <w:p>
                  <w:pPr>
                    <w:jc w:val="center"/>
                    <w:rPr>
                      <w:color w:val="auto"/>
                      <w:szCs w:val="21"/>
                      <w:highlight w:val="none"/>
                    </w:rPr>
                  </w:pPr>
                  <w:r>
                    <w:rPr>
                      <w:rFonts w:hint="eastAsia"/>
                      <w:color w:val="auto"/>
                      <w:szCs w:val="21"/>
                      <w:highlight w:val="none"/>
                    </w:rPr>
                    <w:t>非甲烷总烃</w:t>
                  </w:r>
                </w:p>
              </w:tc>
              <w:tc>
                <w:tcPr>
                  <w:tcW w:w="933" w:type="pct"/>
                  <w:vAlign w:val="center"/>
                </w:tcPr>
                <w:p>
                  <w:pPr>
                    <w:ind w:left="41"/>
                    <w:jc w:val="center"/>
                    <w:rPr>
                      <w:rFonts w:eastAsia="黑体"/>
                      <w:b/>
                      <w:color w:val="auto"/>
                      <w:szCs w:val="21"/>
                      <w:highlight w:val="none"/>
                    </w:rPr>
                  </w:pPr>
                  <w:r>
                    <w:rPr>
                      <w:color w:val="auto"/>
                      <w:szCs w:val="21"/>
                      <w:highlight w:val="none"/>
                    </w:rPr>
                    <w:t>120</w:t>
                  </w:r>
                </w:p>
              </w:tc>
              <w:tc>
                <w:tcPr>
                  <w:tcW w:w="839" w:type="pct"/>
                  <w:vAlign w:val="center"/>
                </w:tcPr>
                <w:p>
                  <w:pPr>
                    <w:ind w:left="41"/>
                    <w:jc w:val="center"/>
                    <w:rPr>
                      <w:color w:val="auto"/>
                      <w:szCs w:val="21"/>
                      <w:highlight w:val="none"/>
                    </w:rPr>
                  </w:pPr>
                  <w:r>
                    <w:rPr>
                      <w:rFonts w:hint="eastAsia"/>
                      <w:color w:val="auto"/>
                      <w:szCs w:val="21"/>
                      <w:highlight w:val="none"/>
                    </w:rPr>
                    <w:t>45</w:t>
                  </w:r>
                </w:p>
              </w:tc>
              <w:tc>
                <w:tcPr>
                  <w:tcW w:w="702" w:type="pct"/>
                  <w:vAlign w:val="center"/>
                </w:tcPr>
                <w:p>
                  <w:pPr>
                    <w:ind w:left="41"/>
                    <w:jc w:val="center"/>
                    <w:rPr>
                      <w:color w:val="auto"/>
                      <w:szCs w:val="21"/>
                      <w:highlight w:val="none"/>
                    </w:rPr>
                  </w:pPr>
                  <w:r>
                    <w:rPr>
                      <w:rFonts w:hint="eastAsia"/>
                      <w:color w:val="auto"/>
                      <w:szCs w:val="21"/>
                      <w:highlight w:val="none"/>
                    </w:rPr>
                    <w:t>100</w:t>
                  </w:r>
                </w:p>
              </w:tc>
              <w:tc>
                <w:tcPr>
                  <w:tcW w:w="790" w:type="pct"/>
                  <w:vAlign w:val="center"/>
                </w:tcPr>
                <w:p>
                  <w:pPr>
                    <w:pStyle w:val="30"/>
                    <w:rPr>
                      <w:color w:val="auto"/>
                      <w:highlight w:val="none"/>
                    </w:rPr>
                  </w:pPr>
                  <w:r>
                    <w:rPr>
                      <w:rFonts w:hint="eastAsia"/>
                      <w:color w:val="auto"/>
                      <w:highlight w:val="none"/>
                    </w:rPr>
                    <w:t>厂界：4.0</w:t>
                  </w:r>
                </w:p>
                <w:p>
                  <w:pPr>
                    <w:pStyle w:val="30"/>
                    <w:rPr>
                      <w:color w:val="auto"/>
                      <w:highlight w:val="none"/>
                    </w:rPr>
                  </w:pPr>
                  <w:r>
                    <w:rPr>
                      <w:rFonts w:hint="eastAsia"/>
                      <w:color w:val="auto"/>
                      <w:highlight w:val="none"/>
                    </w:rPr>
                    <w:t>厂区内：6.0</w:t>
                  </w:r>
                </w:p>
              </w:tc>
            </w:tr>
          </w:tbl>
          <w:p>
            <w:pPr>
              <w:ind w:firstLine="482"/>
              <w:rPr>
                <w:color w:val="auto"/>
                <w:sz w:val="24"/>
                <w:highlight w:val="none"/>
              </w:rPr>
            </w:pPr>
          </w:p>
          <w:p>
            <w:pPr>
              <w:pStyle w:val="36"/>
              <w:ind w:firstLine="480"/>
              <w:rPr>
                <w:rFonts w:hint="default" w:eastAsia="宋体"/>
                <w:color w:val="auto"/>
                <w:highlight w:val="none"/>
                <w:lang w:val="en-US" w:eastAsia="zh-CN"/>
              </w:rPr>
            </w:pPr>
            <w:r>
              <w:rPr>
                <w:rFonts w:hint="eastAsia"/>
                <w:color w:val="auto"/>
                <w:highlight w:val="none"/>
                <w:lang w:eastAsia="zh-CN"/>
              </w:rPr>
              <w:t>厨房油烟执行《饮食业油烟排放标准（试行）》（</w:t>
            </w:r>
            <w:r>
              <w:rPr>
                <w:rFonts w:hint="eastAsia"/>
                <w:color w:val="auto"/>
                <w:highlight w:val="none"/>
                <w:lang w:val="en-US" w:eastAsia="zh-CN"/>
              </w:rPr>
              <w:t>GB18483-2001）中最高允许排放浓度限值，即2.0mg/m</w:t>
            </w:r>
            <w:r>
              <w:rPr>
                <w:rFonts w:hint="eastAsia"/>
                <w:color w:val="auto"/>
                <w:highlight w:val="none"/>
                <w:vertAlign w:val="superscript"/>
                <w:lang w:val="en-US" w:eastAsia="zh-CN"/>
              </w:rPr>
              <w:t>3</w:t>
            </w:r>
            <w:r>
              <w:rPr>
                <w:rFonts w:hint="eastAsia"/>
                <w:color w:val="auto"/>
                <w:highlight w:val="none"/>
                <w:lang w:val="en-US" w:eastAsia="zh-CN"/>
              </w:rPr>
              <w:t>。</w:t>
            </w:r>
          </w:p>
          <w:p>
            <w:pPr>
              <w:pStyle w:val="37"/>
              <w:rPr>
                <w:color w:val="auto"/>
                <w:highlight w:val="none"/>
              </w:rPr>
            </w:pPr>
            <w:r>
              <w:rPr>
                <w:rFonts w:hint="eastAsia"/>
                <w:color w:val="auto"/>
                <w:highlight w:val="none"/>
              </w:rPr>
              <w:t>3.3.2.3  厂界噪声排放标准</w:t>
            </w:r>
          </w:p>
          <w:p>
            <w:pPr>
              <w:pStyle w:val="39"/>
              <w:ind w:firstLine="480"/>
              <w:rPr>
                <w:rFonts w:ascii="Times New Roman" w:hAnsi="Times New Roman" w:cs="Times New Roman"/>
                <w:color w:val="auto"/>
                <w:highlight w:val="none"/>
              </w:rPr>
            </w:pPr>
            <w:r>
              <w:rPr>
                <w:rFonts w:ascii="Times New Roman" w:hAnsi="Times New Roman" w:cs="Times New Roman"/>
                <w:color w:val="auto"/>
                <w:highlight w:val="none"/>
              </w:rPr>
              <w:t>项目运营期</w:t>
            </w:r>
            <w:r>
              <w:rPr>
                <w:rFonts w:hint="eastAsia" w:ascii="Times New Roman" w:hAnsi="Times New Roman" w:cs="Times New Roman"/>
                <w:color w:val="auto"/>
                <w:highlight w:val="none"/>
              </w:rPr>
              <w:t>厂界</w:t>
            </w:r>
            <w:r>
              <w:rPr>
                <w:rFonts w:ascii="Times New Roman" w:hAnsi="Times New Roman" w:cs="Times New Roman"/>
                <w:color w:val="auto"/>
                <w:highlight w:val="none"/>
              </w:rPr>
              <w:t>噪声执行</w:t>
            </w:r>
            <w:r>
              <w:rPr>
                <w:rFonts w:hint="eastAsia" w:ascii="Times New Roman" w:hAnsi="Times New Roman" w:cs="Times New Roman"/>
                <w:color w:val="auto"/>
                <w:highlight w:val="none"/>
              </w:rPr>
              <w:t>《</w:t>
            </w:r>
            <w:r>
              <w:rPr>
                <w:rFonts w:ascii="Times New Roman" w:hAnsi="Times New Roman" w:cs="Times New Roman"/>
                <w:color w:val="auto"/>
                <w:highlight w:val="none"/>
              </w:rPr>
              <w:t>工业企业厂界环境噪声排放标准</w:t>
            </w:r>
            <w:r>
              <w:rPr>
                <w:rFonts w:hint="eastAsia" w:ascii="Times New Roman" w:hAnsi="Times New Roman" w:cs="Times New Roman"/>
                <w:color w:val="auto"/>
                <w:highlight w:val="none"/>
              </w:rPr>
              <w:t>》（</w:t>
            </w:r>
            <w:r>
              <w:rPr>
                <w:rFonts w:ascii="Times New Roman" w:hAnsi="Times New Roman" w:cs="Times New Roman"/>
                <w:color w:val="auto"/>
                <w:highlight w:val="none"/>
              </w:rPr>
              <w:t>GB12348-2008</w:t>
            </w:r>
            <w:r>
              <w:rPr>
                <w:rFonts w:hint="eastAsia" w:ascii="Times New Roman" w:hAnsi="Times New Roman" w:cs="Times New Roman"/>
                <w:color w:val="auto"/>
                <w:highlight w:val="none"/>
              </w:rPr>
              <w:t>）中1</w:t>
            </w:r>
            <w:r>
              <w:rPr>
                <w:rFonts w:ascii="Times New Roman" w:hAnsi="Times New Roman" w:cs="Times New Roman"/>
                <w:color w:val="auto"/>
                <w:highlight w:val="none"/>
              </w:rPr>
              <w:t>类标准，具体详见表</w:t>
            </w:r>
            <w:r>
              <w:rPr>
                <w:rFonts w:hint="eastAsia" w:ascii="Times New Roman" w:hAnsi="Times New Roman" w:cs="Times New Roman"/>
                <w:color w:val="auto"/>
                <w:highlight w:val="none"/>
              </w:rPr>
              <w:t>3.3.4</w:t>
            </w:r>
            <w:r>
              <w:rPr>
                <w:rFonts w:ascii="Times New Roman" w:hAnsi="Times New Roman" w:cs="Times New Roman"/>
                <w:color w:val="auto"/>
                <w:highlight w:val="none"/>
              </w:rPr>
              <w:t>。</w:t>
            </w:r>
          </w:p>
          <w:p>
            <w:pPr>
              <w:pStyle w:val="32"/>
              <w:rPr>
                <w:color w:val="auto"/>
                <w:highlight w:val="none"/>
              </w:rPr>
            </w:pPr>
            <w:r>
              <w:rPr>
                <w:rFonts w:hint="eastAsia"/>
                <w:color w:val="auto"/>
                <w:highlight w:val="none"/>
              </w:rPr>
              <w:t>表3.3.4  《工业企业厂界环境噪声排放标准》（GB12348-2008）  单位：dB(A)</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803"/>
              <w:gridCol w:w="2802"/>
              <w:gridCol w:w="2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1" w:hRule="atLeast"/>
                <w:jc w:val="center"/>
              </w:trPr>
              <w:tc>
                <w:tcPr>
                  <w:tcW w:w="1666" w:type="pct"/>
                </w:tcPr>
                <w:p>
                  <w:pPr>
                    <w:pStyle w:val="40"/>
                    <w:rPr>
                      <w:color w:val="auto"/>
                      <w:highlight w:val="none"/>
                    </w:rPr>
                  </w:pPr>
                  <w:r>
                    <w:rPr>
                      <w:color w:val="auto"/>
                      <w:highlight w:val="none"/>
                    </w:rPr>
                    <w:t>类别</w:t>
                  </w:r>
                </w:p>
              </w:tc>
              <w:tc>
                <w:tcPr>
                  <w:tcW w:w="1666" w:type="pct"/>
                  <w:vAlign w:val="center"/>
                </w:tcPr>
                <w:p>
                  <w:pPr>
                    <w:pStyle w:val="40"/>
                    <w:rPr>
                      <w:color w:val="auto"/>
                      <w:highlight w:val="none"/>
                    </w:rPr>
                  </w:pPr>
                  <w:r>
                    <w:rPr>
                      <w:color w:val="auto"/>
                      <w:highlight w:val="none"/>
                    </w:rPr>
                    <w:t>昼间</w:t>
                  </w:r>
                </w:p>
              </w:tc>
              <w:tc>
                <w:tcPr>
                  <w:tcW w:w="1667" w:type="pct"/>
                  <w:vAlign w:val="center"/>
                </w:tcPr>
                <w:p>
                  <w:pPr>
                    <w:pStyle w:val="40"/>
                    <w:rPr>
                      <w:color w:val="auto"/>
                      <w:highlight w:val="none"/>
                    </w:rPr>
                  </w:pPr>
                  <w:r>
                    <w:rPr>
                      <w:color w:val="auto"/>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1" w:hRule="atLeast"/>
                <w:jc w:val="center"/>
              </w:trPr>
              <w:tc>
                <w:tcPr>
                  <w:tcW w:w="1666" w:type="pct"/>
                </w:tcPr>
                <w:p>
                  <w:pPr>
                    <w:pStyle w:val="40"/>
                    <w:rPr>
                      <w:color w:val="auto"/>
                      <w:highlight w:val="none"/>
                    </w:rPr>
                  </w:pPr>
                  <w:r>
                    <w:rPr>
                      <w:rFonts w:hint="eastAsia"/>
                      <w:color w:val="auto"/>
                      <w:highlight w:val="none"/>
                    </w:rPr>
                    <w:t>1</w:t>
                  </w:r>
                  <w:r>
                    <w:rPr>
                      <w:color w:val="auto"/>
                      <w:highlight w:val="none"/>
                    </w:rPr>
                    <w:t>类</w:t>
                  </w:r>
                </w:p>
              </w:tc>
              <w:tc>
                <w:tcPr>
                  <w:tcW w:w="1666" w:type="pct"/>
                  <w:vAlign w:val="center"/>
                </w:tcPr>
                <w:p>
                  <w:pPr>
                    <w:pStyle w:val="40"/>
                    <w:rPr>
                      <w:color w:val="auto"/>
                      <w:highlight w:val="none"/>
                    </w:rPr>
                  </w:pPr>
                  <w:r>
                    <w:rPr>
                      <w:rFonts w:hint="eastAsia"/>
                      <w:color w:val="auto"/>
                      <w:highlight w:val="none"/>
                    </w:rPr>
                    <w:t>55</w:t>
                  </w:r>
                </w:p>
              </w:tc>
              <w:tc>
                <w:tcPr>
                  <w:tcW w:w="1667" w:type="pct"/>
                  <w:vAlign w:val="center"/>
                </w:tcPr>
                <w:p>
                  <w:pPr>
                    <w:pStyle w:val="40"/>
                    <w:rPr>
                      <w:color w:val="auto"/>
                      <w:highlight w:val="none"/>
                    </w:rPr>
                  </w:pPr>
                  <w:r>
                    <w:rPr>
                      <w:rFonts w:hint="eastAsia"/>
                      <w:color w:val="auto"/>
                      <w:highlight w:val="none"/>
                    </w:rPr>
                    <w:t>45</w:t>
                  </w:r>
                </w:p>
              </w:tc>
            </w:tr>
          </w:tbl>
          <w:p>
            <w:pPr>
              <w:pStyle w:val="45"/>
              <w:rPr>
                <w:rFonts w:eastAsia="宋体"/>
                <w:bCs/>
                <w:color w:val="auto"/>
                <w:sz w:val="24"/>
                <w:szCs w:val="24"/>
                <w:highlight w:val="none"/>
                <w:lang w:val="en-US"/>
              </w:rPr>
            </w:pPr>
            <w:bookmarkStart w:id="14" w:name="_Toc527299656"/>
            <w:bookmarkStart w:id="15" w:name="_Toc527299550"/>
          </w:p>
          <w:p>
            <w:pPr>
              <w:pStyle w:val="37"/>
              <w:rPr>
                <w:color w:val="auto"/>
                <w:highlight w:val="none"/>
              </w:rPr>
            </w:pPr>
            <w:r>
              <w:rPr>
                <w:rFonts w:hint="eastAsia"/>
                <w:color w:val="auto"/>
                <w:highlight w:val="none"/>
              </w:rPr>
              <w:t>3.3.2.4  固体废物</w:t>
            </w:r>
            <w:bookmarkEnd w:id="14"/>
            <w:bookmarkEnd w:id="15"/>
          </w:p>
          <w:p>
            <w:pPr>
              <w:pStyle w:val="39"/>
              <w:ind w:firstLine="480"/>
              <w:rPr>
                <w:rFonts w:ascii="Times New Roman" w:hAnsi="Times New Roman" w:cs="Times New Roman"/>
                <w:color w:val="auto"/>
                <w:highlight w:val="none"/>
              </w:rPr>
            </w:pPr>
            <w:r>
              <w:rPr>
                <w:rFonts w:hint="eastAsia" w:ascii="Times New Roman" w:hAnsi="Times New Roman" w:cs="Times New Roman"/>
                <w:color w:val="auto"/>
                <w:highlight w:val="none"/>
              </w:rPr>
              <w:t>本项目一般固体废物贮存执行《一般工业固体废物贮存和填埋污染控制标准》（GB 18599-2020）中有关规定。</w:t>
            </w:r>
          </w:p>
          <w:p>
            <w:pPr>
              <w:pStyle w:val="39"/>
              <w:ind w:firstLine="480"/>
              <w:rPr>
                <w:rFonts w:ascii="Times New Roman" w:hAnsi="Times New Roman" w:cs="Times New Roman"/>
                <w:color w:val="auto"/>
                <w:kern w:val="0"/>
                <w:szCs w:val="21"/>
                <w:highlight w:val="none"/>
              </w:rPr>
            </w:pPr>
            <w:r>
              <w:rPr>
                <w:rFonts w:hint="eastAsia" w:ascii="Times New Roman" w:hAnsi="Times New Roman" w:cs="Times New Roman"/>
                <w:color w:val="auto"/>
                <w:highlight w:val="none"/>
              </w:rPr>
              <w:t>危险废物贮存执行《危险废物贮存污染控制标准》（GB18597-20</w:t>
            </w:r>
            <w:r>
              <w:rPr>
                <w:rFonts w:hint="eastAsia" w:ascii="Times New Roman" w:hAnsi="Times New Roman" w:cs="Times New Roman"/>
                <w:color w:val="auto"/>
                <w:highlight w:val="none"/>
                <w:lang w:val="en-US" w:eastAsia="zh-CN"/>
              </w:rPr>
              <w:t>23</w:t>
            </w:r>
            <w:r>
              <w:rPr>
                <w:rFonts w:hint="eastAsia" w:ascii="Times New Roman" w:hAnsi="Times New Roman" w:cs="Times New Roman"/>
                <w:color w:val="auto"/>
                <w:highlight w:val="none"/>
              </w:rPr>
              <w:t>）中有关规定。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76" w:hRule="atLeast"/>
          <w:jc w:val="center"/>
        </w:trPr>
        <w:tc>
          <w:tcPr>
            <w:tcW w:w="424" w:type="dxa"/>
            <w:vAlign w:val="center"/>
          </w:tcPr>
          <w:p>
            <w:pPr>
              <w:adjustRightInd w:val="0"/>
              <w:snapToGrid w:val="0"/>
              <w:jc w:val="center"/>
              <w:rPr>
                <w:color w:val="auto"/>
                <w:kern w:val="0"/>
                <w:szCs w:val="21"/>
                <w:highlight w:val="none"/>
              </w:rPr>
            </w:pPr>
            <w:r>
              <w:rPr>
                <w:color w:val="auto"/>
                <w:kern w:val="0"/>
                <w:szCs w:val="21"/>
                <w:highlight w:val="none"/>
              </w:rPr>
              <w:t>总量</w:t>
            </w:r>
          </w:p>
          <w:p>
            <w:pPr>
              <w:adjustRightInd w:val="0"/>
              <w:snapToGrid w:val="0"/>
              <w:jc w:val="center"/>
              <w:rPr>
                <w:color w:val="auto"/>
                <w:kern w:val="0"/>
                <w:szCs w:val="21"/>
                <w:highlight w:val="none"/>
              </w:rPr>
            </w:pPr>
            <w:r>
              <w:rPr>
                <w:color w:val="auto"/>
                <w:kern w:val="0"/>
                <w:szCs w:val="21"/>
                <w:highlight w:val="none"/>
              </w:rPr>
              <w:t>控制</w:t>
            </w:r>
          </w:p>
          <w:p>
            <w:pPr>
              <w:adjustRightInd w:val="0"/>
              <w:snapToGrid w:val="0"/>
              <w:jc w:val="center"/>
              <w:rPr>
                <w:color w:val="auto"/>
                <w:kern w:val="0"/>
                <w:szCs w:val="21"/>
                <w:highlight w:val="none"/>
              </w:rPr>
            </w:pPr>
            <w:r>
              <w:rPr>
                <w:color w:val="auto"/>
                <w:kern w:val="0"/>
                <w:szCs w:val="21"/>
                <w:highlight w:val="none"/>
              </w:rPr>
              <w:t>指标</w:t>
            </w:r>
          </w:p>
        </w:tc>
        <w:tc>
          <w:tcPr>
            <w:tcW w:w="8637" w:type="dxa"/>
            <w:vAlign w:val="center"/>
          </w:tcPr>
          <w:p>
            <w:pPr>
              <w:pStyle w:val="36"/>
              <w:ind w:firstLine="480"/>
              <w:rPr>
                <w:color w:val="auto"/>
                <w:highlight w:val="none"/>
              </w:rPr>
            </w:pPr>
            <w:r>
              <w:rPr>
                <w:rFonts w:hint="eastAsia"/>
                <w:color w:val="auto"/>
                <w:highlight w:val="none"/>
              </w:rPr>
              <w:t xml:space="preserve">总量控制是我国环境保护管理工作的一项重要举措，而实行污染物排放总量是环境保护法律法规的要求，它不仅是促进经济结构战略性调整和经济增长方式根本性转变的有力措施，同时也是促进工业技术进步和管理水平的提高，做到环保与经济的相互促进。实施以环境容量为基础的排污总量控制制度是改善环境质量的根本手段。 </w:t>
            </w:r>
          </w:p>
          <w:p>
            <w:pPr>
              <w:pStyle w:val="36"/>
              <w:ind w:firstLine="480"/>
              <w:rPr>
                <w:color w:val="auto"/>
                <w:highlight w:val="none"/>
              </w:rPr>
            </w:pPr>
            <w:r>
              <w:rPr>
                <w:rFonts w:hint="eastAsia"/>
                <w:color w:val="auto"/>
                <w:highlight w:val="none"/>
              </w:rPr>
              <w:t>根据《福建省建设项目主要污染物总量指标管理办法（试行）》（闽环发</w:t>
            </w:r>
            <w:r>
              <w:rPr>
                <w:color w:val="auto"/>
                <w:highlight w:val="none"/>
              </w:rPr>
              <w:t>[2014]13</w:t>
            </w:r>
            <w:r>
              <w:rPr>
                <w:rFonts w:hint="eastAsia"/>
                <w:color w:val="auto"/>
                <w:highlight w:val="none"/>
              </w:rPr>
              <w:t>号）文件的要求，将实施</w:t>
            </w:r>
            <w:r>
              <w:rPr>
                <w:color w:val="auto"/>
                <w:highlight w:val="none"/>
              </w:rPr>
              <w:t>COD</w:t>
            </w:r>
            <w:r>
              <w:rPr>
                <w:rFonts w:hint="eastAsia"/>
                <w:color w:val="auto"/>
                <w:highlight w:val="none"/>
              </w:rPr>
              <w:t>、氨氮、</w:t>
            </w:r>
            <w:r>
              <w:rPr>
                <w:color w:val="auto"/>
                <w:highlight w:val="none"/>
              </w:rPr>
              <w:t>SO</w:t>
            </w:r>
            <w:r>
              <w:rPr>
                <w:color w:val="auto"/>
                <w:highlight w:val="none"/>
                <w:vertAlign w:val="subscript"/>
              </w:rPr>
              <w:t>2</w:t>
            </w:r>
            <w:r>
              <w:rPr>
                <w:rFonts w:hint="eastAsia"/>
                <w:color w:val="auto"/>
                <w:highlight w:val="none"/>
              </w:rPr>
              <w:t>、</w:t>
            </w:r>
            <w:r>
              <w:rPr>
                <w:color w:val="auto"/>
                <w:highlight w:val="none"/>
              </w:rPr>
              <w:t xml:space="preserve">NOx </w:t>
            </w:r>
            <w:r>
              <w:rPr>
                <w:rFonts w:hint="eastAsia"/>
                <w:color w:val="auto"/>
                <w:highlight w:val="none"/>
              </w:rPr>
              <w:t>四种主要污染物实行排放总量控制计划管理。本项目</w:t>
            </w:r>
            <w:r>
              <w:rPr>
                <w:rFonts w:hint="eastAsia"/>
                <w:color w:val="auto"/>
                <w:highlight w:val="none"/>
                <w:lang w:eastAsia="zh-CN"/>
              </w:rPr>
              <w:t>正常工况下不排放</w:t>
            </w:r>
            <w:r>
              <w:rPr>
                <w:color w:val="auto"/>
                <w:highlight w:val="none"/>
              </w:rPr>
              <w:t>SO</w:t>
            </w:r>
            <w:r>
              <w:rPr>
                <w:color w:val="auto"/>
                <w:highlight w:val="none"/>
                <w:vertAlign w:val="subscript"/>
              </w:rPr>
              <w:t>2</w:t>
            </w:r>
            <w:r>
              <w:rPr>
                <w:rFonts w:hint="eastAsia"/>
                <w:color w:val="auto"/>
                <w:highlight w:val="none"/>
              </w:rPr>
              <w:t>、</w:t>
            </w:r>
            <w:r>
              <w:rPr>
                <w:color w:val="auto"/>
                <w:highlight w:val="none"/>
              </w:rPr>
              <w:t>NOx</w:t>
            </w:r>
            <w:r>
              <w:rPr>
                <w:rFonts w:hint="eastAsia"/>
                <w:color w:val="auto"/>
                <w:highlight w:val="none"/>
              </w:rPr>
              <w:t>，项目综合污水经预处理后排入福州大学城污水处理厂处理，污水厂处理达一级</w:t>
            </w:r>
            <w:r>
              <w:rPr>
                <w:color w:val="auto"/>
                <w:highlight w:val="none"/>
              </w:rPr>
              <w:t>A</w:t>
            </w:r>
            <w:r>
              <w:rPr>
                <w:rFonts w:hint="eastAsia"/>
                <w:color w:val="auto"/>
                <w:highlight w:val="none"/>
              </w:rPr>
              <w:t>标准后的</w:t>
            </w:r>
            <w:r>
              <w:rPr>
                <w:color w:val="auto"/>
                <w:highlight w:val="none"/>
              </w:rPr>
              <w:t>COD</w:t>
            </w:r>
            <w:r>
              <w:rPr>
                <w:rFonts w:hint="eastAsia"/>
                <w:color w:val="auto"/>
                <w:highlight w:val="none"/>
              </w:rPr>
              <w:t>排放量为</w:t>
            </w:r>
            <w:r>
              <w:rPr>
                <w:rFonts w:hint="eastAsia"/>
                <w:color w:val="auto"/>
                <w:highlight w:val="none"/>
                <w:lang w:val="en-US" w:eastAsia="zh-CN"/>
              </w:rPr>
              <w:t>0.6312</w:t>
            </w:r>
            <w:r>
              <w:rPr>
                <w:color w:val="auto"/>
                <w:highlight w:val="none"/>
              </w:rPr>
              <w:t>t/a</w:t>
            </w:r>
            <w:r>
              <w:rPr>
                <w:rFonts w:hint="eastAsia"/>
                <w:color w:val="auto"/>
                <w:highlight w:val="none"/>
              </w:rPr>
              <w:t>，氨氮排放量为0.0</w:t>
            </w:r>
            <w:r>
              <w:rPr>
                <w:rFonts w:hint="eastAsia"/>
                <w:color w:val="auto"/>
                <w:highlight w:val="none"/>
                <w:lang w:val="en-US" w:eastAsia="zh-CN"/>
              </w:rPr>
              <w:t>631</w:t>
            </w:r>
            <w:r>
              <w:rPr>
                <w:color w:val="auto"/>
                <w:highlight w:val="none"/>
              </w:rPr>
              <w:t>t/a</w:t>
            </w:r>
            <w:r>
              <w:rPr>
                <w:rFonts w:hint="eastAsia"/>
                <w:color w:val="auto"/>
                <w:highlight w:val="none"/>
              </w:rPr>
              <w:t xml:space="preserve">，本项目污染物总量纳入福州大学城污水处理厂总量控制控制计划，由污水厂统一调配。 </w:t>
            </w:r>
          </w:p>
          <w:p>
            <w:pPr>
              <w:pStyle w:val="36"/>
              <w:ind w:firstLine="480"/>
              <w:rPr>
                <w:color w:val="auto"/>
                <w:highlight w:val="none"/>
              </w:rPr>
            </w:pPr>
            <w:r>
              <w:rPr>
                <w:rFonts w:hint="eastAsia"/>
                <w:color w:val="auto"/>
                <w:highlight w:val="none"/>
              </w:rPr>
              <w:t>根据《固定污染源排污许可分类管理名录（</w:t>
            </w:r>
            <w:r>
              <w:rPr>
                <w:color w:val="auto"/>
                <w:highlight w:val="none"/>
              </w:rPr>
              <w:t>2017</w:t>
            </w:r>
            <w:r>
              <w:rPr>
                <w:rFonts w:hint="eastAsia"/>
                <w:color w:val="auto"/>
                <w:highlight w:val="none"/>
              </w:rPr>
              <w:t>年版）》（部令第</w:t>
            </w:r>
            <w:r>
              <w:rPr>
                <w:color w:val="auto"/>
                <w:highlight w:val="none"/>
              </w:rPr>
              <w:t>45</w:t>
            </w:r>
            <w:r>
              <w:rPr>
                <w:rFonts w:hint="eastAsia"/>
                <w:color w:val="auto"/>
                <w:highlight w:val="none"/>
              </w:rPr>
              <w:t>号），并结合本项目的污染物排放特征，本项目不属于需要进行总量控制的行业。</w:t>
            </w:r>
          </w:p>
          <w:p>
            <w:pPr>
              <w:pStyle w:val="36"/>
              <w:ind w:firstLine="480"/>
              <w:rPr>
                <w:color w:val="auto"/>
                <w:kern w:val="0"/>
                <w:szCs w:val="21"/>
                <w:highlight w:val="none"/>
              </w:rPr>
            </w:pPr>
          </w:p>
        </w:tc>
      </w:tr>
    </w:tbl>
    <w:p>
      <w:pPr>
        <w:pStyle w:val="17"/>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bookmarkStart w:id="16" w:name="_Toc21904"/>
      <w:r>
        <w:rPr>
          <w:rFonts w:hint="eastAsia" w:ascii="黑体" w:hAnsi="黑体" w:eastAsia="黑体"/>
          <w:snapToGrid w:val="0"/>
          <w:color w:val="auto"/>
          <w:sz w:val="30"/>
          <w:szCs w:val="30"/>
          <w:highlight w:val="none"/>
        </w:rPr>
        <w:t>四、主要环境影响和保护措施</w:t>
      </w:r>
      <w:bookmarkEnd w:id="16"/>
    </w:p>
    <w:tbl>
      <w:tblPr>
        <w:tblStyle w:val="1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14" w:hRule="atLeast"/>
          <w:jc w:val="center"/>
        </w:trPr>
        <w:tc>
          <w:tcPr>
            <w:tcW w:w="746" w:type="dxa"/>
            <w:tcMar>
              <w:left w:w="28" w:type="dxa"/>
              <w:right w:w="28" w:type="dxa"/>
            </w:tcMar>
            <w:vAlign w:val="center"/>
          </w:tcPr>
          <w:p>
            <w:pPr>
              <w:pStyle w:val="17"/>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施工</w:t>
            </w:r>
          </w:p>
          <w:p>
            <w:pPr>
              <w:pStyle w:val="17"/>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期环</w:t>
            </w:r>
          </w:p>
          <w:p>
            <w:pPr>
              <w:pStyle w:val="17"/>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境保</w:t>
            </w:r>
          </w:p>
          <w:p>
            <w:pPr>
              <w:pStyle w:val="17"/>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护措</w:t>
            </w:r>
          </w:p>
          <w:p>
            <w:pPr>
              <w:pStyle w:val="17"/>
              <w:adjustRightInd w:val="0"/>
              <w:snapToGrid w:val="0"/>
              <w:spacing w:before="0" w:beforeAutospacing="0" w:after="0" w:afterAutospacing="0"/>
              <w:jc w:val="center"/>
              <w:rPr>
                <w:rFonts w:cs="宋体"/>
                <w:bCs/>
                <w:color w:val="auto"/>
                <w:kern w:val="2"/>
                <w:sz w:val="21"/>
                <w:szCs w:val="21"/>
                <w:highlight w:val="none"/>
              </w:rPr>
            </w:pPr>
            <w:r>
              <w:rPr>
                <w:rFonts w:hint="eastAsia" w:cs="宋体"/>
                <w:color w:val="auto"/>
                <w:kern w:val="2"/>
                <w:sz w:val="21"/>
                <w:szCs w:val="21"/>
                <w:highlight w:val="none"/>
              </w:rPr>
              <w:t>施</w:t>
            </w:r>
          </w:p>
        </w:tc>
        <w:tc>
          <w:tcPr>
            <w:tcW w:w="8162" w:type="dxa"/>
          </w:tcPr>
          <w:p>
            <w:pPr>
              <w:pStyle w:val="31"/>
              <w:rPr>
                <w:color w:val="auto"/>
                <w:highlight w:val="none"/>
              </w:rPr>
            </w:pPr>
            <w:r>
              <w:rPr>
                <w:rFonts w:hint="eastAsia"/>
                <w:color w:val="auto"/>
                <w:highlight w:val="none"/>
              </w:rPr>
              <w:t>4.1.1</w:t>
            </w:r>
            <w:r>
              <w:rPr>
                <w:color w:val="auto"/>
                <w:highlight w:val="none"/>
              </w:rPr>
              <w:t xml:space="preserve"> </w:t>
            </w:r>
            <w:r>
              <w:rPr>
                <w:rFonts w:hint="eastAsia"/>
                <w:color w:val="auto"/>
                <w:highlight w:val="none"/>
              </w:rPr>
              <w:t>施工期大气环境影响及保护措施</w:t>
            </w:r>
          </w:p>
          <w:p>
            <w:pPr>
              <w:pStyle w:val="37"/>
              <w:rPr>
                <w:color w:val="auto"/>
                <w:highlight w:val="none"/>
              </w:rPr>
            </w:pPr>
            <w:r>
              <w:rPr>
                <w:rFonts w:hint="eastAsia"/>
                <w:color w:val="auto"/>
                <w:highlight w:val="none"/>
              </w:rPr>
              <w:t>4.1.1.1 施工期大气环境影响</w:t>
            </w:r>
          </w:p>
          <w:p>
            <w:pPr>
              <w:pStyle w:val="36"/>
              <w:ind w:firstLine="480"/>
              <w:rPr>
                <w:color w:val="auto"/>
                <w:highlight w:val="none"/>
              </w:rPr>
            </w:pPr>
            <w:r>
              <w:rPr>
                <w:rFonts w:hint="eastAsia"/>
                <w:color w:val="auto"/>
                <w:highlight w:val="none"/>
              </w:rPr>
              <w:t>施工期大气污染物主要来源于施工扬尘，施工车辆、挖掘机等燃油燃烧时排放的SO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2</w:t>
            </w:r>
            <w:r>
              <w:rPr>
                <w:rFonts w:hint="eastAsia"/>
                <w:color w:val="auto"/>
                <w:highlight w:val="none"/>
              </w:rPr>
              <w:t>、CO、烃类等污染物，装修过程产生的废气，但最为突出的是施工扬尘。</w:t>
            </w:r>
          </w:p>
          <w:p>
            <w:pPr>
              <w:pStyle w:val="36"/>
              <w:ind w:firstLine="480"/>
              <w:rPr>
                <w:color w:val="auto"/>
                <w:highlight w:val="none"/>
              </w:rPr>
            </w:pPr>
            <w:r>
              <w:rPr>
                <w:rFonts w:hint="eastAsia"/>
                <w:color w:val="auto"/>
                <w:highlight w:val="none"/>
              </w:rPr>
              <w:t>①施工扬尘</w:t>
            </w:r>
          </w:p>
          <w:p>
            <w:pPr>
              <w:pStyle w:val="36"/>
              <w:ind w:firstLine="480"/>
              <w:rPr>
                <w:color w:val="auto"/>
                <w:highlight w:val="none"/>
              </w:rPr>
            </w:pPr>
            <w:r>
              <w:rPr>
                <w:rFonts w:hint="eastAsia"/>
                <w:color w:val="auto"/>
                <w:highlight w:val="none"/>
              </w:rPr>
              <w:t>对整个施工期而言，施工产生的扬尘主要集中在土建施工及管沟开挖阶段。施工产生的地面扬尘主要来自三个方面，一是来自土方的挖掘及现场堆放扬尘；二是来自建筑材料水泥、沙子等搬运和搅拌的扬尘；三是来自运输车辆引起的二次扬尘。</w:t>
            </w:r>
          </w:p>
          <w:p>
            <w:pPr>
              <w:pStyle w:val="36"/>
              <w:ind w:firstLine="480"/>
              <w:rPr>
                <w:color w:val="auto"/>
                <w:highlight w:val="none"/>
              </w:rPr>
            </w:pPr>
            <w:r>
              <w:rPr>
                <w:rFonts w:hint="eastAsia"/>
                <w:color w:val="auto"/>
                <w:highlight w:val="none"/>
              </w:rPr>
              <w:t>按起尘的原因可分为风力起尘和动力起尘。其中风力起尘主要来源露天堆放的建筑材料及裸露的施工区表层浮尘由于天气干燥及大风产生风力扬尘，包括土方及建筑材料堆放扬尘；动力起尘，主要是在模板拆装、建材的装卸等过程中，由于外力而产生的尘粒再悬浮而造成，包括土方挖掘、建筑材料搬运及运输车辆引起的二次扬尘。其中运输车辆引起的二次起尘较为严重。施工扬尘无组织排放，源强不易确定。</w:t>
            </w:r>
          </w:p>
          <w:p>
            <w:pPr>
              <w:pStyle w:val="36"/>
              <w:ind w:firstLine="480"/>
              <w:rPr>
                <w:color w:val="auto"/>
                <w:highlight w:val="none"/>
              </w:rPr>
            </w:pPr>
            <w:r>
              <w:rPr>
                <w:rFonts w:hint="eastAsia"/>
                <w:color w:val="auto"/>
                <w:highlight w:val="none"/>
              </w:rPr>
              <w:t>②施工机械、运输车辆排放的废气</w:t>
            </w:r>
          </w:p>
          <w:p>
            <w:pPr>
              <w:pStyle w:val="36"/>
              <w:ind w:firstLine="480"/>
              <w:rPr>
                <w:color w:val="auto"/>
                <w:highlight w:val="none"/>
              </w:rPr>
            </w:pPr>
            <w:r>
              <w:rPr>
                <w:rFonts w:hint="eastAsia"/>
                <w:color w:val="auto"/>
                <w:highlight w:val="none"/>
              </w:rPr>
              <w:t>在工程施工期间，使用液体燃料的施工机械及运输车辆的发动机排放的尾气中含有NO</w:t>
            </w:r>
            <w:r>
              <w:rPr>
                <w:rFonts w:hint="eastAsia"/>
                <w:color w:val="auto"/>
                <w:highlight w:val="none"/>
                <w:vertAlign w:val="subscript"/>
              </w:rPr>
              <w:t>2</w:t>
            </w:r>
            <w:r>
              <w:rPr>
                <w:rFonts w:hint="eastAsia"/>
                <w:color w:val="auto"/>
                <w:highlight w:val="none"/>
              </w:rPr>
              <w:t>、CO、烃类等污染物，一般情况下，各种污染物的排放量不大。</w:t>
            </w:r>
          </w:p>
          <w:p>
            <w:pPr>
              <w:pStyle w:val="36"/>
              <w:ind w:firstLine="480"/>
              <w:rPr>
                <w:color w:val="auto"/>
                <w:highlight w:val="none"/>
              </w:rPr>
            </w:pPr>
            <w:r>
              <w:rPr>
                <w:rFonts w:hint="eastAsia"/>
                <w:color w:val="auto"/>
                <w:highlight w:val="none"/>
              </w:rPr>
              <w:t>③装修期间产生的有机废气</w:t>
            </w:r>
          </w:p>
          <w:p>
            <w:pPr>
              <w:pStyle w:val="36"/>
              <w:ind w:firstLine="480"/>
              <w:rPr>
                <w:color w:val="auto"/>
                <w:highlight w:val="none"/>
              </w:rPr>
            </w:pPr>
            <w:r>
              <w:rPr>
                <w:rFonts w:hint="eastAsia"/>
                <w:color w:val="auto"/>
                <w:highlight w:val="none"/>
              </w:rPr>
              <w:t>项目生产辅助用房、办公楼装修施工阶段，处理墙面装饰吊顶、制造与涂漆家具、处理楼面等作业使用的黏合剂、涂料、油漆等材料中所含的有机溶剂挥发产生的有机废气。装修期间有机溶剂废气与使用的黏合剂、涂料、油漆等材料的种类、含量有关，故产生废气的种类和数量均难以确定，属于无组织排放。</w:t>
            </w:r>
          </w:p>
          <w:p>
            <w:pPr>
              <w:pStyle w:val="37"/>
              <w:rPr>
                <w:color w:val="auto"/>
                <w:highlight w:val="none"/>
              </w:rPr>
            </w:pPr>
            <w:r>
              <w:rPr>
                <w:rFonts w:hint="eastAsia"/>
                <w:color w:val="auto"/>
                <w:highlight w:val="none"/>
              </w:rPr>
              <w:t>4.1.1.2 施工期废气治理措施</w:t>
            </w:r>
          </w:p>
          <w:p>
            <w:pPr>
              <w:pStyle w:val="36"/>
              <w:ind w:firstLine="480"/>
              <w:rPr>
                <w:color w:val="auto"/>
                <w:highlight w:val="none"/>
              </w:rPr>
            </w:pPr>
            <w:r>
              <w:rPr>
                <w:color w:val="auto"/>
                <w:highlight w:val="none"/>
              </w:rPr>
              <w:t xml:space="preserve">（1）建筑场地扬尘控制措施 </w:t>
            </w:r>
          </w:p>
          <w:p>
            <w:pPr>
              <w:pStyle w:val="36"/>
              <w:ind w:firstLine="480"/>
              <w:rPr>
                <w:color w:val="auto"/>
                <w:highlight w:val="none"/>
              </w:rPr>
            </w:pPr>
            <w:r>
              <w:rPr>
                <w:color w:val="auto"/>
                <w:highlight w:val="none"/>
              </w:rPr>
              <w:t xml:space="preserve">在挖掘土方过程中要防止泥土干燥后扬尘产生，对土方要及时回填。施工单位要及时清除洒落地面的渣土，应当在施工现场周边设置围挡设施，实行封闭或者隔离施工，防止粉尘污染。 </w:t>
            </w:r>
          </w:p>
          <w:p>
            <w:pPr>
              <w:pStyle w:val="36"/>
              <w:ind w:firstLine="480"/>
              <w:rPr>
                <w:color w:val="auto"/>
                <w:highlight w:val="none"/>
              </w:rPr>
            </w:pPr>
            <w:r>
              <w:rPr>
                <w:color w:val="auto"/>
                <w:highlight w:val="none"/>
              </w:rPr>
              <w:t>装卸作业、清扫施工场地以及其他可能产生粉尘污染的施工，施工单位应当采取洒水、喷淋、覆盖、隔离等有效的防尘措施。建筑废土存放时应当采取封闭、覆盖及其他有效防尘措施。</w:t>
            </w:r>
            <w:r>
              <w:rPr>
                <w:rFonts w:hint="eastAsia"/>
                <w:color w:val="auto"/>
                <w:highlight w:val="none"/>
              </w:rPr>
              <w:t>在晴天起风时，应对开挖裸露处洒水、通过设挡风栅栏降低风速以</w:t>
            </w:r>
            <w:r>
              <w:rPr>
                <w:color w:val="auto"/>
                <w:highlight w:val="none"/>
              </w:rPr>
              <w:t>减少施工扬尘。</w:t>
            </w:r>
          </w:p>
          <w:p>
            <w:pPr>
              <w:pStyle w:val="36"/>
              <w:ind w:firstLine="480"/>
              <w:rPr>
                <w:color w:val="auto"/>
                <w:highlight w:val="none"/>
              </w:rPr>
            </w:pPr>
            <w:r>
              <w:rPr>
                <w:color w:val="auto"/>
                <w:highlight w:val="none"/>
              </w:rPr>
              <w:t xml:space="preserve">（2）运输扬尘控制措施 </w:t>
            </w:r>
          </w:p>
          <w:p>
            <w:pPr>
              <w:pStyle w:val="36"/>
              <w:ind w:firstLine="480"/>
              <w:rPr>
                <w:color w:val="auto"/>
                <w:highlight w:val="none"/>
              </w:rPr>
            </w:pPr>
            <w:r>
              <w:rPr>
                <w:color w:val="auto"/>
                <w:highlight w:val="none"/>
              </w:rPr>
              <w:t xml:space="preserve">运输车辆进入工地应选择合适的运输路线，对道路经常洒水和随时清扫渣土，可使运输扬尘有明显的减少。施工、运输车辆驶出工地前应当冲洗，不得将泥沙尘土带出工地。 </w:t>
            </w:r>
          </w:p>
          <w:p>
            <w:pPr>
              <w:pStyle w:val="36"/>
              <w:ind w:firstLine="480"/>
              <w:rPr>
                <w:color w:val="auto"/>
                <w:highlight w:val="none"/>
              </w:rPr>
            </w:pPr>
            <w:r>
              <w:rPr>
                <w:color w:val="auto"/>
                <w:highlight w:val="none"/>
              </w:rPr>
              <w:t>（</w:t>
            </w:r>
            <w:r>
              <w:rPr>
                <w:rFonts w:hint="eastAsia"/>
                <w:color w:val="auto"/>
                <w:highlight w:val="none"/>
              </w:rPr>
              <w:t>3</w:t>
            </w:r>
            <w:r>
              <w:rPr>
                <w:color w:val="auto"/>
                <w:highlight w:val="none"/>
              </w:rPr>
              <w:t xml:space="preserve">）施工机械废气控制措施 </w:t>
            </w:r>
          </w:p>
          <w:p>
            <w:pPr>
              <w:pStyle w:val="36"/>
              <w:ind w:firstLine="480"/>
              <w:rPr>
                <w:color w:val="auto"/>
                <w:highlight w:val="none"/>
              </w:rPr>
            </w:pPr>
            <w:r>
              <w:rPr>
                <w:color w:val="auto"/>
                <w:highlight w:val="none"/>
              </w:rPr>
              <w:t>加强施工机械的使用管理，使施工机械处于良好工作状态，并合理降低同时使用次数，提高使用效率，以减轻废气对环境空气质量的影响。</w:t>
            </w:r>
          </w:p>
          <w:p>
            <w:pPr>
              <w:pStyle w:val="36"/>
              <w:ind w:firstLine="480"/>
              <w:rPr>
                <w:color w:val="auto"/>
                <w:highlight w:val="none"/>
              </w:rPr>
            </w:pPr>
            <w:r>
              <w:rPr>
                <w:rFonts w:hint="eastAsia"/>
                <w:color w:val="auto"/>
                <w:highlight w:val="none"/>
              </w:rPr>
              <w:t>综上，经过上述措施后施工期所产生的废气不会对周围大气环境造成太大影响，且施工是暂时的，施工废气随着施工的结束而消失。</w:t>
            </w:r>
          </w:p>
          <w:p>
            <w:pPr>
              <w:pStyle w:val="31"/>
              <w:rPr>
                <w:color w:val="auto"/>
                <w:highlight w:val="none"/>
              </w:rPr>
            </w:pPr>
            <w:r>
              <w:rPr>
                <w:rFonts w:hint="eastAsia"/>
                <w:color w:val="auto"/>
                <w:highlight w:val="none"/>
              </w:rPr>
              <w:t>4.1.2施工期水环境影响分析及保护措施</w:t>
            </w:r>
          </w:p>
          <w:p>
            <w:pPr>
              <w:pStyle w:val="37"/>
              <w:rPr>
                <w:color w:val="auto"/>
                <w:highlight w:val="none"/>
              </w:rPr>
            </w:pPr>
            <w:r>
              <w:rPr>
                <w:rFonts w:hint="eastAsia"/>
                <w:color w:val="auto"/>
                <w:highlight w:val="none"/>
              </w:rPr>
              <w:t>4.1.2.1 施工期水环境影响</w:t>
            </w:r>
          </w:p>
          <w:p>
            <w:pPr>
              <w:pStyle w:val="36"/>
              <w:ind w:firstLine="480"/>
              <w:rPr>
                <w:color w:val="auto"/>
                <w:highlight w:val="none"/>
              </w:rPr>
            </w:pPr>
            <w:r>
              <w:rPr>
                <w:rFonts w:hint="eastAsia"/>
                <w:color w:val="auto"/>
                <w:highlight w:val="none"/>
              </w:rPr>
              <w:t>施工期废水主要为施工废水及施工人员生活污水。</w:t>
            </w:r>
          </w:p>
          <w:p>
            <w:pPr>
              <w:pStyle w:val="36"/>
              <w:ind w:firstLine="480"/>
              <w:rPr>
                <w:color w:val="auto"/>
                <w:highlight w:val="none"/>
              </w:rPr>
            </w:pPr>
            <w:r>
              <w:rPr>
                <w:rFonts w:hint="eastAsia"/>
                <w:color w:val="auto"/>
                <w:highlight w:val="none"/>
              </w:rPr>
              <w:t>①施工废水：本工程施工期生产性废水主要有：施工作业过程中泥浆水、雨水冲刷场地等形成的施工污水。机械设备及运输车辆主要废水来自施工作业过程中的跑、冒、滴、漏及运输车辆和机械冲洗，该类废水量较小，主要污染物为SS、石油类。施工地表开挖后，大量表土裸露，雨水冲刷将产生污水，该类污水砂土、悬浮物含量较高，其水量与雨量大小、雨期长短有关，存在无规则、间断性排放等特点，故其排放量难以确定。</w:t>
            </w:r>
          </w:p>
          <w:p>
            <w:pPr>
              <w:pStyle w:val="36"/>
              <w:ind w:firstLine="480"/>
              <w:rPr>
                <w:color w:val="auto"/>
                <w:highlight w:val="none"/>
              </w:rPr>
            </w:pPr>
            <w:r>
              <w:rPr>
                <w:rFonts w:hint="eastAsia"/>
                <w:color w:val="auto"/>
                <w:highlight w:val="none"/>
              </w:rPr>
              <w:t>②生活污水</w:t>
            </w:r>
          </w:p>
          <w:p>
            <w:pPr>
              <w:pStyle w:val="36"/>
              <w:ind w:firstLine="480"/>
              <w:rPr>
                <w:color w:val="auto"/>
                <w:highlight w:val="none"/>
              </w:rPr>
            </w:pPr>
            <w:r>
              <w:rPr>
                <w:rFonts w:hint="eastAsia"/>
                <w:color w:val="auto"/>
                <w:highlight w:val="none"/>
              </w:rPr>
              <w:t>本项目施工人员约50人，根据《建筑给水排水设计规范》（GB50015-2003），施工人员生活用水标准取50L/（人·天），污水排放系数取0.8，则本项目施工人员生活污水排放量约2t/d。本项目施工期生活污水污染物产生量见表。</w:t>
            </w:r>
          </w:p>
          <w:p>
            <w:pPr>
              <w:pStyle w:val="29"/>
              <w:rPr>
                <w:bCs/>
                <w:color w:val="auto"/>
                <w:szCs w:val="21"/>
                <w:highlight w:val="none"/>
              </w:rPr>
            </w:pPr>
            <w:r>
              <w:rPr>
                <w:rFonts w:hint="eastAsia"/>
                <w:color w:val="auto"/>
                <w:highlight w:val="none"/>
              </w:rPr>
              <w:t>表4.1.1 施工人员生活污水产生情况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2366"/>
              <w:gridCol w:w="996"/>
              <w:gridCol w:w="1049"/>
              <w:gridCol w:w="1073"/>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350" w:type="pct"/>
                  <w:gridSpan w:val="2"/>
                  <w:tcBorders>
                    <w:tl2br w:val="nil"/>
                    <w:tr2bl w:val="nil"/>
                  </w:tcBorders>
                  <w:vAlign w:val="center"/>
                </w:tcPr>
                <w:p>
                  <w:pPr>
                    <w:pStyle w:val="30"/>
                    <w:rPr>
                      <w:color w:val="auto"/>
                      <w:highlight w:val="none"/>
                    </w:rPr>
                  </w:pPr>
                  <w:r>
                    <w:rPr>
                      <w:color w:val="auto"/>
                      <w:highlight w:val="none"/>
                    </w:rPr>
                    <w:t>类 别</w:t>
                  </w:r>
                </w:p>
              </w:tc>
              <w:tc>
                <w:tcPr>
                  <w:tcW w:w="628" w:type="pct"/>
                  <w:tcBorders>
                    <w:tl2br w:val="nil"/>
                    <w:tr2bl w:val="nil"/>
                  </w:tcBorders>
                  <w:vAlign w:val="center"/>
                </w:tcPr>
                <w:p>
                  <w:pPr>
                    <w:pStyle w:val="30"/>
                    <w:rPr>
                      <w:color w:val="auto"/>
                      <w:highlight w:val="none"/>
                    </w:rPr>
                  </w:pPr>
                  <w:r>
                    <w:rPr>
                      <w:color w:val="auto"/>
                      <w:highlight w:val="none"/>
                    </w:rPr>
                    <w:t>COD</w:t>
                  </w:r>
                </w:p>
              </w:tc>
              <w:tc>
                <w:tcPr>
                  <w:tcW w:w="661" w:type="pct"/>
                  <w:tcBorders>
                    <w:tl2br w:val="nil"/>
                    <w:tr2bl w:val="nil"/>
                  </w:tcBorders>
                  <w:vAlign w:val="center"/>
                </w:tcPr>
                <w:p>
                  <w:pPr>
                    <w:pStyle w:val="30"/>
                    <w:rPr>
                      <w:color w:val="auto"/>
                      <w:highlight w:val="none"/>
                    </w:rPr>
                  </w:pPr>
                  <w:r>
                    <w:rPr>
                      <w:color w:val="auto"/>
                      <w:highlight w:val="none"/>
                    </w:rPr>
                    <w:t>BOD</w:t>
                  </w:r>
                  <w:r>
                    <w:rPr>
                      <w:color w:val="auto"/>
                      <w:highlight w:val="none"/>
                      <w:vertAlign w:val="subscript"/>
                    </w:rPr>
                    <w:t>5</w:t>
                  </w:r>
                </w:p>
              </w:tc>
              <w:tc>
                <w:tcPr>
                  <w:tcW w:w="676" w:type="pct"/>
                  <w:tcBorders>
                    <w:tl2br w:val="nil"/>
                    <w:tr2bl w:val="nil"/>
                  </w:tcBorders>
                  <w:vAlign w:val="center"/>
                </w:tcPr>
                <w:p>
                  <w:pPr>
                    <w:pStyle w:val="30"/>
                    <w:rPr>
                      <w:color w:val="auto"/>
                      <w:highlight w:val="none"/>
                    </w:rPr>
                  </w:pPr>
                  <w:r>
                    <w:rPr>
                      <w:color w:val="auto"/>
                      <w:highlight w:val="none"/>
                    </w:rPr>
                    <w:t>SS</w:t>
                  </w:r>
                </w:p>
              </w:tc>
              <w:tc>
                <w:tcPr>
                  <w:tcW w:w="682" w:type="pct"/>
                  <w:tcBorders>
                    <w:tl2br w:val="nil"/>
                    <w:tr2bl w:val="nil"/>
                  </w:tcBorders>
                  <w:vAlign w:val="center"/>
                </w:tcPr>
                <w:p>
                  <w:pPr>
                    <w:pStyle w:val="30"/>
                    <w:rPr>
                      <w:color w:val="auto"/>
                      <w:highlight w:val="none"/>
                    </w:rPr>
                  </w:pPr>
                  <w:r>
                    <w:rPr>
                      <w:color w:val="auto"/>
                      <w:highlight w:val="none"/>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0" w:type="pct"/>
                  <w:vMerge w:val="restart"/>
                  <w:tcBorders>
                    <w:tl2br w:val="nil"/>
                    <w:tr2bl w:val="nil"/>
                  </w:tcBorders>
                  <w:vAlign w:val="center"/>
                </w:tcPr>
                <w:p>
                  <w:pPr>
                    <w:pStyle w:val="30"/>
                    <w:rPr>
                      <w:color w:val="auto"/>
                      <w:highlight w:val="none"/>
                    </w:rPr>
                  </w:pPr>
                  <w:r>
                    <w:rPr>
                      <w:color w:val="auto"/>
                      <w:highlight w:val="none"/>
                    </w:rPr>
                    <w:t>生活污水</w:t>
                  </w:r>
                </w:p>
                <w:p>
                  <w:pPr>
                    <w:pStyle w:val="30"/>
                    <w:rPr>
                      <w:color w:val="auto"/>
                      <w:highlight w:val="none"/>
                    </w:rPr>
                  </w:pPr>
                  <w:r>
                    <w:rPr>
                      <w:color w:val="auto"/>
                      <w:highlight w:val="none"/>
                    </w:rPr>
                    <w:t>（</w:t>
                  </w:r>
                  <w:r>
                    <w:rPr>
                      <w:rFonts w:hint="eastAsia"/>
                      <w:color w:val="auto"/>
                      <w:highlight w:val="none"/>
                    </w:rPr>
                    <w:t>2</w:t>
                  </w:r>
                  <w:r>
                    <w:rPr>
                      <w:color w:val="auto"/>
                      <w:highlight w:val="none"/>
                    </w:rPr>
                    <w:t>t/d）</w:t>
                  </w:r>
                </w:p>
              </w:tc>
              <w:tc>
                <w:tcPr>
                  <w:tcW w:w="1490" w:type="pct"/>
                  <w:tcBorders>
                    <w:tl2br w:val="nil"/>
                    <w:tr2bl w:val="nil"/>
                  </w:tcBorders>
                  <w:vAlign w:val="center"/>
                </w:tcPr>
                <w:p>
                  <w:pPr>
                    <w:pStyle w:val="30"/>
                    <w:rPr>
                      <w:color w:val="auto"/>
                      <w:highlight w:val="none"/>
                    </w:rPr>
                  </w:pPr>
                  <w:r>
                    <w:rPr>
                      <w:color w:val="auto"/>
                      <w:highlight w:val="none"/>
                    </w:rPr>
                    <w:t>原始浓度（mg/L）</w:t>
                  </w:r>
                </w:p>
              </w:tc>
              <w:tc>
                <w:tcPr>
                  <w:tcW w:w="628" w:type="pct"/>
                  <w:tcBorders>
                    <w:tl2br w:val="nil"/>
                    <w:tr2bl w:val="nil"/>
                  </w:tcBorders>
                  <w:vAlign w:val="center"/>
                </w:tcPr>
                <w:p>
                  <w:pPr>
                    <w:pStyle w:val="30"/>
                    <w:rPr>
                      <w:color w:val="auto"/>
                      <w:highlight w:val="none"/>
                    </w:rPr>
                  </w:pPr>
                  <w:r>
                    <w:rPr>
                      <w:color w:val="auto"/>
                      <w:highlight w:val="none"/>
                    </w:rPr>
                    <w:t>400</w:t>
                  </w:r>
                </w:p>
              </w:tc>
              <w:tc>
                <w:tcPr>
                  <w:tcW w:w="661" w:type="pct"/>
                  <w:tcBorders>
                    <w:tl2br w:val="nil"/>
                    <w:tr2bl w:val="nil"/>
                  </w:tcBorders>
                  <w:vAlign w:val="center"/>
                </w:tcPr>
                <w:p>
                  <w:pPr>
                    <w:pStyle w:val="30"/>
                    <w:rPr>
                      <w:color w:val="auto"/>
                      <w:highlight w:val="none"/>
                    </w:rPr>
                  </w:pPr>
                  <w:r>
                    <w:rPr>
                      <w:color w:val="auto"/>
                      <w:highlight w:val="none"/>
                    </w:rPr>
                    <w:t>200</w:t>
                  </w:r>
                </w:p>
              </w:tc>
              <w:tc>
                <w:tcPr>
                  <w:tcW w:w="676" w:type="pct"/>
                  <w:tcBorders>
                    <w:tl2br w:val="nil"/>
                    <w:tr2bl w:val="nil"/>
                  </w:tcBorders>
                  <w:vAlign w:val="center"/>
                </w:tcPr>
                <w:p>
                  <w:pPr>
                    <w:pStyle w:val="30"/>
                    <w:rPr>
                      <w:color w:val="auto"/>
                      <w:highlight w:val="none"/>
                    </w:rPr>
                  </w:pPr>
                  <w:r>
                    <w:rPr>
                      <w:color w:val="auto"/>
                      <w:highlight w:val="none"/>
                    </w:rPr>
                    <w:t>220</w:t>
                  </w:r>
                </w:p>
              </w:tc>
              <w:tc>
                <w:tcPr>
                  <w:tcW w:w="682" w:type="pct"/>
                  <w:tcBorders>
                    <w:tl2br w:val="nil"/>
                    <w:tr2bl w:val="nil"/>
                  </w:tcBorders>
                  <w:vAlign w:val="center"/>
                </w:tcPr>
                <w:p>
                  <w:pPr>
                    <w:pStyle w:val="30"/>
                    <w:rPr>
                      <w:color w:val="auto"/>
                      <w:highlight w:val="none"/>
                    </w:rPr>
                  </w:pPr>
                  <w:r>
                    <w:rPr>
                      <w:color w:val="auto"/>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60" w:type="pct"/>
                  <w:vMerge w:val="continue"/>
                  <w:tcBorders>
                    <w:tl2br w:val="nil"/>
                    <w:tr2bl w:val="nil"/>
                  </w:tcBorders>
                  <w:vAlign w:val="center"/>
                </w:tcPr>
                <w:p>
                  <w:pPr>
                    <w:pStyle w:val="30"/>
                    <w:rPr>
                      <w:color w:val="auto"/>
                      <w:highlight w:val="none"/>
                    </w:rPr>
                  </w:pPr>
                </w:p>
              </w:tc>
              <w:tc>
                <w:tcPr>
                  <w:tcW w:w="1490" w:type="pct"/>
                  <w:tcBorders>
                    <w:tl2br w:val="nil"/>
                    <w:tr2bl w:val="nil"/>
                  </w:tcBorders>
                  <w:vAlign w:val="center"/>
                </w:tcPr>
                <w:p>
                  <w:pPr>
                    <w:pStyle w:val="30"/>
                    <w:rPr>
                      <w:color w:val="auto"/>
                      <w:highlight w:val="none"/>
                    </w:rPr>
                  </w:pPr>
                  <w:r>
                    <w:rPr>
                      <w:color w:val="auto"/>
                      <w:highlight w:val="none"/>
                    </w:rPr>
                    <w:t>污染物产生量（kg/d）</w:t>
                  </w:r>
                </w:p>
              </w:tc>
              <w:tc>
                <w:tcPr>
                  <w:tcW w:w="628" w:type="pct"/>
                  <w:tcBorders>
                    <w:tl2br w:val="nil"/>
                    <w:tr2bl w:val="nil"/>
                  </w:tcBorders>
                  <w:vAlign w:val="center"/>
                </w:tcPr>
                <w:p>
                  <w:pPr>
                    <w:pStyle w:val="30"/>
                    <w:rPr>
                      <w:color w:val="auto"/>
                      <w:highlight w:val="none"/>
                    </w:rPr>
                  </w:pPr>
                  <w:r>
                    <w:rPr>
                      <w:rFonts w:hint="eastAsia"/>
                      <w:color w:val="auto"/>
                      <w:highlight w:val="none"/>
                    </w:rPr>
                    <w:t>0.8</w:t>
                  </w:r>
                </w:p>
              </w:tc>
              <w:tc>
                <w:tcPr>
                  <w:tcW w:w="661" w:type="pct"/>
                  <w:tcBorders>
                    <w:tl2br w:val="nil"/>
                    <w:tr2bl w:val="nil"/>
                  </w:tcBorders>
                  <w:vAlign w:val="center"/>
                </w:tcPr>
                <w:p>
                  <w:pPr>
                    <w:pStyle w:val="30"/>
                    <w:rPr>
                      <w:color w:val="auto"/>
                      <w:highlight w:val="none"/>
                    </w:rPr>
                  </w:pPr>
                  <w:r>
                    <w:rPr>
                      <w:color w:val="auto"/>
                      <w:highlight w:val="none"/>
                    </w:rPr>
                    <w:t xml:space="preserve">0. </w:t>
                  </w:r>
                  <w:r>
                    <w:rPr>
                      <w:rFonts w:hint="eastAsia"/>
                      <w:color w:val="auto"/>
                      <w:highlight w:val="none"/>
                    </w:rPr>
                    <w:t>4</w:t>
                  </w:r>
                </w:p>
              </w:tc>
              <w:tc>
                <w:tcPr>
                  <w:tcW w:w="676" w:type="pct"/>
                  <w:tcBorders>
                    <w:tl2br w:val="nil"/>
                    <w:tr2bl w:val="nil"/>
                  </w:tcBorders>
                  <w:vAlign w:val="center"/>
                </w:tcPr>
                <w:p>
                  <w:pPr>
                    <w:pStyle w:val="30"/>
                    <w:rPr>
                      <w:color w:val="auto"/>
                      <w:highlight w:val="none"/>
                    </w:rPr>
                  </w:pPr>
                  <w:r>
                    <w:rPr>
                      <w:color w:val="auto"/>
                      <w:highlight w:val="none"/>
                    </w:rPr>
                    <w:t xml:space="preserve">0. </w:t>
                  </w:r>
                  <w:r>
                    <w:rPr>
                      <w:rFonts w:hint="eastAsia"/>
                      <w:color w:val="auto"/>
                      <w:highlight w:val="none"/>
                    </w:rPr>
                    <w:t>44</w:t>
                  </w:r>
                </w:p>
              </w:tc>
              <w:tc>
                <w:tcPr>
                  <w:tcW w:w="682" w:type="pct"/>
                  <w:tcBorders>
                    <w:tl2br w:val="nil"/>
                    <w:tr2bl w:val="nil"/>
                  </w:tcBorders>
                  <w:vAlign w:val="center"/>
                </w:tcPr>
                <w:p>
                  <w:pPr>
                    <w:pStyle w:val="30"/>
                    <w:rPr>
                      <w:color w:val="auto"/>
                      <w:highlight w:val="none"/>
                    </w:rPr>
                  </w:pPr>
                  <w:r>
                    <w:rPr>
                      <w:color w:val="auto"/>
                      <w:highlight w:val="none"/>
                    </w:rPr>
                    <w:t>0.</w:t>
                  </w:r>
                  <w:r>
                    <w:rPr>
                      <w:rFonts w:hint="eastAsia"/>
                      <w:color w:val="auto"/>
                      <w:highlight w:val="none"/>
                    </w:rPr>
                    <w:t>08</w:t>
                  </w:r>
                </w:p>
              </w:tc>
            </w:tr>
          </w:tbl>
          <w:p>
            <w:pPr>
              <w:ind w:firstLine="422" w:firstLineChars="200"/>
              <w:rPr>
                <w:b/>
                <w:bCs/>
                <w:color w:val="auto"/>
                <w:highlight w:val="none"/>
              </w:rPr>
            </w:pPr>
          </w:p>
          <w:p>
            <w:pPr>
              <w:pStyle w:val="37"/>
              <w:rPr>
                <w:color w:val="auto"/>
                <w:highlight w:val="none"/>
              </w:rPr>
            </w:pPr>
            <w:r>
              <w:rPr>
                <w:rFonts w:hint="eastAsia"/>
                <w:color w:val="auto"/>
                <w:highlight w:val="none"/>
              </w:rPr>
              <w:t>4.1.2.2 废水治理措施</w:t>
            </w:r>
          </w:p>
          <w:p>
            <w:pPr>
              <w:pStyle w:val="36"/>
              <w:ind w:firstLine="480"/>
              <w:rPr>
                <w:color w:val="auto"/>
                <w:highlight w:val="none"/>
              </w:rPr>
            </w:pPr>
            <w:r>
              <w:rPr>
                <w:color w:val="auto"/>
                <w:highlight w:val="none"/>
              </w:rPr>
              <w:t xml:space="preserve">（1）施工场地应设置简易隔油池、沉淀池对施工废水进行隔油沉淀处理后尽可能回用，不能回用的部分，需处理后用于场地喷洒防尘，不外排。 </w:t>
            </w:r>
          </w:p>
          <w:p>
            <w:pPr>
              <w:pStyle w:val="36"/>
              <w:ind w:firstLine="480"/>
              <w:rPr>
                <w:color w:val="auto"/>
                <w:highlight w:val="none"/>
              </w:rPr>
            </w:pPr>
            <w:r>
              <w:rPr>
                <w:color w:val="auto"/>
                <w:highlight w:val="none"/>
              </w:rPr>
              <w:t>（2）施工人员的生活污水</w:t>
            </w:r>
            <w:r>
              <w:rPr>
                <w:rFonts w:hint="eastAsia"/>
                <w:color w:val="auto"/>
                <w:highlight w:val="none"/>
              </w:rPr>
              <w:t>依托居民生活设施及公厕预处理后</w:t>
            </w:r>
            <w:r>
              <w:rPr>
                <w:color w:val="auto"/>
                <w:highlight w:val="none"/>
              </w:rPr>
              <w:t>纳入市政管</w:t>
            </w:r>
            <w:r>
              <w:rPr>
                <w:rFonts w:hint="eastAsia"/>
                <w:color w:val="auto"/>
                <w:highlight w:val="none"/>
              </w:rPr>
              <w:t>网</w:t>
            </w:r>
            <w:r>
              <w:rPr>
                <w:color w:val="auto"/>
                <w:highlight w:val="none"/>
              </w:rPr>
              <w:t xml:space="preserve">。 </w:t>
            </w:r>
          </w:p>
          <w:p>
            <w:pPr>
              <w:pStyle w:val="36"/>
              <w:ind w:firstLine="480"/>
              <w:rPr>
                <w:color w:val="auto"/>
                <w:highlight w:val="none"/>
              </w:rPr>
            </w:pPr>
            <w:r>
              <w:rPr>
                <w:color w:val="auto"/>
                <w:highlight w:val="none"/>
              </w:rPr>
              <w:t xml:space="preserve">（3）严格施工管理、文明施工，加强对机器设备维护和保养，防止发生漏油现象。 </w:t>
            </w:r>
          </w:p>
          <w:p>
            <w:pPr>
              <w:pStyle w:val="36"/>
              <w:ind w:firstLine="480"/>
              <w:rPr>
                <w:color w:val="auto"/>
                <w:highlight w:val="none"/>
              </w:rPr>
            </w:pPr>
            <w:r>
              <w:rPr>
                <w:color w:val="auto"/>
                <w:highlight w:val="none"/>
              </w:rPr>
              <w:t>（4）土石方布设施工应尽量避开雨天，开挖的泥沙应及时回填压实，避免沙土因雨水冲刷造成水土流失。</w:t>
            </w:r>
          </w:p>
          <w:p>
            <w:pPr>
              <w:pStyle w:val="36"/>
              <w:ind w:firstLine="480"/>
              <w:rPr>
                <w:color w:val="auto"/>
                <w:highlight w:val="none"/>
              </w:rPr>
            </w:pPr>
            <w:r>
              <w:rPr>
                <w:rFonts w:hint="eastAsia"/>
                <w:color w:val="auto"/>
                <w:highlight w:val="none"/>
              </w:rPr>
              <w:t>经过上述措施后，施工气所产生的废水能得到妥善处理，不会对周围水环境造成影响。</w:t>
            </w:r>
          </w:p>
          <w:p>
            <w:pPr>
              <w:pStyle w:val="31"/>
              <w:rPr>
                <w:color w:val="auto"/>
                <w:highlight w:val="none"/>
              </w:rPr>
            </w:pPr>
            <w:r>
              <w:rPr>
                <w:rFonts w:hint="eastAsia"/>
                <w:color w:val="auto"/>
                <w:highlight w:val="none"/>
              </w:rPr>
              <w:t>4.1.3</w:t>
            </w:r>
            <w:r>
              <w:rPr>
                <w:color w:val="auto"/>
                <w:highlight w:val="none"/>
              </w:rPr>
              <w:t xml:space="preserve"> </w:t>
            </w:r>
            <w:r>
              <w:rPr>
                <w:rFonts w:hint="eastAsia"/>
                <w:color w:val="auto"/>
                <w:highlight w:val="none"/>
              </w:rPr>
              <w:t>施工期声环境影响分析及保护措施</w:t>
            </w:r>
          </w:p>
          <w:p>
            <w:pPr>
              <w:pStyle w:val="37"/>
              <w:rPr>
                <w:color w:val="auto"/>
                <w:highlight w:val="none"/>
              </w:rPr>
            </w:pPr>
            <w:r>
              <w:rPr>
                <w:rFonts w:hint="eastAsia"/>
                <w:color w:val="auto"/>
                <w:highlight w:val="none"/>
              </w:rPr>
              <w:t>4.1.3.1 施工期声环境影响</w:t>
            </w:r>
          </w:p>
          <w:p>
            <w:pPr>
              <w:pStyle w:val="36"/>
              <w:ind w:firstLine="480"/>
              <w:rPr>
                <w:color w:val="auto"/>
                <w:highlight w:val="none"/>
              </w:rPr>
            </w:pPr>
            <w:r>
              <w:rPr>
                <w:rFonts w:hint="eastAsia"/>
                <w:color w:val="auto"/>
                <w:highlight w:val="none"/>
              </w:rPr>
              <w:t>噪声主要来自建筑施工及机械安装过程。前期开挖土方时挖掘机及装载车产生的噪声，建筑施工阶段起重机、振动棒产生的噪声以及机械安装过程中冲击钻等产生的噪声。建设期间产生的噪声具有阶段性、临时性和不固定性。根据福建省生态环境厅（原福建省环保厅）闽环保总队【2006】4号文中“福建省建筑施工噪声类比监测数据一览表（试行）”中相关数据，各主要机械设备的A计权噪声级见下表。</w:t>
            </w:r>
          </w:p>
          <w:p>
            <w:pPr>
              <w:pStyle w:val="29"/>
              <w:rPr>
                <w:color w:val="auto"/>
                <w:highlight w:val="none"/>
              </w:rPr>
            </w:pPr>
            <w:r>
              <w:rPr>
                <w:color w:val="auto"/>
                <w:highlight w:val="none"/>
              </w:rPr>
              <w:t>表</w:t>
            </w:r>
            <w:r>
              <w:rPr>
                <w:rFonts w:hint="eastAsia"/>
                <w:color w:val="auto"/>
                <w:highlight w:val="none"/>
              </w:rPr>
              <w:t xml:space="preserve">4.1.2 </w:t>
            </w:r>
            <w:r>
              <w:rPr>
                <w:color w:val="auto"/>
                <w:highlight w:val="none"/>
              </w:rPr>
              <w:t>施工机械设备的噪声值  单位：dB（A）</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1984"/>
              <w:gridCol w:w="1983"/>
              <w:gridCol w:w="1983"/>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12" w:hRule="atLeast"/>
                <w:jc w:val="center"/>
              </w:trPr>
              <w:tc>
                <w:tcPr>
                  <w:tcW w:w="1250" w:type="pct"/>
                  <w:tcBorders>
                    <w:tl2br w:val="nil"/>
                    <w:tr2bl w:val="nil"/>
                  </w:tcBorders>
                  <w:vAlign w:val="center"/>
                </w:tcPr>
                <w:p>
                  <w:pPr>
                    <w:pStyle w:val="30"/>
                    <w:rPr>
                      <w:color w:val="auto"/>
                      <w:highlight w:val="none"/>
                    </w:rPr>
                  </w:pPr>
                  <w:r>
                    <w:rPr>
                      <w:color w:val="auto"/>
                      <w:highlight w:val="none"/>
                    </w:rPr>
                    <w:t>施工阶段</w:t>
                  </w:r>
                </w:p>
              </w:tc>
              <w:tc>
                <w:tcPr>
                  <w:tcW w:w="1250" w:type="pct"/>
                  <w:tcBorders>
                    <w:tl2br w:val="nil"/>
                    <w:tr2bl w:val="nil"/>
                  </w:tcBorders>
                  <w:vAlign w:val="center"/>
                </w:tcPr>
                <w:p>
                  <w:pPr>
                    <w:pStyle w:val="30"/>
                    <w:rPr>
                      <w:color w:val="auto"/>
                      <w:highlight w:val="none"/>
                    </w:rPr>
                  </w:pPr>
                  <w:r>
                    <w:rPr>
                      <w:color w:val="auto"/>
                      <w:highlight w:val="none"/>
                    </w:rPr>
                    <w:t>施工设备</w:t>
                  </w:r>
                </w:p>
              </w:tc>
              <w:tc>
                <w:tcPr>
                  <w:tcW w:w="1250" w:type="pct"/>
                  <w:tcBorders>
                    <w:tl2br w:val="nil"/>
                    <w:tr2bl w:val="nil"/>
                  </w:tcBorders>
                  <w:vAlign w:val="center"/>
                </w:tcPr>
                <w:p>
                  <w:pPr>
                    <w:pStyle w:val="30"/>
                    <w:rPr>
                      <w:color w:val="auto"/>
                      <w:highlight w:val="none"/>
                    </w:rPr>
                  </w:pPr>
                  <w:r>
                    <w:rPr>
                      <w:color w:val="auto"/>
                      <w:highlight w:val="none"/>
                    </w:rPr>
                    <w:t>测点与设备距离(m)</w:t>
                  </w:r>
                </w:p>
              </w:tc>
              <w:tc>
                <w:tcPr>
                  <w:tcW w:w="1250" w:type="pct"/>
                  <w:tcBorders>
                    <w:tl2br w:val="nil"/>
                    <w:tr2bl w:val="nil"/>
                  </w:tcBorders>
                  <w:vAlign w:val="center"/>
                </w:tcPr>
                <w:p>
                  <w:pPr>
                    <w:pStyle w:val="30"/>
                    <w:rPr>
                      <w:color w:val="auto"/>
                      <w:highlight w:val="none"/>
                    </w:rPr>
                  </w:pPr>
                  <w:r>
                    <w:rPr>
                      <w:color w:val="auto"/>
                      <w:highlight w:val="none"/>
                    </w:rPr>
                    <w:t>近场声级（dB）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12" w:hRule="atLeast"/>
                <w:jc w:val="center"/>
              </w:trPr>
              <w:tc>
                <w:tcPr>
                  <w:tcW w:w="1250" w:type="pct"/>
                  <w:vMerge w:val="restart"/>
                  <w:tcBorders>
                    <w:tl2br w:val="nil"/>
                    <w:tr2bl w:val="nil"/>
                  </w:tcBorders>
                  <w:vAlign w:val="center"/>
                </w:tcPr>
                <w:p>
                  <w:pPr>
                    <w:pStyle w:val="30"/>
                    <w:rPr>
                      <w:color w:val="auto"/>
                      <w:highlight w:val="none"/>
                    </w:rPr>
                  </w:pPr>
                  <w:r>
                    <w:rPr>
                      <w:color w:val="auto"/>
                      <w:highlight w:val="none"/>
                    </w:rPr>
                    <w:t>土石方阶段</w:t>
                  </w:r>
                </w:p>
              </w:tc>
              <w:tc>
                <w:tcPr>
                  <w:tcW w:w="1250" w:type="pct"/>
                  <w:tcBorders>
                    <w:tl2br w:val="nil"/>
                    <w:tr2bl w:val="nil"/>
                  </w:tcBorders>
                  <w:vAlign w:val="center"/>
                </w:tcPr>
                <w:p>
                  <w:pPr>
                    <w:pStyle w:val="30"/>
                    <w:rPr>
                      <w:color w:val="auto"/>
                      <w:highlight w:val="none"/>
                    </w:rPr>
                  </w:pPr>
                  <w:r>
                    <w:rPr>
                      <w:color w:val="auto"/>
                      <w:highlight w:val="none"/>
                    </w:rPr>
                    <w:t>装载车</w:t>
                  </w:r>
                </w:p>
              </w:tc>
              <w:tc>
                <w:tcPr>
                  <w:tcW w:w="1250" w:type="pct"/>
                  <w:tcBorders>
                    <w:tl2br w:val="nil"/>
                    <w:tr2bl w:val="nil"/>
                  </w:tcBorders>
                  <w:vAlign w:val="center"/>
                </w:tcPr>
                <w:p>
                  <w:pPr>
                    <w:pStyle w:val="30"/>
                    <w:rPr>
                      <w:color w:val="auto"/>
                      <w:highlight w:val="none"/>
                    </w:rPr>
                  </w:pPr>
                  <w:r>
                    <w:rPr>
                      <w:color w:val="auto"/>
                      <w:highlight w:val="none"/>
                    </w:rPr>
                    <w:t>5</w:t>
                  </w:r>
                </w:p>
              </w:tc>
              <w:tc>
                <w:tcPr>
                  <w:tcW w:w="1250" w:type="pct"/>
                  <w:tcBorders>
                    <w:tl2br w:val="nil"/>
                    <w:tr2bl w:val="nil"/>
                  </w:tcBorders>
                  <w:vAlign w:val="center"/>
                </w:tcPr>
                <w:p>
                  <w:pPr>
                    <w:pStyle w:val="30"/>
                    <w:rPr>
                      <w:color w:val="auto"/>
                      <w:highlight w:val="none"/>
                    </w:rPr>
                  </w:pPr>
                  <w:r>
                    <w:rPr>
                      <w:color w:val="auto"/>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12" w:hRule="atLeast"/>
                <w:jc w:val="center"/>
              </w:trPr>
              <w:tc>
                <w:tcPr>
                  <w:tcW w:w="1250" w:type="pct"/>
                  <w:vMerge w:val="continue"/>
                  <w:tcBorders>
                    <w:tl2br w:val="nil"/>
                    <w:tr2bl w:val="nil"/>
                  </w:tcBorders>
                  <w:vAlign w:val="center"/>
                </w:tcPr>
                <w:p>
                  <w:pPr>
                    <w:pStyle w:val="30"/>
                    <w:rPr>
                      <w:color w:val="auto"/>
                      <w:highlight w:val="none"/>
                    </w:rPr>
                  </w:pPr>
                </w:p>
              </w:tc>
              <w:tc>
                <w:tcPr>
                  <w:tcW w:w="1250" w:type="pct"/>
                  <w:tcBorders>
                    <w:tl2br w:val="nil"/>
                    <w:tr2bl w:val="nil"/>
                  </w:tcBorders>
                  <w:vAlign w:val="center"/>
                </w:tcPr>
                <w:p>
                  <w:pPr>
                    <w:pStyle w:val="30"/>
                    <w:rPr>
                      <w:color w:val="auto"/>
                      <w:highlight w:val="none"/>
                    </w:rPr>
                  </w:pPr>
                  <w:r>
                    <w:rPr>
                      <w:color w:val="auto"/>
                      <w:highlight w:val="none"/>
                    </w:rPr>
                    <w:t>柴油空压机</w:t>
                  </w:r>
                </w:p>
              </w:tc>
              <w:tc>
                <w:tcPr>
                  <w:tcW w:w="1250" w:type="pct"/>
                  <w:tcBorders>
                    <w:tl2br w:val="nil"/>
                    <w:tr2bl w:val="nil"/>
                  </w:tcBorders>
                  <w:vAlign w:val="center"/>
                </w:tcPr>
                <w:p>
                  <w:pPr>
                    <w:pStyle w:val="30"/>
                    <w:rPr>
                      <w:color w:val="auto"/>
                      <w:highlight w:val="none"/>
                    </w:rPr>
                  </w:pPr>
                  <w:r>
                    <w:rPr>
                      <w:color w:val="auto"/>
                      <w:highlight w:val="none"/>
                    </w:rPr>
                    <w:t>5</w:t>
                  </w:r>
                </w:p>
              </w:tc>
              <w:tc>
                <w:tcPr>
                  <w:tcW w:w="1250" w:type="pct"/>
                  <w:tcBorders>
                    <w:tl2br w:val="nil"/>
                    <w:tr2bl w:val="nil"/>
                  </w:tcBorders>
                  <w:vAlign w:val="center"/>
                </w:tcPr>
                <w:p>
                  <w:pPr>
                    <w:pStyle w:val="30"/>
                    <w:rPr>
                      <w:color w:val="auto"/>
                      <w:highlight w:val="none"/>
                    </w:rPr>
                  </w:pPr>
                  <w:r>
                    <w:rPr>
                      <w:color w:val="auto"/>
                      <w:highlight w:val="none"/>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12" w:hRule="atLeast"/>
                <w:jc w:val="center"/>
              </w:trPr>
              <w:tc>
                <w:tcPr>
                  <w:tcW w:w="1250" w:type="pct"/>
                  <w:vMerge w:val="continue"/>
                  <w:tcBorders>
                    <w:tl2br w:val="nil"/>
                    <w:tr2bl w:val="nil"/>
                  </w:tcBorders>
                  <w:vAlign w:val="center"/>
                </w:tcPr>
                <w:p>
                  <w:pPr>
                    <w:pStyle w:val="30"/>
                    <w:rPr>
                      <w:color w:val="auto"/>
                      <w:highlight w:val="none"/>
                    </w:rPr>
                  </w:pPr>
                </w:p>
              </w:tc>
              <w:tc>
                <w:tcPr>
                  <w:tcW w:w="1250" w:type="pct"/>
                  <w:tcBorders>
                    <w:tl2br w:val="nil"/>
                    <w:tr2bl w:val="nil"/>
                  </w:tcBorders>
                  <w:vAlign w:val="center"/>
                </w:tcPr>
                <w:p>
                  <w:pPr>
                    <w:pStyle w:val="30"/>
                    <w:rPr>
                      <w:color w:val="auto"/>
                      <w:highlight w:val="none"/>
                    </w:rPr>
                  </w:pPr>
                  <w:r>
                    <w:rPr>
                      <w:color w:val="auto"/>
                      <w:highlight w:val="none"/>
                    </w:rPr>
                    <w:t>挖掘机</w:t>
                  </w:r>
                </w:p>
              </w:tc>
              <w:tc>
                <w:tcPr>
                  <w:tcW w:w="1250" w:type="pct"/>
                  <w:tcBorders>
                    <w:tl2br w:val="nil"/>
                    <w:tr2bl w:val="nil"/>
                  </w:tcBorders>
                  <w:vAlign w:val="center"/>
                </w:tcPr>
                <w:p>
                  <w:pPr>
                    <w:pStyle w:val="30"/>
                    <w:rPr>
                      <w:color w:val="auto"/>
                      <w:highlight w:val="none"/>
                    </w:rPr>
                  </w:pPr>
                  <w:r>
                    <w:rPr>
                      <w:color w:val="auto"/>
                      <w:highlight w:val="none"/>
                    </w:rPr>
                    <w:t>5</w:t>
                  </w:r>
                </w:p>
              </w:tc>
              <w:tc>
                <w:tcPr>
                  <w:tcW w:w="1250" w:type="pct"/>
                  <w:tcBorders>
                    <w:tl2br w:val="nil"/>
                    <w:tr2bl w:val="nil"/>
                  </w:tcBorders>
                  <w:vAlign w:val="center"/>
                </w:tcPr>
                <w:p>
                  <w:pPr>
                    <w:pStyle w:val="30"/>
                    <w:rPr>
                      <w:color w:val="auto"/>
                      <w:highlight w:val="none"/>
                    </w:rPr>
                  </w:pPr>
                  <w:r>
                    <w:rPr>
                      <w:color w:val="auto"/>
                      <w:highlight w:val="none"/>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12" w:hRule="atLeast"/>
                <w:jc w:val="center"/>
              </w:trPr>
              <w:tc>
                <w:tcPr>
                  <w:tcW w:w="1250" w:type="pct"/>
                  <w:vMerge w:val="continue"/>
                  <w:tcBorders>
                    <w:tl2br w:val="nil"/>
                    <w:tr2bl w:val="nil"/>
                  </w:tcBorders>
                  <w:vAlign w:val="center"/>
                </w:tcPr>
                <w:p>
                  <w:pPr>
                    <w:pStyle w:val="30"/>
                    <w:rPr>
                      <w:color w:val="auto"/>
                      <w:highlight w:val="none"/>
                    </w:rPr>
                  </w:pPr>
                </w:p>
              </w:tc>
              <w:tc>
                <w:tcPr>
                  <w:tcW w:w="1250" w:type="pct"/>
                  <w:tcBorders>
                    <w:tl2br w:val="nil"/>
                    <w:tr2bl w:val="nil"/>
                  </w:tcBorders>
                  <w:vAlign w:val="center"/>
                </w:tcPr>
                <w:p>
                  <w:pPr>
                    <w:pStyle w:val="30"/>
                    <w:rPr>
                      <w:color w:val="auto"/>
                      <w:highlight w:val="none"/>
                    </w:rPr>
                  </w:pPr>
                  <w:r>
                    <w:rPr>
                      <w:color w:val="auto"/>
                      <w:highlight w:val="none"/>
                    </w:rPr>
                    <w:t>风镐</w:t>
                  </w:r>
                </w:p>
              </w:tc>
              <w:tc>
                <w:tcPr>
                  <w:tcW w:w="1250" w:type="pct"/>
                  <w:tcBorders>
                    <w:tl2br w:val="nil"/>
                    <w:tr2bl w:val="nil"/>
                  </w:tcBorders>
                  <w:vAlign w:val="center"/>
                </w:tcPr>
                <w:p>
                  <w:pPr>
                    <w:pStyle w:val="30"/>
                    <w:rPr>
                      <w:color w:val="auto"/>
                      <w:highlight w:val="none"/>
                    </w:rPr>
                  </w:pPr>
                  <w:r>
                    <w:rPr>
                      <w:color w:val="auto"/>
                      <w:highlight w:val="none"/>
                    </w:rPr>
                    <w:t>5</w:t>
                  </w:r>
                </w:p>
              </w:tc>
              <w:tc>
                <w:tcPr>
                  <w:tcW w:w="1250" w:type="pct"/>
                  <w:tcBorders>
                    <w:tl2br w:val="nil"/>
                    <w:tr2bl w:val="nil"/>
                  </w:tcBorders>
                  <w:vAlign w:val="center"/>
                </w:tcPr>
                <w:p>
                  <w:pPr>
                    <w:pStyle w:val="30"/>
                    <w:rPr>
                      <w:color w:val="auto"/>
                      <w:highlight w:val="none"/>
                    </w:rPr>
                  </w:pPr>
                  <w:r>
                    <w:rPr>
                      <w:color w:val="auto"/>
                      <w:highlight w:val="none"/>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12" w:hRule="atLeast"/>
                <w:jc w:val="center"/>
              </w:trPr>
              <w:tc>
                <w:tcPr>
                  <w:tcW w:w="1250" w:type="pct"/>
                  <w:tcBorders>
                    <w:tl2br w:val="nil"/>
                    <w:tr2bl w:val="nil"/>
                  </w:tcBorders>
                  <w:vAlign w:val="center"/>
                </w:tcPr>
                <w:p>
                  <w:pPr>
                    <w:pStyle w:val="30"/>
                    <w:rPr>
                      <w:color w:val="auto"/>
                      <w:highlight w:val="none"/>
                    </w:rPr>
                  </w:pPr>
                  <w:r>
                    <w:rPr>
                      <w:color w:val="auto"/>
                      <w:highlight w:val="none"/>
                    </w:rPr>
                    <w:t>基础打桩阶段</w:t>
                  </w:r>
                </w:p>
              </w:tc>
              <w:tc>
                <w:tcPr>
                  <w:tcW w:w="1250" w:type="pct"/>
                  <w:tcBorders>
                    <w:tl2br w:val="nil"/>
                    <w:tr2bl w:val="nil"/>
                  </w:tcBorders>
                  <w:vAlign w:val="center"/>
                </w:tcPr>
                <w:p>
                  <w:pPr>
                    <w:pStyle w:val="30"/>
                    <w:rPr>
                      <w:color w:val="auto"/>
                      <w:highlight w:val="none"/>
                    </w:rPr>
                  </w:pPr>
                  <w:r>
                    <w:rPr>
                      <w:color w:val="auto"/>
                      <w:highlight w:val="none"/>
                    </w:rPr>
                    <w:t>静压桩机</w:t>
                  </w:r>
                </w:p>
              </w:tc>
              <w:tc>
                <w:tcPr>
                  <w:tcW w:w="1250" w:type="pct"/>
                  <w:tcBorders>
                    <w:tl2br w:val="nil"/>
                    <w:tr2bl w:val="nil"/>
                  </w:tcBorders>
                  <w:vAlign w:val="center"/>
                </w:tcPr>
                <w:p>
                  <w:pPr>
                    <w:pStyle w:val="30"/>
                    <w:rPr>
                      <w:color w:val="auto"/>
                      <w:highlight w:val="none"/>
                    </w:rPr>
                  </w:pPr>
                  <w:r>
                    <w:rPr>
                      <w:color w:val="auto"/>
                      <w:highlight w:val="none"/>
                    </w:rPr>
                    <w:t>5</w:t>
                  </w:r>
                </w:p>
              </w:tc>
              <w:tc>
                <w:tcPr>
                  <w:tcW w:w="1250" w:type="pct"/>
                  <w:tcBorders>
                    <w:tl2br w:val="nil"/>
                    <w:tr2bl w:val="nil"/>
                  </w:tcBorders>
                  <w:vAlign w:val="center"/>
                </w:tcPr>
                <w:p>
                  <w:pPr>
                    <w:pStyle w:val="30"/>
                    <w:rPr>
                      <w:color w:val="auto"/>
                      <w:highlight w:val="none"/>
                    </w:rPr>
                  </w:pPr>
                  <w:r>
                    <w:rPr>
                      <w:color w:val="auto"/>
                      <w:highlight w:val="none"/>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12" w:hRule="atLeast"/>
                <w:jc w:val="center"/>
              </w:trPr>
              <w:tc>
                <w:tcPr>
                  <w:tcW w:w="1250" w:type="pct"/>
                  <w:vMerge w:val="restart"/>
                  <w:tcBorders>
                    <w:tl2br w:val="nil"/>
                    <w:tr2bl w:val="nil"/>
                  </w:tcBorders>
                  <w:vAlign w:val="center"/>
                </w:tcPr>
                <w:p>
                  <w:pPr>
                    <w:pStyle w:val="30"/>
                    <w:rPr>
                      <w:color w:val="auto"/>
                      <w:highlight w:val="none"/>
                    </w:rPr>
                  </w:pPr>
                  <w:r>
                    <w:rPr>
                      <w:color w:val="auto"/>
                      <w:highlight w:val="none"/>
                    </w:rPr>
                    <w:t>结构施工浇注阶段</w:t>
                  </w:r>
                </w:p>
              </w:tc>
              <w:tc>
                <w:tcPr>
                  <w:tcW w:w="1250" w:type="pct"/>
                  <w:tcBorders>
                    <w:tl2br w:val="nil"/>
                    <w:tr2bl w:val="nil"/>
                  </w:tcBorders>
                  <w:vAlign w:val="center"/>
                </w:tcPr>
                <w:p>
                  <w:pPr>
                    <w:pStyle w:val="30"/>
                    <w:rPr>
                      <w:color w:val="auto"/>
                      <w:highlight w:val="none"/>
                    </w:rPr>
                  </w:pPr>
                  <w:r>
                    <w:rPr>
                      <w:rFonts w:hint="eastAsia"/>
                      <w:color w:val="auto"/>
                      <w:highlight w:val="none"/>
                    </w:rPr>
                    <w:t>搅拌机</w:t>
                  </w:r>
                </w:p>
              </w:tc>
              <w:tc>
                <w:tcPr>
                  <w:tcW w:w="1250" w:type="pct"/>
                  <w:tcBorders>
                    <w:tl2br w:val="nil"/>
                    <w:tr2bl w:val="nil"/>
                  </w:tcBorders>
                  <w:vAlign w:val="center"/>
                </w:tcPr>
                <w:p>
                  <w:pPr>
                    <w:pStyle w:val="30"/>
                    <w:rPr>
                      <w:color w:val="auto"/>
                      <w:highlight w:val="none"/>
                    </w:rPr>
                  </w:pPr>
                  <w:r>
                    <w:rPr>
                      <w:rFonts w:hint="eastAsia"/>
                      <w:color w:val="auto"/>
                      <w:highlight w:val="none"/>
                    </w:rPr>
                    <w:t>5</w:t>
                  </w:r>
                </w:p>
              </w:tc>
              <w:tc>
                <w:tcPr>
                  <w:tcW w:w="1250" w:type="pct"/>
                  <w:tcBorders>
                    <w:tl2br w:val="nil"/>
                    <w:tr2bl w:val="nil"/>
                  </w:tcBorders>
                  <w:vAlign w:val="center"/>
                </w:tcPr>
                <w:p>
                  <w:pPr>
                    <w:pStyle w:val="30"/>
                    <w:rPr>
                      <w:color w:val="auto"/>
                      <w:highlight w:val="none"/>
                    </w:rPr>
                  </w:pPr>
                  <w:r>
                    <w:rPr>
                      <w:rFonts w:hint="eastAsia"/>
                      <w:color w:val="auto"/>
                      <w:highlight w:val="none"/>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12" w:hRule="atLeast"/>
                <w:jc w:val="center"/>
              </w:trPr>
              <w:tc>
                <w:tcPr>
                  <w:tcW w:w="1250" w:type="pct"/>
                  <w:vMerge w:val="continue"/>
                  <w:tcBorders>
                    <w:tl2br w:val="nil"/>
                    <w:tr2bl w:val="nil"/>
                  </w:tcBorders>
                  <w:vAlign w:val="center"/>
                </w:tcPr>
                <w:p>
                  <w:pPr>
                    <w:pStyle w:val="30"/>
                    <w:rPr>
                      <w:color w:val="auto"/>
                      <w:highlight w:val="none"/>
                    </w:rPr>
                  </w:pPr>
                </w:p>
              </w:tc>
              <w:tc>
                <w:tcPr>
                  <w:tcW w:w="1250" w:type="pct"/>
                  <w:tcBorders>
                    <w:tl2br w:val="nil"/>
                    <w:tr2bl w:val="nil"/>
                  </w:tcBorders>
                  <w:vAlign w:val="center"/>
                </w:tcPr>
                <w:p>
                  <w:pPr>
                    <w:pStyle w:val="30"/>
                    <w:rPr>
                      <w:color w:val="auto"/>
                      <w:highlight w:val="none"/>
                    </w:rPr>
                  </w:pPr>
                  <w:r>
                    <w:rPr>
                      <w:color w:val="auto"/>
                      <w:highlight w:val="none"/>
                    </w:rPr>
                    <w:t>起重机</w:t>
                  </w:r>
                </w:p>
              </w:tc>
              <w:tc>
                <w:tcPr>
                  <w:tcW w:w="1250" w:type="pct"/>
                  <w:tcBorders>
                    <w:tl2br w:val="nil"/>
                    <w:tr2bl w:val="nil"/>
                  </w:tcBorders>
                  <w:vAlign w:val="center"/>
                </w:tcPr>
                <w:p>
                  <w:pPr>
                    <w:pStyle w:val="30"/>
                    <w:rPr>
                      <w:color w:val="auto"/>
                      <w:highlight w:val="none"/>
                    </w:rPr>
                  </w:pPr>
                  <w:r>
                    <w:rPr>
                      <w:color w:val="auto"/>
                      <w:highlight w:val="none"/>
                    </w:rPr>
                    <w:t>5</w:t>
                  </w:r>
                </w:p>
              </w:tc>
              <w:tc>
                <w:tcPr>
                  <w:tcW w:w="1250" w:type="pct"/>
                  <w:tcBorders>
                    <w:tl2br w:val="nil"/>
                    <w:tr2bl w:val="nil"/>
                  </w:tcBorders>
                  <w:vAlign w:val="center"/>
                </w:tcPr>
                <w:p>
                  <w:pPr>
                    <w:pStyle w:val="30"/>
                    <w:rPr>
                      <w:color w:val="auto"/>
                      <w:highlight w:val="none"/>
                    </w:rPr>
                  </w:pPr>
                  <w:r>
                    <w:rPr>
                      <w:color w:val="auto"/>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12" w:hRule="atLeast"/>
                <w:jc w:val="center"/>
              </w:trPr>
              <w:tc>
                <w:tcPr>
                  <w:tcW w:w="1250" w:type="pct"/>
                  <w:vMerge w:val="continue"/>
                  <w:tcBorders>
                    <w:tl2br w:val="nil"/>
                    <w:tr2bl w:val="nil"/>
                  </w:tcBorders>
                  <w:vAlign w:val="center"/>
                </w:tcPr>
                <w:p>
                  <w:pPr>
                    <w:pStyle w:val="30"/>
                    <w:rPr>
                      <w:color w:val="auto"/>
                      <w:highlight w:val="none"/>
                    </w:rPr>
                  </w:pPr>
                </w:p>
              </w:tc>
              <w:tc>
                <w:tcPr>
                  <w:tcW w:w="1250" w:type="pct"/>
                  <w:tcBorders>
                    <w:tl2br w:val="nil"/>
                    <w:tr2bl w:val="nil"/>
                  </w:tcBorders>
                  <w:vAlign w:val="center"/>
                </w:tcPr>
                <w:p>
                  <w:pPr>
                    <w:pStyle w:val="30"/>
                    <w:rPr>
                      <w:color w:val="auto"/>
                      <w:highlight w:val="none"/>
                    </w:rPr>
                  </w:pPr>
                  <w:r>
                    <w:rPr>
                      <w:color w:val="auto"/>
                      <w:highlight w:val="none"/>
                    </w:rPr>
                    <w:t>振动棒</w:t>
                  </w:r>
                </w:p>
              </w:tc>
              <w:tc>
                <w:tcPr>
                  <w:tcW w:w="1250" w:type="pct"/>
                  <w:tcBorders>
                    <w:tl2br w:val="nil"/>
                    <w:tr2bl w:val="nil"/>
                  </w:tcBorders>
                  <w:vAlign w:val="center"/>
                </w:tcPr>
                <w:p>
                  <w:pPr>
                    <w:pStyle w:val="30"/>
                    <w:rPr>
                      <w:color w:val="auto"/>
                      <w:highlight w:val="none"/>
                    </w:rPr>
                  </w:pPr>
                  <w:r>
                    <w:rPr>
                      <w:color w:val="auto"/>
                      <w:highlight w:val="none"/>
                    </w:rPr>
                    <w:t>5</w:t>
                  </w:r>
                </w:p>
              </w:tc>
              <w:tc>
                <w:tcPr>
                  <w:tcW w:w="1250" w:type="pct"/>
                  <w:tcBorders>
                    <w:tl2br w:val="nil"/>
                    <w:tr2bl w:val="nil"/>
                  </w:tcBorders>
                  <w:vAlign w:val="center"/>
                </w:tcPr>
                <w:p>
                  <w:pPr>
                    <w:pStyle w:val="30"/>
                    <w:rPr>
                      <w:color w:val="auto"/>
                      <w:highlight w:val="none"/>
                    </w:rPr>
                  </w:pPr>
                  <w:r>
                    <w:rPr>
                      <w:color w:val="auto"/>
                      <w:highlight w:val="none"/>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12" w:hRule="atLeast"/>
                <w:jc w:val="center"/>
              </w:trPr>
              <w:tc>
                <w:tcPr>
                  <w:tcW w:w="1250" w:type="pct"/>
                  <w:vMerge w:val="restart"/>
                  <w:tcBorders>
                    <w:tl2br w:val="nil"/>
                    <w:tr2bl w:val="nil"/>
                  </w:tcBorders>
                  <w:vAlign w:val="center"/>
                </w:tcPr>
                <w:p>
                  <w:pPr>
                    <w:pStyle w:val="30"/>
                    <w:rPr>
                      <w:color w:val="auto"/>
                      <w:highlight w:val="none"/>
                    </w:rPr>
                  </w:pPr>
                  <w:r>
                    <w:rPr>
                      <w:color w:val="auto"/>
                      <w:highlight w:val="none"/>
                    </w:rPr>
                    <w:t>装修、设备安装阶段</w:t>
                  </w:r>
                </w:p>
              </w:tc>
              <w:tc>
                <w:tcPr>
                  <w:tcW w:w="1250" w:type="pct"/>
                  <w:tcBorders>
                    <w:tl2br w:val="nil"/>
                    <w:tr2bl w:val="nil"/>
                  </w:tcBorders>
                  <w:vAlign w:val="center"/>
                </w:tcPr>
                <w:p>
                  <w:pPr>
                    <w:pStyle w:val="30"/>
                    <w:rPr>
                      <w:color w:val="auto"/>
                      <w:highlight w:val="none"/>
                    </w:rPr>
                  </w:pPr>
                  <w:r>
                    <w:rPr>
                      <w:color w:val="auto"/>
                      <w:highlight w:val="none"/>
                    </w:rPr>
                    <w:t>拉直切断机</w:t>
                  </w:r>
                </w:p>
              </w:tc>
              <w:tc>
                <w:tcPr>
                  <w:tcW w:w="1250" w:type="pct"/>
                  <w:tcBorders>
                    <w:tl2br w:val="nil"/>
                    <w:tr2bl w:val="nil"/>
                  </w:tcBorders>
                  <w:vAlign w:val="center"/>
                </w:tcPr>
                <w:p>
                  <w:pPr>
                    <w:pStyle w:val="30"/>
                    <w:rPr>
                      <w:color w:val="auto"/>
                      <w:highlight w:val="none"/>
                    </w:rPr>
                  </w:pPr>
                  <w:r>
                    <w:rPr>
                      <w:color w:val="auto"/>
                      <w:highlight w:val="none"/>
                    </w:rPr>
                    <w:t>5</w:t>
                  </w:r>
                </w:p>
              </w:tc>
              <w:tc>
                <w:tcPr>
                  <w:tcW w:w="1250" w:type="pct"/>
                  <w:tcBorders>
                    <w:tl2br w:val="nil"/>
                    <w:tr2bl w:val="nil"/>
                  </w:tcBorders>
                  <w:vAlign w:val="center"/>
                </w:tcPr>
                <w:p>
                  <w:pPr>
                    <w:pStyle w:val="30"/>
                    <w:rPr>
                      <w:color w:val="auto"/>
                      <w:highlight w:val="none"/>
                    </w:rPr>
                  </w:pPr>
                  <w:r>
                    <w:rPr>
                      <w:color w:val="auto"/>
                      <w:highlight w:val="none"/>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12" w:hRule="atLeast"/>
                <w:jc w:val="center"/>
              </w:trPr>
              <w:tc>
                <w:tcPr>
                  <w:tcW w:w="1250" w:type="pct"/>
                  <w:vMerge w:val="continue"/>
                  <w:tcBorders>
                    <w:tl2br w:val="nil"/>
                    <w:tr2bl w:val="nil"/>
                  </w:tcBorders>
                  <w:vAlign w:val="center"/>
                </w:tcPr>
                <w:p>
                  <w:pPr>
                    <w:pStyle w:val="30"/>
                    <w:rPr>
                      <w:color w:val="auto"/>
                      <w:highlight w:val="none"/>
                    </w:rPr>
                  </w:pPr>
                </w:p>
              </w:tc>
              <w:tc>
                <w:tcPr>
                  <w:tcW w:w="1250" w:type="pct"/>
                  <w:tcBorders>
                    <w:tl2br w:val="nil"/>
                    <w:tr2bl w:val="nil"/>
                  </w:tcBorders>
                  <w:vAlign w:val="center"/>
                </w:tcPr>
                <w:p>
                  <w:pPr>
                    <w:pStyle w:val="30"/>
                    <w:rPr>
                      <w:color w:val="auto"/>
                      <w:highlight w:val="none"/>
                    </w:rPr>
                  </w:pPr>
                  <w:r>
                    <w:rPr>
                      <w:color w:val="auto"/>
                      <w:highlight w:val="none"/>
                    </w:rPr>
                    <w:t>冲击钻</w:t>
                  </w:r>
                </w:p>
              </w:tc>
              <w:tc>
                <w:tcPr>
                  <w:tcW w:w="1250" w:type="pct"/>
                  <w:tcBorders>
                    <w:tl2br w:val="nil"/>
                    <w:tr2bl w:val="nil"/>
                  </w:tcBorders>
                  <w:vAlign w:val="center"/>
                </w:tcPr>
                <w:p>
                  <w:pPr>
                    <w:pStyle w:val="30"/>
                    <w:rPr>
                      <w:color w:val="auto"/>
                      <w:highlight w:val="none"/>
                    </w:rPr>
                  </w:pPr>
                  <w:r>
                    <w:rPr>
                      <w:color w:val="auto"/>
                      <w:highlight w:val="none"/>
                    </w:rPr>
                    <w:t>5</w:t>
                  </w:r>
                </w:p>
              </w:tc>
              <w:tc>
                <w:tcPr>
                  <w:tcW w:w="1250" w:type="pct"/>
                  <w:tcBorders>
                    <w:tl2br w:val="nil"/>
                    <w:tr2bl w:val="nil"/>
                  </w:tcBorders>
                  <w:vAlign w:val="center"/>
                </w:tcPr>
                <w:p>
                  <w:pPr>
                    <w:pStyle w:val="30"/>
                    <w:rPr>
                      <w:color w:val="auto"/>
                      <w:highlight w:val="none"/>
                    </w:rPr>
                  </w:pPr>
                  <w:r>
                    <w:rPr>
                      <w:color w:val="auto"/>
                      <w:highlight w:val="none"/>
                    </w:rPr>
                    <w:t>81</w:t>
                  </w:r>
                </w:p>
              </w:tc>
            </w:tr>
          </w:tbl>
          <w:p>
            <w:pPr>
              <w:ind w:firstLine="422" w:firstLineChars="200"/>
              <w:rPr>
                <w:b/>
                <w:bCs/>
                <w:color w:val="auto"/>
                <w:highlight w:val="none"/>
              </w:rPr>
            </w:pPr>
          </w:p>
          <w:p>
            <w:pPr>
              <w:pStyle w:val="37"/>
              <w:rPr>
                <w:color w:val="auto"/>
                <w:highlight w:val="none"/>
              </w:rPr>
            </w:pPr>
            <w:r>
              <w:rPr>
                <w:rFonts w:hint="eastAsia"/>
                <w:color w:val="auto"/>
                <w:highlight w:val="none"/>
              </w:rPr>
              <w:t>4.1.3.2 施工期噪声治理措施</w:t>
            </w:r>
          </w:p>
          <w:p>
            <w:pPr>
              <w:pStyle w:val="36"/>
              <w:ind w:firstLine="480"/>
              <w:rPr>
                <w:color w:val="auto"/>
                <w:highlight w:val="none"/>
              </w:rPr>
            </w:pPr>
            <w:r>
              <w:rPr>
                <w:color w:val="auto"/>
                <w:highlight w:val="none"/>
              </w:rPr>
              <w:t>（</w:t>
            </w:r>
            <w:r>
              <w:rPr>
                <w:rFonts w:hint="eastAsia"/>
                <w:color w:val="auto"/>
                <w:highlight w:val="none"/>
              </w:rPr>
              <w:t>1</w:t>
            </w:r>
            <w:r>
              <w:rPr>
                <w:color w:val="auto"/>
                <w:highlight w:val="none"/>
              </w:rPr>
              <w:t>）为保证当地居民的休息不受或少受影响，土石方的开挖和材料设备的运输应安排在白天进行，</w:t>
            </w:r>
            <w:r>
              <w:rPr>
                <w:rFonts w:hint="eastAsia"/>
                <w:color w:val="auto"/>
                <w:highlight w:val="none"/>
              </w:rPr>
              <w:t>午休时间禁止施工</w:t>
            </w:r>
            <w:r>
              <w:rPr>
                <w:color w:val="auto"/>
                <w:highlight w:val="none"/>
              </w:rPr>
              <w:t>；</w:t>
            </w:r>
          </w:p>
          <w:p>
            <w:pPr>
              <w:pStyle w:val="36"/>
              <w:ind w:firstLine="480"/>
              <w:rPr>
                <w:color w:val="auto"/>
                <w:highlight w:val="none"/>
              </w:rPr>
            </w:pPr>
            <w:r>
              <w:rPr>
                <w:color w:val="auto"/>
                <w:highlight w:val="none"/>
              </w:rPr>
              <w:t xml:space="preserve">（2）夜间禁止使用打桩机施工，夜间施工一般不得超过22:00时，尽量做到不影响附近居民休息； </w:t>
            </w:r>
          </w:p>
          <w:p>
            <w:pPr>
              <w:pStyle w:val="36"/>
              <w:ind w:firstLine="480"/>
              <w:rPr>
                <w:color w:val="auto"/>
                <w:highlight w:val="none"/>
              </w:rPr>
            </w:pPr>
            <w:r>
              <w:rPr>
                <w:color w:val="auto"/>
                <w:highlight w:val="none"/>
              </w:rPr>
              <w:t>（</w:t>
            </w:r>
            <w:r>
              <w:rPr>
                <w:rFonts w:hint="eastAsia"/>
                <w:color w:val="auto"/>
                <w:highlight w:val="none"/>
              </w:rPr>
              <w:t>3</w:t>
            </w:r>
            <w:r>
              <w:rPr>
                <w:color w:val="auto"/>
                <w:highlight w:val="none"/>
              </w:rPr>
              <w:t>）贴出安民告示，取得附近村民的谅解和合作，应认真听取受扰村民的意见，及时采取切实可行的减噪措施，减少对民众的影响；</w:t>
            </w:r>
          </w:p>
          <w:p>
            <w:pPr>
              <w:pStyle w:val="36"/>
              <w:ind w:firstLine="480"/>
              <w:rPr>
                <w:color w:val="auto"/>
                <w:highlight w:val="none"/>
              </w:rPr>
            </w:pPr>
            <w:r>
              <w:rPr>
                <w:color w:val="auto"/>
                <w:highlight w:val="none"/>
              </w:rPr>
              <w:t>（</w:t>
            </w:r>
            <w:r>
              <w:rPr>
                <w:rFonts w:hint="eastAsia"/>
                <w:color w:val="auto"/>
                <w:highlight w:val="none"/>
              </w:rPr>
              <w:t>4</w:t>
            </w:r>
            <w:r>
              <w:rPr>
                <w:color w:val="auto"/>
                <w:highlight w:val="none"/>
              </w:rPr>
              <w:t xml:space="preserve">）施工机械尽量选用低噪声的设备，并使设备维护保养处于良好状态，以尽量降低设备的噪声值。 </w:t>
            </w:r>
          </w:p>
          <w:p>
            <w:pPr>
              <w:pStyle w:val="36"/>
              <w:ind w:firstLine="480"/>
              <w:rPr>
                <w:color w:val="auto"/>
                <w:highlight w:val="none"/>
              </w:rPr>
            </w:pPr>
            <w:r>
              <w:rPr>
                <w:rFonts w:hint="eastAsia"/>
                <w:color w:val="auto"/>
                <w:highlight w:val="none"/>
              </w:rPr>
              <w:t>经过上述措施后，施工期噪声不会对周围环境造成影响。</w:t>
            </w:r>
          </w:p>
          <w:p>
            <w:pPr>
              <w:pStyle w:val="31"/>
              <w:rPr>
                <w:color w:val="auto"/>
                <w:highlight w:val="none"/>
              </w:rPr>
            </w:pPr>
            <w:r>
              <w:rPr>
                <w:rFonts w:hint="eastAsia"/>
                <w:color w:val="auto"/>
                <w:highlight w:val="none"/>
              </w:rPr>
              <w:t>4.1.3</w:t>
            </w:r>
            <w:r>
              <w:rPr>
                <w:color w:val="auto"/>
                <w:highlight w:val="none"/>
              </w:rPr>
              <w:t xml:space="preserve"> </w:t>
            </w:r>
            <w:r>
              <w:rPr>
                <w:rFonts w:hint="eastAsia"/>
                <w:color w:val="auto"/>
                <w:highlight w:val="none"/>
              </w:rPr>
              <w:t>施工期固体废物影响分析及保护措施</w:t>
            </w:r>
          </w:p>
          <w:p>
            <w:pPr>
              <w:pStyle w:val="37"/>
              <w:rPr>
                <w:color w:val="auto"/>
                <w:highlight w:val="none"/>
              </w:rPr>
            </w:pPr>
            <w:r>
              <w:rPr>
                <w:rFonts w:hint="eastAsia"/>
                <w:color w:val="auto"/>
                <w:highlight w:val="none"/>
              </w:rPr>
              <w:t>4.1.3.1 施工期固体废物影响</w:t>
            </w:r>
          </w:p>
          <w:p>
            <w:pPr>
              <w:pStyle w:val="36"/>
              <w:ind w:firstLine="480"/>
              <w:rPr>
                <w:color w:val="auto"/>
                <w:highlight w:val="none"/>
              </w:rPr>
            </w:pPr>
            <w:r>
              <w:rPr>
                <w:rFonts w:hint="eastAsia"/>
                <w:color w:val="auto"/>
                <w:highlight w:val="none"/>
              </w:rPr>
              <w:t>①生活垃圾</w:t>
            </w:r>
          </w:p>
          <w:p>
            <w:pPr>
              <w:pStyle w:val="36"/>
              <w:ind w:firstLine="480"/>
              <w:rPr>
                <w:color w:val="auto"/>
                <w:highlight w:val="none"/>
              </w:rPr>
            </w:pPr>
            <w:r>
              <w:rPr>
                <w:rFonts w:hint="eastAsia"/>
                <w:color w:val="auto"/>
                <w:highlight w:val="none"/>
              </w:rPr>
              <w:t>工程施工人员约50人。按施工人员人均生活垃圾产生量1.0kg/人•d计，施工期日均生活垃圾产生量为0.05t/d。</w:t>
            </w:r>
          </w:p>
          <w:p>
            <w:pPr>
              <w:pStyle w:val="36"/>
              <w:ind w:firstLine="480"/>
              <w:rPr>
                <w:color w:val="auto"/>
                <w:highlight w:val="none"/>
              </w:rPr>
            </w:pPr>
            <w:r>
              <w:rPr>
                <w:rFonts w:hint="eastAsia"/>
                <w:color w:val="auto"/>
                <w:highlight w:val="none"/>
              </w:rPr>
              <w:t>②建筑垃圾</w:t>
            </w:r>
          </w:p>
          <w:p>
            <w:pPr>
              <w:pStyle w:val="36"/>
              <w:ind w:firstLine="480"/>
              <w:rPr>
                <w:color w:val="auto"/>
                <w:highlight w:val="none"/>
              </w:rPr>
            </w:pPr>
            <w:r>
              <w:rPr>
                <w:rFonts w:hint="eastAsia"/>
                <w:color w:val="auto"/>
                <w:highlight w:val="none"/>
              </w:rPr>
              <w:t>本工程施工涉及土地开挖、管道敷设、基础工程、房屋建筑、修筑道路等工程，施工过程将产生一定数量的废弃建筑材料如砂石、石灰、混凝土、废砖、土石方等。根据设计单位提供的资料，本项目综合楼总挖方量为17182.5m</w:t>
            </w:r>
            <w:r>
              <w:rPr>
                <w:rFonts w:hint="eastAsia"/>
                <w:color w:val="auto"/>
                <w:highlight w:val="none"/>
                <w:vertAlign w:val="superscript"/>
              </w:rPr>
              <w:t>3</w:t>
            </w:r>
            <w:r>
              <w:rPr>
                <w:rFonts w:hint="eastAsia"/>
                <w:color w:val="auto"/>
                <w:highlight w:val="none"/>
              </w:rPr>
              <w:t>，总填方量为10826m</w:t>
            </w:r>
            <w:r>
              <w:rPr>
                <w:rFonts w:hint="eastAsia"/>
                <w:color w:val="auto"/>
                <w:highlight w:val="none"/>
                <w:vertAlign w:val="superscript"/>
              </w:rPr>
              <w:t>3</w:t>
            </w:r>
            <w:r>
              <w:rPr>
                <w:rFonts w:hint="eastAsia"/>
                <w:color w:val="auto"/>
                <w:highlight w:val="none"/>
              </w:rPr>
              <w:t>；球差电镜室总挖方量为3046.9m</w:t>
            </w:r>
            <w:r>
              <w:rPr>
                <w:rFonts w:hint="eastAsia"/>
                <w:color w:val="auto"/>
                <w:highlight w:val="none"/>
                <w:vertAlign w:val="superscript"/>
              </w:rPr>
              <w:t>3</w:t>
            </w:r>
            <w:r>
              <w:rPr>
                <w:rFonts w:hint="eastAsia"/>
                <w:color w:val="auto"/>
                <w:highlight w:val="none"/>
              </w:rPr>
              <w:t>，总填方量为2080.7m</w:t>
            </w:r>
            <w:r>
              <w:rPr>
                <w:rFonts w:hint="eastAsia"/>
                <w:color w:val="auto"/>
                <w:highlight w:val="none"/>
                <w:vertAlign w:val="superscript"/>
              </w:rPr>
              <w:t>3</w:t>
            </w:r>
            <w:r>
              <w:rPr>
                <w:rFonts w:hint="eastAsia"/>
                <w:color w:val="auto"/>
                <w:highlight w:val="none"/>
              </w:rPr>
              <w:t>。</w:t>
            </w:r>
          </w:p>
          <w:p>
            <w:pPr>
              <w:pStyle w:val="36"/>
              <w:ind w:firstLine="480"/>
              <w:rPr>
                <w:color w:val="auto"/>
                <w:highlight w:val="none"/>
              </w:rPr>
            </w:pPr>
            <w:r>
              <w:rPr>
                <w:rFonts w:hint="eastAsia"/>
                <w:color w:val="auto"/>
                <w:highlight w:val="none"/>
              </w:rPr>
              <w:t>根据上述资料可计算得出项目弃方量约为7321.8m</w:t>
            </w:r>
            <w:r>
              <w:rPr>
                <w:rFonts w:hint="eastAsia"/>
                <w:color w:val="auto"/>
                <w:highlight w:val="none"/>
                <w:vertAlign w:val="superscript"/>
              </w:rPr>
              <w:t>3</w:t>
            </w:r>
            <w:r>
              <w:rPr>
                <w:rFonts w:hint="eastAsia"/>
                <w:color w:val="auto"/>
                <w:highlight w:val="none"/>
              </w:rPr>
              <w:t>，密度按1.5t/m</w:t>
            </w:r>
            <w:r>
              <w:rPr>
                <w:rFonts w:hint="eastAsia"/>
                <w:color w:val="auto"/>
                <w:highlight w:val="none"/>
                <w:vertAlign w:val="superscript"/>
              </w:rPr>
              <w:t>3</w:t>
            </w:r>
            <w:r>
              <w:rPr>
                <w:rFonts w:hint="eastAsia"/>
                <w:color w:val="auto"/>
                <w:highlight w:val="none"/>
              </w:rPr>
              <w:t>估算，估计此类建筑垃圾量约为10982.7t。</w:t>
            </w:r>
          </w:p>
          <w:p>
            <w:pPr>
              <w:pStyle w:val="37"/>
              <w:rPr>
                <w:color w:val="auto"/>
                <w:highlight w:val="none"/>
              </w:rPr>
            </w:pPr>
            <w:r>
              <w:rPr>
                <w:rFonts w:hint="eastAsia"/>
                <w:color w:val="auto"/>
                <w:highlight w:val="none"/>
              </w:rPr>
              <w:t>4.1.3.2 施工期固体废物处置措施</w:t>
            </w:r>
          </w:p>
          <w:p>
            <w:pPr>
              <w:pStyle w:val="36"/>
              <w:ind w:firstLine="480"/>
              <w:rPr>
                <w:color w:val="auto"/>
                <w:highlight w:val="none"/>
              </w:rPr>
            </w:pPr>
            <w:r>
              <w:rPr>
                <w:color w:val="auto"/>
                <w:highlight w:val="none"/>
              </w:rPr>
              <w:t>（1）施工时产生的建筑垃圾中无毒的废碴土、废砖头等，可利用填地。施工产生的建筑垃圾及渣土统一规划安排，指定专人负责，严禁随意倾倒堆放。委托建筑渣土管理公司统一负责运送填埋，建筑碴土填地平整后再铺上泥土进行植树、栽草种花进行绿化。</w:t>
            </w:r>
          </w:p>
          <w:p>
            <w:pPr>
              <w:pStyle w:val="36"/>
              <w:ind w:firstLine="480"/>
              <w:rPr>
                <w:color w:val="auto"/>
                <w:highlight w:val="none"/>
              </w:rPr>
            </w:pPr>
            <w:r>
              <w:rPr>
                <w:color w:val="auto"/>
                <w:highlight w:val="none"/>
              </w:rPr>
              <w:t>（2）建筑废模板、建筑材料下角料、包装待及废旧设备等可以回收利用，应统一收集后集中堆放。废油漆桶属于危险废物，应集中</w:t>
            </w:r>
            <w:r>
              <w:rPr>
                <w:rFonts w:hint="eastAsia"/>
                <w:color w:val="auto"/>
                <w:highlight w:val="none"/>
              </w:rPr>
              <w:t>由厂家回收</w:t>
            </w:r>
            <w:r>
              <w:rPr>
                <w:color w:val="auto"/>
                <w:highlight w:val="none"/>
              </w:rPr>
              <w:t>。</w:t>
            </w:r>
          </w:p>
          <w:p>
            <w:pPr>
              <w:pStyle w:val="36"/>
              <w:ind w:firstLine="480"/>
              <w:rPr>
                <w:color w:val="auto"/>
                <w:highlight w:val="none"/>
              </w:rPr>
            </w:pPr>
            <w:r>
              <w:rPr>
                <w:color w:val="auto"/>
                <w:highlight w:val="none"/>
              </w:rPr>
              <w:t>（3）生活垃圾及一些没有回收利用价值的材料，不能随意丢弃，应及时收集，定期</w:t>
            </w:r>
            <w:r>
              <w:rPr>
                <w:rFonts w:hint="eastAsia"/>
                <w:color w:val="auto"/>
                <w:highlight w:val="none"/>
              </w:rPr>
              <w:t>委托环卫部门清运。</w:t>
            </w:r>
          </w:p>
          <w:p>
            <w:pPr>
              <w:pStyle w:val="36"/>
              <w:ind w:firstLine="480"/>
              <w:rPr>
                <w:rFonts w:ascii="宋体" w:hAnsi="宋体" w:cs="宋体"/>
                <w:bCs/>
                <w:color w:val="auto"/>
                <w:spacing w:val="-10"/>
                <w:szCs w:val="21"/>
                <w:highlight w:val="none"/>
              </w:rPr>
            </w:pPr>
            <w:r>
              <w:rPr>
                <w:rFonts w:hint="eastAsia"/>
                <w:color w:val="auto"/>
                <w:highlight w:val="none"/>
              </w:rPr>
              <w:t>经过措施后施工期所产生的固体废物能得到妥善处理，不会对周边环境造成影响</w:t>
            </w:r>
            <w:r>
              <w:rPr>
                <w:color w:val="auto"/>
                <w:highlight w:val="none"/>
              </w:rPr>
              <w:t>。</w:t>
            </w:r>
          </w:p>
        </w:tc>
      </w:tr>
    </w:tbl>
    <w:p>
      <w:pPr>
        <w:rPr>
          <w:color w:val="auto"/>
          <w:highlight w:val="none"/>
        </w:rPr>
        <w:sectPr>
          <w:pgSz w:w="11907" w:h="16840"/>
          <w:pgMar w:top="1701" w:right="1531" w:bottom="2127" w:left="1531" w:header="851" w:footer="851" w:gutter="0"/>
          <w:cols w:space="720" w:num="1"/>
          <w:docGrid w:linePitch="312" w:charSpace="0"/>
        </w:sectPr>
      </w:pPr>
    </w:p>
    <w:tbl>
      <w:tblPr>
        <w:tblStyle w:val="19"/>
        <w:tblW w:w="476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18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10" w:hRule="atLeast"/>
          <w:jc w:val="center"/>
        </w:trPr>
        <w:tc>
          <w:tcPr>
            <w:tcW w:w="267" w:type="pct"/>
            <w:tcMar>
              <w:left w:w="28" w:type="dxa"/>
              <w:right w:w="28" w:type="dxa"/>
            </w:tcMar>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期环</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境影</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响和</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保护</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措施</w:t>
            </w:r>
          </w:p>
        </w:tc>
        <w:tc>
          <w:tcPr>
            <w:tcW w:w="4732" w:type="pct"/>
            <w:vAlign w:val="center"/>
          </w:tcPr>
          <w:p>
            <w:pPr>
              <w:pStyle w:val="31"/>
              <w:rPr>
                <w:color w:val="auto"/>
                <w:highlight w:val="none"/>
              </w:rPr>
            </w:pPr>
            <w:r>
              <w:rPr>
                <w:rFonts w:hint="eastAsia"/>
                <w:color w:val="auto"/>
                <w:highlight w:val="none"/>
              </w:rPr>
              <w:t>4.2.1 废气污染源影响及防治措施</w:t>
            </w:r>
          </w:p>
          <w:p>
            <w:pPr>
              <w:pStyle w:val="37"/>
              <w:rPr>
                <w:color w:val="auto"/>
                <w:highlight w:val="none"/>
              </w:rPr>
            </w:pPr>
            <w:r>
              <w:rPr>
                <w:rFonts w:hint="eastAsia"/>
                <w:color w:val="auto"/>
                <w:highlight w:val="none"/>
              </w:rPr>
              <w:t>4.2.1.1 大气污染物源分析</w:t>
            </w:r>
          </w:p>
          <w:p>
            <w:pPr>
              <w:pStyle w:val="32"/>
              <w:rPr>
                <w:color w:val="auto"/>
                <w:highlight w:val="none"/>
              </w:rPr>
            </w:pPr>
            <w:r>
              <w:rPr>
                <w:rFonts w:hint="eastAsia"/>
                <w:color w:val="auto"/>
                <w:highlight w:val="none"/>
              </w:rPr>
              <w:t>表4.2.1 大气污染源产生及排放情况一览表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858"/>
              <w:gridCol w:w="825"/>
              <w:gridCol w:w="930"/>
              <w:gridCol w:w="780"/>
              <w:gridCol w:w="570"/>
              <w:gridCol w:w="668"/>
              <w:gridCol w:w="637"/>
              <w:gridCol w:w="750"/>
              <w:gridCol w:w="930"/>
              <w:gridCol w:w="720"/>
              <w:gridCol w:w="750"/>
              <w:gridCol w:w="930"/>
              <w:gridCol w:w="645"/>
              <w:gridCol w:w="444"/>
              <w:gridCol w:w="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Merge w:val="restart"/>
                  <w:vAlign w:val="center"/>
                </w:tcPr>
                <w:p>
                  <w:pPr>
                    <w:adjustRightInd w:val="0"/>
                    <w:snapToGrid w:val="0"/>
                    <w:jc w:val="center"/>
                    <w:rPr>
                      <w:bCs/>
                      <w:color w:val="auto"/>
                      <w:kern w:val="0"/>
                      <w:szCs w:val="21"/>
                      <w:highlight w:val="none"/>
                    </w:rPr>
                  </w:pPr>
                  <w:r>
                    <w:rPr>
                      <w:bCs/>
                      <w:color w:val="auto"/>
                      <w:kern w:val="0"/>
                      <w:szCs w:val="21"/>
                      <w:highlight w:val="none"/>
                    </w:rPr>
                    <w:t>编号</w:t>
                  </w:r>
                </w:p>
              </w:tc>
              <w:tc>
                <w:tcPr>
                  <w:tcW w:w="858" w:type="dxa"/>
                  <w:vMerge w:val="restart"/>
                  <w:vAlign w:val="center"/>
                </w:tcPr>
                <w:p>
                  <w:pPr>
                    <w:adjustRightInd w:val="0"/>
                    <w:snapToGrid w:val="0"/>
                    <w:jc w:val="center"/>
                    <w:rPr>
                      <w:bCs/>
                      <w:color w:val="auto"/>
                      <w:kern w:val="0"/>
                      <w:szCs w:val="21"/>
                      <w:highlight w:val="none"/>
                    </w:rPr>
                  </w:pPr>
                  <w:r>
                    <w:rPr>
                      <w:bCs/>
                      <w:color w:val="auto"/>
                      <w:kern w:val="0"/>
                      <w:szCs w:val="21"/>
                      <w:highlight w:val="none"/>
                    </w:rPr>
                    <w:t>产污环节</w:t>
                  </w:r>
                </w:p>
              </w:tc>
              <w:tc>
                <w:tcPr>
                  <w:tcW w:w="2535" w:type="dxa"/>
                  <w:gridSpan w:val="3"/>
                  <w:vAlign w:val="center"/>
                </w:tcPr>
                <w:p>
                  <w:pPr>
                    <w:adjustRightInd w:val="0"/>
                    <w:snapToGrid w:val="0"/>
                    <w:jc w:val="center"/>
                    <w:rPr>
                      <w:bCs/>
                      <w:color w:val="auto"/>
                      <w:kern w:val="0"/>
                      <w:szCs w:val="21"/>
                      <w:highlight w:val="none"/>
                    </w:rPr>
                  </w:pPr>
                  <w:r>
                    <w:rPr>
                      <w:bCs/>
                      <w:color w:val="auto"/>
                      <w:kern w:val="0"/>
                      <w:szCs w:val="21"/>
                      <w:highlight w:val="none"/>
                    </w:rPr>
                    <w:t>污染物产生情况</w:t>
                  </w:r>
                </w:p>
              </w:tc>
              <w:tc>
                <w:tcPr>
                  <w:tcW w:w="570" w:type="dxa"/>
                  <w:vMerge w:val="restart"/>
                  <w:vAlign w:val="center"/>
                </w:tcPr>
                <w:p>
                  <w:pPr>
                    <w:adjustRightInd w:val="0"/>
                    <w:snapToGrid w:val="0"/>
                    <w:jc w:val="center"/>
                    <w:rPr>
                      <w:bCs/>
                      <w:color w:val="auto"/>
                      <w:kern w:val="0"/>
                      <w:szCs w:val="21"/>
                      <w:highlight w:val="none"/>
                    </w:rPr>
                  </w:pPr>
                  <w:r>
                    <w:rPr>
                      <w:bCs/>
                      <w:color w:val="auto"/>
                      <w:kern w:val="0"/>
                      <w:szCs w:val="21"/>
                      <w:highlight w:val="none"/>
                    </w:rPr>
                    <w:t>排放形式</w:t>
                  </w:r>
                </w:p>
              </w:tc>
              <w:tc>
                <w:tcPr>
                  <w:tcW w:w="2055" w:type="dxa"/>
                  <w:gridSpan w:val="3"/>
                  <w:vAlign w:val="center"/>
                </w:tcPr>
                <w:p>
                  <w:pPr>
                    <w:adjustRightInd w:val="0"/>
                    <w:snapToGrid w:val="0"/>
                    <w:jc w:val="center"/>
                    <w:rPr>
                      <w:bCs/>
                      <w:color w:val="auto"/>
                      <w:kern w:val="0"/>
                      <w:szCs w:val="21"/>
                      <w:highlight w:val="none"/>
                    </w:rPr>
                  </w:pPr>
                  <w:r>
                    <w:rPr>
                      <w:bCs/>
                      <w:color w:val="auto"/>
                      <w:kern w:val="0"/>
                      <w:szCs w:val="21"/>
                      <w:highlight w:val="none"/>
                    </w:rPr>
                    <w:t>污染物排放情况</w:t>
                  </w:r>
                </w:p>
              </w:tc>
              <w:tc>
                <w:tcPr>
                  <w:tcW w:w="3330" w:type="dxa"/>
                  <w:gridSpan w:val="4"/>
                  <w:vAlign w:val="center"/>
                </w:tcPr>
                <w:p>
                  <w:pPr>
                    <w:adjustRightInd w:val="0"/>
                    <w:snapToGrid w:val="0"/>
                    <w:jc w:val="center"/>
                    <w:rPr>
                      <w:bCs/>
                      <w:color w:val="auto"/>
                      <w:kern w:val="0"/>
                      <w:szCs w:val="21"/>
                      <w:highlight w:val="none"/>
                    </w:rPr>
                  </w:pPr>
                  <w:r>
                    <w:rPr>
                      <w:bCs/>
                      <w:color w:val="auto"/>
                      <w:kern w:val="0"/>
                      <w:szCs w:val="21"/>
                      <w:highlight w:val="none"/>
                    </w:rPr>
                    <w:t>排放口基本情况</w:t>
                  </w:r>
                </w:p>
              </w:tc>
              <w:tc>
                <w:tcPr>
                  <w:tcW w:w="645" w:type="dxa"/>
                  <w:vMerge w:val="restart"/>
                  <w:vAlign w:val="center"/>
                </w:tcPr>
                <w:p>
                  <w:pPr>
                    <w:adjustRightInd w:val="0"/>
                    <w:snapToGrid w:val="0"/>
                    <w:jc w:val="center"/>
                    <w:rPr>
                      <w:bCs/>
                      <w:color w:val="auto"/>
                      <w:kern w:val="0"/>
                      <w:szCs w:val="21"/>
                      <w:highlight w:val="none"/>
                    </w:rPr>
                  </w:pPr>
                  <w:r>
                    <w:rPr>
                      <w:bCs/>
                      <w:color w:val="auto"/>
                      <w:kern w:val="0"/>
                      <w:szCs w:val="21"/>
                      <w:highlight w:val="none"/>
                    </w:rPr>
                    <w:t>排放标准</w:t>
                  </w:r>
                  <w:r>
                    <w:rPr>
                      <w:rFonts w:hint="eastAsia"/>
                      <w:bCs/>
                      <w:color w:val="auto"/>
                      <w:kern w:val="0"/>
                      <w:szCs w:val="21"/>
                      <w:highlight w:val="none"/>
                    </w:rPr>
                    <w:t>(</w:t>
                  </w:r>
                  <w:r>
                    <w:rPr>
                      <w:color w:val="auto"/>
                      <w:highlight w:val="none"/>
                    </w:rPr>
                    <w:t>mg/m</w:t>
                  </w:r>
                  <w:r>
                    <w:rPr>
                      <w:color w:val="auto"/>
                      <w:highlight w:val="none"/>
                      <w:vertAlign w:val="superscript"/>
                    </w:rPr>
                    <w:t>3</w:t>
                  </w:r>
                  <w:r>
                    <w:rPr>
                      <w:rFonts w:hint="eastAsia"/>
                      <w:color w:val="auto"/>
                      <w:highlight w:val="none"/>
                    </w:rPr>
                    <w:t>)</w:t>
                  </w:r>
                </w:p>
              </w:tc>
              <w:tc>
                <w:tcPr>
                  <w:tcW w:w="444" w:type="dxa"/>
                  <w:vMerge w:val="restart"/>
                  <w:vAlign w:val="center"/>
                </w:tcPr>
                <w:p>
                  <w:pPr>
                    <w:adjustRightInd w:val="0"/>
                    <w:snapToGrid w:val="0"/>
                    <w:jc w:val="center"/>
                    <w:rPr>
                      <w:bCs/>
                      <w:color w:val="auto"/>
                      <w:kern w:val="0"/>
                      <w:szCs w:val="21"/>
                      <w:highlight w:val="none"/>
                    </w:rPr>
                  </w:pPr>
                  <w:r>
                    <w:rPr>
                      <w:rFonts w:hint="eastAsia"/>
                      <w:bCs/>
                      <w:color w:val="auto"/>
                      <w:kern w:val="0"/>
                      <w:szCs w:val="21"/>
                      <w:highlight w:val="none"/>
                    </w:rPr>
                    <w:t>是否达标</w:t>
                  </w:r>
                </w:p>
              </w:tc>
              <w:tc>
                <w:tcPr>
                  <w:tcW w:w="518" w:type="dxa"/>
                  <w:vMerge w:val="restart"/>
                  <w:vAlign w:val="center"/>
                </w:tcPr>
                <w:p>
                  <w:pPr>
                    <w:adjustRightInd w:val="0"/>
                    <w:snapToGrid w:val="0"/>
                    <w:jc w:val="center"/>
                    <w:rPr>
                      <w:bCs/>
                      <w:color w:val="auto"/>
                      <w:kern w:val="0"/>
                      <w:szCs w:val="21"/>
                      <w:highlight w:val="none"/>
                    </w:rPr>
                  </w:pPr>
                  <w:r>
                    <w:rPr>
                      <w:bCs/>
                      <w:color w:val="auto"/>
                      <w:kern w:val="0"/>
                      <w:szCs w:val="21"/>
                      <w:highlight w:val="none"/>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497" w:type="dxa"/>
                  <w:vMerge w:val="continue"/>
                  <w:vAlign w:val="center"/>
                </w:tcPr>
                <w:p>
                  <w:pPr>
                    <w:adjustRightInd w:val="0"/>
                    <w:snapToGrid w:val="0"/>
                    <w:jc w:val="center"/>
                    <w:rPr>
                      <w:bCs/>
                      <w:color w:val="auto"/>
                      <w:kern w:val="0"/>
                      <w:szCs w:val="21"/>
                      <w:highlight w:val="none"/>
                    </w:rPr>
                  </w:pPr>
                </w:p>
              </w:tc>
              <w:tc>
                <w:tcPr>
                  <w:tcW w:w="858" w:type="dxa"/>
                  <w:vMerge w:val="continue"/>
                  <w:vAlign w:val="center"/>
                </w:tcPr>
                <w:p>
                  <w:pPr>
                    <w:adjustRightInd w:val="0"/>
                    <w:snapToGrid w:val="0"/>
                    <w:jc w:val="center"/>
                    <w:rPr>
                      <w:bCs/>
                      <w:color w:val="auto"/>
                      <w:kern w:val="0"/>
                      <w:szCs w:val="21"/>
                      <w:highlight w:val="none"/>
                    </w:rPr>
                  </w:pPr>
                </w:p>
              </w:tc>
              <w:tc>
                <w:tcPr>
                  <w:tcW w:w="825" w:type="dxa"/>
                  <w:vAlign w:val="center"/>
                </w:tcPr>
                <w:p>
                  <w:pPr>
                    <w:adjustRightInd w:val="0"/>
                    <w:snapToGrid w:val="0"/>
                    <w:jc w:val="center"/>
                    <w:rPr>
                      <w:bCs/>
                      <w:color w:val="auto"/>
                      <w:kern w:val="0"/>
                      <w:szCs w:val="21"/>
                      <w:highlight w:val="none"/>
                    </w:rPr>
                  </w:pPr>
                  <w:r>
                    <w:rPr>
                      <w:bCs/>
                      <w:color w:val="auto"/>
                      <w:kern w:val="0"/>
                      <w:szCs w:val="21"/>
                      <w:highlight w:val="none"/>
                    </w:rPr>
                    <w:t>种类</w:t>
                  </w:r>
                </w:p>
              </w:tc>
              <w:tc>
                <w:tcPr>
                  <w:tcW w:w="930" w:type="dxa"/>
                  <w:vAlign w:val="center"/>
                </w:tcPr>
                <w:p>
                  <w:pPr>
                    <w:adjustRightInd w:val="0"/>
                    <w:snapToGrid w:val="0"/>
                    <w:jc w:val="center"/>
                    <w:rPr>
                      <w:bCs/>
                      <w:color w:val="auto"/>
                      <w:kern w:val="0"/>
                      <w:szCs w:val="21"/>
                      <w:highlight w:val="none"/>
                    </w:rPr>
                  </w:pPr>
                  <w:r>
                    <w:rPr>
                      <w:bCs/>
                      <w:color w:val="auto"/>
                      <w:kern w:val="0"/>
                      <w:szCs w:val="21"/>
                      <w:highlight w:val="none"/>
                    </w:rPr>
                    <w:t>浓度</w:t>
                  </w:r>
                  <w:r>
                    <w:rPr>
                      <w:rFonts w:hint="eastAsia"/>
                      <w:bCs/>
                      <w:color w:val="auto"/>
                      <w:kern w:val="0"/>
                      <w:szCs w:val="21"/>
                      <w:highlight w:val="none"/>
                    </w:rPr>
                    <w:t>(</w:t>
                  </w:r>
                  <w:r>
                    <w:rPr>
                      <w:color w:val="auto"/>
                      <w:highlight w:val="none"/>
                    </w:rPr>
                    <w:t>mg/m</w:t>
                  </w:r>
                  <w:r>
                    <w:rPr>
                      <w:color w:val="auto"/>
                      <w:highlight w:val="none"/>
                      <w:vertAlign w:val="superscript"/>
                    </w:rPr>
                    <w:t>3</w:t>
                  </w:r>
                  <w:r>
                    <w:rPr>
                      <w:rFonts w:hint="eastAsia"/>
                      <w:color w:val="auto"/>
                      <w:highlight w:val="none"/>
                    </w:rPr>
                    <w:t>)</w:t>
                  </w:r>
                </w:p>
              </w:tc>
              <w:tc>
                <w:tcPr>
                  <w:tcW w:w="780" w:type="dxa"/>
                  <w:vAlign w:val="center"/>
                </w:tcPr>
                <w:p>
                  <w:pPr>
                    <w:adjustRightInd w:val="0"/>
                    <w:snapToGrid w:val="0"/>
                    <w:jc w:val="center"/>
                    <w:rPr>
                      <w:bCs/>
                      <w:color w:val="auto"/>
                      <w:kern w:val="0"/>
                      <w:szCs w:val="21"/>
                      <w:highlight w:val="none"/>
                    </w:rPr>
                  </w:pPr>
                  <w:r>
                    <w:rPr>
                      <w:bCs/>
                      <w:color w:val="auto"/>
                      <w:kern w:val="0"/>
                      <w:szCs w:val="21"/>
                      <w:highlight w:val="none"/>
                    </w:rPr>
                    <w:t>产生量</w:t>
                  </w:r>
                  <w:r>
                    <w:rPr>
                      <w:rFonts w:hint="eastAsia"/>
                      <w:bCs/>
                      <w:color w:val="auto"/>
                      <w:kern w:val="0"/>
                      <w:szCs w:val="21"/>
                      <w:highlight w:val="none"/>
                    </w:rPr>
                    <w:t>(t/a)</w:t>
                  </w:r>
                </w:p>
              </w:tc>
              <w:tc>
                <w:tcPr>
                  <w:tcW w:w="570" w:type="dxa"/>
                  <w:vMerge w:val="continue"/>
                  <w:vAlign w:val="center"/>
                </w:tcPr>
                <w:p>
                  <w:pPr>
                    <w:adjustRightInd w:val="0"/>
                    <w:snapToGrid w:val="0"/>
                    <w:jc w:val="center"/>
                    <w:rPr>
                      <w:bCs/>
                      <w:color w:val="auto"/>
                      <w:kern w:val="0"/>
                      <w:szCs w:val="21"/>
                      <w:highlight w:val="none"/>
                    </w:rPr>
                  </w:pPr>
                </w:p>
              </w:tc>
              <w:tc>
                <w:tcPr>
                  <w:tcW w:w="668"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治理设施</w:t>
                  </w:r>
                </w:p>
              </w:tc>
              <w:tc>
                <w:tcPr>
                  <w:tcW w:w="637" w:type="dxa"/>
                  <w:vAlign w:val="center"/>
                </w:tcPr>
                <w:p>
                  <w:pPr>
                    <w:adjustRightInd w:val="0"/>
                    <w:snapToGrid w:val="0"/>
                    <w:jc w:val="center"/>
                    <w:rPr>
                      <w:bCs/>
                      <w:color w:val="auto"/>
                      <w:kern w:val="0"/>
                      <w:szCs w:val="21"/>
                      <w:highlight w:val="none"/>
                    </w:rPr>
                  </w:pPr>
                  <w:r>
                    <w:rPr>
                      <w:bCs/>
                      <w:color w:val="auto"/>
                      <w:kern w:val="0"/>
                      <w:szCs w:val="21"/>
                      <w:highlight w:val="none"/>
                    </w:rPr>
                    <w:t>去除率</w:t>
                  </w:r>
                </w:p>
              </w:tc>
              <w:tc>
                <w:tcPr>
                  <w:tcW w:w="750" w:type="dxa"/>
                  <w:vAlign w:val="center"/>
                </w:tcPr>
                <w:p>
                  <w:pPr>
                    <w:adjustRightInd w:val="0"/>
                    <w:snapToGrid w:val="0"/>
                    <w:jc w:val="center"/>
                    <w:rPr>
                      <w:bCs/>
                      <w:color w:val="auto"/>
                      <w:kern w:val="0"/>
                      <w:szCs w:val="21"/>
                      <w:highlight w:val="none"/>
                    </w:rPr>
                  </w:pPr>
                  <w:r>
                    <w:rPr>
                      <w:bCs/>
                      <w:color w:val="auto"/>
                      <w:kern w:val="0"/>
                      <w:szCs w:val="21"/>
                      <w:highlight w:val="none"/>
                    </w:rPr>
                    <w:t>是否为可行性技术</w:t>
                  </w:r>
                </w:p>
              </w:tc>
              <w:tc>
                <w:tcPr>
                  <w:tcW w:w="930" w:type="dxa"/>
                  <w:vAlign w:val="center"/>
                </w:tcPr>
                <w:p>
                  <w:pPr>
                    <w:adjustRightInd w:val="0"/>
                    <w:snapToGrid w:val="0"/>
                    <w:jc w:val="center"/>
                    <w:rPr>
                      <w:bCs/>
                      <w:color w:val="auto"/>
                      <w:kern w:val="0"/>
                      <w:szCs w:val="21"/>
                      <w:highlight w:val="none"/>
                    </w:rPr>
                  </w:pPr>
                  <w:r>
                    <w:rPr>
                      <w:bCs/>
                      <w:color w:val="auto"/>
                      <w:kern w:val="0"/>
                      <w:szCs w:val="21"/>
                      <w:highlight w:val="none"/>
                    </w:rPr>
                    <w:t>浓度</w:t>
                  </w:r>
                  <w:r>
                    <w:rPr>
                      <w:rFonts w:hint="eastAsia"/>
                      <w:bCs/>
                      <w:color w:val="auto"/>
                      <w:kern w:val="0"/>
                      <w:szCs w:val="21"/>
                      <w:highlight w:val="none"/>
                    </w:rPr>
                    <w:t>(</w:t>
                  </w:r>
                  <w:r>
                    <w:rPr>
                      <w:color w:val="auto"/>
                      <w:highlight w:val="none"/>
                    </w:rPr>
                    <w:t>mg/m</w:t>
                  </w:r>
                  <w:r>
                    <w:rPr>
                      <w:color w:val="auto"/>
                      <w:highlight w:val="none"/>
                      <w:vertAlign w:val="superscript"/>
                    </w:rPr>
                    <w:t>3</w:t>
                  </w:r>
                  <w:r>
                    <w:rPr>
                      <w:rFonts w:hint="eastAsia"/>
                      <w:color w:val="auto"/>
                      <w:highlight w:val="none"/>
                    </w:rPr>
                    <w:t>)</w:t>
                  </w:r>
                </w:p>
              </w:tc>
              <w:tc>
                <w:tcPr>
                  <w:tcW w:w="720" w:type="dxa"/>
                  <w:vAlign w:val="center"/>
                </w:tcPr>
                <w:p>
                  <w:pPr>
                    <w:adjustRightInd w:val="0"/>
                    <w:snapToGrid w:val="0"/>
                    <w:jc w:val="center"/>
                    <w:rPr>
                      <w:bCs/>
                      <w:color w:val="auto"/>
                      <w:kern w:val="0"/>
                      <w:szCs w:val="21"/>
                      <w:highlight w:val="none"/>
                    </w:rPr>
                  </w:pPr>
                  <w:r>
                    <w:rPr>
                      <w:bCs/>
                      <w:color w:val="auto"/>
                      <w:kern w:val="0"/>
                      <w:szCs w:val="21"/>
                      <w:highlight w:val="none"/>
                    </w:rPr>
                    <w:t>速率</w:t>
                  </w:r>
                  <w:r>
                    <w:rPr>
                      <w:rFonts w:hint="eastAsia"/>
                      <w:bCs/>
                      <w:color w:val="auto"/>
                      <w:kern w:val="0"/>
                      <w:szCs w:val="21"/>
                      <w:highlight w:val="none"/>
                    </w:rPr>
                    <w:t>(</w:t>
                  </w:r>
                  <w:r>
                    <w:rPr>
                      <w:color w:val="auto"/>
                      <w:highlight w:val="none"/>
                    </w:rPr>
                    <w:t>kg/h</w:t>
                  </w:r>
                  <w:r>
                    <w:rPr>
                      <w:rFonts w:hint="eastAsia"/>
                      <w:color w:val="auto"/>
                      <w:highlight w:val="none"/>
                    </w:rPr>
                    <w:t>)</w:t>
                  </w:r>
                </w:p>
              </w:tc>
              <w:tc>
                <w:tcPr>
                  <w:tcW w:w="750" w:type="dxa"/>
                  <w:vAlign w:val="center"/>
                </w:tcPr>
                <w:p>
                  <w:pPr>
                    <w:adjustRightInd w:val="0"/>
                    <w:snapToGrid w:val="0"/>
                    <w:jc w:val="center"/>
                    <w:rPr>
                      <w:bCs/>
                      <w:color w:val="auto"/>
                      <w:kern w:val="0"/>
                      <w:szCs w:val="21"/>
                      <w:highlight w:val="none"/>
                    </w:rPr>
                  </w:pPr>
                  <w:r>
                    <w:rPr>
                      <w:bCs/>
                      <w:color w:val="auto"/>
                      <w:kern w:val="0"/>
                      <w:szCs w:val="21"/>
                      <w:highlight w:val="none"/>
                    </w:rPr>
                    <w:t>排放量</w:t>
                  </w:r>
                  <w:r>
                    <w:rPr>
                      <w:rFonts w:hint="eastAsia"/>
                      <w:bCs/>
                      <w:color w:val="auto"/>
                      <w:kern w:val="0"/>
                      <w:szCs w:val="21"/>
                      <w:highlight w:val="none"/>
                    </w:rPr>
                    <w:t>(t/a)</w:t>
                  </w:r>
                </w:p>
              </w:tc>
              <w:tc>
                <w:tcPr>
                  <w:tcW w:w="93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排气筒参数</w:t>
                  </w:r>
                </w:p>
              </w:tc>
              <w:tc>
                <w:tcPr>
                  <w:tcW w:w="645" w:type="dxa"/>
                  <w:vMerge w:val="continue"/>
                  <w:vAlign w:val="center"/>
                </w:tcPr>
                <w:p>
                  <w:pPr>
                    <w:adjustRightInd w:val="0"/>
                    <w:snapToGrid w:val="0"/>
                    <w:jc w:val="center"/>
                    <w:rPr>
                      <w:bCs/>
                      <w:color w:val="auto"/>
                      <w:kern w:val="0"/>
                      <w:szCs w:val="21"/>
                      <w:highlight w:val="none"/>
                    </w:rPr>
                  </w:pPr>
                </w:p>
              </w:tc>
              <w:tc>
                <w:tcPr>
                  <w:tcW w:w="444" w:type="dxa"/>
                  <w:vMerge w:val="continue"/>
                  <w:vAlign w:val="center"/>
                </w:tcPr>
                <w:p>
                  <w:pPr>
                    <w:adjustRightInd w:val="0"/>
                    <w:snapToGrid w:val="0"/>
                    <w:jc w:val="center"/>
                    <w:rPr>
                      <w:bCs/>
                      <w:color w:val="auto"/>
                      <w:kern w:val="0"/>
                      <w:szCs w:val="21"/>
                      <w:highlight w:val="none"/>
                    </w:rPr>
                  </w:pPr>
                </w:p>
              </w:tc>
              <w:tc>
                <w:tcPr>
                  <w:tcW w:w="518" w:type="dxa"/>
                  <w:vMerge w:val="continue"/>
                  <w:vAlign w:val="center"/>
                </w:tcPr>
                <w:p>
                  <w:pPr>
                    <w:adjustRightInd w:val="0"/>
                    <w:snapToGrid w:val="0"/>
                    <w:jc w:val="center"/>
                    <w:rPr>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G1</w:t>
                  </w:r>
                </w:p>
              </w:tc>
              <w:tc>
                <w:tcPr>
                  <w:tcW w:w="858"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厨房废气</w:t>
                  </w:r>
                </w:p>
              </w:tc>
              <w:tc>
                <w:tcPr>
                  <w:tcW w:w="825"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油烟</w:t>
                  </w:r>
                </w:p>
              </w:tc>
              <w:tc>
                <w:tcPr>
                  <w:tcW w:w="93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78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57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无组织</w:t>
                  </w:r>
                </w:p>
              </w:tc>
              <w:tc>
                <w:tcPr>
                  <w:tcW w:w="668"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抽油烟机</w:t>
                  </w:r>
                </w:p>
              </w:tc>
              <w:tc>
                <w:tcPr>
                  <w:tcW w:w="637"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85%</w:t>
                  </w:r>
                </w:p>
              </w:tc>
              <w:tc>
                <w:tcPr>
                  <w:tcW w:w="75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是</w:t>
                  </w:r>
                </w:p>
              </w:tc>
              <w:tc>
                <w:tcPr>
                  <w:tcW w:w="93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72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75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930" w:type="dxa"/>
                  <w:vAlign w:val="center"/>
                </w:tcPr>
                <w:p>
                  <w:pPr>
                    <w:pStyle w:val="30"/>
                    <w:rPr>
                      <w:color w:val="auto"/>
                      <w:highlight w:val="none"/>
                    </w:rPr>
                  </w:pPr>
                  <w:r>
                    <w:rPr>
                      <w:rFonts w:hint="eastAsia"/>
                      <w:color w:val="auto"/>
                      <w:highlight w:val="none"/>
                    </w:rPr>
                    <w:t>/</w:t>
                  </w:r>
                </w:p>
              </w:tc>
              <w:tc>
                <w:tcPr>
                  <w:tcW w:w="645" w:type="dxa"/>
                  <w:tcBorders>
                    <w:bottom w:val="single" w:color="000000" w:sz="4" w:space="0"/>
                  </w:tcBorders>
                  <w:vAlign w:val="center"/>
                </w:tcPr>
                <w:p>
                  <w:pPr>
                    <w:adjustRightInd w:val="0"/>
                    <w:snapToGrid w:val="0"/>
                    <w:jc w:val="center"/>
                    <w:rPr>
                      <w:rFonts w:hint="default" w:eastAsia="宋体"/>
                      <w:bCs/>
                      <w:color w:val="auto"/>
                      <w:kern w:val="0"/>
                      <w:szCs w:val="21"/>
                      <w:highlight w:val="none"/>
                      <w:lang w:val="en-US" w:eastAsia="zh-CN"/>
                    </w:rPr>
                  </w:pPr>
                  <w:r>
                    <w:rPr>
                      <w:rFonts w:hint="eastAsia"/>
                      <w:bCs/>
                      <w:color w:val="auto"/>
                      <w:kern w:val="0"/>
                      <w:szCs w:val="21"/>
                      <w:highlight w:val="none"/>
                      <w:lang w:val="en-US" w:eastAsia="zh-CN"/>
                    </w:rPr>
                    <w:t>2.0</w:t>
                  </w:r>
                </w:p>
              </w:tc>
              <w:tc>
                <w:tcPr>
                  <w:tcW w:w="444" w:type="dxa"/>
                  <w:vAlign w:val="center"/>
                </w:tcPr>
                <w:p>
                  <w:pPr>
                    <w:adjustRightInd w:val="0"/>
                    <w:snapToGrid w:val="0"/>
                    <w:jc w:val="center"/>
                    <w:rPr>
                      <w:rFonts w:hint="eastAsia" w:eastAsia="宋体"/>
                      <w:bCs/>
                      <w:color w:val="auto"/>
                      <w:kern w:val="0"/>
                      <w:szCs w:val="21"/>
                      <w:highlight w:val="none"/>
                      <w:lang w:eastAsia="zh-CN"/>
                    </w:rPr>
                  </w:pPr>
                  <w:r>
                    <w:rPr>
                      <w:rFonts w:hint="eastAsia"/>
                      <w:bCs/>
                      <w:color w:val="auto"/>
                      <w:kern w:val="0"/>
                      <w:szCs w:val="21"/>
                      <w:highlight w:val="none"/>
                      <w:lang w:eastAsia="zh-CN"/>
                    </w:rPr>
                    <w:t>是</w:t>
                  </w:r>
                </w:p>
              </w:tc>
              <w:tc>
                <w:tcPr>
                  <w:tcW w:w="518"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497"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G2</w:t>
                  </w:r>
                </w:p>
              </w:tc>
              <w:tc>
                <w:tcPr>
                  <w:tcW w:w="858"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发电机废气</w:t>
                  </w:r>
                </w:p>
              </w:tc>
              <w:tc>
                <w:tcPr>
                  <w:tcW w:w="825" w:type="dxa"/>
                  <w:vAlign w:val="center"/>
                </w:tcPr>
                <w:p>
                  <w:pPr>
                    <w:pStyle w:val="30"/>
                    <w:rPr>
                      <w:color w:val="auto"/>
                      <w:highlight w:val="none"/>
                    </w:rPr>
                  </w:pPr>
                  <w:r>
                    <w:rPr>
                      <w:rFonts w:hint="eastAsia"/>
                      <w:color w:val="auto"/>
                      <w:highlight w:val="none"/>
                    </w:rPr>
                    <w:t>SO</w:t>
                  </w:r>
                  <w:r>
                    <w:rPr>
                      <w:rFonts w:hint="eastAsia"/>
                      <w:color w:val="auto"/>
                      <w:highlight w:val="none"/>
                      <w:vertAlign w:val="subscript"/>
                    </w:rPr>
                    <w:t>2</w:t>
                  </w:r>
                </w:p>
                <w:p>
                  <w:pPr>
                    <w:pStyle w:val="30"/>
                    <w:rPr>
                      <w:color w:val="auto"/>
                      <w:highlight w:val="none"/>
                    </w:rPr>
                  </w:pPr>
                  <w:r>
                    <w:rPr>
                      <w:rFonts w:hint="eastAsia"/>
                      <w:color w:val="auto"/>
                      <w:highlight w:val="none"/>
                    </w:rPr>
                    <w:t>烟尘</w:t>
                  </w:r>
                </w:p>
              </w:tc>
              <w:tc>
                <w:tcPr>
                  <w:tcW w:w="930" w:type="dxa"/>
                  <w:vAlign w:val="center"/>
                </w:tcPr>
                <w:p>
                  <w:pPr>
                    <w:pStyle w:val="30"/>
                    <w:rPr>
                      <w:color w:val="auto"/>
                      <w:highlight w:val="none"/>
                    </w:rPr>
                  </w:pPr>
                  <w:r>
                    <w:rPr>
                      <w:rFonts w:hint="eastAsia"/>
                      <w:color w:val="auto"/>
                      <w:highlight w:val="none"/>
                    </w:rPr>
                    <w:t>/</w:t>
                  </w:r>
                </w:p>
              </w:tc>
              <w:tc>
                <w:tcPr>
                  <w:tcW w:w="78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57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无组织</w:t>
                  </w:r>
                </w:p>
              </w:tc>
              <w:tc>
                <w:tcPr>
                  <w:tcW w:w="668"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机械排风系统</w:t>
                  </w:r>
                </w:p>
              </w:tc>
              <w:tc>
                <w:tcPr>
                  <w:tcW w:w="637"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75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93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72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75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930" w:type="dxa"/>
                  <w:vAlign w:val="center"/>
                </w:tcPr>
                <w:p>
                  <w:pPr>
                    <w:adjustRightInd w:val="0"/>
                    <w:snapToGrid w:val="0"/>
                    <w:jc w:val="center"/>
                    <w:rPr>
                      <w:color w:val="auto"/>
                      <w:highlight w:val="none"/>
                    </w:rPr>
                  </w:pPr>
                  <w:r>
                    <w:rPr>
                      <w:rFonts w:hint="eastAsia"/>
                      <w:color w:val="auto"/>
                      <w:highlight w:val="none"/>
                    </w:rPr>
                    <w:t>/</w:t>
                  </w:r>
                </w:p>
              </w:tc>
              <w:tc>
                <w:tcPr>
                  <w:tcW w:w="645" w:type="dxa"/>
                  <w:tcBorders>
                    <w:top w:val="single" w:color="000000" w:sz="4" w:space="0"/>
                    <w:bottom w:val="single" w:color="000000" w:sz="4" w:space="0"/>
                  </w:tcBorders>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444"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518"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atLeast"/>
              </w:trPr>
              <w:tc>
                <w:tcPr>
                  <w:tcW w:w="497" w:type="dxa"/>
                  <w:vAlign w:val="center"/>
                </w:tcPr>
                <w:p>
                  <w:pPr>
                    <w:adjustRightInd w:val="0"/>
                    <w:snapToGrid w:val="0"/>
                    <w:jc w:val="center"/>
                    <w:rPr>
                      <w:bCs/>
                      <w:color w:val="auto"/>
                      <w:kern w:val="0"/>
                      <w:szCs w:val="21"/>
                      <w:highlight w:val="none"/>
                    </w:rPr>
                  </w:pPr>
                  <w:r>
                    <w:rPr>
                      <w:bCs/>
                      <w:color w:val="auto"/>
                      <w:kern w:val="0"/>
                      <w:szCs w:val="21"/>
                      <w:highlight w:val="none"/>
                    </w:rPr>
                    <w:t>G</w:t>
                  </w:r>
                  <w:r>
                    <w:rPr>
                      <w:rFonts w:hint="eastAsia"/>
                      <w:bCs/>
                      <w:color w:val="auto"/>
                      <w:kern w:val="0"/>
                      <w:szCs w:val="21"/>
                      <w:highlight w:val="none"/>
                    </w:rPr>
                    <w:t>3</w:t>
                  </w:r>
                </w:p>
              </w:tc>
              <w:tc>
                <w:tcPr>
                  <w:tcW w:w="858"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汽车尾气</w:t>
                  </w:r>
                </w:p>
              </w:tc>
              <w:tc>
                <w:tcPr>
                  <w:tcW w:w="825" w:type="dxa"/>
                  <w:vAlign w:val="center"/>
                </w:tcPr>
                <w:p>
                  <w:pPr>
                    <w:adjustRightInd w:val="0"/>
                    <w:snapToGrid w:val="0"/>
                    <w:jc w:val="center"/>
                    <w:rPr>
                      <w:color w:val="auto"/>
                      <w:highlight w:val="none"/>
                    </w:rPr>
                  </w:pPr>
                  <w:r>
                    <w:rPr>
                      <w:rFonts w:hint="eastAsia"/>
                      <w:color w:val="auto"/>
                      <w:highlight w:val="none"/>
                    </w:rPr>
                    <w:t>CO</w:t>
                  </w:r>
                </w:p>
                <w:p>
                  <w:pPr>
                    <w:adjustRightInd w:val="0"/>
                    <w:snapToGrid w:val="0"/>
                    <w:jc w:val="center"/>
                    <w:rPr>
                      <w:color w:val="auto"/>
                      <w:highlight w:val="none"/>
                    </w:rPr>
                  </w:pPr>
                  <w:r>
                    <w:rPr>
                      <w:rFonts w:hint="eastAsia"/>
                      <w:color w:val="auto"/>
                      <w:highlight w:val="none"/>
                    </w:rPr>
                    <w:t>HC</w:t>
                  </w:r>
                </w:p>
                <w:p>
                  <w:pPr>
                    <w:adjustRightInd w:val="0"/>
                    <w:snapToGrid w:val="0"/>
                    <w:jc w:val="center"/>
                    <w:rPr>
                      <w:bCs/>
                      <w:color w:val="auto"/>
                      <w:kern w:val="0"/>
                      <w:szCs w:val="21"/>
                      <w:highlight w:val="none"/>
                    </w:rPr>
                  </w:pPr>
                  <w:r>
                    <w:rPr>
                      <w:rFonts w:hint="eastAsia"/>
                      <w:color w:val="auto"/>
                      <w:highlight w:val="none"/>
                    </w:rPr>
                    <w:t>NOx</w:t>
                  </w:r>
                </w:p>
              </w:tc>
              <w:tc>
                <w:tcPr>
                  <w:tcW w:w="93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78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57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无组织</w:t>
                  </w:r>
                </w:p>
              </w:tc>
              <w:tc>
                <w:tcPr>
                  <w:tcW w:w="668"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机械排风系统</w:t>
                  </w:r>
                </w:p>
              </w:tc>
              <w:tc>
                <w:tcPr>
                  <w:tcW w:w="637"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75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93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72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750"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930" w:type="dxa"/>
                  <w:vAlign w:val="center"/>
                </w:tcPr>
                <w:p>
                  <w:pPr>
                    <w:adjustRightInd w:val="0"/>
                    <w:snapToGrid w:val="0"/>
                    <w:jc w:val="center"/>
                    <w:rPr>
                      <w:color w:val="auto"/>
                      <w:highlight w:val="none"/>
                    </w:rPr>
                  </w:pPr>
                  <w:r>
                    <w:rPr>
                      <w:rFonts w:hint="eastAsia"/>
                      <w:color w:val="auto"/>
                      <w:highlight w:val="none"/>
                    </w:rPr>
                    <w:t>/</w:t>
                  </w:r>
                </w:p>
              </w:tc>
              <w:tc>
                <w:tcPr>
                  <w:tcW w:w="645" w:type="dxa"/>
                  <w:tcBorders>
                    <w:top w:val="single" w:color="000000" w:sz="4" w:space="0"/>
                    <w:bottom w:val="single" w:color="000000" w:sz="4" w:space="0"/>
                  </w:tcBorders>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444"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c>
                <w:tcPr>
                  <w:tcW w:w="518"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497" w:type="dxa"/>
                  <w:vAlign w:val="center"/>
                </w:tcPr>
                <w:p>
                  <w:pPr>
                    <w:pStyle w:val="30"/>
                    <w:rPr>
                      <w:color w:val="auto"/>
                      <w:highlight w:val="none"/>
                    </w:rPr>
                  </w:pPr>
                  <w:r>
                    <w:rPr>
                      <w:rFonts w:hint="eastAsia"/>
                      <w:color w:val="auto"/>
                      <w:highlight w:val="none"/>
                    </w:rPr>
                    <w:t>G4</w:t>
                  </w:r>
                </w:p>
              </w:tc>
              <w:tc>
                <w:tcPr>
                  <w:tcW w:w="858" w:type="dxa"/>
                  <w:vAlign w:val="center"/>
                </w:tcPr>
                <w:p>
                  <w:pPr>
                    <w:pStyle w:val="30"/>
                    <w:rPr>
                      <w:color w:val="auto"/>
                      <w:highlight w:val="none"/>
                    </w:rPr>
                  </w:pPr>
                  <w:r>
                    <w:rPr>
                      <w:rFonts w:hint="eastAsia"/>
                      <w:color w:val="auto"/>
                      <w:highlight w:val="none"/>
                    </w:rPr>
                    <w:t>实验室废气</w:t>
                  </w:r>
                </w:p>
              </w:tc>
              <w:tc>
                <w:tcPr>
                  <w:tcW w:w="825" w:type="dxa"/>
                  <w:vAlign w:val="center"/>
                </w:tcPr>
                <w:p>
                  <w:pPr>
                    <w:pStyle w:val="30"/>
                    <w:rPr>
                      <w:color w:val="auto"/>
                      <w:highlight w:val="none"/>
                    </w:rPr>
                  </w:pPr>
                  <w:r>
                    <w:rPr>
                      <w:rFonts w:hint="eastAsia"/>
                      <w:color w:val="auto"/>
                      <w:highlight w:val="none"/>
                    </w:rPr>
                    <w:t>VOCs</w:t>
                  </w:r>
                </w:p>
              </w:tc>
              <w:tc>
                <w:tcPr>
                  <w:tcW w:w="930" w:type="dxa"/>
                  <w:vAlign w:val="center"/>
                </w:tcPr>
                <w:p>
                  <w:pPr>
                    <w:pStyle w:val="30"/>
                    <w:rPr>
                      <w:rFonts w:hint="default" w:eastAsia="宋体"/>
                      <w:color w:val="auto"/>
                      <w:highlight w:val="none"/>
                      <w:lang w:val="en-US" w:eastAsia="zh-CN"/>
                    </w:rPr>
                  </w:pPr>
                  <w:r>
                    <w:rPr>
                      <w:rFonts w:hint="eastAsia"/>
                      <w:color w:val="auto"/>
                      <w:highlight w:val="none"/>
                      <w:lang w:val="en-US" w:eastAsia="zh-CN"/>
                    </w:rPr>
                    <w:t>25</w:t>
                  </w:r>
                </w:p>
              </w:tc>
              <w:tc>
                <w:tcPr>
                  <w:tcW w:w="780" w:type="dxa"/>
                  <w:vAlign w:val="center"/>
                </w:tcPr>
                <w:p>
                  <w:pPr>
                    <w:pStyle w:val="3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08</w:t>
                  </w:r>
                </w:p>
              </w:tc>
              <w:tc>
                <w:tcPr>
                  <w:tcW w:w="570" w:type="dxa"/>
                  <w:vAlign w:val="center"/>
                </w:tcPr>
                <w:p>
                  <w:pPr>
                    <w:pStyle w:val="30"/>
                    <w:rPr>
                      <w:color w:val="auto"/>
                      <w:highlight w:val="none"/>
                    </w:rPr>
                  </w:pPr>
                  <w:r>
                    <w:rPr>
                      <w:rFonts w:hint="eastAsia"/>
                      <w:color w:val="auto"/>
                      <w:highlight w:val="none"/>
                    </w:rPr>
                    <w:t>有组织</w:t>
                  </w:r>
                </w:p>
              </w:tc>
              <w:tc>
                <w:tcPr>
                  <w:tcW w:w="668" w:type="dxa"/>
                  <w:vAlign w:val="center"/>
                </w:tcPr>
                <w:p>
                  <w:pPr>
                    <w:pStyle w:val="30"/>
                    <w:rPr>
                      <w:color w:val="auto"/>
                      <w:highlight w:val="none"/>
                    </w:rPr>
                  </w:pPr>
                  <w:r>
                    <w:rPr>
                      <w:rFonts w:hint="eastAsia"/>
                      <w:color w:val="auto"/>
                      <w:highlight w:val="none"/>
                    </w:rPr>
                    <w:t>活性炭吸附</w:t>
                  </w:r>
                </w:p>
              </w:tc>
              <w:tc>
                <w:tcPr>
                  <w:tcW w:w="637" w:type="dxa"/>
                  <w:vAlign w:val="center"/>
                </w:tcPr>
                <w:p>
                  <w:pPr>
                    <w:pStyle w:val="30"/>
                    <w:rPr>
                      <w:color w:val="auto"/>
                      <w:highlight w:val="none"/>
                    </w:rPr>
                  </w:pPr>
                  <w:r>
                    <w:rPr>
                      <w:rFonts w:hint="eastAsia"/>
                      <w:color w:val="auto"/>
                      <w:highlight w:val="none"/>
                    </w:rPr>
                    <w:t>70%</w:t>
                  </w:r>
                </w:p>
              </w:tc>
              <w:tc>
                <w:tcPr>
                  <w:tcW w:w="750" w:type="dxa"/>
                  <w:vAlign w:val="center"/>
                </w:tcPr>
                <w:p>
                  <w:pPr>
                    <w:pStyle w:val="30"/>
                    <w:rPr>
                      <w:color w:val="auto"/>
                      <w:highlight w:val="none"/>
                    </w:rPr>
                  </w:pPr>
                  <w:r>
                    <w:rPr>
                      <w:rFonts w:hint="eastAsia"/>
                      <w:color w:val="auto"/>
                      <w:highlight w:val="none"/>
                    </w:rPr>
                    <w:t>是</w:t>
                  </w:r>
                </w:p>
              </w:tc>
              <w:tc>
                <w:tcPr>
                  <w:tcW w:w="930" w:type="dxa"/>
                  <w:vAlign w:val="center"/>
                </w:tcPr>
                <w:p>
                  <w:pPr>
                    <w:pStyle w:val="30"/>
                    <w:rPr>
                      <w:rFonts w:hint="default" w:eastAsia="宋体"/>
                      <w:color w:val="auto"/>
                      <w:highlight w:val="none"/>
                      <w:lang w:val="en-US" w:eastAsia="zh-CN"/>
                    </w:rPr>
                  </w:pPr>
                  <w:r>
                    <w:rPr>
                      <w:rFonts w:hint="eastAsia"/>
                      <w:color w:val="auto"/>
                      <w:highlight w:val="none"/>
                      <w:lang w:val="en-US" w:eastAsia="zh-CN"/>
                    </w:rPr>
                    <w:t>3.75</w:t>
                  </w:r>
                </w:p>
              </w:tc>
              <w:tc>
                <w:tcPr>
                  <w:tcW w:w="720" w:type="dxa"/>
                  <w:vAlign w:val="center"/>
                </w:tcPr>
                <w:p>
                  <w:pPr>
                    <w:pStyle w:val="30"/>
                    <w:rPr>
                      <w:rFonts w:hint="default" w:eastAsia="宋体"/>
                      <w:color w:val="auto"/>
                      <w:highlight w:val="none"/>
                      <w:lang w:val="en-US" w:eastAsia="zh-CN"/>
                    </w:rPr>
                  </w:pPr>
                  <w:r>
                    <w:rPr>
                      <w:rFonts w:hint="eastAsia"/>
                      <w:color w:val="auto"/>
                      <w:highlight w:val="none"/>
                    </w:rPr>
                    <w:t>0.0</w:t>
                  </w:r>
                  <w:r>
                    <w:rPr>
                      <w:rFonts w:hint="eastAsia"/>
                      <w:color w:val="auto"/>
                      <w:highlight w:val="none"/>
                      <w:lang w:val="en-US" w:eastAsia="zh-CN"/>
                    </w:rPr>
                    <w:t>15</w:t>
                  </w:r>
                </w:p>
              </w:tc>
              <w:tc>
                <w:tcPr>
                  <w:tcW w:w="750" w:type="dxa"/>
                  <w:vAlign w:val="center"/>
                </w:tcPr>
                <w:p>
                  <w:pPr>
                    <w:pStyle w:val="30"/>
                    <w:rPr>
                      <w:rFonts w:hint="default" w:eastAsia="宋体"/>
                      <w:color w:val="auto"/>
                      <w:highlight w:val="none"/>
                      <w:lang w:val="en-US" w:eastAsia="zh-CN"/>
                    </w:rPr>
                  </w:pPr>
                  <w:r>
                    <w:rPr>
                      <w:rFonts w:hint="eastAsia"/>
                      <w:color w:val="auto"/>
                      <w:highlight w:val="none"/>
                    </w:rPr>
                    <w:t>0.0</w:t>
                  </w:r>
                  <w:r>
                    <w:rPr>
                      <w:rFonts w:hint="eastAsia"/>
                      <w:color w:val="auto"/>
                      <w:highlight w:val="none"/>
                      <w:lang w:val="en-US" w:eastAsia="zh-CN"/>
                    </w:rPr>
                    <w:t>24</w:t>
                  </w:r>
                </w:p>
              </w:tc>
              <w:tc>
                <w:tcPr>
                  <w:tcW w:w="930" w:type="dxa"/>
                  <w:vAlign w:val="center"/>
                </w:tcPr>
                <w:p>
                  <w:pPr>
                    <w:pStyle w:val="30"/>
                    <w:rPr>
                      <w:color w:val="auto"/>
                      <w:highlight w:val="none"/>
                    </w:rPr>
                  </w:pPr>
                  <w:r>
                    <w:rPr>
                      <w:rFonts w:hint="eastAsia"/>
                      <w:color w:val="auto"/>
                      <w:highlight w:val="none"/>
                    </w:rPr>
                    <w:t>H=45mD=0.8m</w:t>
                  </w:r>
                </w:p>
                <w:p>
                  <w:pPr>
                    <w:pStyle w:val="30"/>
                    <w:rPr>
                      <w:color w:val="auto"/>
                      <w:highlight w:val="none"/>
                    </w:rPr>
                  </w:pPr>
                  <w:r>
                    <w:rPr>
                      <w:rFonts w:hint="eastAsia"/>
                      <w:color w:val="auto"/>
                      <w:highlight w:val="none"/>
                    </w:rPr>
                    <w:t>T=25</w:t>
                  </w:r>
                  <w:r>
                    <w:rPr>
                      <w:color w:val="auto"/>
                      <w:highlight w:val="none"/>
                    </w:rPr>
                    <w:t>℃</w:t>
                  </w:r>
                </w:p>
              </w:tc>
              <w:tc>
                <w:tcPr>
                  <w:tcW w:w="645" w:type="dxa"/>
                  <w:tcBorders>
                    <w:top w:val="single" w:color="000000" w:sz="4" w:space="0"/>
                    <w:bottom w:val="single" w:color="000000" w:sz="4" w:space="0"/>
                  </w:tcBorders>
                  <w:vAlign w:val="center"/>
                </w:tcPr>
                <w:p>
                  <w:pPr>
                    <w:pStyle w:val="30"/>
                    <w:rPr>
                      <w:color w:val="auto"/>
                      <w:highlight w:val="none"/>
                    </w:rPr>
                  </w:pPr>
                  <w:r>
                    <w:rPr>
                      <w:rFonts w:hint="eastAsia"/>
                      <w:color w:val="auto"/>
                      <w:highlight w:val="none"/>
                    </w:rPr>
                    <w:t>120</w:t>
                  </w:r>
                </w:p>
              </w:tc>
              <w:tc>
                <w:tcPr>
                  <w:tcW w:w="444" w:type="dxa"/>
                  <w:vAlign w:val="center"/>
                </w:tcPr>
                <w:p>
                  <w:pPr>
                    <w:pStyle w:val="30"/>
                    <w:rPr>
                      <w:color w:val="auto"/>
                      <w:highlight w:val="none"/>
                    </w:rPr>
                  </w:pPr>
                  <w:r>
                    <w:rPr>
                      <w:rFonts w:hint="eastAsia"/>
                      <w:color w:val="auto"/>
                      <w:highlight w:val="none"/>
                    </w:rPr>
                    <w:t>是</w:t>
                  </w:r>
                </w:p>
              </w:tc>
              <w:tc>
                <w:tcPr>
                  <w:tcW w:w="518" w:type="dxa"/>
                  <w:vAlign w:val="center"/>
                </w:tcPr>
                <w:p>
                  <w:pPr>
                    <w:pStyle w:val="30"/>
                    <w:rPr>
                      <w:color w:val="auto"/>
                      <w:highlight w:val="none"/>
                    </w:rPr>
                  </w:pPr>
                  <w:r>
                    <w:rPr>
                      <w:rFonts w:hint="eastAsia"/>
                      <w:color w:val="auto"/>
                      <w:highlight w:val="none"/>
                    </w:rPr>
                    <w:t>1年/次</w:t>
                  </w:r>
                </w:p>
              </w:tc>
            </w:tr>
          </w:tbl>
          <w:p>
            <w:pPr>
              <w:suppressLineNumbers/>
              <w:suppressAutoHyphens/>
              <w:adjustRightInd w:val="0"/>
              <w:snapToGrid w:val="0"/>
              <w:spacing w:line="360" w:lineRule="auto"/>
              <w:jc w:val="center"/>
              <w:textAlignment w:val="baseline"/>
              <w:rPr>
                <w:color w:val="auto"/>
                <w:highlight w:val="none"/>
              </w:rPr>
            </w:pPr>
          </w:p>
        </w:tc>
      </w:tr>
    </w:tbl>
    <w:p>
      <w:pPr>
        <w:adjustRightInd w:val="0"/>
        <w:snapToGrid w:val="0"/>
        <w:spacing w:line="360" w:lineRule="auto"/>
        <w:rPr>
          <w:rFonts w:ascii="宋体" w:cs="宋体"/>
          <w:b/>
          <w:color w:val="auto"/>
          <w:kern w:val="0"/>
          <w:sz w:val="28"/>
          <w:szCs w:val="28"/>
          <w:highlight w:val="none"/>
        </w:rPr>
        <w:sectPr>
          <w:pgSz w:w="16840" w:h="11907" w:orient="landscape"/>
          <w:pgMar w:top="1531" w:right="1701" w:bottom="1531" w:left="2127" w:header="851" w:footer="851" w:gutter="0"/>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2" w:hRule="atLeast"/>
        </w:trPr>
        <w:tc>
          <w:tcPr>
            <w:tcW w:w="636" w:type="dxa"/>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期环</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境影</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响和</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保护</w:t>
            </w:r>
          </w:p>
          <w:p>
            <w:pPr>
              <w:adjustRightInd w:val="0"/>
              <w:snapToGrid w:val="0"/>
              <w:jc w:val="center"/>
              <w:rPr>
                <w:color w:val="auto"/>
                <w:highlight w:val="none"/>
              </w:rPr>
            </w:pPr>
            <w:r>
              <w:rPr>
                <w:rFonts w:hint="eastAsia" w:ascii="宋体" w:hAnsi="宋体" w:cs="宋体"/>
                <w:bCs/>
                <w:color w:val="auto"/>
                <w:szCs w:val="21"/>
                <w:highlight w:val="none"/>
              </w:rPr>
              <w:t>措施</w:t>
            </w:r>
          </w:p>
        </w:tc>
        <w:tc>
          <w:tcPr>
            <w:tcW w:w="8425" w:type="dxa"/>
          </w:tcPr>
          <w:p>
            <w:pPr>
              <w:pStyle w:val="36"/>
              <w:ind w:firstLine="480"/>
              <w:rPr>
                <w:color w:val="auto"/>
                <w:highlight w:val="none"/>
              </w:rPr>
            </w:pPr>
            <w:r>
              <w:rPr>
                <w:rFonts w:hint="eastAsia"/>
                <w:color w:val="auto"/>
                <w:highlight w:val="none"/>
              </w:rPr>
              <w:t>本项目运营期的废气主要有厨房废气、汽车尾气、备用发电机燃油废气和实验室废气。</w:t>
            </w:r>
          </w:p>
          <w:p>
            <w:pPr>
              <w:pStyle w:val="36"/>
              <w:ind w:firstLine="480"/>
              <w:rPr>
                <w:color w:val="auto"/>
                <w:highlight w:val="none"/>
              </w:rPr>
            </w:pPr>
            <w:r>
              <w:rPr>
                <w:rFonts w:hint="eastAsia"/>
                <w:color w:val="auto"/>
                <w:highlight w:val="none"/>
              </w:rPr>
              <w:t>（1）厨房废气G1：综合楼1楼设有1间咖啡厅（占地面积约260平方米），2楼设有1间餐厅（占地面积约400平方米），新增就餐人数约1000人。项目综合楼所设咖啡厅与餐厅只提供简餐，产生的餐厅油烟较少，经抽油烟机处理后由排气口排放，对周边环境影响较小，本次评价对其只进行定性分析。</w:t>
            </w:r>
            <w:r>
              <w:rPr>
                <w:rFonts w:hint="eastAsia"/>
                <w:color w:val="auto"/>
                <w:highlight w:val="none"/>
                <w:lang w:eastAsia="zh-CN"/>
              </w:rPr>
              <w:t>厨房油烟执行《饮食业油烟排放标准（试行）》（</w:t>
            </w:r>
            <w:r>
              <w:rPr>
                <w:rFonts w:hint="eastAsia"/>
                <w:color w:val="auto"/>
                <w:highlight w:val="none"/>
                <w:lang w:val="en-US" w:eastAsia="zh-CN"/>
              </w:rPr>
              <w:t>GB18483-2001）中最高允许排放浓度限值，即2.0mg/m</w:t>
            </w:r>
            <w:r>
              <w:rPr>
                <w:rFonts w:hint="eastAsia"/>
                <w:color w:val="auto"/>
                <w:highlight w:val="none"/>
                <w:vertAlign w:val="superscript"/>
                <w:lang w:val="en-US" w:eastAsia="zh-CN"/>
              </w:rPr>
              <w:t>3</w:t>
            </w:r>
            <w:r>
              <w:rPr>
                <w:rFonts w:hint="eastAsia"/>
                <w:color w:val="auto"/>
                <w:highlight w:val="none"/>
                <w:lang w:val="en-US" w:eastAsia="zh-CN"/>
              </w:rPr>
              <w:t>。</w:t>
            </w:r>
          </w:p>
          <w:p>
            <w:pPr>
              <w:pStyle w:val="36"/>
              <w:ind w:firstLine="480"/>
              <w:rPr>
                <w:color w:val="auto"/>
                <w:highlight w:val="none"/>
              </w:rPr>
            </w:pPr>
            <w:r>
              <w:rPr>
                <w:rFonts w:hint="eastAsia"/>
                <w:color w:val="auto"/>
                <w:highlight w:val="none"/>
              </w:rPr>
              <w:t>（2）发电机废气G2：本项目新设置一台1000KW</w:t>
            </w:r>
            <w:r>
              <w:rPr>
                <w:color w:val="auto"/>
                <w:highlight w:val="none"/>
              </w:rPr>
              <w:t>低压柴油发电机组</w:t>
            </w:r>
            <w:r>
              <w:rPr>
                <w:rFonts w:hint="eastAsia"/>
                <w:color w:val="auto"/>
                <w:highlight w:val="none"/>
              </w:rPr>
              <w:t>，位于专用设备房内，柴油发电机在停电时运行发电并排放废气、热气，备用发电机房设置机械排风装置。</w:t>
            </w:r>
          </w:p>
          <w:p>
            <w:pPr>
              <w:pStyle w:val="36"/>
              <w:ind w:firstLine="480"/>
              <w:rPr>
                <w:color w:val="auto"/>
                <w:highlight w:val="none"/>
              </w:rPr>
            </w:pPr>
            <w:r>
              <w:rPr>
                <w:rFonts w:hint="eastAsia"/>
                <w:color w:val="auto"/>
                <w:highlight w:val="none"/>
              </w:rPr>
              <w:t>柴油发电机房设置专用机房内，使用轻柴油为燃料，产生的SO</w:t>
            </w:r>
            <w:r>
              <w:rPr>
                <w:rFonts w:hint="eastAsia"/>
                <w:color w:val="auto"/>
                <w:highlight w:val="none"/>
                <w:vertAlign w:val="subscript"/>
              </w:rPr>
              <w:t>2</w:t>
            </w:r>
            <w:r>
              <w:rPr>
                <w:rFonts w:hint="eastAsia"/>
                <w:color w:val="auto"/>
                <w:highlight w:val="none"/>
              </w:rPr>
              <w:t>和烟尘很少。柴油发电机仅在大楼停电时运行发电，排放废气、热气，烟气排放量较小。机房采用机械排风方式，对周围的环境影响相当有限，且为暂时性的，只会影响局限在排烟口附近的区域，不会对周围大气环境造成影响，本次评价只对其进行定性分析。</w:t>
            </w:r>
          </w:p>
          <w:p>
            <w:pPr>
              <w:pStyle w:val="36"/>
              <w:ind w:firstLine="480"/>
              <w:rPr>
                <w:color w:val="auto"/>
                <w:highlight w:val="none"/>
              </w:rPr>
            </w:pPr>
            <w:r>
              <w:rPr>
                <w:rFonts w:hint="eastAsia"/>
                <w:color w:val="auto"/>
                <w:highlight w:val="none"/>
              </w:rPr>
              <w:t>（3）汽车尾气G3：本项目建设完成后，进入校园的汽车数量增加，汽车进入停车场（库）怠速行驶时将有机动车尾气排放，属于间歇排放。汽车尾气包括排气管尾气、曲轴箱漏气及油箱和化油箱等燃料系统泄漏的废气等，所排的污染物有CO、HC、NOx、CO</w:t>
            </w:r>
            <w:r>
              <w:rPr>
                <w:rFonts w:hint="eastAsia"/>
                <w:color w:val="auto"/>
                <w:highlight w:val="none"/>
                <w:vertAlign w:val="subscript"/>
              </w:rPr>
              <w:t>2</w:t>
            </w:r>
            <w:r>
              <w:rPr>
                <w:rFonts w:hint="eastAsia"/>
                <w:color w:val="auto"/>
                <w:highlight w:val="none"/>
              </w:rPr>
              <w:t>、苯并（a）芘、醛等，其中主要污染物是CO、HC、NOx等。项目</w:t>
            </w:r>
            <w:r>
              <w:rPr>
                <w:color w:val="auto"/>
                <w:highlight w:val="none"/>
              </w:rPr>
              <w:t>地下室车库设有机械送排风系统，其排</w:t>
            </w:r>
            <w:r>
              <w:rPr>
                <w:rFonts w:hint="eastAsia"/>
                <w:color w:val="auto"/>
                <w:highlight w:val="none"/>
              </w:rPr>
              <w:t>放</w:t>
            </w:r>
            <w:r>
              <w:rPr>
                <w:color w:val="auto"/>
                <w:highlight w:val="none"/>
              </w:rPr>
              <w:t>口通到地面，排风管朝向主导风向的下风向，周边设有绿化带，则排放口所排放的废气可很快经大气稀释扩散，不会给外部环境造成明显危害</w:t>
            </w:r>
            <w:r>
              <w:rPr>
                <w:rFonts w:hint="eastAsia"/>
                <w:color w:val="auto"/>
                <w:highlight w:val="none"/>
              </w:rPr>
              <w:t>车辆排放的尾气属于正常交通情况排放的尾气，对周边大气环境影响很小，本次评价只对其进行定性分析。</w:t>
            </w:r>
          </w:p>
          <w:p>
            <w:pPr>
              <w:pStyle w:val="36"/>
              <w:ind w:firstLine="480"/>
              <w:rPr>
                <w:color w:val="auto"/>
                <w:highlight w:val="none"/>
              </w:rPr>
            </w:pPr>
            <w:r>
              <w:rPr>
                <w:rFonts w:hint="eastAsia"/>
                <w:color w:val="auto"/>
                <w:highlight w:val="none"/>
              </w:rPr>
              <w:t>（4）实验室废气G4：本项目实验室废气主要来自于综合楼实验室，主要是生物化学实验过程产生的有机废气等。本项目实验废气通过操作柜通风橱处理后，经机械排气系统进行收集，由活性炭装置进行吸附后将废气引至屋顶一根离地约45m高的排气筒排放，排气筒风量为4000m</w:t>
            </w:r>
            <w:r>
              <w:rPr>
                <w:rFonts w:hint="eastAsia"/>
                <w:color w:val="auto"/>
                <w:highlight w:val="none"/>
                <w:vertAlign w:val="superscript"/>
              </w:rPr>
              <w:t>3</w:t>
            </w:r>
            <w:r>
              <w:rPr>
                <w:rFonts w:hint="eastAsia"/>
                <w:color w:val="auto"/>
                <w:highlight w:val="none"/>
              </w:rPr>
              <w:t>/h。</w:t>
            </w:r>
          </w:p>
          <w:p>
            <w:pPr>
              <w:pStyle w:val="36"/>
              <w:ind w:firstLine="480"/>
              <w:rPr>
                <w:color w:val="auto"/>
                <w:highlight w:val="none"/>
              </w:rPr>
            </w:pPr>
            <w:r>
              <w:rPr>
                <w:rFonts w:hint="eastAsia"/>
                <w:color w:val="auto"/>
                <w:highlight w:val="none"/>
              </w:rPr>
              <w:t>由于实验室在研发过程中药品种类较多，成分复杂，且研发过程中还可能产生新生物质，无法一一估算源强，因此本评价对实验室废气源强估算均以挥发性有机物作为评价指标进行源强估算。</w:t>
            </w:r>
          </w:p>
          <w:p>
            <w:pPr>
              <w:pStyle w:val="36"/>
              <w:ind w:firstLine="480"/>
              <w:rPr>
                <w:color w:val="auto"/>
                <w:highlight w:val="none"/>
              </w:rPr>
            </w:pPr>
            <w:r>
              <w:rPr>
                <w:rFonts w:hint="eastAsia"/>
                <w:color w:val="auto"/>
                <w:highlight w:val="none"/>
              </w:rPr>
              <w:t>类比《福建农林大学海峡联合学院和海峡联合研究院二期项目环境影响报告表》，实验室内每个通风橱进行实验的最大</w:t>
            </w:r>
            <w:r>
              <w:rPr>
                <w:rFonts w:hint="eastAsia"/>
                <w:color w:val="auto"/>
                <w:highlight w:val="none"/>
                <w:lang w:eastAsia="zh-CN"/>
              </w:rPr>
              <w:t>有机</w:t>
            </w:r>
            <w:r>
              <w:rPr>
                <w:rFonts w:hint="eastAsia"/>
                <w:color w:val="auto"/>
                <w:highlight w:val="none"/>
              </w:rPr>
              <w:t>溶剂量为50mL/h，实验过程中会有少量有机试剂挥发，取有机试剂平均密度为1.0g/mL，挥发量以试剂的10%进行计算，则单个通风橱实验挥发的有机气量为5g/h，每个通风橱风量约为</w:t>
            </w:r>
            <w:r>
              <w:rPr>
                <w:rFonts w:hint="eastAsia"/>
                <w:color w:val="auto"/>
                <w:highlight w:val="none"/>
                <w:lang w:val="en-US" w:eastAsia="zh-CN"/>
              </w:rPr>
              <w:t>2000</w:t>
            </w:r>
            <w:r>
              <w:rPr>
                <w:rFonts w:hint="eastAsia"/>
                <w:color w:val="auto"/>
                <w:highlight w:val="none"/>
              </w:rPr>
              <w:t>m</w:t>
            </w:r>
            <w:r>
              <w:rPr>
                <w:rFonts w:hint="eastAsia"/>
                <w:color w:val="auto"/>
                <w:highlight w:val="none"/>
                <w:vertAlign w:val="superscript"/>
              </w:rPr>
              <w:t>3</w:t>
            </w:r>
            <w:r>
              <w:rPr>
                <w:rFonts w:hint="eastAsia"/>
                <w:color w:val="auto"/>
                <w:highlight w:val="none"/>
              </w:rPr>
              <w:t>/h，则可计算得出有机废气产生浓度约为</w:t>
            </w:r>
            <w:r>
              <w:rPr>
                <w:rFonts w:hint="eastAsia"/>
                <w:color w:val="auto"/>
                <w:highlight w:val="none"/>
                <w:lang w:val="en-US" w:eastAsia="zh-CN"/>
              </w:rPr>
              <w:t>2.5</w:t>
            </w:r>
            <w:r>
              <w:rPr>
                <w:rFonts w:hint="eastAsia"/>
                <w:color w:val="auto"/>
                <w:highlight w:val="none"/>
              </w:rPr>
              <w:t>mg/m</w:t>
            </w:r>
            <w:r>
              <w:rPr>
                <w:rFonts w:hint="eastAsia"/>
                <w:color w:val="auto"/>
                <w:highlight w:val="none"/>
                <w:vertAlign w:val="superscript"/>
              </w:rPr>
              <w:t>3</w:t>
            </w:r>
            <w:r>
              <w:rPr>
                <w:rFonts w:hint="eastAsia"/>
                <w:color w:val="auto"/>
                <w:highlight w:val="none"/>
              </w:rPr>
              <w:t>，产生速率为0.005kg/h。本项目实验时间按照200d/a，8h/d计算，年实验时间为1600h，则单个通风橱有机废气产生量为8kg/a。项目共设</w:t>
            </w:r>
            <w:r>
              <w:rPr>
                <w:rFonts w:hint="eastAsia"/>
                <w:color w:val="auto"/>
                <w:highlight w:val="none"/>
                <w:lang w:val="en-US" w:eastAsia="zh-CN"/>
              </w:rPr>
              <w:t>10</w:t>
            </w:r>
            <w:r>
              <w:rPr>
                <w:rFonts w:hint="eastAsia"/>
                <w:color w:val="auto"/>
                <w:highlight w:val="none"/>
              </w:rPr>
              <w:t>个通风橱，则项目有机废气产生总量为</w:t>
            </w:r>
            <w:r>
              <w:rPr>
                <w:rFonts w:hint="eastAsia"/>
                <w:color w:val="auto"/>
                <w:highlight w:val="none"/>
                <w:lang w:val="en-US" w:eastAsia="zh-CN"/>
              </w:rPr>
              <w:t>0.08</w:t>
            </w:r>
            <w:r>
              <w:rPr>
                <w:rFonts w:hint="eastAsia"/>
                <w:color w:val="auto"/>
                <w:highlight w:val="none"/>
              </w:rPr>
              <w:t>t/a。</w:t>
            </w:r>
          </w:p>
          <w:p>
            <w:pPr>
              <w:pStyle w:val="36"/>
              <w:ind w:firstLine="480"/>
              <w:rPr>
                <w:color w:val="auto"/>
                <w:highlight w:val="none"/>
              </w:rPr>
            </w:pPr>
            <w:r>
              <w:rPr>
                <w:rFonts w:hint="eastAsia"/>
                <w:color w:val="auto"/>
                <w:highlight w:val="none"/>
              </w:rPr>
              <w:t>项目通过集气系统将废气收集后经由活性炭处理后引至综合楼屋顶一根排气量为4000m</w:t>
            </w:r>
            <w:r>
              <w:rPr>
                <w:rFonts w:hint="eastAsia"/>
                <w:color w:val="auto"/>
                <w:highlight w:val="none"/>
                <w:vertAlign w:val="superscript"/>
              </w:rPr>
              <w:t>3</w:t>
            </w:r>
            <w:r>
              <w:rPr>
                <w:rFonts w:hint="eastAsia"/>
                <w:color w:val="auto"/>
                <w:highlight w:val="none"/>
              </w:rPr>
              <w:t>/h的排气筒排放，本次活性炭吸附效率取70%，则有机废气的排放浓度为</w:t>
            </w:r>
            <w:r>
              <w:rPr>
                <w:rFonts w:hint="eastAsia"/>
                <w:color w:val="auto"/>
                <w:highlight w:val="none"/>
                <w:lang w:val="en-US" w:eastAsia="zh-CN"/>
              </w:rPr>
              <w:t>3.75</w:t>
            </w:r>
            <w:r>
              <w:rPr>
                <w:rFonts w:hint="eastAsia"/>
                <w:color w:val="auto"/>
                <w:highlight w:val="none"/>
              </w:rPr>
              <w:t>mg/m</w:t>
            </w:r>
            <w:r>
              <w:rPr>
                <w:rFonts w:hint="eastAsia"/>
                <w:color w:val="auto"/>
                <w:highlight w:val="none"/>
                <w:vertAlign w:val="superscript"/>
              </w:rPr>
              <w:t>3</w:t>
            </w:r>
            <w:r>
              <w:rPr>
                <w:rFonts w:hint="eastAsia"/>
                <w:color w:val="auto"/>
                <w:highlight w:val="none"/>
              </w:rPr>
              <w:t>，排放量为</w:t>
            </w:r>
            <w:r>
              <w:rPr>
                <w:rFonts w:hint="eastAsia"/>
                <w:color w:val="auto"/>
                <w:highlight w:val="none"/>
                <w:lang w:val="en-US" w:eastAsia="zh-CN"/>
              </w:rPr>
              <w:t>0.024</w:t>
            </w:r>
            <w:r>
              <w:rPr>
                <w:rFonts w:hint="eastAsia"/>
                <w:color w:val="auto"/>
                <w:highlight w:val="none"/>
              </w:rPr>
              <w:t>t/a。</w:t>
            </w:r>
          </w:p>
          <w:p>
            <w:pPr>
              <w:pStyle w:val="37"/>
              <w:rPr>
                <w:color w:val="auto"/>
                <w:highlight w:val="none"/>
              </w:rPr>
            </w:pPr>
            <w:r>
              <w:rPr>
                <w:rFonts w:hint="eastAsia"/>
                <w:color w:val="auto"/>
                <w:highlight w:val="none"/>
              </w:rPr>
              <w:t>4.2.1.2 大气环境影响分析</w:t>
            </w:r>
          </w:p>
          <w:p>
            <w:pPr>
              <w:spacing w:line="360" w:lineRule="auto"/>
              <w:ind w:firstLine="480" w:firstLineChars="200"/>
              <w:rPr>
                <w:color w:val="auto"/>
                <w:sz w:val="24"/>
                <w:highlight w:val="none"/>
              </w:rPr>
            </w:pPr>
            <w:r>
              <w:rPr>
                <w:rFonts w:hint="eastAsia"/>
                <w:color w:val="auto"/>
                <w:sz w:val="24"/>
                <w:highlight w:val="none"/>
              </w:rPr>
              <w:t>本项目运营期有组织废气主要为厨房油烟、发电机废气、汽车尾气及实验室废气。项目产生的厨房油烟经抽油烟机处理排放，排放量较小，对周边环境影响不大；项目产生的发电机废气设置机械排风装置，风量较小，对周围的环境影响相当有限，且为暂时性的；项目产生的汽车尾气属于间歇排放，排放量较小，地下室车库设有机械送排风系统；项目产生的实验室废气通过集气系统将废气收集后，经活性炭吸附装置处理，再引至综合楼屋顶排放，根据源强分析结果，其排放浓度符合《大气污染物综合排放标准》（GB16297-1996）中表2二级排放限值要求。</w:t>
            </w:r>
          </w:p>
          <w:p>
            <w:pPr>
              <w:spacing w:line="360" w:lineRule="auto"/>
              <w:ind w:firstLine="480" w:firstLineChars="200"/>
              <w:rPr>
                <w:color w:val="auto"/>
                <w:sz w:val="24"/>
                <w:highlight w:val="none"/>
              </w:rPr>
            </w:pPr>
            <w:r>
              <w:rPr>
                <w:rFonts w:hint="eastAsia"/>
                <w:color w:val="auto"/>
                <w:sz w:val="24"/>
                <w:highlight w:val="none"/>
              </w:rPr>
              <w:t>综上，在采取相应环保措施的前提下，本项目废气可达标排放，对周边环境的影响不大。</w:t>
            </w:r>
          </w:p>
          <w:p>
            <w:pPr>
              <w:pStyle w:val="37"/>
              <w:rPr>
                <w:color w:val="auto"/>
                <w:highlight w:val="none"/>
              </w:rPr>
            </w:pPr>
            <w:r>
              <w:rPr>
                <w:rFonts w:hint="eastAsia"/>
                <w:color w:val="auto"/>
                <w:highlight w:val="none"/>
              </w:rPr>
              <w:t>4.2.1.3 废气治理措施可行性分析</w:t>
            </w:r>
          </w:p>
          <w:p>
            <w:pPr>
              <w:pStyle w:val="36"/>
              <w:ind w:firstLine="480"/>
              <w:rPr>
                <w:color w:val="auto"/>
                <w:highlight w:val="none"/>
              </w:rPr>
            </w:pPr>
            <w:r>
              <w:rPr>
                <w:rFonts w:hint="eastAsia"/>
                <w:color w:val="auto"/>
                <w:highlight w:val="none"/>
              </w:rPr>
              <w:t>本项目产生的实验室废气通过集气系统将废气收集后，经活性炭吸附装置处理，再引至综合楼屋顶一根45m高排气筒排放，排气筒内径0.8m。</w:t>
            </w:r>
          </w:p>
          <w:p>
            <w:pPr>
              <w:tabs>
                <w:tab w:val="left" w:pos="6825"/>
              </w:tabs>
              <w:adjustRightInd w:val="0"/>
              <w:snapToGrid w:val="0"/>
              <w:spacing w:line="360" w:lineRule="auto"/>
              <w:ind w:firstLine="436" w:firstLineChars="182"/>
              <w:rPr>
                <w:color w:val="auto"/>
                <w:sz w:val="24"/>
                <w:highlight w:val="none"/>
              </w:rPr>
            </w:pPr>
            <w:r>
              <w:rPr>
                <w:color w:val="auto"/>
                <w:sz w:val="24"/>
                <w:highlight w:val="none"/>
              </w:rPr>
              <w:t>活性炭是一种多孔性的含炭物质, 它具有高度发达的孔隙构造, 活性炭的多孔结构为其提供了大量的表面积，能与气体（杂质）充分接触，从而赋予了活性炭所特有的吸附性能，使其非常容易达到吸收收集杂质的目的。正因为如此，活性炭孔壁上的大量的分子可以产生强大的引力，从而达到将有害的杂质吸引到孔径中的目的。但不是所有的活性炭都能吸附有害气体，只有当活性炭的孔隙结构略大于有害气体分子的直径，能够让有害气体分子完全进入的情况下（过大或过小都不行）才能达到最佳吸附效果。</w:t>
            </w:r>
            <w:r>
              <w:rPr>
                <w:rFonts w:hint="eastAsia"/>
                <w:color w:val="auto"/>
                <w:sz w:val="24"/>
                <w:highlight w:val="none"/>
              </w:rPr>
              <w:t>根据措施特性，活性炭吸附去除挥发性有机物的效率可达</w:t>
            </w:r>
            <w:r>
              <w:rPr>
                <w:color w:val="auto"/>
                <w:sz w:val="24"/>
                <w:highlight w:val="none"/>
              </w:rPr>
              <w:t>70%</w:t>
            </w:r>
            <w:r>
              <w:rPr>
                <w:rFonts w:hint="eastAsia"/>
                <w:color w:val="auto"/>
                <w:sz w:val="24"/>
                <w:highlight w:val="none"/>
              </w:rPr>
              <w:t>以上。</w:t>
            </w:r>
          </w:p>
          <w:p>
            <w:pPr>
              <w:pStyle w:val="36"/>
              <w:ind w:firstLine="480"/>
              <w:rPr>
                <w:color w:val="auto"/>
                <w:highlight w:val="none"/>
              </w:rPr>
            </w:pPr>
            <w:r>
              <w:rPr>
                <w:rFonts w:hint="eastAsia"/>
                <w:color w:val="auto"/>
                <w:highlight w:val="none"/>
              </w:rPr>
              <w:t>根据上述源强分析，项目的实验室废气排放可满足《大气污染物综合排放标准》（GB16297-1996）中表2二级排放限值要求，项目采取的废气治理措施可行。</w:t>
            </w:r>
          </w:p>
          <w:p>
            <w:pPr>
              <w:pStyle w:val="31"/>
              <w:rPr>
                <w:color w:val="auto"/>
                <w:highlight w:val="none"/>
              </w:rPr>
            </w:pPr>
            <w:r>
              <w:rPr>
                <w:rFonts w:hint="eastAsia"/>
                <w:color w:val="auto"/>
                <w:highlight w:val="none"/>
              </w:rPr>
              <w:t>4.2.2 废水污染源影响及防治措施</w:t>
            </w:r>
          </w:p>
          <w:p>
            <w:pPr>
              <w:pStyle w:val="37"/>
              <w:rPr>
                <w:color w:val="auto"/>
                <w:highlight w:val="none"/>
              </w:rPr>
            </w:pPr>
            <w:r>
              <w:rPr>
                <w:rFonts w:hint="eastAsia"/>
                <w:color w:val="auto"/>
                <w:highlight w:val="none"/>
              </w:rPr>
              <w:t>4.2.2.1 废水污染源分析</w:t>
            </w:r>
          </w:p>
          <w:p>
            <w:pPr>
              <w:pStyle w:val="36"/>
              <w:ind w:firstLine="480"/>
              <w:rPr>
                <w:color w:val="auto"/>
                <w:highlight w:val="none"/>
              </w:rPr>
            </w:pPr>
            <w:r>
              <w:rPr>
                <w:color w:val="auto"/>
                <w:highlight w:val="none"/>
              </w:rPr>
              <w:t>（1）</w:t>
            </w:r>
            <w:r>
              <w:rPr>
                <w:rFonts w:hint="eastAsia"/>
                <w:color w:val="auto"/>
                <w:highlight w:val="none"/>
              </w:rPr>
              <w:t>生活污水</w:t>
            </w:r>
          </w:p>
          <w:p>
            <w:pPr>
              <w:adjustRightInd w:val="0"/>
              <w:snapToGrid w:val="0"/>
              <w:spacing w:line="360" w:lineRule="auto"/>
              <w:ind w:firstLine="480" w:firstLineChars="200"/>
              <w:rPr>
                <w:bCs/>
                <w:color w:val="auto"/>
                <w:kern w:val="0"/>
                <w:sz w:val="24"/>
                <w:highlight w:val="none"/>
              </w:rPr>
            </w:pPr>
            <w:r>
              <w:rPr>
                <w:rFonts w:hint="eastAsia"/>
                <w:bCs/>
                <w:color w:val="auto"/>
                <w:kern w:val="0"/>
                <w:sz w:val="24"/>
                <w:highlight w:val="none"/>
              </w:rPr>
              <w:t>本项目运营期的生活污水包括教职工学生的生活污水、餐厅排放的含油污水。本项目教职工和学生定员为1000人，本项目不包括宿舍楼，根据《福建省行业用水定额》（DB35/T772-2018）中的指标计算，不住宿的学校用水定额为40-60升/人·日，本次按50L/人/d计，周末和寒暑假一般不安排上课，按200d/a计，则本项目日常生活用水为10000t/a（50t/d），项目污水排放系数取0.9，则生活污水的排放量为9000t/a（45t/d）。</w:t>
            </w:r>
          </w:p>
          <w:p>
            <w:pPr>
              <w:pStyle w:val="36"/>
              <w:ind w:firstLine="480"/>
              <w:rPr>
                <w:color w:val="auto"/>
                <w:highlight w:val="none"/>
              </w:rPr>
            </w:pPr>
            <w:r>
              <w:rPr>
                <w:rFonts w:hint="eastAsia"/>
                <w:color w:val="auto"/>
                <w:highlight w:val="none"/>
              </w:rPr>
              <w:t>根据设计单位提供的数据，项目餐厅用水定额为25L/人·日，项目定员1000人，则餐厅用水为6875t/a（25t/d）</w:t>
            </w:r>
            <w:r>
              <w:rPr>
                <w:rFonts w:hint="eastAsia"/>
                <w:bCs/>
                <w:color w:val="auto"/>
                <w:kern w:val="0"/>
                <w:highlight w:val="none"/>
              </w:rPr>
              <w:t>，项目污水排放系数取0.9，则餐厅污水的排放量为6187.5t/a（22.5t/d）</w:t>
            </w:r>
            <w:r>
              <w:rPr>
                <w:rFonts w:hint="eastAsia"/>
                <w:color w:val="auto"/>
                <w:highlight w:val="none"/>
              </w:rPr>
              <w:t>。餐厅废水经隔油池处理后与其它生活污水经化粪池处理后，按就近排放原则接入市政污水管网，纳入污水处理厂集中处理。</w:t>
            </w:r>
          </w:p>
          <w:p>
            <w:pPr>
              <w:pStyle w:val="36"/>
              <w:ind w:firstLine="480"/>
              <w:rPr>
                <w:rFonts w:hint="eastAsia" w:eastAsia="宋体"/>
                <w:color w:val="auto"/>
                <w:highlight w:val="none"/>
                <w:lang w:val="en-US" w:eastAsia="zh-CN"/>
              </w:rPr>
            </w:pPr>
            <w:r>
              <w:rPr>
                <w:rFonts w:hint="eastAsia"/>
                <w:color w:val="auto"/>
                <w:highlight w:val="none"/>
              </w:rPr>
              <w:t>生活污水（包括餐厅废水）未经处理前，参考《给排水设计手册》典型生活污水水质示例，得出本项目生活污水中主要污染指标浓度为COD 400mg/L，BOD</w:t>
            </w:r>
            <w:r>
              <w:rPr>
                <w:rFonts w:hint="eastAsia"/>
                <w:color w:val="auto"/>
                <w:highlight w:val="none"/>
                <w:vertAlign w:val="subscript"/>
              </w:rPr>
              <w:t>5</w:t>
            </w:r>
            <w:r>
              <w:rPr>
                <w:rFonts w:hint="eastAsia"/>
                <w:color w:val="auto"/>
                <w:highlight w:val="none"/>
              </w:rPr>
              <w:t xml:space="preserve"> 200mg/L，SS 220mg/L，NH</w:t>
            </w:r>
            <w:r>
              <w:rPr>
                <w:rFonts w:hint="eastAsia"/>
                <w:color w:val="auto"/>
                <w:highlight w:val="none"/>
                <w:vertAlign w:val="subscript"/>
              </w:rPr>
              <w:t>3</w:t>
            </w:r>
            <w:r>
              <w:rPr>
                <w:rFonts w:hint="eastAsia"/>
                <w:color w:val="auto"/>
                <w:highlight w:val="none"/>
              </w:rPr>
              <w:t>-N 35mg/L，动植物油 40mg/L。类比《福耀科技大学（暂名）</w:t>
            </w:r>
            <w:r>
              <w:rPr>
                <w:color w:val="auto"/>
                <w:highlight w:val="none"/>
              </w:rPr>
              <w:t>项目环境影响报告表</w:t>
            </w:r>
            <w:r>
              <w:rPr>
                <w:rFonts w:hint="eastAsia"/>
                <w:color w:val="auto"/>
                <w:highlight w:val="none"/>
              </w:rPr>
              <w:t>》，化粪池对COD、BOD</w:t>
            </w:r>
            <w:r>
              <w:rPr>
                <w:rFonts w:hint="eastAsia"/>
                <w:color w:val="auto"/>
                <w:highlight w:val="none"/>
                <w:vertAlign w:val="subscript"/>
              </w:rPr>
              <w:t>5</w:t>
            </w:r>
            <w:r>
              <w:rPr>
                <w:rFonts w:hint="eastAsia"/>
                <w:color w:val="auto"/>
                <w:highlight w:val="none"/>
              </w:rPr>
              <w:t>、SS、NH</w:t>
            </w:r>
            <w:r>
              <w:rPr>
                <w:rFonts w:hint="eastAsia"/>
                <w:color w:val="auto"/>
                <w:highlight w:val="none"/>
                <w:vertAlign w:val="subscript"/>
              </w:rPr>
              <w:t>3</w:t>
            </w:r>
            <w:r>
              <w:rPr>
                <w:rFonts w:hint="eastAsia"/>
                <w:color w:val="auto"/>
                <w:highlight w:val="none"/>
              </w:rPr>
              <w:t xml:space="preserve">-N的处理效率分别为46.7%、60%、60%、25%；参照环境手册中常用污水处理设备及去除率，隔油池对含油废水的处理效率为80%。故可计算得出，处理后项目生活污水中各污染物浓度为：COD </w:t>
            </w:r>
            <w:r>
              <w:rPr>
                <w:rFonts w:hint="eastAsia"/>
                <w:color w:val="auto"/>
                <w:highlight w:val="none"/>
                <w:lang w:val="en-US" w:eastAsia="zh-CN"/>
              </w:rPr>
              <w:t>213.2</w:t>
            </w:r>
            <w:r>
              <w:rPr>
                <w:rFonts w:hint="eastAsia"/>
                <w:color w:val="auto"/>
                <w:highlight w:val="none"/>
              </w:rPr>
              <w:t>mg/L，BOD</w:t>
            </w:r>
            <w:r>
              <w:rPr>
                <w:rFonts w:hint="eastAsia"/>
                <w:color w:val="auto"/>
                <w:highlight w:val="none"/>
                <w:vertAlign w:val="subscript"/>
              </w:rPr>
              <w:t>5</w:t>
            </w:r>
            <w:r>
              <w:rPr>
                <w:rFonts w:hint="eastAsia"/>
                <w:color w:val="auto"/>
                <w:highlight w:val="none"/>
                <w:vertAlign w:val="subscript"/>
                <w:lang w:val="en-US" w:eastAsia="zh-CN"/>
              </w:rPr>
              <w:t xml:space="preserve"> </w:t>
            </w:r>
            <w:r>
              <w:rPr>
                <w:rFonts w:hint="eastAsia"/>
                <w:color w:val="auto"/>
                <w:highlight w:val="none"/>
                <w:lang w:val="en-US" w:eastAsia="zh-CN"/>
              </w:rPr>
              <w:t>80</w:t>
            </w:r>
            <w:r>
              <w:rPr>
                <w:rFonts w:hint="eastAsia"/>
                <w:color w:val="auto"/>
                <w:highlight w:val="none"/>
              </w:rPr>
              <w:t xml:space="preserve">mg/L，SS </w:t>
            </w:r>
            <w:r>
              <w:rPr>
                <w:rFonts w:hint="eastAsia"/>
                <w:color w:val="auto"/>
                <w:highlight w:val="none"/>
                <w:lang w:val="en-US" w:eastAsia="zh-CN"/>
              </w:rPr>
              <w:t>180</w:t>
            </w:r>
            <w:r>
              <w:rPr>
                <w:rFonts w:hint="eastAsia"/>
                <w:color w:val="auto"/>
                <w:highlight w:val="none"/>
              </w:rPr>
              <w:t>mg/L，NH</w:t>
            </w:r>
            <w:r>
              <w:rPr>
                <w:rFonts w:hint="eastAsia"/>
                <w:color w:val="auto"/>
                <w:highlight w:val="none"/>
                <w:vertAlign w:val="subscript"/>
              </w:rPr>
              <w:t>3</w:t>
            </w:r>
            <w:r>
              <w:rPr>
                <w:rFonts w:hint="eastAsia"/>
                <w:color w:val="auto"/>
                <w:highlight w:val="none"/>
              </w:rPr>
              <w:t xml:space="preserve">-N </w:t>
            </w:r>
            <w:r>
              <w:rPr>
                <w:rFonts w:hint="eastAsia"/>
                <w:color w:val="auto"/>
                <w:highlight w:val="none"/>
                <w:lang w:val="en-US" w:eastAsia="zh-CN"/>
              </w:rPr>
              <w:t>26.25</w:t>
            </w:r>
            <w:r>
              <w:rPr>
                <w:rFonts w:hint="eastAsia"/>
                <w:color w:val="auto"/>
                <w:highlight w:val="none"/>
              </w:rPr>
              <w:t>mg/L</w:t>
            </w:r>
            <w:r>
              <w:rPr>
                <w:rFonts w:hint="eastAsia"/>
                <w:color w:val="auto"/>
                <w:highlight w:val="none"/>
                <w:lang w:eastAsia="zh-CN"/>
              </w:rPr>
              <w:t>，动植物油</w:t>
            </w:r>
            <w:r>
              <w:rPr>
                <w:rFonts w:hint="eastAsia"/>
                <w:color w:val="auto"/>
                <w:highlight w:val="none"/>
                <w:lang w:val="en-US" w:eastAsia="zh-CN"/>
              </w:rPr>
              <w:t>8</w:t>
            </w:r>
            <w:r>
              <w:rPr>
                <w:rFonts w:hint="eastAsia"/>
                <w:color w:val="auto"/>
                <w:highlight w:val="none"/>
              </w:rPr>
              <w:t>mg/L</w:t>
            </w:r>
            <w:r>
              <w:rPr>
                <w:rFonts w:hint="eastAsia"/>
                <w:color w:val="auto"/>
                <w:highlight w:val="none"/>
                <w:lang w:eastAsia="zh-CN"/>
              </w:rPr>
              <w:t>，可满足表</w:t>
            </w:r>
            <w:r>
              <w:rPr>
                <w:rFonts w:hint="eastAsia"/>
                <w:color w:val="auto"/>
                <w:highlight w:val="none"/>
                <w:lang w:val="en-US" w:eastAsia="zh-CN"/>
              </w:rPr>
              <w:t>3.2.2中</w:t>
            </w:r>
            <w:r>
              <w:rPr>
                <w:color w:val="auto"/>
                <w:highlight w:val="none"/>
              </w:rPr>
              <w:t>福州大学城污水处理厂的纳管标准</w:t>
            </w:r>
            <w:r>
              <w:rPr>
                <w:rFonts w:hint="eastAsia"/>
                <w:color w:val="auto"/>
                <w:highlight w:val="none"/>
                <w:lang w:eastAsia="zh-CN"/>
              </w:rPr>
              <w:t>。</w:t>
            </w:r>
          </w:p>
          <w:p>
            <w:pPr>
              <w:pStyle w:val="32"/>
              <w:rPr>
                <w:color w:val="auto"/>
                <w:highlight w:val="none"/>
              </w:rPr>
            </w:pPr>
            <w:r>
              <w:rPr>
                <w:rFonts w:hint="eastAsia"/>
                <w:color w:val="auto"/>
                <w:highlight w:val="none"/>
              </w:rPr>
              <w:t>表4.2.2 项目生活污水污染物产生及排放情况一览表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171"/>
              <w:gridCol w:w="1171"/>
              <w:gridCol w:w="1171"/>
              <w:gridCol w:w="1172"/>
              <w:gridCol w:w="1171"/>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2" w:type="dxa"/>
                  <w:vAlign w:val="center"/>
                </w:tcPr>
                <w:p>
                  <w:pPr>
                    <w:pStyle w:val="30"/>
                    <w:rPr>
                      <w:color w:val="auto"/>
                      <w:highlight w:val="none"/>
                    </w:rPr>
                  </w:pPr>
                  <w:r>
                    <w:rPr>
                      <w:rFonts w:hint="eastAsia"/>
                      <w:color w:val="auto"/>
                      <w:highlight w:val="none"/>
                    </w:rPr>
                    <w:t>污染物</w:t>
                  </w:r>
                </w:p>
              </w:tc>
              <w:tc>
                <w:tcPr>
                  <w:tcW w:w="1172" w:type="dxa"/>
                  <w:vAlign w:val="center"/>
                </w:tcPr>
                <w:p>
                  <w:pPr>
                    <w:pStyle w:val="30"/>
                    <w:rPr>
                      <w:color w:val="auto"/>
                      <w:highlight w:val="none"/>
                    </w:rPr>
                  </w:pPr>
                  <w:r>
                    <w:rPr>
                      <w:rFonts w:hint="eastAsia"/>
                      <w:color w:val="auto"/>
                      <w:highlight w:val="none"/>
                    </w:rPr>
                    <w:t>COD</w:t>
                  </w:r>
                </w:p>
              </w:tc>
              <w:tc>
                <w:tcPr>
                  <w:tcW w:w="1173" w:type="dxa"/>
                  <w:vAlign w:val="center"/>
                </w:tcPr>
                <w:p>
                  <w:pPr>
                    <w:pStyle w:val="30"/>
                    <w:rPr>
                      <w:color w:val="auto"/>
                      <w:highlight w:val="none"/>
                    </w:rPr>
                  </w:pPr>
                  <w:r>
                    <w:rPr>
                      <w:rFonts w:hint="eastAsia"/>
                      <w:color w:val="auto"/>
                      <w:highlight w:val="none"/>
                    </w:rPr>
                    <w:t>BOD</w:t>
                  </w:r>
                  <w:r>
                    <w:rPr>
                      <w:rFonts w:hint="eastAsia"/>
                      <w:color w:val="auto"/>
                      <w:highlight w:val="none"/>
                      <w:vertAlign w:val="subscript"/>
                    </w:rPr>
                    <w:t>5</w:t>
                  </w:r>
                </w:p>
              </w:tc>
              <w:tc>
                <w:tcPr>
                  <w:tcW w:w="1173" w:type="dxa"/>
                  <w:vAlign w:val="center"/>
                </w:tcPr>
                <w:p>
                  <w:pPr>
                    <w:pStyle w:val="30"/>
                    <w:rPr>
                      <w:color w:val="auto"/>
                      <w:highlight w:val="none"/>
                    </w:rPr>
                  </w:pPr>
                  <w:r>
                    <w:rPr>
                      <w:rFonts w:hint="eastAsia"/>
                      <w:color w:val="auto"/>
                      <w:highlight w:val="none"/>
                    </w:rPr>
                    <w:t>SS</w:t>
                  </w:r>
                </w:p>
              </w:tc>
              <w:tc>
                <w:tcPr>
                  <w:tcW w:w="1173" w:type="dxa"/>
                  <w:vAlign w:val="center"/>
                </w:tcPr>
                <w:p>
                  <w:pPr>
                    <w:pStyle w:val="30"/>
                    <w:rPr>
                      <w:color w:val="auto"/>
                      <w:highlight w:val="none"/>
                    </w:rPr>
                  </w:pPr>
                  <w:r>
                    <w:rPr>
                      <w:rFonts w:hint="eastAsia"/>
                      <w:color w:val="auto"/>
                      <w:highlight w:val="none"/>
                    </w:rPr>
                    <w:t>氨氮</w:t>
                  </w:r>
                </w:p>
              </w:tc>
              <w:tc>
                <w:tcPr>
                  <w:tcW w:w="1173" w:type="dxa"/>
                  <w:vAlign w:val="center"/>
                </w:tcPr>
                <w:p>
                  <w:pPr>
                    <w:pStyle w:val="30"/>
                    <w:rPr>
                      <w:color w:val="auto"/>
                      <w:highlight w:val="none"/>
                    </w:rPr>
                  </w:pPr>
                  <w:r>
                    <w:rPr>
                      <w:rFonts w:hint="eastAsia"/>
                      <w:color w:val="auto"/>
                      <w:highlight w:val="none"/>
                    </w:rPr>
                    <w:t>动植物油</w:t>
                  </w:r>
                </w:p>
              </w:tc>
              <w:tc>
                <w:tcPr>
                  <w:tcW w:w="1173" w:type="dxa"/>
                  <w:vAlign w:val="center"/>
                </w:tcPr>
                <w:p>
                  <w:pPr>
                    <w:pStyle w:val="30"/>
                    <w:rPr>
                      <w:color w:val="auto"/>
                      <w:highlight w:val="none"/>
                    </w:rPr>
                  </w:pPr>
                  <w:r>
                    <w:rPr>
                      <w:rFonts w:hint="eastAsia"/>
                      <w:color w:val="auto"/>
                      <w:highlight w:val="none"/>
                    </w:rPr>
                    <w:t>污水总量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2" w:type="dxa"/>
                  <w:vAlign w:val="center"/>
                </w:tcPr>
                <w:p>
                  <w:pPr>
                    <w:pStyle w:val="30"/>
                    <w:rPr>
                      <w:color w:val="auto"/>
                      <w:highlight w:val="none"/>
                    </w:rPr>
                  </w:pPr>
                  <w:r>
                    <w:rPr>
                      <w:rFonts w:hint="eastAsia"/>
                      <w:color w:val="auto"/>
                      <w:highlight w:val="none"/>
                    </w:rPr>
                    <w:t>产生浓度（mg/L）</w:t>
                  </w:r>
                </w:p>
              </w:tc>
              <w:tc>
                <w:tcPr>
                  <w:tcW w:w="1172" w:type="dxa"/>
                  <w:vAlign w:val="center"/>
                </w:tcPr>
                <w:p>
                  <w:pPr>
                    <w:pStyle w:val="30"/>
                    <w:rPr>
                      <w:color w:val="auto"/>
                      <w:highlight w:val="none"/>
                    </w:rPr>
                  </w:pPr>
                  <w:r>
                    <w:rPr>
                      <w:rFonts w:hint="eastAsia"/>
                      <w:color w:val="auto"/>
                      <w:highlight w:val="none"/>
                    </w:rPr>
                    <w:t>400</w:t>
                  </w:r>
                </w:p>
              </w:tc>
              <w:tc>
                <w:tcPr>
                  <w:tcW w:w="1173" w:type="dxa"/>
                  <w:vAlign w:val="center"/>
                </w:tcPr>
                <w:p>
                  <w:pPr>
                    <w:pStyle w:val="30"/>
                    <w:rPr>
                      <w:color w:val="auto"/>
                      <w:highlight w:val="none"/>
                    </w:rPr>
                  </w:pPr>
                  <w:r>
                    <w:rPr>
                      <w:rFonts w:hint="eastAsia"/>
                      <w:color w:val="auto"/>
                      <w:highlight w:val="none"/>
                    </w:rPr>
                    <w:t>200</w:t>
                  </w:r>
                </w:p>
              </w:tc>
              <w:tc>
                <w:tcPr>
                  <w:tcW w:w="1173" w:type="dxa"/>
                  <w:vAlign w:val="center"/>
                </w:tcPr>
                <w:p>
                  <w:pPr>
                    <w:pStyle w:val="30"/>
                    <w:rPr>
                      <w:color w:val="auto"/>
                      <w:highlight w:val="none"/>
                    </w:rPr>
                  </w:pPr>
                  <w:r>
                    <w:rPr>
                      <w:rFonts w:hint="eastAsia"/>
                      <w:color w:val="auto"/>
                      <w:highlight w:val="none"/>
                    </w:rPr>
                    <w:t>220</w:t>
                  </w:r>
                </w:p>
              </w:tc>
              <w:tc>
                <w:tcPr>
                  <w:tcW w:w="1173" w:type="dxa"/>
                  <w:vAlign w:val="center"/>
                </w:tcPr>
                <w:p>
                  <w:pPr>
                    <w:pStyle w:val="30"/>
                    <w:rPr>
                      <w:color w:val="auto"/>
                      <w:highlight w:val="none"/>
                    </w:rPr>
                  </w:pPr>
                  <w:r>
                    <w:rPr>
                      <w:rFonts w:hint="eastAsia"/>
                      <w:color w:val="auto"/>
                      <w:highlight w:val="none"/>
                    </w:rPr>
                    <w:t>35</w:t>
                  </w:r>
                </w:p>
              </w:tc>
              <w:tc>
                <w:tcPr>
                  <w:tcW w:w="1173" w:type="dxa"/>
                  <w:vAlign w:val="center"/>
                </w:tcPr>
                <w:p>
                  <w:pPr>
                    <w:pStyle w:val="30"/>
                    <w:rPr>
                      <w:color w:val="auto"/>
                      <w:highlight w:val="none"/>
                    </w:rPr>
                  </w:pPr>
                  <w:r>
                    <w:rPr>
                      <w:rFonts w:hint="eastAsia"/>
                      <w:color w:val="auto"/>
                      <w:highlight w:val="none"/>
                    </w:rPr>
                    <w:t>40</w:t>
                  </w:r>
                </w:p>
              </w:tc>
              <w:tc>
                <w:tcPr>
                  <w:tcW w:w="1173" w:type="dxa"/>
                  <w:vAlign w:val="center"/>
                </w:tcPr>
                <w:p>
                  <w:pPr>
                    <w:pStyle w:val="30"/>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2" w:type="dxa"/>
                  <w:vAlign w:val="center"/>
                </w:tcPr>
                <w:p>
                  <w:pPr>
                    <w:pStyle w:val="30"/>
                    <w:rPr>
                      <w:color w:val="auto"/>
                      <w:highlight w:val="none"/>
                    </w:rPr>
                  </w:pPr>
                  <w:r>
                    <w:rPr>
                      <w:rFonts w:hint="eastAsia"/>
                      <w:color w:val="auto"/>
                      <w:highlight w:val="none"/>
                    </w:rPr>
                    <w:t>产生量（t/a）</w:t>
                  </w:r>
                </w:p>
              </w:tc>
              <w:tc>
                <w:tcPr>
                  <w:tcW w:w="1172" w:type="dxa"/>
                  <w:vAlign w:val="center"/>
                </w:tcPr>
                <w:p>
                  <w:pPr>
                    <w:widowControl/>
                    <w:jc w:val="center"/>
                    <w:textAlignment w:val="center"/>
                    <w:rPr>
                      <w:color w:val="auto"/>
                      <w:highlight w:val="none"/>
                    </w:rPr>
                  </w:pPr>
                  <w:r>
                    <w:rPr>
                      <w:color w:val="auto"/>
                      <w:kern w:val="0"/>
                      <w:szCs w:val="21"/>
                      <w:highlight w:val="none"/>
                      <w:lang w:bidi="ar"/>
                    </w:rPr>
                    <w:t>3.6</w:t>
                  </w:r>
                </w:p>
              </w:tc>
              <w:tc>
                <w:tcPr>
                  <w:tcW w:w="1173" w:type="dxa"/>
                  <w:vAlign w:val="center"/>
                </w:tcPr>
                <w:p>
                  <w:pPr>
                    <w:widowControl/>
                    <w:jc w:val="center"/>
                    <w:textAlignment w:val="center"/>
                    <w:rPr>
                      <w:color w:val="auto"/>
                      <w:highlight w:val="none"/>
                    </w:rPr>
                  </w:pPr>
                  <w:r>
                    <w:rPr>
                      <w:color w:val="auto"/>
                      <w:kern w:val="0"/>
                      <w:szCs w:val="21"/>
                      <w:highlight w:val="none"/>
                      <w:lang w:bidi="ar"/>
                    </w:rPr>
                    <w:t>1.8</w:t>
                  </w:r>
                </w:p>
              </w:tc>
              <w:tc>
                <w:tcPr>
                  <w:tcW w:w="1173" w:type="dxa"/>
                  <w:vAlign w:val="center"/>
                </w:tcPr>
                <w:p>
                  <w:pPr>
                    <w:widowControl/>
                    <w:jc w:val="center"/>
                    <w:textAlignment w:val="center"/>
                    <w:rPr>
                      <w:color w:val="auto"/>
                      <w:highlight w:val="none"/>
                    </w:rPr>
                  </w:pPr>
                  <w:r>
                    <w:rPr>
                      <w:color w:val="auto"/>
                      <w:kern w:val="0"/>
                      <w:szCs w:val="21"/>
                      <w:highlight w:val="none"/>
                      <w:lang w:bidi="ar"/>
                    </w:rPr>
                    <w:t>1.98</w:t>
                  </w:r>
                </w:p>
              </w:tc>
              <w:tc>
                <w:tcPr>
                  <w:tcW w:w="1173" w:type="dxa"/>
                  <w:vAlign w:val="center"/>
                </w:tcPr>
                <w:p>
                  <w:pPr>
                    <w:widowControl/>
                    <w:jc w:val="center"/>
                    <w:textAlignment w:val="center"/>
                    <w:rPr>
                      <w:color w:val="auto"/>
                      <w:highlight w:val="none"/>
                    </w:rPr>
                  </w:pPr>
                  <w:r>
                    <w:rPr>
                      <w:color w:val="auto"/>
                      <w:kern w:val="0"/>
                      <w:szCs w:val="21"/>
                      <w:highlight w:val="none"/>
                      <w:lang w:bidi="ar"/>
                    </w:rPr>
                    <w:t>0.315</w:t>
                  </w:r>
                </w:p>
              </w:tc>
              <w:tc>
                <w:tcPr>
                  <w:tcW w:w="1173" w:type="dxa"/>
                  <w:vAlign w:val="center"/>
                </w:tcPr>
                <w:p>
                  <w:pPr>
                    <w:widowControl/>
                    <w:jc w:val="center"/>
                    <w:textAlignment w:val="center"/>
                    <w:rPr>
                      <w:color w:val="auto"/>
                      <w:highlight w:val="none"/>
                    </w:rPr>
                  </w:pPr>
                  <w:r>
                    <w:rPr>
                      <w:color w:val="auto"/>
                      <w:kern w:val="0"/>
                      <w:szCs w:val="21"/>
                      <w:highlight w:val="none"/>
                      <w:lang w:bidi="ar"/>
                    </w:rPr>
                    <w:t>0.36</w:t>
                  </w:r>
                </w:p>
              </w:tc>
              <w:tc>
                <w:tcPr>
                  <w:tcW w:w="1173" w:type="dxa"/>
                  <w:vAlign w:val="center"/>
                </w:tcPr>
                <w:p>
                  <w:pPr>
                    <w:pStyle w:val="30"/>
                    <w:rPr>
                      <w:color w:val="auto"/>
                      <w:highlight w:val="none"/>
                    </w:rPr>
                  </w:pPr>
                  <w:r>
                    <w:rPr>
                      <w:rFonts w:hint="eastAsia"/>
                      <w:color w:val="auto"/>
                      <w:highlight w:val="none"/>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2" w:type="dxa"/>
                  <w:vAlign w:val="center"/>
                </w:tcPr>
                <w:p>
                  <w:pPr>
                    <w:pStyle w:val="30"/>
                    <w:rPr>
                      <w:color w:val="auto"/>
                      <w:highlight w:val="none"/>
                    </w:rPr>
                  </w:pPr>
                  <w:r>
                    <w:rPr>
                      <w:rFonts w:hint="eastAsia"/>
                      <w:color w:val="auto"/>
                      <w:highlight w:val="none"/>
                    </w:rPr>
                    <w:t>处理效率</w:t>
                  </w:r>
                </w:p>
              </w:tc>
              <w:tc>
                <w:tcPr>
                  <w:tcW w:w="1172" w:type="dxa"/>
                  <w:vAlign w:val="center"/>
                </w:tcPr>
                <w:p>
                  <w:pPr>
                    <w:pStyle w:val="30"/>
                    <w:rPr>
                      <w:color w:val="auto"/>
                      <w:highlight w:val="none"/>
                    </w:rPr>
                  </w:pPr>
                  <w:r>
                    <w:rPr>
                      <w:rFonts w:hint="eastAsia"/>
                      <w:color w:val="auto"/>
                      <w:highlight w:val="none"/>
                    </w:rPr>
                    <w:t>46.7%</w:t>
                  </w:r>
                </w:p>
              </w:tc>
              <w:tc>
                <w:tcPr>
                  <w:tcW w:w="1173" w:type="dxa"/>
                  <w:vAlign w:val="center"/>
                </w:tcPr>
                <w:p>
                  <w:pPr>
                    <w:pStyle w:val="30"/>
                    <w:rPr>
                      <w:color w:val="auto"/>
                      <w:highlight w:val="none"/>
                    </w:rPr>
                  </w:pPr>
                  <w:r>
                    <w:rPr>
                      <w:rFonts w:hint="eastAsia"/>
                      <w:color w:val="auto"/>
                      <w:highlight w:val="none"/>
                    </w:rPr>
                    <w:t>60%</w:t>
                  </w:r>
                </w:p>
              </w:tc>
              <w:tc>
                <w:tcPr>
                  <w:tcW w:w="1173" w:type="dxa"/>
                  <w:vAlign w:val="center"/>
                </w:tcPr>
                <w:p>
                  <w:pPr>
                    <w:pStyle w:val="30"/>
                    <w:rPr>
                      <w:color w:val="auto"/>
                      <w:highlight w:val="none"/>
                    </w:rPr>
                  </w:pPr>
                  <w:r>
                    <w:rPr>
                      <w:rFonts w:hint="eastAsia"/>
                      <w:color w:val="auto"/>
                      <w:highlight w:val="none"/>
                    </w:rPr>
                    <w:t>60%</w:t>
                  </w:r>
                </w:p>
              </w:tc>
              <w:tc>
                <w:tcPr>
                  <w:tcW w:w="1173" w:type="dxa"/>
                  <w:vAlign w:val="center"/>
                </w:tcPr>
                <w:p>
                  <w:pPr>
                    <w:pStyle w:val="30"/>
                    <w:rPr>
                      <w:color w:val="auto"/>
                      <w:highlight w:val="none"/>
                    </w:rPr>
                  </w:pPr>
                  <w:r>
                    <w:rPr>
                      <w:rFonts w:hint="eastAsia"/>
                      <w:color w:val="auto"/>
                      <w:highlight w:val="none"/>
                    </w:rPr>
                    <w:t>25%</w:t>
                  </w:r>
                </w:p>
              </w:tc>
              <w:tc>
                <w:tcPr>
                  <w:tcW w:w="1173" w:type="dxa"/>
                  <w:vAlign w:val="center"/>
                </w:tcPr>
                <w:p>
                  <w:pPr>
                    <w:pStyle w:val="30"/>
                    <w:rPr>
                      <w:color w:val="auto"/>
                      <w:highlight w:val="none"/>
                    </w:rPr>
                  </w:pPr>
                  <w:r>
                    <w:rPr>
                      <w:rFonts w:hint="eastAsia"/>
                      <w:color w:val="auto"/>
                      <w:highlight w:val="none"/>
                    </w:rPr>
                    <w:t>80%</w:t>
                  </w:r>
                </w:p>
              </w:tc>
              <w:tc>
                <w:tcPr>
                  <w:tcW w:w="1173" w:type="dxa"/>
                  <w:vAlign w:val="center"/>
                </w:tcPr>
                <w:p>
                  <w:pPr>
                    <w:pStyle w:val="30"/>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2" w:type="dxa"/>
                  <w:vAlign w:val="center"/>
                </w:tcPr>
                <w:p>
                  <w:pPr>
                    <w:pStyle w:val="30"/>
                    <w:rPr>
                      <w:color w:val="auto"/>
                      <w:highlight w:val="none"/>
                    </w:rPr>
                  </w:pPr>
                  <w:r>
                    <w:rPr>
                      <w:rFonts w:hint="eastAsia"/>
                      <w:color w:val="auto"/>
                      <w:highlight w:val="none"/>
                    </w:rPr>
                    <w:t>排放浓度（mg/L）</w:t>
                  </w:r>
                </w:p>
              </w:tc>
              <w:tc>
                <w:tcPr>
                  <w:tcW w:w="1172" w:type="dxa"/>
                  <w:vAlign w:val="center"/>
                </w:tcPr>
                <w:p>
                  <w:pPr>
                    <w:widowControl/>
                    <w:jc w:val="center"/>
                    <w:textAlignment w:val="center"/>
                    <w:rPr>
                      <w:color w:val="auto"/>
                      <w:highlight w:val="none"/>
                    </w:rPr>
                  </w:pPr>
                  <w:r>
                    <w:rPr>
                      <w:color w:val="auto"/>
                      <w:kern w:val="0"/>
                      <w:szCs w:val="21"/>
                      <w:highlight w:val="none"/>
                      <w:lang w:bidi="ar"/>
                    </w:rPr>
                    <w:t>213.2</w:t>
                  </w:r>
                </w:p>
              </w:tc>
              <w:tc>
                <w:tcPr>
                  <w:tcW w:w="1173" w:type="dxa"/>
                  <w:vAlign w:val="center"/>
                </w:tcPr>
                <w:p>
                  <w:pPr>
                    <w:widowControl/>
                    <w:jc w:val="center"/>
                    <w:textAlignment w:val="center"/>
                    <w:rPr>
                      <w:color w:val="auto"/>
                      <w:highlight w:val="none"/>
                    </w:rPr>
                  </w:pPr>
                  <w:r>
                    <w:rPr>
                      <w:color w:val="auto"/>
                      <w:kern w:val="0"/>
                      <w:szCs w:val="21"/>
                      <w:highlight w:val="none"/>
                      <w:lang w:bidi="ar"/>
                    </w:rPr>
                    <w:t>80</w:t>
                  </w:r>
                </w:p>
              </w:tc>
              <w:tc>
                <w:tcPr>
                  <w:tcW w:w="1173" w:type="dxa"/>
                  <w:vAlign w:val="center"/>
                </w:tcPr>
                <w:p>
                  <w:pPr>
                    <w:widowControl/>
                    <w:jc w:val="center"/>
                    <w:textAlignment w:val="center"/>
                    <w:rPr>
                      <w:color w:val="auto"/>
                      <w:highlight w:val="none"/>
                    </w:rPr>
                  </w:pPr>
                  <w:r>
                    <w:rPr>
                      <w:color w:val="auto"/>
                      <w:kern w:val="0"/>
                      <w:szCs w:val="21"/>
                      <w:highlight w:val="none"/>
                      <w:lang w:bidi="ar"/>
                    </w:rPr>
                    <w:t>88</w:t>
                  </w:r>
                </w:p>
              </w:tc>
              <w:tc>
                <w:tcPr>
                  <w:tcW w:w="1173" w:type="dxa"/>
                  <w:vAlign w:val="center"/>
                </w:tcPr>
                <w:p>
                  <w:pPr>
                    <w:widowControl/>
                    <w:jc w:val="center"/>
                    <w:textAlignment w:val="center"/>
                    <w:rPr>
                      <w:color w:val="auto"/>
                      <w:highlight w:val="none"/>
                    </w:rPr>
                  </w:pPr>
                  <w:r>
                    <w:rPr>
                      <w:color w:val="auto"/>
                      <w:kern w:val="0"/>
                      <w:szCs w:val="21"/>
                      <w:highlight w:val="none"/>
                      <w:lang w:bidi="ar"/>
                    </w:rPr>
                    <w:t>26.25</w:t>
                  </w:r>
                </w:p>
              </w:tc>
              <w:tc>
                <w:tcPr>
                  <w:tcW w:w="1173" w:type="dxa"/>
                  <w:vAlign w:val="center"/>
                </w:tcPr>
                <w:p>
                  <w:pPr>
                    <w:widowControl/>
                    <w:jc w:val="center"/>
                    <w:textAlignment w:val="center"/>
                    <w:rPr>
                      <w:color w:val="auto"/>
                      <w:highlight w:val="none"/>
                    </w:rPr>
                  </w:pPr>
                  <w:r>
                    <w:rPr>
                      <w:color w:val="auto"/>
                      <w:kern w:val="0"/>
                      <w:szCs w:val="21"/>
                      <w:highlight w:val="none"/>
                      <w:lang w:bidi="ar"/>
                    </w:rPr>
                    <w:t>8</w:t>
                  </w:r>
                </w:p>
              </w:tc>
              <w:tc>
                <w:tcPr>
                  <w:tcW w:w="1173" w:type="dxa"/>
                  <w:vAlign w:val="center"/>
                </w:tcPr>
                <w:p>
                  <w:pPr>
                    <w:pStyle w:val="30"/>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2" w:type="dxa"/>
                  <w:vAlign w:val="center"/>
                </w:tcPr>
                <w:p>
                  <w:pPr>
                    <w:pStyle w:val="30"/>
                    <w:rPr>
                      <w:color w:val="auto"/>
                      <w:highlight w:val="none"/>
                    </w:rPr>
                  </w:pPr>
                  <w:r>
                    <w:rPr>
                      <w:rFonts w:hint="eastAsia"/>
                      <w:color w:val="auto"/>
                      <w:highlight w:val="none"/>
                    </w:rPr>
                    <w:t>排放量（t/a）</w:t>
                  </w:r>
                </w:p>
              </w:tc>
              <w:tc>
                <w:tcPr>
                  <w:tcW w:w="1172" w:type="dxa"/>
                  <w:vAlign w:val="center"/>
                </w:tcPr>
                <w:p>
                  <w:pPr>
                    <w:widowControl/>
                    <w:jc w:val="center"/>
                    <w:textAlignment w:val="center"/>
                    <w:rPr>
                      <w:color w:val="auto"/>
                      <w:highlight w:val="none"/>
                    </w:rPr>
                  </w:pPr>
                  <w:r>
                    <w:rPr>
                      <w:color w:val="auto"/>
                      <w:kern w:val="0"/>
                      <w:szCs w:val="21"/>
                      <w:highlight w:val="none"/>
                      <w:lang w:bidi="ar"/>
                    </w:rPr>
                    <w:t>1.9188</w:t>
                  </w:r>
                </w:p>
              </w:tc>
              <w:tc>
                <w:tcPr>
                  <w:tcW w:w="1173" w:type="dxa"/>
                  <w:vAlign w:val="center"/>
                </w:tcPr>
                <w:p>
                  <w:pPr>
                    <w:widowControl/>
                    <w:jc w:val="center"/>
                    <w:textAlignment w:val="center"/>
                    <w:rPr>
                      <w:color w:val="auto"/>
                      <w:highlight w:val="none"/>
                    </w:rPr>
                  </w:pPr>
                  <w:r>
                    <w:rPr>
                      <w:color w:val="auto"/>
                      <w:kern w:val="0"/>
                      <w:szCs w:val="21"/>
                      <w:highlight w:val="none"/>
                      <w:lang w:bidi="ar"/>
                    </w:rPr>
                    <w:t>0.72</w:t>
                  </w:r>
                </w:p>
              </w:tc>
              <w:tc>
                <w:tcPr>
                  <w:tcW w:w="1173" w:type="dxa"/>
                  <w:vAlign w:val="center"/>
                </w:tcPr>
                <w:p>
                  <w:pPr>
                    <w:widowControl/>
                    <w:jc w:val="center"/>
                    <w:textAlignment w:val="center"/>
                    <w:rPr>
                      <w:color w:val="auto"/>
                      <w:highlight w:val="none"/>
                    </w:rPr>
                  </w:pPr>
                  <w:r>
                    <w:rPr>
                      <w:color w:val="auto"/>
                      <w:kern w:val="0"/>
                      <w:szCs w:val="21"/>
                      <w:highlight w:val="none"/>
                      <w:lang w:bidi="ar"/>
                    </w:rPr>
                    <w:t>0.792</w:t>
                  </w:r>
                </w:p>
              </w:tc>
              <w:tc>
                <w:tcPr>
                  <w:tcW w:w="1173" w:type="dxa"/>
                  <w:vAlign w:val="center"/>
                </w:tcPr>
                <w:p>
                  <w:pPr>
                    <w:widowControl/>
                    <w:jc w:val="center"/>
                    <w:textAlignment w:val="center"/>
                    <w:rPr>
                      <w:color w:val="auto"/>
                      <w:highlight w:val="none"/>
                    </w:rPr>
                  </w:pPr>
                  <w:r>
                    <w:rPr>
                      <w:color w:val="auto"/>
                      <w:kern w:val="0"/>
                      <w:szCs w:val="21"/>
                      <w:highlight w:val="none"/>
                      <w:lang w:bidi="ar"/>
                    </w:rPr>
                    <w:t>0.23625</w:t>
                  </w:r>
                </w:p>
              </w:tc>
              <w:tc>
                <w:tcPr>
                  <w:tcW w:w="1173" w:type="dxa"/>
                  <w:vAlign w:val="center"/>
                </w:tcPr>
                <w:p>
                  <w:pPr>
                    <w:widowControl/>
                    <w:jc w:val="center"/>
                    <w:textAlignment w:val="center"/>
                    <w:rPr>
                      <w:color w:val="auto"/>
                      <w:highlight w:val="none"/>
                    </w:rPr>
                  </w:pPr>
                  <w:r>
                    <w:rPr>
                      <w:color w:val="auto"/>
                      <w:kern w:val="0"/>
                      <w:szCs w:val="21"/>
                      <w:highlight w:val="none"/>
                      <w:lang w:bidi="ar"/>
                    </w:rPr>
                    <w:t>0.072</w:t>
                  </w:r>
                </w:p>
              </w:tc>
              <w:tc>
                <w:tcPr>
                  <w:tcW w:w="1173" w:type="dxa"/>
                  <w:vAlign w:val="center"/>
                </w:tcPr>
                <w:p>
                  <w:pPr>
                    <w:pStyle w:val="30"/>
                    <w:rPr>
                      <w:color w:val="auto"/>
                      <w:highlight w:val="none"/>
                    </w:rPr>
                  </w:pPr>
                  <w:r>
                    <w:rPr>
                      <w:rFonts w:hint="eastAsia"/>
                      <w:color w:val="auto"/>
                      <w:highlight w:val="none"/>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2" w:type="dxa"/>
                  <w:vAlign w:val="center"/>
                </w:tcPr>
                <w:p>
                  <w:pPr>
                    <w:pStyle w:val="30"/>
                    <w:rPr>
                      <w:color w:val="auto"/>
                      <w:highlight w:val="none"/>
                    </w:rPr>
                  </w:pPr>
                  <w:r>
                    <w:rPr>
                      <w:rFonts w:hint="eastAsia"/>
                      <w:color w:val="auto"/>
                      <w:highlight w:val="none"/>
                    </w:rPr>
                    <w:t>标准限值（mg/L）</w:t>
                  </w:r>
                </w:p>
              </w:tc>
              <w:tc>
                <w:tcPr>
                  <w:tcW w:w="1172" w:type="dxa"/>
                  <w:vAlign w:val="center"/>
                </w:tcPr>
                <w:p>
                  <w:pPr>
                    <w:pStyle w:val="30"/>
                    <w:rPr>
                      <w:color w:val="auto"/>
                      <w:highlight w:val="none"/>
                    </w:rPr>
                  </w:pPr>
                  <w:r>
                    <w:rPr>
                      <w:rFonts w:hint="eastAsia"/>
                      <w:color w:val="auto"/>
                      <w:highlight w:val="none"/>
                    </w:rPr>
                    <w:t>240</w:t>
                  </w:r>
                </w:p>
              </w:tc>
              <w:tc>
                <w:tcPr>
                  <w:tcW w:w="1173" w:type="dxa"/>
                  <w:vAlign w:val="center"/>
                </w:tcPr>
                <w:p>
                  <w:pPr>
                    <w:pStyle w:val="30"/>
                    <w:rPr>
                      <w:color w:val="auto"/>
                      <w:highlight w:val="none"/>
                    </w:rPr>
                  </w:pPr>
                  <w:r>
                    <w:rPr>
                      <w:rFonts w:hint="eastAsia"/>
                      <w:color w:val="auto"/>
                      <w:highlight w:val="none"/>
                    </w:rPr>
                    <w:t>120</w:t>
                  </w:r>
                </w:p>
              </w:tc>
              <w:tc>
                <w:tcPr>
                  <w:tcW w:w="1173" w:type="dxa"/>
                  <w:vAlign w:val="center"/>
                </w:tcPr>
                <w:p>
                  <w:pPr>
                    <w:pStyle w:val="30"/>
                    <w:rPr>
                      <w:color w:val="auto"/>
                      <w:highlight w:val="none"/>
                    </w:rPr>
                  </w:pPr>
                  <w:r>
                    <w:rPr>
                      <w:rFonts w:hint="eastAsia"/>
                      <w:color w:val="auto"/>
                      <w:highlight w:val="none"/>
                    </w:rPr>
                    <w:t>180</w:t>
                  </w:r>
                </w:p>
              </w:tc>
              <w:tc>
                <w:tcPr>
                  <w:tcW w:w="1173" w:type="dxa"/>
                  <w:vAlign w:val="center"/>
                </w:tcPr>
                <w:p>
                  <w:pPr>
                    <w:pStyle w:val="30"/>
                    <w:rPr>
                      <w:color w:val="auto"/>
                      <w:highlight w:val="none"/>
                    </w:rPr>
                  </w:pPr>
                  <w:r>
                    <w:rPr>
                      <w:rFonts w:hint="eastAsia"/>
                      <w:color w:val="auto"/>
                      <w:highlight w:val="none"/>
                    </w:rPr>
                    <w:t>30</w:t>
                  </w:r>
                </w:p>
              </w:tc>
              <w:tc>
                <w:tcPr>
                  <w:tcW w:w="1173" w:type="dxa"/>
                  <w:vAlign w:val="center"/>
                </w:tcPr>
                <w:p>
                  <w:pPr>
                    <w:pStyle w:val="30"/>
                    <w:rPr>
                      <w:color w:val="auto"/>
                      <w:highlight w:val="none"/>
                    </w:rPr>
                  </w:pPr>
                  <w:r>
                    <w:rPr>
                      <w:rFonts w:hint="eastAsia"/>
                      <w:color w:val="auto"/>
                      <w:highlight w:val="none"/>
                    </w:rPr>
                    <w:t>100</w:t>
                  </w:r>
                </w:p>
              </w:tc>
              <w:tc>
                <w:tcPr>
                  <w:tcW w:w="1173" w:type="dxa"/>
                  <w:vAlign w:val="center"/>
                </w:tcPr>
                <w:p>
                  <w:pPr>
                    <w:pStyle w:val="30"/>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2" w:type="dxa"/>
                  <w:vAlign w:val="center"/>
                </w:tcPr>
                <w:p>
                  <w:pPr>
                    <w:pStyle w:val="30"/>
                    <w:rPr>
                      <w:color w:val="auto"/>
                      <w:highlight w:val="none"/>
                    </w:rPr>
                  </w:pPr>
                  <w:r>
                    <w:rPr>
                      <w:rFonts w:hint="eastAsia"/>
                      <w:color w:val="auto"/>
                      <w:highlight w:val="none"/>
                    </w:rPr>
                    <w:t>达标情况</w:t>
                  </w:r>
                </w:p>
              </w:tc>
              <w:tc>
                <w:tcPr>
                  <w:tcW w:w="1172" w:type="dxa"/>
                  <w:vAlign w:val="center"/>
                </w:tcPr>
                <w:p>
                  <w:pPr>
                    <w:pStyle w:val="30"/>
                    <w:rPr>
                      <w:color w:val="auto"/>
                      <w:highlight w:val="none"/>
                    </w:rPr>
                  </w:pPr>
                  <w:r>
                    <w:rPr>
                      <w:rFonts w:hint="eastAsia"/>
                      <w:color w:val="auto"/>
                      <w:highlight w:val="none"/>
                    </w:rPr>
                    <w:t>达标</w:t>
                  </w:r>
                </w:p>
              </w:tc>
              <w:tc>
                <w:tcPr>
                  <w:tcW w:w="1173" w:type="dxa"/>
                  <w:vAlign w:val="center"/>
                </w:tcPr>
                <w:p>
                  <w:pPr>
                    <w:jc w:val="center"/>
                    <w:rPr>
                      <w:color w:val="auto"/>
                      <w:highlight w:val="none"/>
                    </w:rPr>
                  </w:pPr>
                  <w:r>
                    <w:rPr>
                      <w:rFonts w:hint="eastAsia"/>
                      <w:color w:val="auto"/>
                      <w:highlight w:val="none"/>
                    </w:rPr>
                    <w:t>达标</w:t>
                  </w:r>
                </w:p>
              </w:tc>
              <w:tc>
                <w:tcPr>
                  <w:tcW w:w="1173" w:type="dxa"/>
                  <w:vAlign w:val="center"/>
                </w:tcPr>
                <w:p>
                  <w:pPr>
                    <w:jc w:val="center"/>
                    <w:rPr>
                      <w:color w:val="auto"/>
                      <w:highlight w:val="none"/>
                    </w:rPr>
                  </w:pPr>
                  <w:r>
                    <w:rPr>
                      <w:rFonts w:hint="eastAsia"/>
                      <w:color w:val="auto"/>
                      <w:highlight w:val="none"/>
                    </w:rPr>
                    <w:t>达标</w:t>
                  </w:r>
                </w:p>
              </w:tc>
              <w:tc>
                <w:tcPr>
                  <w:tcW w:w="1173" w:type="dxa"/>
                  <w:vAlign w:val="center"/>
                </w:tcPr>
                <w:p>
                  <w:pPr>
                    <w:jc w:val="center"/>
                    <w:rPr>
                      <w:color w:val="auto"/>
                      <w:highlight w:val="none"/>
                    </w:rPr>
                  </w:pPr>
                  <w:r>
                    <w:rPr>
                      <w:rFonts w:hint="eastAsia"/>
                      <w:color w:val="auto"/>
                      <w:highlight w:val="none"/>
                    </w:rPr>
                    <w:t>达标</w:t>
                  </w:r>
                </w:p>
              </w:tc>
              <w:tc>
                <w:tcPr>
                  <w:tcW w:w="1173" w:type="dxa"/>
                  <w:vAlign w:val="center"/>
                </w:tcPr>
                <w:p>
                  <w:pPr>
                    <w:jc w:val="center"/>
                    <w:rPr>
                      <w:color w:val="auto"/>
                      <w:highlight w:val="none"/>
                    </w:rPr>
                  </w:pPr>
                  <w:r>
                    <w:rPr>
                      <w:rFonts w:hint="eastAsia"/>
                      <w:color w:val="auto"/>
                      <w:highlight w:val="none"/>
                    </w:rPr>
                    <w:t>达标</w:t>
                  </w:r>
                </w:p>
              </w:tc>
              <w:tc>
                <w:tcPr>
                  <w:tcW w:w="1173" w:type="dxa"/>
                  <w:vAlign w:val="center"/>
                </w:tcPr>
                <w:p>
                  <w:pPr>
                    <w:pStyle w:val="30"/>
                    <w:rPr>
                      <w:color w:val="auto"/>
                      <w:highlight w:val="none"/>
                    </w:rPr>
                  </w:pPr>
                  <w:r>
                    <w:rPr>
                      <w:rFonts w:hint="eastAsia"/>
                      <w:color w:val="auto"/>
                      <w:highlight w:val="none"/>
                    </w:rPr>
                    <w:t>/</w:t>
                  </w:r>
                </w:p>
              </w:tc>
            </w:tr>
          </w:tbl>
          <w:p>
            <w:pPr>
              <w:pStyle w:val="32"/>
              <w:rPr>
                <w:color w:val="auto"/>
                <w:highlight w:val="none"/>
              </w:rPr>
            </w:pPr>
          </w:p>
          <w:p>
            <w:pPr>
              <w:pStyle w:val="36"/>
              <w:ind w:firstLine="480"/>
              <w:rPr>
                <w:color w:val="auto"/>
                <w:highlight w:val="none"/>
              </w:rPr>
            </w:pPr>
            <w:r>
              <w:rPr>
                <w:rFonts w:hint="eastAsia"/>
                <w:color w:val="auto"/>
                <w:highlight w:val="none"/>
              </w:rPr>
              <w:t>（2）实验废水</w:t>
            </w:r>
          </w:p>
          <w:p>
            <w:pPr>
              <w:pStyle w:val="36"/>
              <w:ind w:firstLine="480"/>
              <w:rPr>
                <w:color w:val="auto"/>
                <w:highlight w:val="none"/>
              </w:rPr>
            </w:pPr>
            <w:r>
              <w:rPr>
                <w:rFonts w:hint="eastAsia"/>
                <w:color w:val="auto"/>
                <w:highlight w:val="none"/>
              </w:rPr>
              <w:t>本项目在进行物化实验、生物实验过程中均会产生废水。实验室废水的排放周期不定，且所含污染物成分较为复杂，除含有洗涤剂和常用溶剂等有机物外，还有较多的酸碱、少量有毒有害的有机物。实验室废水按污染程度可分为高浓度和低浓度实验废水，高浓度实验废水主要成分为液态的失效试剂（废洗液、废有机溶剂、废试剂等）、液态的实验废弃产物或中间产物（如各种有机溶剂、离心液、液体</w:t>
            </w:r>
            <w:r>
              <w:rPr>
                <w:rFonts w:hint="eastAsia"/>
                <w:color w:val="auto"/>
                <w:highlight w:val="none"/>
                <w:lang w:eastAsia="zh-CN"/>
              </w:rPr>
              <w:t>不合格产品</w:t>
            </w:r>
            <w:r>
              <w:rPr>
                <w:rFonts w:hint="eastAsia"/>
                <w:color w:val="auto"/>
                <w:highlight w:val="none"/>
              </w:rPr>
              <w:t>等）；低浓度实验废水指实验过程中排放的浓度与毒性较低的实验废水以及各种洗涤液（产物或中间产物的洗涤液，仪器或器具的润洗液和洗涤废水等）、毒性小、浓度低的废试液以及用做冷却、加热用途的水。</w:t>
            </w:r>
          </w:p>
          <w:p>
            <w:pPr>
              <w:pStyle w:val="36"/>
              <w:ind w:firstLine="480"/>
              <w:rPr>
                <w:color w:val="auto"/>
                <w:highlight w:val="none"/>
              </w:rPr>
            </w:pPr>
            <w:r>
              <w:rPr>
                <w:rFonts w:hint="eastAsia"/>
                <w:color w:val="auto"/>
                <w:highlight w:val="none"/>
              </w:rPr>
              <w:t>根据危险废物名录，实验室产生的高浓度废液按危险废物管理，本项目高浓度实验废液涉及的危废种类包括HW03 900-002-03、HW14 900-017-14、HW49 900-047-49；其他实验废水通过酸碱中和池和消毒池处理后，接入化粪池处理后排入市政管网。</w:t>
            </w:r>
          </w:p>
          <w:p>
            <w:pPr>
              <w:pStyle w:val="36"/>
              <w:ind w:firstLine="480"/>
              <w:rPr>
                <w:color w:val="auto"/>
                <w:highlight w:val="none"/>
              </w:rPr>
            </w:pPr>
            <w:r>
              <w:rPr>
                <w:color w:val="auto"/>
                <w:highlight w:val="none"/>
              </w:rPr>
              <w:t>类比《</w:t>
            </w:r>
            <w:r>
              <w:rPr>
                <w:rFonts w:hint="eastAsia"/>
                <w:color w:val="auto"/>
                <w:highlight w:val="none"/>
              </w:rPr>
              <w:t>福建</w:t>
            </w:r>
            <w:r>
              <w:rPr>
                <w:rFonts w:hint="eastAsia"/>
                <w:color w:val="auto"/>
                <w:highlight w:val="none"/>
                <w:lang w:eastAsia="zh-CN"/>
              </w:rPr>
              <w:t>师范大学旗山校区</w:t>
            </w:r>
            <w:r>
              <w:rPr>
                <w:rFonts w:hint="eastAsia"/>
                <w:color w:val="auto"/>
                <w:highlight w:val="none"/>
                <w:lang w:val="en-US" w:eastAsia="zh-CN"/>
              </w:rPr>
              <w:t>13-18号楼科研实验楼项目</w:t>
            </w:r>
            <w:r>
              <w:rPr>
                <w:color w:val="auto"/>
                <w:highlight w:val="none"/>
              </w:rPr>
              <w:t>》，其新增学生</w:t>
            </w:r>
            <w:r>
              <w:rPr>
                <w:rFonts w:hint="eastAsia"/>
                <w:color w:val="auto"/>
                <w:highlight w:val="none"/>
                <w:lang w:val="en-US" w:eastAsia="zh-CN"/>
              </w:rPr>
              <w:t>2690</w:t>
            </w:r>
            <w:r>
              <w:rPr>
                <w:color w:val="auto"/>
                <w:highlight w:val="none"/>
              </w:rPr>
              <w:t>人，实验室日用水量约</w:t>
            </w:r>
            <w:r>
              <w:rPr>
                <w:rFonts w:hint="eastAsia"/>
                <w:color w:val="auto"/>
                <w:highlight w:val="none"/>
                <w:lang w:val="en-US" w:eastAsia="zh-CN"/>
              </w:rPr>
              <w:t>56.215</w:t>
            </w:r>
            <w:r>
              <w:rPr>
                <w:color w:val="auto"/>
                <w:highlight w:val="none"/>
              </w:rPr>
              <w:t>m</w:t>
            </w:r>
            <w:r>
              <w:rPr>
                <w:color w:val="auto"/>
                <w:highlight w:val="none"/>
                <w:vertAlign w:val="superscript"/>
              </w:rPr>
              <w:t>3</w:t>
            </w:r>
            <w:r>
              <w:rPr>
                <w:color w:val="auto"/>
                <w:highlight w:val="none"/>
              </w:rPr>
              <w:t>/d，，实验室</w:t>
            </w:r>
            <w:r>
              <w:rPr>
                <w:rFonts w:hint="eastAsia"/>
                <w:color w:val="auto"/>
                <w:highlight w:val="none"/>
              </w:rPr>
              <w:t>低浓度</w:t>
            </w:r>
            <w:r>
              <w:rPr>
                <w:color w:val="auto"/>
                <w:highlight w:val="none"/>
              </w:rPr>
              <w:t>废水产生量为</w:t>
            </w:r>
            <w:r>
              <w:rPr>
                <w:rFonts w:hint="eastAsia"/>
                <w:color w:val="auto"/>
                <w:highlight w:val="none"/>
                <w:lang w:val="en-US" w:eastAsia="zh-CN"/>
              </w:rPr>
              <w:t>48.75</w:t>
            </w:r>
            <w:r>
              <w:rPr>
                <w:color w:val="auto"/>
                <w:highlight w:val="none"/>
              </w:rPr>
              <w:t>m</w:t>
            </w:r>
            <w:r>
              <w:rPr>
                <w:color w:val="auto"/>
                <w:highlight w:val="none"/>
                <w:vertAlign w:val="superscript"/>
              </w:rPr>
              <w:t>3</w:t>
            </w:r>
            <w:r>
              <w:rPr>
                <w:color w:val="auto"/>
                <w:highlight w:val="none"/>
              </w:rPr>
              <w:t>/d；实验过程产生的废液产生量约为 0.0</w:t>
            </w:r>
            <w:r>
              <w:rPr>
                <w:rFonts w:hint="eastAsia"/>
                <w:color w:val="auto"/>
                <w:highlight w:val="none"/>
                <w:lang w:val="en-US" w:eastAsia="zh-CN"/>
              </w:rPr>
              <w:t>24</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。可得到，本项目师生定员为1000人，</w:t>
            </w:r>
            <w:r>
              <w:rPr>
                <w:color w:val="auto"/>
                <w:highlight w:val="none"/>
              </w:rPr>
              <w:t>实验室日用水量约</w:t>
            </w:r>
            <w:r>
              <w:rPr>
                <w:rFonts w:hint="eastAsia"/>
                <w:color w:val="auto"/>
                <w:highlight w:val="none"/>
                <w:lang w:val="en-US" w:eastAsia="zh-CN"/>
              </w:rPr>
              <w:t>20.90</w:t>
            </w:r>
            <w:r>
              <w:rPr>
                <w:color w:val="auto"/>
                <w:highlight w:val="none"/>
              </w:rPr>
              <w:t>m</w:t>
            </w:r>
            <w:r>
              <w:rPr>
                <w:color w:val="auto"/>
                <w:highlight w:val="none"/>
                <w:vertAlign w:val="superscript"/>
              </w:rPr>
              <w:t>3</w:t>
            </w:r>
            <w:r>
              <w:rPr>
                <w:color w:val="auto"/>
                <w:highlight w:val="none"/>
              </w:rPr>
              <w:t>/d，年用水量为</w:t>
            </w:r>
            <w:r>
              <w:rPr>
                <w:rFonts w:hint="eastAsia"/>
                <w:color w:val="auto"/>
                <w:highlight w:val="none"/>
                <w:lang w:val="en-US" w:eastAsia="zh-CN"/>
              </w:rPr>
              <w:t>4180</w:t>
            </w:r>
            <w:r>
              <w:rPr>
                <w:color w:val="auto"/>
                <w:highlight w:val="none"/>
              </w:rPr>
              <w:t>m</w:t>
            </w:r>
            <w:r>
              <w:rPr>
                <w:color w:val="auto"/>
                <w:highlight w:val="none"/>
                <w:vertAlign w:val="superscript"/>
              </w:rPr>
              <w:t>3</w:t>
            </w:r>
            <w:r>
              <w:rPr>
                <w:color w:val="auto"/>
                <w:highlight w:val="none"/>
              </w:rPr>
              <w:t>/a（周末和寒暑假一般不安排实验课，按200d/a计），实验室</w:t>
            </w:r>
            <w:r>
              <w:rPr>
                <w:rFonts w:hint="eastAsia"/>
                <w:color w:val="auto"/>
                <w:highlight w:val="none"/>
              </w:rPr>
              <w:t>低浓度</w:t>
            </w:r>
            <w:r>
              <w:rPr>
                <w:color w:val="auto"/>
                <w:highlight w:val="none"/>
              </w:rPr>
              <w:t>废水</w:t>
            </w:r>
            <w:r>
              <w:rPr>
                <w:rFonts w:hint="eastAsia"/>
                <w:color w:val="auto"/>
                <w:highlight w:val="none"/>
              </w:rPr>
              <w:t>（一般实验废水）</w:t>
            </w:r>
            <w:r>
              <w:rPr>
                <w:color w:val="auto"/>
                <w:highlight w:val="none"/>
              </w:rPr>
              <w:t>产生量为</w:t>
            </w:r>
            <w:r>
              <w:rPr>
                <w:rFonts w:hint="eastAsia"/>
                <w:color w:val="auto"/>
                <w:highlight w:val="none"/>
                <w:lang w:val="en-US" w:eastAsia="zh-CN"/>
              </w:rPr>
              <w:t>18.12</w:t>
            </w:r>
            <w:r>
              <w:rPr>
                <w:color w:val="auto"/>
                <w:highlight w:val="none"/>
              </w:rPr>
              <w:t>m</w:t>
            </w:r>
            <w:r>
              <w:rPr>
                <w:color w:val="auto"/>
                <w:highlight w:val="none"/>
                <w:vertAlign w:val="superscript"/>
              </w:rPr>
              <w:t>3</w:t>
            </w:r>
            <w:r>
              <w:rPr>
                <w:color w:val="auto"/>
                <w:highlight w:val="none"/>
              </w:rPr>
              <w:t>/d（</w:t>
            </w:r>
            <w:r>
              <w:rPr>
                <w:rFonts w:hint="eastAsia"/>
                <w:color w:val="auto"/>
                <w:highlight w:val="none"/>
                <w:lang w:val="en-US" w:eastAsia="zh-CN"/>
              </w:rPr>
              <w:t>3624</w:t>
            </w:r>
            <w:r>
              <w:rPr>
                <w:color w:val="auto"/>
                <w:highlight w:val="none"/>
              </w:rPr>
              <w:t>m</w:t>
            </w:r>
            <w:r>
              <w:rPr>
                <w:color w:val="auto"/>
                <w:highlight w:val="none"/>
                <w:vertAlign w:val="superscript"/>
              </w:rPr>
              <w:t>3</w:t>
            </w:r>
            <w:r>
              <w:rPr>
                <w:color w:val="auto"/>
                <w:highlight w:val="none"/>
              </w:rPr>
              <w:t>/a）；实验过程产生的废液产生量约为 0.</w:t>
            </w:r>
            <w:r>
              <w:rPr>
                <w:rFonts w:hint="eastAsia"/>
                <w:color w:val="auto"/>
                <w:highlight w:val="none"/>
              </w:rPr>
              <w:t>0</w:t>
            </w:r>
            <w:r>
              <w:rPr>
                <w:color w:val="auto"/>
                <w:highlight w:val="none"/>
              </w:rPr>
              <w:t>0</w:t>
            </w:r>
            <w:r>
              <w:rPr>
                <w:rFonts w:hint="eastAsia"/>
                <w:color w:val="auto"/>
                <w:highlight w:val="none"/>
                <w:lang w:val="en-US" w:eastAsia="zh-CN"/>
              </w:rPr>
              <w:t>89</w:t>
            </w:r>
            <w:r>
              <w:rPr>
                <w:color w:val="auto"/>
                <w:highlight w:val="none"/>
              </w:rPr>
              <w:t>m</w:t>
            </w:r>
            <w:r>
              <w:rPr>
                <w:color w:val="auto"/>
                <w:highlight w:val="none"/>
                <w:vertAlign w:val="superscript"/>
              </w:rPr>
              <w:t>3</w:t>
            </w:r>
            <w:r>
              <w:rPr>
                <w:color w:val="auto"/>
                <w:highlight w:val="none"/>
              </w:rPr>
              <w:t>/d（</w:t>
            </w:r>
            <w:r>
              <w:rPr>
                <w:rFonts w:hint="eastAsia"/>
                <w:color w:val="auto"/>
                <w:highlight w:val="none"/>
                <w:lang w:val="en-US" w:eastAsia="zh-CN"/>
              </w:rPr>
              <w:t>1.78</w:t>
            </w:r>
            <w:r>
              <w:rPr>
                <w:color w:val="auto"/>
                <w:highlight w:val="none"/>
              </w:rPr>
              <w:t>m</w:t>
            </w:r>
            <w:r>
              <w:rPr>
                <w:color w:val="auto"/>
                <w:highlight w:val="none"/>
                <w:vertAlign w:val="superscript"/>
              </w:rPr>
              <w:t>3</w:t>
            </w:r>
            <w:r>
              <w:rPr>
                <w:color w:val="auto"/>
                <w:highlight w:val="none"/>
              </w:rPr>
              <w:t>/a）</w:t>
            </w:r>
            <w:r>
              <w:rPr>
                <w:rFonts w:hint="eastAsia"/>
                <w:color w:val="auto"/>
                <w:highlight w:val="none"/>
              </w:rPr>
              <w:t>。</w:t>
            </w:r>
          </w:p>
          <w:p>
            <w:pPr>
              <w:pStyle w:val="36"/>
              <w:ind w:firstLine="480"/>
              <w:rPr>
                <w:rFonts w:hint="eastAsia" w:eastAsia="宋体"/>
                <w:color w:val="auto"/>
                <w:highlight w:val="none"/>
                <w:lang w:eastAsia="zh-CN"/>
              </w:rPr>
            </w:pPr>
            <w:r>
              <w:rPr>
                <w:rFonts w:hint="eastAsia"/>
                <w:color w:val="auto"/>
                <w:highlight w:val="none"/>
              </w:rPr>
              <w:t>参照《福建师范大学旗山校区13-18号科研实验楼项目环境影响报告书》项目一般实验废水中污染物产生浓度为：COD 515mg/L、BOD</w:t>
            </w:r>
            <w:r>
              <w:rPr>
                <w:rFonts w:hint="eastAsia"/>
                <w:color w:val="auto"/>
                <w:highlight w:val="none"/>
                <w:vertAlign w:val="subscript"/>
              </w:rPr>
              <w:t xml:space="preserve">5 </w:t>
            </w:r>
            <w:r>
              <w:rPr>
                <w:rFonts w:hint="eastAsia"/>
                <w:color w:val="auto"/>
                <w:highlight w:val="none"/>
              </w:rPr>
              <w:t>295mg/L、SS 180mg/L、氨氮30mg/L。项目一般实验废水经酸碱中和池和消毒池处理后，接入化粪池处理后排入市政管网，类比采取相同处理工艺的</w:t>
            </w:r>
            <w:r>
              <w:rPr>
                <w:color w:val="auto"/>
                <w:highlight w:val="none"/>
              </w:rPr>
              <w:t>《</w:t>
            </w:r>
            <w:r>
              <w:rPr>
                <w:rFonts w:hint="eastAsia"/>
                <w:color w:val="auto"/>
                <w:highlight w:val="none"/>
              </w:rPr>
              <w:t>福耀科技大学（暂名）</w:t>
            </w:r>
            <w:r>
              <w:rPr>
                <w:color w:val="auto"/>
                <w:highlight w:val="none"/>
              </w:rPr>
              <w:t>项目环境影响报告表》</w:t>
            </w:r>
            <w:r>
              <w:rPr>
                <w:rFonts w:hint="eastAsia"/>
                <w:color w:val="auto"/>
                <w:highlight w:val="none"/>
              </w:rPr>
              <w:t>，处理后各污染物浓度为：COD 240mg/L、BOD</w:t>
            </w:r>
            <w:r>
              <w:rPr>
                <w:rFonts w:hint="eastAsia"/>
                <w:color w:val="auto"/>
                <w:highlight w:val="none"/>
                <w:vertAlign w:val="subscript"/>
              </w:rPr>
              <w:t xml:space="preserve">5 </w:t>
            </w:r>
            <w:r>
              <w:rPr>
                <w:rFonts w:hint="eastAsia"/>
                <w:color w:val="auto"/>
                <w:highlight w:val="none"/>
              </w:rPr>
              <w:t>120mg/L、SS 180mg/L、氨氮30mg/L</w:t>
            </w:r>
            <w:r>
              <w:rPr>
                <w:rFonts w:hint="eastAsia"/>
                <w:color w:val="auto"/>
                <w:highlight w:val="none"/>
                <w:lang w:eastAsia="zh-CN"/>
              </w:rPr>
              <w:t>，可满足表</w:t>
            </w:r>
            <w:r>
              <w:rPr>
                <w:rFonts w:hint="eastAsia"/>
                <w:color w:val="auto"/>
                <w:highlight w:val="none"/>
                <w:lang w:val="en-US" w:eastAsia="zh-CN"/>
              </w:rPr>
              <w:t>3.2.2中</w:t>
            </w:r>
            <w:r>
              <w:rPr>
                <w:color w:val="auto"/>
                <w:highlight w:val="none"/>
              </w:rPr>
              <w:t>福州大学城污水处理厂的纳管标准</w:t>
            </w:r>
            <w:r>
              <w:rPr>
                <w:rFonts w:hint="eastAsia"/>
                <w:color w:val="auto"/>
                <w:highlight w:val="none"/>
                <w:lang w:eastAsia="zh-CN"/>
              </w:rPr>
              <w:t>。</w:t>
            </w:r>
          </w:p>
          <w:p>
            <w:pPr>
              <w:pStyle w:val="36"/>
              <w:ind w:firstLine="480"/>
              <w:rPr>
                <w:color w:val="auto"/>
                <w:highlight w:val="none"/>
              </w:rPr>
            </w:pPr>
            <w:r>
              <w:rPr>
                <w:rFonts w:hint="eastAsia"/>
                <w:color w:val="auto"/>
                <w:highlight w:val="none"/>
              </w:rPr>
              <w:t>则项目一般实验废水污染物产生及排放情况详见下表。</w:t>
            </w:r>
          </w:p>
          <w:p>
            <w:pPr>
              <w:pStyle w:val="29"/>
              <w:rPr>
                <w:color w:val="auto"/>
                <w:highlight w:val="none"/>
              </w:rPr>
            </w:pPr>
            <w:r>
              <w:rPr>
                <w:rFonts w:hint="eastAsia"/>
                <w:color w:val="auto"/>
                <w:highlight w:val="none"/>
              </w:rPr>
              <w:t>表4.2.3 项目一般实验废水污染物产生及排放情况一览表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366"/>
              <w:gridCol w:w="1366"/>
              <w:gridCol w:w="1366"/>
              <w:gridCol w:w="1366"/>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pStyle w:val="30"/>
                    <w:rPr>
                      <w:color w:val="auto"/>
                      <w:highlight w:val="none"/>
                    </w:rPr>
                  </w:pPr>
                  <w:r>
                    <w:rPr>
                      <w:rFonts w:hint="eastAsia"/>
                      <w:color w:val="auto"/>
                      <w:highlight w:val="none"/>
                    </w:rPr>
                    <w:t>污染物</w:t>
                  </w:r>
                </w:p>
              </w:tc>
              <w:tc>
                <w:tcPr>
                  <w:tcW w:w="833" w:type="pct"/>
                  <w:vAlign w:val="center"/>
                </w:tcPr>
                <w:p>
                  <w:pPr>
                    <w:pStyle w:val="30"/>
                    <w:rPr>
                      <w:color w:val="auto"/>
                      <w:highlight w:val="none"/>
                    </w:rPr>
                  </w:pPr>
                  <w:r>
                    <w:rPr>
                      <w:rFonts w:hint="eastAsia"/>
                      <w:color w:val="auto"/>
                      <w:highlight w:val="none"/>
                    </w:rPr>
                    <w:t>COD</w:t>
                  </w:r>
                </w:p>
              </w:tc>
              <w:tc>
                <w:tcPr>
                  <w:tcW w:w="833" w:type="pct"/>
                  <w:vAlign w:val="center"/>
                </w:tcPr>
                <w:p>
                  <w:pPr>
                    <w:pStyle w:val="30"/>
                    <w:rPr>
                      <w:color w:val="auto"/>
                      <w:highlight w:val="none"/>
                    </w:rPr>
                  </w:pPr>
                  <w:r>
                    <w:rPr>
                      <w:rFonts w:hint="eastAsia"/>
                      <w:color w:val="auto"/>
                      <w:highlight w:val="none"/>
                    </w:rPr>
                    <w:t>BOD</w:t>
                  </w:r>
                  <w:r>
                    <w:rPr>
                      <w:rFonts w:hint="eastAsia"/>
                      <w:color w:val="auto"/>
                      <w:highlight w:val="none"/>
                      <w:vertAlign w:val="subscript"/>
                    </w:rPr>
                    <w:t>5</w:t>
                  </w:r>
                </w:p>
              </w:tc>
              <w:tc>
                <w:tcPr>
                  <w:tcW w:w="833" w:type="pct"/>
                  <w:vAlign w:val="center"/>
                </w:tcPr>
                <w:p>
                  <w:pPr>
                    <w:pStyle w:val="30"/>
                    <w:rPr>
                      <w:color w:val="auto"/>
                      <w:highlight w:val="none"/>
                    </w:rPr>
                  </w:pPr>
                  <w:r>
                    <w:rPr>
                      <w:rFonts w:hint="eastAsia"/>
                      <w:color w:val="auto"/>
                      <w:highlight w:val="none"/>
                    </w:rPr>
                    <w:t>SS</w:t>
                  </w:r>
                </w:p>
              </w:tc>
              <w:tc>
                <w:tcPr>
                  <w:tcW w:w="833" w:type="pct"/>
                  <w:vAlign w:val="center"/>
                </w:tcPr>
                <w:p>
                  <w:pPr>
                    <w:pStyle w:val="30"/>
                    <w:rPr>
                      <w:color w:val="auto"/>
                      <w:highlight w:val="none"/>
                    </w:rPr>
                  </w:pPr>
                  <w:r>
                    <w:rPr>
                      <w:rFonts w:hint="eastAsia"/>
                      <w:color w:val="auto"/>
                      <w:highlight w:val="none"/>
                    </w:rPr>
                    <w:t>氨氮</w:t>
                  </w:r>
                </w:p>
              </w:tc>
              <w:tc>
                <w:tcPr>
                  <w:tcW w:w="833" w:type="pct"/>
                  <w:vAlign w:val="center"/>
                </w:tcPr>
                <w:p>
                  <w:pPr>
                    <w:pStyle w:val="30"/>
                    <w:rPr>
                      <w:color w:val="auto"/>
                      <w:highlight w:val="none"/>
                    </w:rPr>
                  </w:pPr>
                  <w:r>
                    <w:rPr>
                      <w:rFonts w:hint="eastAsia"/>
                      <w:color w:val="auto"/>
                      <w:highlight w:val="none"/>
                    </w:rPr>
                    <w:t>污水总量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pStyle w:val="30"/>
                    <w:rPr>
                      <w:color w:val="auto"/>
                      <w:highlight w:val="none"/>
                    </w:rPr>
                  </w:pPr>
                  <w:r>
                    <w:rPr>
                      <w:rFonts w:hint="eastAsia"/>
                      <w:color w:val="auto"/>
                      <w:highlight w:val="none"/>
                    </w:rPr>
                    <w:t>产生浓度（mg/L）</w:t>
                  </w:r>
                </w:p>
              </w:tc>
              <w:tc>
                <w:tcPr>
                  <w:tcW w:w="833" w:type="pct"/>
                  <w:vAlign w:val="center"/>
                </w:tcPr>
                <w:p>
                  <w:pPr>
                    <w:pStyle w:val="30"/>
                    <w:rPr>
                      <w:color w:val="auto"/>
                      <w:highlight w:val="none"/>
                    </w:rPr>
                  </w:pPr>
                  <w:r>
                    <w:rPr>
                      <w:rFonts w:hint="eastAsia"/>
                      <w:color w:val="auto"/>
                      <w:highlight w:val="none"/>
                    </w:rPr>
                    <w:t>515</w:t>
                  </w:r>
                </w:p>
              </w:tc>
              <w:tc>
                <w:tcPr>
                  <w:tcW w:w="833" w:type="pct"/>
                  <w:vAlign w:val="center"/>
                </w:tcPr>
                <w:p>
                  <w:pPr>
                    <w:pStyle w:val="30"/>
                    <w:rPr>
                      <w:color w:val="auto"/>
                      <w:highlight w:val="none"/>
                    </w:rPr>
                  </w:pPr>
                  <w:r>
                    <w:rPr>
                      <w:rFonts w:hint="eastAsia"/>
                      <w:color w:val="auto"/>
                      <w:highlight w:val="none"/>
                    </w:rPr>
                    <w:t>295</w:t>
                  </w:r>
                </w:p>
              </w:tc>
              <w:tc>
                <w:tcPr>
                  <w:tcW w:w="833" w:type="pct"/>
                  <w:vAlign w:val="center"/>
                </w:tcPr>
                <w:p>
                  <w:pPr>
                    <w:pStyle w:val="30"/>
                    <w:rPr>
                      <w:color w:val="auto"/>
                      <w:highlight w:val="none"/>
                    </w:rPr>
                  </w:pPr>
                  <w:r>
                    <w:rPr>
                      <w:rFonts w:hint="eastAsia"/>
                      <w:color w:val="auto"/>
                      <w:highlight w:val="none"/>
                    </w:rPr>
                    <w:t>220</w:t>
                  </w:r>
                </w:p>
              </w:tc>
              <w:tc>
                <w:tcPr>
                  <w:tcW w:w="833" w:type="pct"/>
                  <w:vAlign w:val="center"/>
                </w:tcPr>
                <w:p>
                  <w:pPr>
                    <w:pStyle w:val="30"/>
                    <w:rPr>
                      <w:color w:val="auto"/>
                      <w:highlight w:val="none"/>
                    </w:rPr>
                  </w:pPr>
                  <w:r>
                    <w:rPr>
                      <w:rFonts w:hint="eastAsia"/>
                      <w:color w:val="auto"/>
                      <w:highlight w:val="none"/>
                    </w:rPr>
                    <w:t>33.5</w:t>
                  </w:r>
                </w:p>
              </w:tc>
              <w:tc>
                <w:tcPr>
                  <w:tcW w:w="833" w:type="pct"/>
                  <w:vAlign w:val="center"/>
                </w:tcPr>
                <w:p>
                  <w:pPr>
                    <w:pStyle w:val="30"/>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pStyle w:val="30"/>
                    <w:rPr>
                      <w:color w:val="auto"/>
                      <w:highlight w:val="none"/>
                    </w:rPr>
                  </w:pPr>
                  <w:r>
                    <w:rPr>
                      <w:rFonts w:hint="eastAsia"/>
                      <w:color w:val="auto"/>
                      <w:highlight w:val="none"/>
                    </w:rPr>
                    <w:t>产生量（t/a）</w:t>
                  </w:r>
                </w:p>
              </w:tc>
              <w:tc>
                <w:tcPr>
                  <w:tcW w:w="833" w:type="pct"/>
                  <w:vAlign w:val="center"/>
                </w:tcPr>
                <w:p>
                  <w:pPr>
                    <w:widowControl/>
                    <w:jc w:val="center"/>
                    <w:textAlignment w:val="center"/>
                    <w:rPr>
                      <w:color w:val="auto"/>
                      <w:highlight w:val="none"/>
                    </w:rPr>
                  </w:pPr>
                  <w:r>
                    <w:rPr>
                      <w:rFonts w:hint="eastAsia"/>
                      <w:color w:val="auto"/>
                      <w:highlight w:val="none"/>
                      <w:lang w:val="en-US" w:eastAsia="zh-CN"/>
                    </w:rPr>
                    <w:t>1.8664</w:t>
                  </w:r>
                </w:p>
              </w:tc>
              <w:tc>
                <w:tcPr>
                  <w:tcW w:w="833" w:type="pct"/>
                  <w:vAlign w:val="center"/>
                </w:tcPr>
                <w:p>
                  <w:pPr>
                    <w:widowControl/>
                    <w:jc w:val="center"/>
                    <w:textAlignment w:val="center"/>
                    <w:rPr>
                      <w:color w:val="auto"/>
                      <w:highlight w:val="none"/>
                    </w:rPr>
                  </w:pPr>
                  <w:r>
                    <w:rPr>
                      <w:rFonts w:hint="eastAsia"/>
                      <w:color w:val="auto"/>
                      <w:highlight w:val="none"/>
                      <w:lang w:val="en-US" w:eastAsia="zh-CN"/>
                    </w:rPr>
                    <w:t>1.0691</w:t>
                  </w:r>
                </w:p>
              </w:tc>
              <w:tc>
                <w:tcPr>
                  <w:tcW w:w="833" w:type="pct"/>
                  <w:vAlign w:val="center"/>
                </w:tcPr>
                <w:p>
                  <w:pPr>
                    <w:widowControl/>
                    <w:jc w:val="center"/>
                    <w:textAlignment w:val="center"/>
                    <w:rPr>
                      <w:color w:val="auto"/>
                      <w:highlight w:val="none"/>
                    </w:rPr>
                  </w:pPr>
                  <w:r>
                    <w:rPr>
                      <w:rFonts w:hint="eastAsia"/>
                      <w:color w:val="auto"/>
                      <w:highlight w:val="none"/>
                      <w:lang w:val="en-US" w:eastAsia="zh-CN"/>
                    </w:rPr>
                    <w:t>0.7973</w:t>
                  </w:r>
                </w:p>
              </w:tc>
              <w:tc>
                <w:tcPr>
                  <w:tcW w:w="833" w:type="pct"/>
                  <w:vAlign w:val="center"/>
                </w:tcPr>
                <w:p>
                  <w:pPr>
                    <w:widowControl/>
                    <w:jc w:val="center"/>
                    <w:textAlignment w:val="center"/>
                    <w:rPr>
                      <w:color w:val="auto"/>
                      <w:highlight w:val="none"/>
                    </w:rPr>
                  </w:pPr>
                  <w:r>
                    <w:rPr>
                      <w:rFonts w:hint="eastAsia"/>
                      <w:color w:val="auto"/>
                      <w:highlight w:val="none"/>
                      <w:lang w:val="en-US" w:eastAsia="zh-CN"/>
                    </w:rPr>
                    <w:t>0.1214</w:t>
                  </w:r>
                </w:p>
              </w:tc>
              <w:tc>
                <w:tcPr>
                  <w:tcW w:w="833" w:type="pct"/>
                  <w:vAlign w:val="center"/>
                </w:tcPr>
                <w:p>
                  <w:pPr>
                    <w:pStyle w:val="30"/>
                    <w:rPr>
                      <w:rFonts w:hint="default" w:eastAsia="宋体"/>
                      <w:color w:val="auto"/>
                      <w:highlight w:val="none"/>
                      <w:lang w:val="en-US" w:eastAsia="zh-CN"/>
                    </w:rPr>
                  </w:pPr>
                  <w:r>
                    <w:rPr>
                      <w:rFonts w:hint="eastAsia"/>
                      <w:color w:val="auto"/>
                      <w:highlight w:val="none"/>
                      <w:lang w:val="en-US" w:eastAsia="zh-CN"/>
                    </w:rPr>
                    <w:t>3624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pStyle w:val="30"/>
                    <w:rPr>
                      <w:color w:val="auto"/>
                      <w:highlight w:val="none"/>
                    </w:rPr>
                  </w:pPr>
                  <w:r>
                    <w:rPr>
                      <w:rFonts w:hint="eastAsia"/>
                      <w:color w:val="auto"/>
                      <w:highlight w:val="none"/>
                    </w:rPr>
                    <w:t>排放浓度（mg/L）</w:t>
                  </w:r>
                </w:p>
              </w:tc>
              <w:tc>
                <w:tcPr>
                  <w:tcW w:w="833" w:type="pct"/>
                  <w:vAlign w:val="center"/>
                </w:tcPr>
                <w:p>
                  <w:pPr>
                    <w:pStyle w:val="30"/>
                    <w:rPr>
                      <w:color w:val="auto"/>
                      <w:highlight w:val="none"/>
                    </w:rPr>
                  </w:pPr>
                  <w:r>
                    <w:rPr>
                      <w:rFonts w:hint="eastAsia"/>
                      <w:color w:val="auto"/>
                      <w:highlight w:val="none"/>
                    </w:rPr>
                    <w:t>240</w:t>
                  </w:r>
                </w:p>
              </w:tc>
              <w:tc>
                <w:tcPr>
                  <w:tcW w:w="833" w:type="pct"/>
                  <w:vAlign w:val="center"/>
                </w:tcPr>
                <w:p>
                  <w:pPr>
                    <w:pStyle w:val="30"/>
                    <w:rPr>
                      <w:color w:val="auto"/>
                      <w:highlight w:val="none"/>
                    </w:rPr>
                  </w:pPr>
                  <w:r>
                    <w:rPr>
                      <w:rFonts w:hint="eastAsia"/>
                      <w:color w:val="auto"/>
                      <w:highlight w:val="none"/>
                    </w:rPr>
                    <w:t>120</w:t>
                  </w:r>
                </w:p>
              </w:tc>
              <w:tc>
                <w:tcPr>
                  <w:tcW w:w="833" w:type="pct"/>
                  <w:vAlign w:val="center"/>
                </w:tcPr>
                <w:p>
                  <w:pPr>
                    <w:pStyle w:val="30"/>
                    <w:rPr>
                      <w:color w:val="auto"/>
                      <w:highlight w:val="none"/>
                    </w:rPr>
                  </w:pPr>
                  <w:r>
                    <w:rPr>
                      <w:rFonts w:hint="eastAsia"/>
                      <w:color w:val="auto"/>
                      <w:highlight w:val="none"/>
                    </w:rPr>
                    <w:t>180</w:t>
                  </w:r>
                </w:p>
              </w:tc>
              <w:tc>
                <w:tcPr>
                  <w:tcW w:w="833" w:type="pct"/>
                  <w:vAlign w:val="center"/>
                </w:tcPr>
                <w:p>
                  <w:pPr>
                    <w:pStyle w:val="30"/>
                    <w:rPr>
                      <w:color w:val="auto"/>
                      <w:highlight w:val="none"/>
                    </w:rPr>
                  </w:pPr>
                  <w:r>
                    <w:rPr>
                      <w:rFonts w:hint="eastAsia"/>
                      <w:color w:val="auto"/>
                      <w:highlight w:val="none"/>
                    </w:rPr>
                    <w:t>30</w:t>
                  </w:r>
                </w:p>
              </w:tc>
              <w:tc>
                <w:tcPr>
                  <w:tcW w:w="833" w:type="pct"/>
                  <w:vAlign w:val="center"/>
                </w:tcPr>
                <w:p>
                  <w:pPr>
                    <w:pStyle w:val="30"/>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pStyle w:val="30"/>
                    <w:rPr>
                      <w:color w:val="auto"/>
                      <w:highlight w:val="none"/>
                    </w:rPr>
                  </w:pPr>
                  <w:r>
                    <w:rPr>
                      <w:rFonts w:hint="eastAsia"/>
                      <w:color w:val="auto"/>
                      <w:highlight w:val="none"/>
                    </w:rPr>
                    <w:t>排放量（t/a）</w:t>
                  </w:r>
                </w:p>
              </w:tc>
              <w:tc>
                <w:tcPr>
                  <w:tcW w:w="833" w:type="pct"/>
                  <w:vAlign w:val="center"/>
                </w:tcPr>
                <w:p>
                  <w:pPr>
                    <w:widowControl/>
                    <w:jc w:val="center"/>
                    <w:textAlignment w:val="center"/>
                    <w:rPr>
                      <w:color w:val="auto"/>
                      <w:highlight w:val="none"/>
                    </w:rPr>
                  </w:pPr>
                  <w:r>
                    <w:rPr>
                      <w:rFonts w:hint="eastAsia"/>
                      <w:color w:val="auto"/>
                      <w:highlight w:val="none"/>
                      <w:lang w:val="en-US" w:eastAsia="zh-CN"/>
                    </w:rPr>
                    <w:t>0.8698</w:t>
                  </w:r>
                </w:p>
              </w:tc>
              <w:tc>
                <w:tcPr>
                  <w:tcW w:w="833" w:type="pct"/>
                  <w:vAlign w:val="center"/>
                </w:tcPr>
                <w:p>
                  <w:pPr>
                    <w:widowControl/>
                    <w:jc w:val="center"/>
                    <w:textAlignment w:val="center"/>
                    <w:rPr>
                      <w:color w:val="auto"/>
                      <w:highlight w:val="none"/>
                    </w:rPr>
                  </w:pPr>
                  <w:r>
                    <w:rPr>
                      <w:rFonts w:hint="eastAsia"/>
                      <w:color w:val="auto"/>
                      <w:highlight w:val="none"/>
                      <w:lang w:val="en-US" w:eastAsia="zh-CN"/>
                    </w:rPr>
                    <w:t>0.4349</w:t>
                  </w:r>
                </w:p>
              </w:tc>
              <w:tc>
                <w:tcPr>
                  <w:tcW w:w="833" w:type="pct"/>
                  <w:vAlign w:val="center"/>
                </w:tcPr>
                <w:p>
                  <w:pPr>
                    <w:widowControl/>
                    <w:jc w:val="center"/>
                    <w:textAlignment w:val="center"/>
                    <w:rPr>
                      <w:color w:val="auto"/>
                      <w:highlight w:val="none"/>
                    </w:rPr>
                  </w:pPr>
                  <w:r>
                    <w:rPr>
                      <w:rFonts w:hint="eastAsia"/>
                      <w:color w:val="auto"/>
                      <w:highlight w:val="none"/>
                      <w:lang w:val="en-US" w:eastAsia="zh-CN"/>
                    </w:rPr>
                    <w:t>0.6523</w:t>
                  </w:r>
                </w:p>
              </w:tc>
              <w:tc>
                <w:tcPr>
                  <w:tcW w:w="833" w:type="pct"/>
                  <w:vAlign w:val="center"/>
                </w:tcPr>
                <w:p>
                  <w:pPr>
                    <w:widowControl/>
                    <w:jc w:val="center"/>
                    <w:textAlignment w:val="center"/>
                    <w:rPr>
                      <w:color w:val="auto"/>
                      <w:highlight w:val="none"/>
                    </w:rPr>
                  </w:pPr>
                  <w:r>
                    <w:rPr>
                      <w:rFonts w:hint="eastAsia"/>
                      <w:color w:val="auto"/>
                      <w:highlight w:val="none"/>
                      <w:lang w:val="en-US" w:eastAsia="zh-CN"/>
                    </w:rPr>
                    <w:t>0.1087</w:t>
                  </w:r>
                </w:p>
              </w:tc>
              <w:tc>
                <w:tcPr>
                  <w:tcW w:w="833" w:type="pct"/>
                  <w:vAlign w:val="center"/>
                </w:tcPr>
                <w:p>
                  <w:pPr>
                    <w:pStyle w:val="30"/>
                    <w:rPr>
                      <w:rFonts w:hint="default" w:eastAsia="宋体"/>
                      <w:color w:val="auto"/>
                      <w:highlight w:val="none"/>
                      <w:lang w:val="en-US" w:eastAsia="zh-CN"/>
                    </w:rPr>
                  </w:pPr>
                  <w:r>
                    <w:rPr>
                      <w:rFonts w:hint="eastAsia"/>
                      <w:color w:val="auto"/>
                      <w:highlight w:val="none"/>
                      <w:lang w:val="en-US" w:eastAsia="zh-CN"/>
                    </w:rPr>
                    <w:t>3624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pStyle w:val="30"/>
                    <w:rPr>
                      <w:color w:val="auto"/>
                      <w:highlight w:val="none"/>
                    </w:rPr>
                  </w:pPr>
                  <w:r>
                    <w:rPr>
                      <w:rFonts w:hint="eastAsia"/>
                      <w:color w:val="auto"/>
                      <w:highlight w:val="none"/>
                    </w:rPr>
                    <w:t>标准限值（mg/L）</w:t>
                  </w:r>
                </w:p>
              </w:tc>
              <w:tc>
                <w:tcPr>
                  <w:tcW w:w="833" w:type="pct"/>
                  <w:vAlign w:val="center"/>
                </w:tcPr>
                <w:p>
                  <w:pPr>
                    <w:pStyle w:val="30"/>
                    <w:rPr>
                      <w:color w:val="auto"/>
                      <w:highlight w:val="none"/>
                    </w:rPr>
                  </w:pPr>
                  <w:r>
                    <w:rPr>
                      <w:rFonts w:hint="eastAsia"/>
                      <w:color w:val="auto"/>
                      <w:highlight w:val="none"/>
                    </w:rPr>
                    <w:t>240</w:t>
                  </w:r>
                </w:p>
              </w:tc>
              <w:tc>
                <w:tcPr>
                  <w:tcW w:w="833" w:type="pct"/>
                  <w:vAlign w:val="center"/>
                </w:tcPr>
                <w:p>
                  <w:pPr>
                    <w:pStyle w:val="30"/>
                    <w:rPr>
                      <w:color w:val="auto"/>
                      <w:highlight w:val="none"/>
                    </w:rPr>
                  </w:pPr>
                  <w:r>
                    <w:rPr>
                      <w:rFonts w:hint="eastAsia"/>
                      <w:color w:val="auto"/>
                      <w:highlight w:val="none"/>
                    </w:rPr>
                    <w:t>120</w:t>
                  </w:r>
                </w:p>
              </w:tc>
              <w:tc>
                <w:tcPr>
                  <w:tcW w:w="833" w:type="pct"/>
                  <w:vAlign w:val="center"/>
                </w:tcPr>
                <w:p>
                  <w:pPr>
                    <w:pStyle w:val="30"/>
                    <w:rPr>
                      <w:color w:val="auto"/>
                      <w:highlight w:val="none"/>
                    </w:rPr>
                  </w:pPr>
                  <w:r>
                    <w:rPr>
                      <w:rFonts w:hint="eastAsia"/>
                      <w:color w:val="auto"/>
                      <w:highlight w:val="none"/>
                    </w:rPr>
                    <w:t>180</w:t>
                  </w:r>
                </w:p>
              </w:tc>
              <w:tc>
                <w:tcPr>
                  <w:tcW w:w="833" w:type="pct"/>
                  <w:vAlign w:val="center"/>
                </w:tcPr>
                <w:p>
                  <w:pPr>
                    <w:pStyle w:val="30"/>
                    <w:rPr>
                      <w:color w:val="auto"/>
                      <w:highlight w:val="none"/>
                    </w:rPr>
                  </w:pPr>
                  <w:r>
                    <w:rPr>
                      <w:rFonts w:hint="eastAsia"/>
                      <w:color w:val="auto"/>
                      <w:highlight w:val="none"/>
                    </w:rPr>
                    <w:t>30</w:t>
                  </w:r>
                </w:p>
              </w:tc>
              <w:tc>
                <w:tcPr>
                  <w:tcW w:w="833" w:type="pct"/>
                  <w:vAlign w:val="center"/>
                </w:tcPr>
                <w:p>
                  <w:pPr>
                    <w:pStyle w:val="30"/>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pStyle w:val="30"/>
                    <w:rPr>
                      <w:color w:val="auto"/>
                      <w:highlight w:val="none"/>
                    </w:rPr>
                  </w:pPr>
                  <w:r>
                    <w:rPr>
                      <w:rFonts w:hint="eastAsia"/>
                      <w:color w:val="auto"/>
                      <w:highlight w:val="none"/>
                    </w:rPr>
                    <w:t>达标情况</w:t>
                  </w:r>
                </w:p>
              </w:tc>
              <w:tc>
                <w:tcPr>
                  <w:tcW w:w="833" w:type="pct"/>
                  <w:vAlign w:val="center"/>
                </w:tcPr>
                <w:p>
                  <w:pPr>
                    <w:pStyle w:val="30"/>
                    <w:rPr>
                      <w:color w:val="auto"/>
                      <w:highlight w:val="none"/>
                    </w:rPr>
                  </w:pPr>
                  <w:r>
                    <w:rPr>
                      <w:rFonts w:hint="eastAsia"/>
                      <w:color w:val="auto"/>
                      <w:highlight w:val="none"/>
                    </w:rPr>
                    <w:t>达标</w:t>
                  </w:r>
                </w:p>
              </w:tc>
              <w:tc>
                <w:tcPr>
                  <w:tcW w:w="833" w:type="pct"/>
                  <w:vAlign w:val="center"/>
                </w:tcPr>
                <w:p>
                  <w:pPr>
                    <w:jc w:val="center"/>
                    <w:rPr>
                      <w:color w:val="auto"/>
                      <w:highlight w:val="none"/>
                    </w:rPr>
                  </w:pPr>
                  <w:r>
                    <w:rPr>
                      <w:rFonts w:hint="eastAsia"/>
                      <w:color w:val="auto"/>
                      <w:highlight w:val="none"/>
                    </w:rPr>
                    <w:t>达标</w:t>
                  </w:r>
                </w:p>
              </w:tc>
              <w:tc>
                <w:tcPr>
                  <w:tcW w:w="833" w:type="pct"/>
                  <w:vAlign w:val="center"/>
                </w:tcPr>
                <w:p>
                  <w:pPr>
                    <w:jc w:val="center"/>
                    <w:rPr>
                      <w:color w:val="auto"/>
                      <w:highlight w:val="none"/>
                    </w:rPr>
                  </w:pPr>
                  <w:r>
                    <w:rPr>
                      <w:rFonts w:hint="eastAsia"/>
                      <w:color w:val="auto"/>
                      <w:highlight w:val="none"/>
                    </w:rPr>
                    <w:t>达标</w:t>
                  </w:r>
                </w:p>
              </w:tc>
              <w:tc>
                <w:tcPr>
                  <w:tcW w:w="833" w:type="pct"/>
                  <w:vAlign w:val="center"/>
                </w:tcPr>
                <w:p>
                  <w:pPr>
                    <w:jc w:val="center"/>
                    <w:rPr>
                      <w:color w:val="auto"/>
                      <w:highlight w:val="none"/>
                    </w:rPr>
                  </w:pPr>
                  <w:r>
                    <w:rPr>
                      <w:rFonts w:hint="eastAsia"/>
                      <w:color w:val="auto"/>
                      <w:highlight w:val="none"/>
                    </w:rPr>
                    <w:t>达标</w:t>
                  </w:r>
                </w:p>
              </w:tc>
              <w:tc>
                <w:tcPr>
                  <w:tcW w:w="833" w:type="pct"/>
                  <w:vAlign w:val="center"/>
                </w:tcPr>
                <w:p>
                  <w:pPr>
                    <w:pStyle w:val="30"/>
                    <w:rPr>
                      <w:color w:val="auto"/>
                      <w:highlight w:val="none"/>
                    </w:rPr>
                  </w:pPr>
                  <w:r>
                    <w:rPr>
                      <w:rFonts w:hint="eastAsia"/>
                      <w:color w:val="auto"/>
                      <w:highlight w:val="none"/>
                    </w:rPr>
                    <w:t>/</w:t>
                  </w:r>
                </w:p>
              </w:tc>
            </w:tr>
          </w:tbl>
          <w:p>
            <w:pPr>
              <w:pStyle w:val="36"/>
              <w:ind w:firstLine="480"/>
              <w:rPr>
                <w:color w:val="auto"/>
                <w:highlight w:val="none"/>
              </w:rPr>
            </w:pPr>
          </w:p>
          <w:p>
            <w:pPr>
              <w:pStyle w:val="36"/>
              <w:ind w:firstLine="480"/>
              <w:rPr>
                <w:color w:val="auto"/>
                <w:highlight w:val="none"/>
              </w:rPr>
            </w:pPr>
            <w:r>
              <w:rPr>
                <w:rFonts w:hint="eastAsia"/>
                <w:color w:val="auto"/>
                <w:highlight w:val="none"/>
              </w:rPr>
              <w:t>（3）污水处理厂处理后废水排放情况</w:t>
            </w:r>
          </w:p>
          <w:p>
            <w:pPr>
              <w:pStyle w:val="36"/>
              <w:ind w:firstLine="480"/>
              <w:rPr>
                <w:color w:val="auto"/>
                <w:highlight w:val="none"/>
              </w:rPr>
            </w:pPr>
            <w:r>
              <w:rPr>
                <w:rFonts w:hint="eastAsia"/>
                <w:color w:val="auto"/>
                <w:highlight w:val="none"/>
              </w:rPr>
              <w:t>根据上述分析及水平衡章节，可得本项目废水最大年排放量为</w:t>
            </w:r>
            <w:r>
              <w:rPr>
                <w:rFonts w:hint="eastAsia"/>
                <w:color w:val="auto"/>
                <w:highlight w:val="none"/>
                <w:lang w:val="en-US" w:eastAsia="zh-CN"/>
              </w:rPr>
              <w:t>12624</w:t>
            </w:r>
            <w:r>
              <w:rPr>
                <w:rFonts w:hint="eastAsia"/>
                <w:color w:val="auto"/>
                <w:highlight w:val="none"/>
              </w:rPr>
              <w:t>t/a，均接入市政管网后排入大学城污水处理厂进行进一步处理。福州大学城污水处理厂排入外环境的废水按《城镇污水处理厂污染物排放标准》（GB18918-2002）表 1 一级 A 标准计算，则污染物排放浓度为：COD 50mg/L、BOD</w:t>
            </w:r>
            <w:r>
              <w:rPr>
                <w:rFonts w:hint="eastAsia"/>
                <w:color w:val="auto"/>
                <w:highlight w:val="none"/>
                <w:vertAlign w:val="subscript"/>
              </w:rPr>
              <w:t xml:space="preserve">5 </w:t>
            </w:r>
            <w:r>
              <w:rPr>
                <w:rFonts w:hint="eastAsia"/>
                <w:color w:val="auto"/>
                <w:highlight w:val="none"/>
              </w:rPr>
              <w:t>10mg/L、SS 10mg/L、氨氮5mg/L、动植物油1mg/L。据此可计算得出，项目废水经大学城污水处理厂处理后排入外环境的污染物总量为：COD 0.</w:t>
            </w:r>
            <w:r>
              <w:rPr>
                <w:rFonts w:hint="eastAsia"/>
                <w:color w:val="auto"/>
                <w:highlight w:val="none"/>
                <w:lang w:val="en-US" w:eastAsia="zh-CN"/>
              </w:rPr>
              <w:t>6312</w:t>
            </w:r>
            <w:r>
              <w:rPr>
                <w:rFonts w:hint="eastAsia"/>
                <w:color w:val="auto"/>
                <w:highlight w:val="none"/>
              </w:rPr>
              <w:t>t/a、BOD</w:t>
            </w:r>
            <w:r>
              <w:rPr>
                <w:rFonts w:hint="eastAsia"/>
                <w:color w:val="auto"/>
                <w:highlight w:val="none"/>
                <w:vertAlign w:val="subscript"/>
              </w:rPr>
              <w:t xml:space="preserve">5 </w:t>
            </w:r>
            <w:r>
              <w:rPr>
                <w:rFonts w:hint="eastAsia"/>
                <w:color w:val="auto"/>
                <w:highlight w:val="none"/>
              </w:rPr>
              <w:t>0.</w:t>
            </w:r>
            <w:r>
              <w:rPr>
                <w:rFonts w:hint="eastAsia"/>
                <w:color w:val="auto"/>
                <w:highlight w:val="none"/>
                <w:lang w:val="en-US" w:eastAsia="zh-CN"/>
              </w:rPr>
              <w:t>1262</w:t>
            </w:r>
            <w:r>
              <w:rPr>
                <w:rFonts w:hint="eastAsia"/>
                <w:color w:val="auto"/>
                <w:highlight w:val="none"/>
              </w:rPr>
              <w:t>t/a、SS 0.</w:t>
            </w:r>
            <w:r>
              <w:rPr>
                <w:rFonts w:hint="eastAsia"/>
                <w:color w:val="auto"/>
                <w:highlight w:val="none"/>
                <w:lang w:val="en-US" w:eastAsia="zh-CN"/>
              </w:rPr>
              <w:t>1262</w:t>
            </w:r>
            <w:r>
              <w:rPr>
                <w:rFonts w:hint="eastAsia"/>
                <w:color w:val="auto"/>
                <w:highlight w:val="none"/>
              </w:rPr>
              <w:t>t/a、氨氮0.0</w:t>
            </w:r>
            <w:r>
              <w:rPr>
                <w:rFonts w:hint="eastAsia"/>
                <w:color w:val="auto"/>
                <w:highlight w:val="none"/>
                <w:lang w:val="en-US" w:eastAsia="zh-CN"/>
              </w:rPr>
              <w:t>631</w:t>
            </w:r>
            <w:r>
              <w:rPr>
                <w:rFonts w:hint="eastAsia"/>
                <w:color w:val="auto"/>
                <w:highlight w:val="none"/>
              </w:rPr>
              <w:t>t/a、动植物油0.01</w:t>
            </w:r>
            <w:r>
              <w:rPr>
                <w:rFonts w:hint="eastAsia"/>
                <w:color w:val="auto"/>
                <w:highlight w:val="none"/>
                <w:lang w:val="en-US" w:eastAsia="zh-CN"/>
              </w:rPr>
              <w:t>26</w:t>
            </w:r>
            <w:r>
              <w:rPr>
                <w:rFonts w:hint="eastAsia"/>
                <w:color w:val="auto"/>
                <w:highlight w:val="none"/>
              </w:rPr>
              <w:t>t/a。</w:t>
            </w:r>
          </w:p>
          <w:p>
            <w:pPr>
              <w:pStyle w:val="37"/>
              <w:rPr>
                <w:color w:val="auto"/>
                <w:highlight w:val="none"/>
              </w:rPr>
            </w:pPr>
            <w:r>
              <w:rPr>
                <w:rFonts w:hint="eastAsia"/>
                <w:color w:val="auto"/>
                <w:highlight w:val="none"/>
              </w:rPr>
              <w:t>4.2.2.2 地表水环境影响分析</w:t>
            </w:r>
          </w:p>
          <w:p>
            <w:pPr>
              <w:pStyle w:val="36"/>
              <w:ind w:firstLine="480"/>
              <w:rPr>
                <w:color w:val="auto"/>
                <w:highlight w:val="none"/>
              </w:rPr>
            </w:pPr>
            <w:r>
              <w:rPr>
                <w:rFonts w:hint="eastAsia"/>
                <w:color w:val="auto"/>
                <w:highlight w:val="none"/>
              </w:rPr>
              <w:t>本项目产生的废水主要为生活污水和实验废水。</w:t>
            </w:r>
          </w:p>
          <w:p>
            <w:pPr>
              <w:pStyle w:val="36"/>
              <w:ind w:firstLine="480"/>
              <w:rPr>
                <w:color w:val="auto"/>
                <w:highlight w:val="none"/>
              </w:rPr>
            </w:pPr>
            <w:r>
              <w:rPr>
                <w:rFonts w:hint="eastAsia"/>
                <w:color w:val="auto"/>
                <w:highlight w:val="none"/>
              </w:rPr>
              <w:t>生活污水经化粪池处理后接入市政管网，最后纳入污水处理厂处理；生活污水中的含油废水经隔油池处理后与其它生活污水经化粪池处理后，按就近排放原则接入市政污水管网，纳入污水处理厂集中处理。</w:t>
            </w:r>
          </w:p>
          <w:p>
            <w:pPr>
              <w:pStyle w:val="36"/>
              <w:ind w:firstLine="480"/>
              <w:rPr>
                <w:color w:val="auto"/>
                <w:highlight w:val="none"/>
              </w:rPr>
            </w:pPr>
            <w:r>
              <w:rPr>
                <w:rFonts w:hint="eastAsia"/>
                <w:color w:val="auto"/>
                <w:highlight w:val="none"/>
              </w:rPr>
              <w:t>实验废水中的高浓度废液按危险废物管理，其他实验废水通过酸碱中和池</w:t>
            </w:r>
            <w:r>
              <w:rPr>
                <w:rFonts w:hint="eastAsia"/>
                <w:color w:val="auto"/>
                <w:highlight w:val="none"/>
                <w:lang w:eastAsia="zh-CN"/>
              </w:rPr>
              <w:t>和</w:t>
            </w:r>
            <w:r>
              <w:rPr>
                <w:rFonts w:hint="eastAsia"/>
                <w:color w:val="auto"/>
                <w:highlight w:val="none"/>
              </w:rPr>
              <w:t>消毒池处理后，接入化粪池处理后排入市政污水管网。</w:t>
            </w:r>
          </w:p>
          <w:p>
            <w:pPr>
              <w:pStyle w:val="36"/>
              <w:ind w:firstLine="480"/>
              <w:rPr>
                <w:color w:val="auto"/>
                <w:highlight w:val="none"/>
              </w:rPr>
            </w:pPr>
            <w:r>
              <w:rPr>
                <w:rFonts w:hint="eastAsia"/>
                <w:color w:val="auto"/>
                <w:highlight w:val="none"/>
              </w:rPr>
              <w:t>根据污染源分析结果，项目产生的废水经处理后可达大学城污水处理厂纳管标准，并接入大学城污水处理厂进行进一步处理，处理完毕后项目排放的废水对周边环境影响不大。</w:t>
            </w:r>
          </w:p>
          <w:p>
            <w:pPr>
              <w:pStyle w:val="37"/>
              <w:rPr>
                <w:color w:val="auto"/>
                <w:highlight w:val="none"/>
              </w:rPr>
            </w:pPr>
            <w:r>
              <w:rPr>
                <w:rFonts w:hint="eastAsia"/>
                <w:color w:val="auto"/>
                <w:highlight w:val="none"/>
              </w:rPr>
              <w:t xml:space="preserve">4.2.2.3 废水治理措施可行性分析 </w:t>
            </w:r>
          </w:p>
          <w:p>
            <w:pPr>
              <w:pStyle w:val="36"/>
              <w:ind w:firstLine="480"/>
              <w:rPr>
                <w:color w:val="auto"/>
                <w:highlight w:val="none"/>
              </w:rPr>
            </w:pPr>
            <w:r>
              <w:rPr>
                <w:rFonts w:hint="eastAsia"/>
                <w:color w:val="auto"/>
                <w:highlight w:val="none"/>
              </w:rPr>
              <w:t>（1）预处理可行性分析</w:t>
            </w:r>
          </w:p>
          <w:p>
            <w:pPr>
              <w:pStyle w:val="36"/>
              <w:ind w:firstLine="480"/>
              <w:rPr>
                <w:rFonts w:hint="eastAsia"/>
                <w:color w:val="auto"/>
                <w:highlight w:val="none"/>
                <w:lang w:eastAsia="zh-CN"/>
              </w:rPr>
            </w:pPr>
            <w:r>
              <w:rPr>
                <w:rFonts w:hint="eastAsia"/>
                <w:color w:val="auto"/>
                <w:highlight w:val="none"/>
                <w:lang w:eastAsia="zh-CN"/>
              </w:rPr>
              <w:t>①隔油池</w:t>
            </w:r>
          </w:p>
          <w:p>
            <w:pPr>
              <w:pStyle w:val="36"/>
              <w:ind w:firstLine="480"/>
              <w:rPr>
                <w:rFonts w:hint="eastAsia"/>
                <w:color w:val="auto"/>
                <w:highlight w:val="none"/>
                <w:lang w:eastAsia="zh-CN"/>
              </w:rPr>
            </w:pPr>
            <w:r>
              <w:rPr>
                <w:rFonts w:hint="eastAsia"/>
                <w:color w:val="auto"/>
                <w:highlight w:val="none"/>
                <w:lang w:eastAsia="zh-CN"/>
              </w:rPr>
              <w:t>本项目新设一座</w:t>
            </w:r>
            <w:r>
              <w:rPr>
                <w:rFonts w:hint="eastAsia"/>
                <w:color w:val="auto"/>
                <w:highlight w:val="none"/>
                <w:lang w:val="en-US" w:eastAsia="zh-CN"/>
              </w:rPr>
              <w:t>2m</w:t>
            </w:r>
            <w:r>
              <w:rPr>
                <w:rFonts w:hint="eastAsia"/>
                <w:color w:val="auto"/>
                <w:highlight w:val="none"/>
                <w:vertAlign w:val="superscript"/>
                <w:lang w:val="en-US" w:eastAsia="zh-CN"/>
              </w:rPr>
              <w:t>3</w:t>
            </w:r>
            <w:r>
              <w:rPr>
                <w:rFonts w:hint="eastAsia"/>
                <w:color w:val="auto"/>
                <w:highlight w:val="none"/>
                <w:lang w:eastAsia="zh-CN"/>
              </w:rPr>
              <w:t>隔油池处理餐厅排放的含油污水。隔油池是利用油滴与水的密度差产生上浮作用来去除含油废水中可浮性油类物质的一种废水预处理构筑物。隔油池的构造采用平流式，含油废水通过配水槽进入平面为矩形的隔油池，沿水平方向缓慢流动，在流动中油品上浮水面，由集油管或设置在池面的刮油机推送到集油管中流入脱水罐。在隔油池中沉淀下来的重油及其他杂质，积聚到池底污泥斗中，通过排泥管进入污泥管中。经过隔油处理的废水则溢流入排水渠排出池外，进行后续处理，以去除乳化油及其他污染物。</w:t>
            </w:r>
          </w:p>
          <w:p>
            <w:pPr>
              <w:pStyle w:val="36"/>
              <w:ind w:firstLine="480"/>
              <w:rPr>
                <w:rFonts w:hint="eastAsia"/>
                <w:color w:val="auto"/>
                <w:highlight w:val="none"/>
                <w:lang w:eastAsia="zh-CN"/>
              </w:rPr>
            </w:pPr>
            <w:r>
              <w:rPr>
                <w:rFonts w:hint="eastAsia"/>
                <w:color w:val="auto"/>
                <w:highlight w:val="none"/>
                <w:lang w:eastAsia="zh-CN"/>
              </w:rPr>
              <w:t>②化粪池</w:t>
            </w:r>
          </w:p>
          <w:p>
            <w:pPr>
              <w:pStyle w:val="36"/>
              <w:ind w:firstLine="480"/>
              <w:rPr>
                <w:rFonts w:hint="eastAsia"/>
                <w:color w:val="auto"/>
                <w:highlight w:val="none"/>
                <w:lang w:eastAsia="zh-CN"/>
              </w:rPr>
            </w:pPr>
            <w:r>
              <w:rPr>
                <w:rFonts w:hint="eastAsia"/>
                <w:color w:val="auto"/>
                <w:highlight w:val="none"/>
                <w:lang w:eastAsia="zh-CN"/>
              </w:rPr>
              <w:t>项目生活污水经化粪池处理后排入市政管网。化粪池由相连的三个池子组成，中间由过粪管连通，主要是利用厌氧发酵、中层过粪和寄生虫卵比重大于一般混合液比重而易于沉淀的原理，粪便在池内经过发酵分解，中层粪液依次由1池流至3池，以达到沉淀或杀灭粪便中寄生虫卵和肠道致病菌的目的，在第3池粪液成为优质化肥。新鲜粪便由进粪口进入第一池，池内粪便开始发酵分解、因比重不同粪液可自燃分解为三层，上层为糊状粪皮，下层为块状或颗粒粪渣，中层为比较澄清的粪液。在上层粪皮和下层粪渣中含细菌和寄生虫卵最多，中层含虫卵最少，初步发酵的中层粪液经过粪管溢流至第二池，而将大部门未经充分发酵的粪皮和粪渣阻流在第一池内继续发酵。流入第二池的粪液进一步分解， 虫卵继续下沉，病原体逐渐死亡，粪液得到进一步无害化，产生的粪皮和粪厚度比第一池显著减少。流入第三池的粪液一般已经腐熟，其中病 菌和寄生虫卵己基本杀灭。第三池功能主要起储存已基本无害化粪液作用。</w:t>
            </w:r>
          </w:p>
          <w:p>
            <w:pPr>
              <w:pStyle w:val="36"/>
              <w:ind w:firstLine="480"/>
              <w:rPr>
                <w:rFonts w:hint="eastAsia"/>
                <w:color w:val="auto"/>
                <w:highlight w:val="none"/>
                <w:lang w:eastAsia="zh-CN"/>
              </w:rPr>
            </w:pPr>
            <w:r>
              <w:rPr>
                <w:rFonts w:hint="eastAsia"/>
                <w:color w:val="auto"/>
                <w:highlight w:val="none"/>
                <w:lang w:eastAsia="zh-CN"/>
              </w:rPr>
              <w:t>③酸碱中和池</w:t>
            </w:r>
            <w:r>
              <w:rPr>
                <w:rFonts w:hint="eastAsia"/>
                <w:color w:val="auto"/>
                <w:highlight w:val="none"/>
                <w:lang w:val="en-US" w:eastAsia="zh-CN"/>
              </w:rPr>
              <w:t>+</w:t>
            </w:r>
            <w:r>
              <w:rPr>
                <w:rFonts w:hint="eastAsia"/>
                <w:color w:val="auto"/>
                <w:highlight w:val="none"/>
                <w:lang w:eastAsia="zh-CN"/>
              </w:rPr>
              <w:t>消毒池</w:t>
            </w:r>
          </w:p>
          <w:p>
            <w:pPr>
              <w:pStyle w:val="36"/>
              <w:ind w:firstLine="480"/>
              <w:rPr>
                <w:rFonts w:hint="default"/>
                <w:color w:val="auto"/>
                <w:highlight w:val="none"/>
                <w:lang w:val="en-US" w:eastAsia="zh-CN"/>
              </w:rPr>
            </w:pPr>
            <w:r>
              <w:rPr>
                <w:rFonts w:hint="eastAsia"/>
                <w:color w:val="auto"/>
                <w:highlight w:val="none"/>
                <w:lang w:eastAsia="zh-CN"/>
              </w:rPr>
              <w:t>项目于综合楼东北侧设置一套酸碱中和池</w:t>
            </w:r>
            <w:r>
              <w:rPr>
                <w:rFonts w:hint="eastAsia"/>
                <w:color w:val="auto"/>
                <w:highlight w:val="none"/>
                <w:lang w:val="en-US" w:eastAsia="zh-CN"/>
              </w:rPr>
              <w:t>+</w:t>
            </w:r>
            <w:r>
              <w:rPr>
                <w:rFonts w:hint="eastAsia"/>
                <w:color w:val="auto"/>
                <w:highlight w:val="none"/>
                <w:lang w:eastAsia="zh-CN"/>
              </w:rPr>
              <w:t>消毒池对一般实验废水进行处理，项目产生的实验废水经酸碱中和池</w:t>
            </w:r>
            <w:r>
              <w:rPr>
                <w:rFonts w:hint="eastAsia"/>
                <w:color w:val="auto"/>
                <w:highlight w:val="none"/>
                <w:lang w:val="en-US" w:eastAsia="zh-CN"/>
              </w:rPr>
              <w:t>+消毒池处理后接入市政管网。经实验室管道收集后的实验污水流入格栅井，在格栅井内安装一台格栅，拦截去除污水中的固体悬浮物质。经格栅处理后的污水流入中和池。由于实验室污水排放存在较大的波动，实验室所使用化学试剂不固定，导致排放污水的pH值不稳定，先经过中和池调节污水的pH值，中和反应池中设置pH在线检测仪监控反应池中的pH，采用精密计量泵自动精确投加化学药剂，使得出水达到絮凝反应的pH值，控制废水pH值稳定在pH 7.5以上。实验废水经酸碱中和处理后，进入消毒池，经过紫外消毒处理后，再排入市政管网。项目设置的</w:t>
            </w:r>
            <w:r>
              <w:rPr>
                <w:rFonts w:hint="eastAsia"/>
                <w:color w:val="auto"/>
                <w:highlight w:val="none"/>
                <w:lang w:eastAsia="zh-CN"/>
              </w:rPr>
              <w:t>酸碱中和池</w:t>
            </w:r>
            <w:r>
              <w:rPr>
                <w:rFonts w:hint="eastAsia"/>
                <w:color w:val="auto"/>
                <w:highlight w:val="none"/>
                <w:lang w:val="en-US" w:eastAsia="zh-CN"/>
              </w:rPr>
              <w:t>+</w:t>
            </w:r>
            <w:r>
              <w:rPr>
                <w:rFonts w:hint="eastAsia"/>
                <w:color w:val="auto"/>
                <w:highlight w:val="none"/>
                <w:lang w:eastAsia="zh-CN"/>
              </w:rPr>
              <w:t>消毒池设计处理能力为</w:t>
            </w:r>
            <w:r>
              <w:rPr>
                <w:rFonts w:hint="eastAsia"/>
                <w:color w:val="auto"/>
                <w:highlight w:val="none"/>
                <w:lang w:val="en-US" w:eastAsia="zh-CN"/>
              </w:rPr>
              <w:t>30m</w:t>
            </w:r>
            <w:r>
              <w:rPr>
                <w:rFonts w:hint="eastAsia"/>
                <w:color w:val="auto"/>
                <w:highlight w:val="none"/>
                <w:vertAlign w:val="superscript"/>
                <w:lang w:val="en-US" w:eastAsia="zh-CN"/>
              </w:rPr>
              <w:t>3</w:t>
            </w:r>
            <w:r>
              <w:rPr>
                <w:rFonts w:hint="eastAsia"/>
                <w:color w:val="auto"/>
                <w:highlight w:val="none"/>
                <w:lang w:val="en-US" w:eastAsia="zh-CN"/>
              </w:rPr>
              <w:t>/d，由项目水平衡可得，项目产生的一般实验废水约为18.12m</w:t>
            </w:r>
            <w:r>
              <w:rPr>
                <w:rFonts w:hint="eastAsia"/>
                <w:color w:val="auto"/>
                <w:highlight w:val="none"/>
                <w:vertAlign w:val="superscript"/>
                <w:lang w:val="en-US" w:eastAsia="zh-CN"/>
              </w:rPr>
              <w:t>3</w:t>
            </w:r>
            <w:r>
              <w:rPr>
                <w:rFonts w:hint="eastAsia"/>
                <w:color w:val="auto"/>
                <w:highlight w:val="none"/>
                <w:lang w:val="en-US" w:eastAsia="zh-CN"/>
              </w:rPr>
              <w:t>/d，故项目</w:t>
            </w:r>
            <w:r>
              <w:rPr>
                <w:rFonts w:hint="eastAsia"/>
                <w:color w:val="auto"/>
                <w:highlight w:val="none"/>
                <w:lang w:eastAsia="zh-CN"/>
              </w:rPr>
              <w:t>酸碱中和池</w:t>
            </w:r>
            <w:r>
              <w:rPr>
                <w:rFonts w:hint="eastAsia"/>
                <w:color w:val="auto"/>
                <w:highlight w:val="none"/>
                <w:lang w:val="en-US" w:eastAsia="zh-CN"/>
              </w:rPr>
              <w:t>+</w:t>
            </w:r>
            <w:r>
              <w:rPr>
                <w:rFonts w:hint="eastAsia"/>
                <w:color w:val="auto"/>
                <w:highlight w:val="none"/>
                <w:lang w:eastAsia="zh-CN"/>
              </w:rPr>
              <w:t>消毒池处理能力能够满足处理需求。</w:t>
            </w:r>
          </w:p>
          <w:p>
            <w:pPr>
              <w:pStyle w:val="36"/>
              <w:ind w:firstLine="480"/>
              <w:rPr>
                <w:color w:val="auto"/>
                <w:highlight w:val="none"/>
              </w:rPr>
            </w:pPr>
            <w:r>
              <w:rPr>
                <w:rFonts w:hint="eastAsia"/>
                <w:color w:val="auto"/>
                <w:highlight w:val="none"/>
              </w:rPr>
              <w:t>根据上述分析，经校内隔油池、酸碱中和池、消毒池、化粪池等设施进行处理后，项目产生的废水可满足大学城污水处理厂纳管要求。</w:t>
            </w:r>
          </w:p>
          <w:p>
            <w:pPr>
              <w:pStyle w:val="36"/>
              <w:ind w:firstLine="480"/>
              <w:rPr>
                <w:color w:val="auto"/>
                <w:highlight w:val="none"/>
              </w:rPr>
            </w:pPr>
            <w:r>
              <w:rPr>
                <w:rFonts w:hint="eastAsia"/>
                <w:color w:val="auto"/>
                <w:highlight w:val="none"/>
              </w:rPr>
              <w:t>（2）纳管可行性分析</w:t>
            </w:r>
          </w:p>
          <w:p>
            <w:pPr>
              <w:pStyle w:val="36"/>
              <w:ind w:firstLine="480"/>
              <w:rPr>
                <w:color w:val="auto"/>
                <w:highlight w:val="none"/>
              </w:rPr>
            </w:pPr>
            <w:r>
              <w:rPr>
                <w:rFonts w:hint="eastAsia"/>
                <w:color w:val="auto"/>
                <w:highlight w:val="none"/>
              </w:rPr>
              <w:t>①服务范围</w:t>
            </w:r>
          </w:p>
          <w:p>
            <w:pPr>
              <w:pStyle w:val="36"/>
              <w:ind w:firstLine="480"/>
              <w:rPr>
                <w:color w:val="auto"/>
                <w:highlight w:val="none"/>
              </w:rPr>
            </w:pPr>
            <w:r>
              <w:rPr>
                <w:rFonts w:hint="eastAsia"/>
                <w:color w:val="auto"/>
                <w:highlight w:val="none"/>
              </w:rPr>
              <w:t>福州大学城污水处理厂位于闽侯县上街镇马保村。主要服务范围为上街片区、大学城新区、南屿片区，还包括科技园区和生物医药机电产业园区等。本项目位于上街片区，在大学城污水处理厂的服务范围内。</w:t>
            </w:r>
          </w:p>
          <w:p>
            <w:pPr>
              <w:pStyle w:val="36"/>
              <w:ind w:firstLine="480"/>
              <w:rPr>
                <w:color w:val="auto"/>
                <w:highlight w:val="none"/>
              </w:rPr>
            </w:pPr>
            <w:r>
              <w:rPr>
                <w:rFonts w:hint="eastAsia"/>
                <w:color w:val="auto"/>
                <w:highlight w:val="none"/>
              </w:rPr>
              <w:t>②处理能力</w:t>
            </w:r>
          </w:p>
          <w:p>
            <w:pPr>
              <w:pStyle w:val="36"/>
              <w:ind w:firstLine="480"/>
              <w:rPr>
                <w:color w:val="auto"/>
                <w:highlight w:val="none"/>
              </w:rPr>
            </w:pPr>
            <w:r>
              <w:rPr>
                <w:rFonts w:hint="eastAsia"/>
                <w:color w:val="auto"/>
                <w:highlight w:val="none"/>
              </w:rPr>
              <w:t>福州大学城污水处理厂</w:t>
            </w:r>
            <w:r>
              <w:rPr>
                <w:rFonts w:hint="eastAsia"/>
                <w:color w:val="auto"/>
                <w:highlight w:val="none"/>
                <w:lang w:eastAsia="zh-CN"/>
              </w:rPr>
              <w:t>处理规模已</w:t>
            </w:r>
            <w:r>
              <w:rPr>
                <w:rFonts w:hint="eastAsia"/>
                <w:color w:val="auto"/>
                <w:highlight w:val="none"/>
              </w:rPr>
              <w:t>扩建</w:t>
            </w:r>
            <w:r>
              <w:rPr>
                <w:rFonts w:hint="eastAsia"/>
                <w:color w:val="auto"/>
                <w:highlight w:val="none"/>
                <w:lang w:eastAsia="zh-CN"/>
              </w:rPr>
              <w:t>至</w:t>
            </w:r>
            <w:r>
              <w:rPr>
                <w:rFonts w:hint="eastAsia"/>
                <w:color w:val="auto"/>
                <w:highlight w:val="none"/>
              </w:rPr>
              <w:t>5万吨/日（其中设备2.5万吨/日）。本项目拟在2024年建设完成并运行，运行期间本项目生活污水及实验废水最大排放量约为</w:t>
            </w:r>
            <w:r>
              <w:rPr>
                <w:rFonts w:hint="eastAsia"/>
                <w:color w:val="auto"/>
                <w:highlight w:val="none"/>
                <w:lang w:val="en-US" w:eastAsia="zh-CN"/>
              </w:rPr>
              <w:t>63.12</w:t>
            </w:r>
            <w:r>
              <w:rPr>
                <w:rFonts w:hint="eastAsia"/>
                <w:color w:val="auto"/>
                <w:highlight w:val="none"/>
              </w:rPr>
              <w:t>t/d，占大学城污水处理厂扩建规模的0.1</w:t>
            </w:r>
            <w:r>
              <w:rPr>
                <w:rFonts w:hint="eastAsia"/>
                <w:color w:val="auto"/>
                <w:highlight w:val="none"/>
                <w:lang w:val="en-US" w:eastAsia="zh-CN"/>
              </w:rPr>
              <w:t>3</w:t>
            </w:r>
            <w:r>
              <w:rPr>
                <w:rFonts w:hint="eastAsia"/>
                <w:color w:val="auto"/>
                <w:highlight w:val="none"/>
              </w:rPr>
              <w:t>%。从水量上看，大学城的处理能力能够接纳本项目废水。</w:t>
            </w:r>
          </w:p>
          <w:p>
            <w:pPr>
              <w:pStyle w:val="36"/>
              <w:ind w:firstLine="480"/>
              <w:rPr>
                <w:color w:val="auto"/>
                <w:highlight w:val="none"/>
              </w:rPr>
            </w:pPr>
            <w:r>
              <w:rPr>
                <w:rFonts w:hint="eastAsia"/>
                <w:color w:val="auto"/>
                <w:highlight w:val="none"/>
              </w:rPr>
              <w:t>③水质</w:t>
            </w:r>
          </w:p>
          <w:p>
            <w:pPr>
              <w:pStyle w:val="36"/>
              <w:ind w:firstLine="480"/>
              <w:rPr>
                <w:color w:val="auto"/>
                <w:highlight w:val="none"/>
              </w:rPr>
            </w:pPr>
            <w:r>
              <w:rPr>
                <w:rFonts w:hint="eastAsia"/>
                <w:color w:val="auto"/>
                <w:highlight w:val="none"/>
              </w:rPr>
              <w:t>项目生活污水中所含的COD、BOD</w:t>
            </w:r>
            <w:r>
              <w:rPr>
                <w:rFonts w:hint="eastAsia"/>
                <w:color w:val="auto"/>
                <w:highlight w:val="none"/>
                <w:vertAlign w:val="subscript"/>
              </w:rPr>
              <w:t>5</w:t>
            </w:r>
            <w:r>
              <w:rPr>
                <w:rFonts w:hint="eastAsia"/>
                <w:color w:val="auto"/>
                <w:highlight w:val="none"/>
              </w:rPr>
              <w:t>浓度较低，污染物成分简单，不含有腐蚀成分。</w:t>
            </w:r>
          </w:p>
          <w:p>
            <w:pPr>
              <w:pStyle w:val="36"/>
              <w:ind w:firstLine="480"/>
              <w:rPr>
                <w:color w:val="auto"/>
                <w:highlight w:val="none"/>
              </w:rPr>
            </w:pPr>
            <w:r>
              <w:rPr>
                <w:rFonts w:hint="eastAsia"/>
                <w:color w:val="auto"/>
                <w:highlight w:val="none"/>
              </w:rPr>
              <w:t>项目低浓度实验废水包括实验器皿和实验产物的低浓度洗涤水、一般的化学反应产物、低毒低浓度的废试剂、实验室清洁卫生用水及冷却用水等。本项目产生的实验废水用专门管网收集后经酸碱中和池和消毒池处理，而后再接入化粪池处理后进入市政管网，经过处理后水质中的各污染物浓度指标可满足大学城污水处理厂纳管浓度，污水排放不会对大学城污水处理厂负荷和处理工艺产生影响，也不会对城市污水管道产生腐蚀影响。</w:t>
            </w:r>
          </w:p>
          <w:p>
            <w:pPr>
              <w:pStyle w:val="36"/>
              <w:ind w:firstLine="480"/>
              <w:rPr>
                <w:color w:val="auto"/>
                <w:highlight w:val="none"/>
              </w:rPr>
            </w:pPr>
            <w:r>
              <w:rPr>
                <w:rFonts w:hint="eastAsia"/>
                <w:color w:val="auto"/>
                <w:highlight w:val="none"/>
              </w:rPr>
              <w:t>综上，本项目采取的废水治理措施是可行的。</w:t>
            </w:r>
          </w:p>
          <w:p>
            <w:pPr>
              <w:pStyle w:val="37"/>
              <w:rPr>
                <w:color w:val="auto"/>
                <w:highlight w:val="none"/>
              </w:rPr>
            </w:pPr>
            <w:r>
              <w:rPr>
                <w:rFonts w:hint="eastAsia"/>
                <w:color w:val="auto"/>
                <w:highlight w:val="none"/>
              </w:rPr>
              <w:t>4.2.2.4 废水监测计划</w:t>
            </w:r>
          </w:p>
          <w:p>
            <w:pPr>
              <w:pStyle w:val="36"/>
              <w:ind w:firstLine="480"/>
              <w:rPr>
                <w:color w:val="auto"/>
                <w:highlight w:val="none"/>
              </w:rPr>
            </w:pPr>
            <w:r>
              <w:rPr>
                <w:rFonts w:hint="eastAsia"/>
                <w:color w:val="auto"/>
                <w:highlight w:val="none"/>
              </w:rPr>
              <w:t>根据《排污单位自行监测技术指南 总则》（HJ819-2017）要求，本项目属于非重点排污单位，主要监测指标为化学需氧量、五日生化需氧量、氨氮、悬浮物，排放口废水流量和污染物浓度同步监测，监测频次为每季度一次，监测点位为项目废水外排口。</w:t>
            </w:r>
          </w:p>
          <w:p>
            <w:pPr>
              <w:pStyle w:val="31"/>
              <w:rPr>
                <w:color w:val="auto"/>
                <w:highlight w:val="none"/>
              </w:rPr>
            </w:pPr>
            <w:r>
              <w:rPr>
                <w:rFonts w:hint="eastAsia"/>
                <w:color w:val="auto"/>
                <w:highlight w:val="none"/>
              </w:rPr>
              <w:t>4.2.3 噪声影响及防治措施</w:t>
            </w:r>
          </w:p>
          <w:p>
            <w:pPr>
              <w:pStyle w:val="37"/>
              <w:rPr>
                <w:color w:val="auto"/>
                <w:highlight w:val="none"/>
              </w:rPr>
            </w:pPr>
            <w:r>
              <w:rPr>
                <w:rFonts w:hint="eastAsia"/>
                <w:color w:val="auto"/>
                <w:highlight w:val="none"/>
              </w:rPr>
              <w:t>4.2.3.1 噪声源分析</w:t>
            </w:r>
          </w:p>
          <w:p>
            <w:pPr>
              <w:pStyle w:val="36"/>
              <w:ind w:firstLine="480"/>
              <w:rPr>
                <w:color w:val="auto"/>
                <w:highlight w:val="none"/>
              </w:rPr>
            </w:pPr>
            <w:r>
              <w:rPr>
                <w:rFonts w:hint="eastAsia"/>
                <w:color w:val="auto"/>
                <w:highlight w:val="none"/>
              </w:rPr>
              <w:t>项目运营期噪声污染源主要有师生生活噪声、实验室设备噪声、区内辅助设备噪声。</w:t>
            </w:r>
          </w:p>
          <w:p>
            <w:pPr>
              <w:pStyle w:val="36"/>
              <w:ind w:firstLine="480"/>
              <w:rPr>
                <w:color w:val="auto"/>
                <w:highlight w:val="none"/>
              </w:rPr>
            </w:pPr>
            <w:r>
              <w:rPr>
                <w:rFonts w:hint="eastAsia"/>
                <w:color w:val="auto"/>
                <w:highlight w:val="none"/>
              </w:rPr>
              <w:t>①师生生活噪声</w:t>
            </w:r>
          </w:p>
          <w:p>
            <w:pPr>
              <w:pStyle w:val="36"/>
              <w:ind w:firstLine="480"/>
              <w:rPr>
                <w:color w:val="auto"/>
                <w:highlight w:val="none"/>
              </w:rPr>
            </w:pPr>
            <w:r>
              <w:rPr>
                <w:rFonts w:hint="eastAsia"/>
                <w:color w:val="auto"/>
                <w:highlight w:val="none"/>
              </w:rPr>
              <w:t>项目建成投入使用后，每天将会有数百上千名师生来此进行教学及办公，项目周边区域因出入人员的增加，交通车流量增加，区域噪声声级有所增强，特别是师生上下课时，噪声声级约60～65dB(A)。</w:t>
            </w:r>
          </w:p>
          <w:p>
            <w:pPr>
              <w:pStyle w:val="36"/>
              <w:ind w:firstLine="480"/>
              <w:rPr>
                <w:color w:val="auto"/>
                <w:highlight w:val="none"/>
              </w:rPr>
            </w:pPr>
            <w:r>
              <w:rPr>
                <w:rFonts w:hint="eastAsia"/>
                <w:color w:val="auto"/>
                <w:highlight w:val="none"/>
              </w:rPr>
              <w:t>②实验室设备噪声</w:t>
            </w:r>
          </w:p>
          <w:p>
            <w:pPr>
              <w:pStyle w:val="36"/>
              <w:ind w:firstLine="480"/>
              <w:rPr>
                <w:color w:val="auto"/>
                <w:highlight w:val="none"/>
              </w:rPr>
            </w:pPr>
            <w:r>
              <w:rPr>
                <w:rFonts w:hint="eastAsia"/>
                <w:color w:val="auto"/>
                <w:highlight w:val="none"/>
              </w:rPr>
              <w:t>本项目实验过程中有一些仪器设备属于产噪设备，如破碎机、离心机以及实验室通风系统等。此类仪器设备在使用过程时会产生一定的噪声，其噪声声级约为65～85dB(A)。</w:t>
            </w:r>
          </w:p>
          <w:p>
            <w:pPr>
              <w:pStyle w:val="36"/>
              <w:ind w:firstLine="480"/>
              <w:rPr>
                <w:color w:val="auto"/>
                <w:highlight w:val="none"/>
              </w:rPr>
            </w:pPr>
            <w:r>
              <w:rPr>
                <w:rFonts w:hint="eastAsia"/>
                <w:color w:val="auto"/>
                <w:highlight w:val="none"/>
              </w:rPr>
              <w:t>③辅助设备噪声</w:t>
            </w:r>
          </w:p>
          <w:p>
            <w:pPr>
              <w:pStyle w:val="36"/>
              <w:ind w:firstLine="480"/>
              <w:rPr>
                <w:color w:val="auto"/>
                <w:highlight w:val="none"/>
              </w:rPr>
            </w:pPr>
            <w:r>
              <w:rPr>
                <w:rFonts w:hint="eastAsia"/>
                <w:color w:val="auto"/>
                <w:highlight w:val="none"/>
              </w:rPr>
              <w:t>本项目新增的辅助设备有配电房、空调机组等，其噪声声级约为60～85dB(A)。空调主要用于办公室，其运行时空调外机单机噪声声级可达60dB(A)。配电房设置在单独的房间内，而且配电房的发电机组只有在停电等情况下才使用，产生的噪声属于短暂性的。</w:t>
            </w:r>
          </w:p>
          <w:p>
            <w:pPr>
              <w:pStyle w:val="36"/>
              <w:ind w:firstLine="480"/>
              <w:rPr>
                <w:color w:val="auto"/>
                <w:highlight w:val="none"/>
              </w:rPr>
            </w:pPr>
            <w:r>
              <w:rPr>
                <w:rFonts w:hint="eastAsia"/>
                <w:color w:val="auto"/>
                <w:highlight w:val="none"/>
              </w:rPr>
              <w:t>本项目新增噪声源强详见下表。</w:t>
            </w:r>
          </w:p>
          <w:p>
            <w:pPr>
              <w:pStyle w:val="32"/>
              <w:rPr>
                <w:color w:val="auto"/>
                <w:highlight w:val="none"/>
              </w:rPr>
            </w:pPr>
            <w:r>
              <w:rPr>
                <w:rFonts w:hint="eastAsia"/>
                <w:color w:val="auto"/>
                <w:highlight w:val="none"/>
              </w:rPr>
              <w:t>表4.2.4 噪声源强表  单位：dB(A)</w:t>
            </w:r>
          </w:p>
          <w:tbl>
            <w:tblPr>
              <w:tblStyle w:val="19"/>
              <w:tblW w:w="4998" w:type="pct"/>
              <w:jc w:val="center"/>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33"/>
              <w:gridCol w:w="2853"/>
              <w:gridCol w:w="2005"/>
              <w:gridCol w:w="2405"/>
            </w:tblGrid>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PrEx>
              <w:trPr>
                <w:trHeight w:val="340" w:hRule="atLeast"/>
                <w:jc w:val="center"/>
              </w:trPr>
              <w:tc>
                <w:tcPr>
                  <w:tcW w:w="569" w:type="pct"/>
                  <w:vAlign w:val="center"/>
                </w:tcPr>
                <w:p>
                  <w:pPr>
                    <w:pStyle w:val="40"/>
                    <w:rPr>
                      <w:color w:val="auto"/>
                      <w:highlight w:val="none"/>
                    </w:rPr>
                  </w:pPr>
                  <w:r>
                    <w:rPr>
                      <w:color w:val="auto"/>
                      <w:highlight w:val="none"/>
                    </w:rPr>
                    <w:t>序号</w:t>
                  </w:r>
                </w:p>
              </w:tc>
              <w:tc>
                <w:tcPr>
                  <w:tcW w:w="1740" w:type="pct"/>
                  <w:vAlign w:val="center"/>
                </w:tcPr>
                <w:p>
                  <w:pPr>
                    <w:pStyle w:val="40"/>
                    <w:rPr>
                      <w:color w:val="auto"/>
                      <w:highlight w:val="none"/>
                    </w:rPr>
                  </w:pPr>
                  <w:r>
                    <w:rPr>
                      <w:color w:val="auto"/>
                      <w:highlight w:val="none"/>
                    </w:rPr>
                    <w:t>名称</w:t>
                  </w:r>
                </w:p>
              </w:tc>
              <w:tc>
                <w:tcPr>
                  <w:tcW w:w="1223" w:type="pct"/>
                  <w:vAlign w:val="center"/>
                </w:tcPr>
                <w:p>
                  <w:pPr>
                    <w:pStyle w:val="41"/>
                    <w:spacing w:line="240" w:lineRule="auto"/>
                    <w:rPr>
                      <w:color w:val="auto"/>
                      <w:szCs w:val="21"/>
                      <w:highlight w:val="none"/>
                    </w:rPr>
                  </w:pPr>
                  <w:r>
                    <w:rPr>
                      <w:b w:val="0"/>
                      <w:bCs/>
                      <w:color w:val="auto"/>
                      <w:szCs w:val="21"/>
                      <w:highlight w:val="none"/>
                    </w:rPr>
                    <w:t>数量</w:t>
                  </w:r>
                </w:p>
              </w:tc>
              <w:tc>
                <w:tcPr>
                  <w:tcW w:w="1466" w:type="pct"/>
                  <w:vAlign w:val="center"/>
                </w:tcPr>
                <w:p>
                  <w:pPr>
                    <w:pStyle w:val="40"/>
                    <w:rPr>
                      <w:color w:val="auto"/>
                      <w:highlight w:val="none"/>
                    </w:rPr>
                  </w:pPr>
                  <w:r>
                    <w:rPr>
                      <w:color w:val="auto"/>
                      <w:highlight w:val="none"/>
                    </w:rPr>
                    <w:t>单台噪声源强（dB）</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vAlign w:val="center"/>
                </w:tcPr>
                <w:p>
                  <w:pPr>
                    <w:pStyle w:val="40"/>
                    <w:rPr>
                      <w:color w:val="auto"/>
                      <w:highlight w:val="none"/>
                    </w:rPr>
                  </w:pPr>
                  <w:r>
                    <w:rPr>
                      <w:color w:val="auto"/>
                      <w:highlight w:val="none"/>
                    </w:rPr>
                    <w:t>1</w:t>
                  </w:r>
                </w:p>
              </w:tc>
              <w:tc>
                <w:tcPr>
                  <w:tcW w:w="1740" w:type="pct"/>
                  <w:vAlign w:val="center"/>
                </w:tcPr>
                <w:p>
                  <w:pPr>
                    <w:pStyle w:val="30"/>
                    <w:rPr>
                      <w:color w:val="auto"/>
                      <w:highlight w:val="none"/>
                    </w:rPr>
                  </w:pPr>
                  <w:r>
                    <w:rPr>
                      <w:rFonts w:hint="eastAsia"/>
                      <w:color w:val="auto"/>
                      <w:highlight w:val="none"/>
                    </w:rPr>
                    <w:t>反应釜</w:t>
                  </w:r>
                </w:p>
              </w:tc>
              <w:tc>
                <w:tcPr>
                  <w:tcW w:w="1223" w:type="pct"/>
                  <w:vAlign w:val="center"/>
                </w:tcPr>
                <w:p>
                  <w:pPr>
                    <w:pStyle w:val="30"/>
                    <w:rPr>
                      <w:color w:val="auto"/>
                      <w:highlight w:val="none"/>
                    </w:rPr>
                  </w:pPr>
                  <w:r>
                    <w:rPr>
                      <w:rFonts w:hint="eastAsia"/>
                      <w:color w:val="auto"/>
                      <w:highlight w:val="none"/>
                    </w:rPr>
                    <w:t>3</w:t>
                  </w:r>
                </w:p>
              </w:tc>
              <w:tc>
                <w:tcPr>
                  <w:tcW w:w="1466" w:type="pct"/>
                  <w:vAlign w:val="center"/>
                </w:tcPr>
                <w:p>
                  <w:pPr>
                    <w:pStyle w:val="30"/>
                    <w:rPr>
                      <w:color w:val="auto"/>
                      <w:highlight w:val="none"/>
                    </w:rPr>
                  </w:pPr>
                  <w:r>
                    <w:rPr>
                      <w:rFonts w:hint="eastAsia"/>
                      <w:color w:val="auto"/>
                      <w:highlight w:val="none"/>
                    </w:rPr>
                    <w:t>65</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vAlign w:val="center"/>
                </w:tcPr>
                <w:p>
                  <w:pPr>
                    <w:pStyle w:val="40"/>
                    <w:rPr>
                      <w:color w:val="auto"/>
                      <w:highlight w:val="none"/>
                    </w:rPr>
                  </w:pPr>
                  <w:r>
                    <w:rPr>
                      <w:color w:val="auto"/>
                      <w:highlight w:val="none"/>
                    </w:rPr>
                    <w:t>2</w:t>
                  </w:r>
                </w:p>
              </w:tc>
              <w:tc>
                <w:tcPr>
                  <w:tcW w:w="1740" w:type="pct"/>
                  <w:vAlign w:val="center"/>
                </w:tcPr>
                <w:p>
                  <w:pPr>
                    <w:pStyle w:val="30"/>
                    <w:rPr>
                      <w:color w:val="auto"/>
                      <w:highlight w:val="none"/>
                    </w:rPr>
                  </w:pPr>
                  <w:r>
                    <w:rPr>
                      <w:rFonts w:hint="eastAsia"/>
                      <w:color w:val="auto"/>
                      <w:highlight w:val="none"/>
                    </w:rPr>
                    <w:t>真空泵</w:t>
                  </w:r>
                </w:p>
              </w:tc>
              <w:tc>
                <w:tcPr>
                  <w:tcW w:w="1223" w:type="pct"/>
                  <w:vAlign w:val="center"/>
                </w:tcPr>
                <w:p>
                  <w:pPr>
                    <w:pStyle w:val="30"/>
                    <w:rPr>
                      <w:color w:val="auto"/>
                      <w:highlight w:val="none"/>
                    </w:rPr>
                  </w:pPr>
                  <w:r>
                    <w:rPr>
                      <w:rFonts w:hint="eastAsia"/>
                      <w:color w:val="auto"/>
                      <w:highlight w:val="none"/>
                    </w:rPr>
                    <w:t>1</w:t>
                  </w:r>
                </w:p>
              </w:tc>
              <w:tc>
                <w:tcPr>
                  <w:tcW w:w="1466" w:type="pct"/>
                  <w:vAlign w:val="center"/>
                </w:tcPr>
                <w:p>
                  <w:pPr>
                    <w:pStyle w:val="30"/>
                    <w:rPr>
                      <w:color w:val="auto"/>
                      <w:highlight w:val="none"/>
                    </w:rPr>
                  </w:pPr>
                  <w:r>
                    <w:rPr>
                      <w:rFonts w:hint="eastAsia"/>
                      <w:color w:val="auto"/>
                      <w:highlight w:val="none"/>
                    </w:rPr>
                    <w:t>75</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vAlign w:val="center"/>
                </w:tcPr>
                <w:p>
                  <w:pPr>
                    <w:pStyle w:val="40"/>
                    <w:rPr>
                      <w:color w:val="auto"/>
                      <w:highlight w:val="none"/>
                    </w:rPr>
                  </w:pPr>
                  <w:r>
                    <w:rPr>
                      <w:color w:val="auto"/>
                      <w:highlight w:val="none"/>
                    </w:rPr>
                    <w:t>3</w:t>
                  </w:r>
                </w:p>
              </w:tc>
              <w:tc>
                <w:tcPr>
                  <w:tcW w:w="1740" w:type="pct"/>
                  <w:vAlign w:val="center"/>
                </w:tcPr>
                <w:p>
                  <w:pPr>
                    <w:pStyle w:val="30"/>
                    <w:rPr>
                      <w:color w:val="auto"/>
                      <w:highlight w:val="none"/>
                    </w:rPr>
                  </w:pPr>
                  <w:r>
                    <w:rPr>
                      <w:rFonts w:hint="eastAsia"/>
                      <w:color w:val="auto"/>
                      <w:highlight w:val="none"/>
                    </w:rPr>
                    <w:t>压滤机</w:t>
                  </w:r>
                </w:p>
              </w:tc>
              <w:tc>
                <w:tcPr>
                  <w:tcW w:w="1223" w:type="pct"/>
                  <w:vAlign w:val="center"/>
                </w:tcPr>
                <w:p>
                  <w:pPr>
                    <w:pStyle w:val="30"/>
                    <w:rPr>
                      <w:color w:val="auto"/>
                      <w:highlight w:val="none"/>
                    </w:rPr>
                  </w:pPr>
                  <w:r>
                    <w:rPr>
                      <w:rFonts w:hint="eastAsia"/>
                      <w:color w:val="auto"/>
                      <w:highlight w:val="none"/>
                    </w:rPr>
                    <w:t>1</w:t>
                  </w:r>
                </w:p>
              </w:tc>
              <w:tc>
                <w:tcPr>
                  <w:tcW w:w="1466" w:type="pct"/>
                  <w:vAlign w:val="center"/>
                </w:tcPr>
                <w:p>
                  <w:pPr>
                    <w:pStyle w:val="30"/>
                    <w:rPr>
                      <w:color w:val="auto"/>
                      <w:highlight w:val="none"/>
                    </w:rPr>
                  </w:pPr>
                  <w:r>
                    <w:rPr>
                      <w:rFonts w:hint="eastAsia"/>
                      <w:color w:val="auto"/>
                      <w:highlight w:val="none"/>
                    </w:rPr>
                    <w:t>70</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vAlign w:val="center"/>
                </w:tcPr>
                <w:p>
                  <w:pPr>
                    <w:pStyle w:val="40"/>
                    <w:rPr>
                      <w:color w:val="auto"/>
                      <w:highlight w:val="none"/>
                    </w:rPr>
                  </w:pPr>
                  <w:r>
                    <w:rPr>
                      <w:color w:val="auto"/>
                      <w:highlight w:val="none"/>
                    </w:rPr>
                    <w:t>4</w:t>
                  </w:r>
                </w:p>
              </w:tc>
              <w:tc>
                <w:tcPr>
                  <w:tcW w:w="1740" w:type="pct"/>
                  <w:vAlign w:val="center"/>
                </w:tcPr>
                <w:p>
                  <w:pPr>
                    <w:pStyle w:val="30"/>
                    <w:rPr>
                      <w:color w:val="auto"/>
                      <w:highlight w:val="none"/>
                    </w:rPr>
                  </w:pPr>
                  <w:r>
                    <w:rPr>
                      <w:rFonts w:hint="eastAsia"/>
                      <w:bCs/>
                      <w:color w:val="auto"/>
                      <w:highlight w:val="none"/>
                    </w:rPr>
                    <w:t>干燥箱</w:t>
                  </w:r>
                </w:p>
              </w:tc>
              <w:tc>
                <w:tcPr>
                  <w:tcW w:w="1223" w:type="pct"/>
                  <w:vAlign w:val="center"/>
                </w:tcPr>
                <w:p>
                  <w:pPr>
                    <w:pStyle w:val="30"/>
                    <w:rPr>
                      <w:color w:val="auto"/>
                      <w:highlight w:val="none"/>
                    </w:rPr>
                  </w:pPr>
                  <w:r>
                    <w:rPr>
                      <w:rFonts w:hint="eastAsia"/>
                      <w:color w:val="auto"/>
                      <w:highlight w:val="none"/>
                    </w:rPr>
                    <w:t>3</w:t>
                  </w:r>
                </w:p>
              </w:tc>
              <w:tc>
                <w:tcPr>
                  <w:tcW w:w="1466" w:type="pct"/>
                  <w:vAlign w:val="center"/>
                </w:tcPr>
                <w:p>
                  <w:pPr>
                    <w:pStyle w:val="30"/>
                    <w:rPr>
                      <w:color w:val="auto"/>
                      <w:highlight w:val="none"/>
                    </w:rPr>
                  </w:pPr>
                  <w:r>
                    <w:rPr>
                      <w:rFonts w:hint="eastAsia"/>
                      <w:color w:val="auto"/>
                      <w:highlight w:val="none"/>
                    </w:rPr>
                    <w:t>60</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vAlign w:val="center"/>
                </w:tcPr>
                <w:p>
                  <w:pPr>
                    <w:pStyle w:val="40"/>
                    <w:rPr>
                      <w:color w:val="auto"/>
                      <w:highlight w:val="none"/>
                    </w:rPr>
                  </w:pPr>
                  <w:r>
                    <w:rPr>
                      <w:rFonts w:hint="eastAsia"/>
                      <w:color w:val="auto"/>
                      <w:highlight w:val="none"/>
                    </w:rPr>
                    <w:t>6</w:t>
                  </w:r>
                </w:p>
              </w:tc>
              <w:tc>
                <w:tcPr>
                  <w:tcW w:w="1740" w:type="pct"/>
                  <w:vAlign w:val="center"/>
                </w:tcPr>
                <w:p>
                  <w:pPr>
                    <w:pStyle w:val="30"/>
                    <w:rPr>
                      <w:color w:val="auto"/>
                      <w:highlight w:val="none"/>
                    </w:rPr>
                  </w:pPr>
                  <w:r>
                    <w:rPr>
                      <w:rFonts w:hint="eastAsia"/>
                      <w:color w:val="auto"/>
                      <w:highlight w:val="none"/>
                    </w:rPr>
                    <w:t>振荡仪</w:t>
                  </w:r>
                </w:p>
              </w:tc>
              <w:tc>
                <w:tcPr>
                  <w:tcW w:w="1223" w:type="pct"/>
                  <w:vAlign w:val="center"/>
                </w:tcPr>
                <w:p>
                  <w:pPr>
                    <w:pStyle w:val="30"/>
                    <w:rPr>
                      <w:color w:val="auto"/>
                      <w:highlight w:val="none"/>
                    </w:rPr>
                  </w:pPr>
                  <w:r>
                    <w:rPr>
                      <w:rFonts w:hint="eastAsia"/>
                      <w:color w:val="auto"/>
                      <w:highlight w:val="none"/>
                    </w:rPr>
                    <w:t>1</w:t>
                  </w:r>
                </w:p>
              </w:tc>
              <w:tc>
                <w:tcPr>
                  <w:tcW w:w="1466" w:type="pct"/>
                  <w:vAlign w:val="center"/>
                </w:tcPr>
                <w:p>
                  <w:pPr>
                    <w:pStyle w:val="30"/>
                    <w:rPr>
                      <w:color w:val="auto"/>
                      <w:highlight w:val="none"/>
                    </w:rPr>
                  </w:pPr>
                  <w:r>
                    <w:rPr>
                      <w:rFonts w:hint="eastAsia"/>
                      <w:color w:val="auto"/>
                      <w:highlight w:val="none"/>
                    </w:rPr>
                    <w:t>75</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vAlign w:val="center"/>
                </w:tcPr>
                <w:p>
                  <w:pPr>
                    <w:pStyle w:val="40"/>
                    <w:rPr>
                      <w:color w:val="auto"/>
                      <w:highlight w:val="none"/>
                    </w:rPr>
                  </w:pPr>
                  <w:r>
                    <w:rPr>
                      <w:rFonts w:hint="eastAsia"/>
                      <w:color w:val="auto"/>
                      <w:highlight w:val="none"/>
                    </w:rPr>
                    <w:t>7</w:t>
                  </w:r>
                </w:p>
              </w:tc>
              <w:tc>
                <w:tcPr>
                  <w:tcW w:w="1740" w:type="pct"/>
                  <w:vAlign w:val="center"/>
                </w:tcPr>
                <w:p>
                  <w:pPr>
                    <w:pStyle w:val="30"/>
                    <w:rPr>
                      <w:color w:val="auto"/>
                      <w:highlight w:val="none"/>
                    </w:rPr>
                  </w:pPr>
                  <w:r>
                    <w:rPr>
                      <w:rFonts w:hint="eastAsia"/>
                      <w:color w:val="auto"/>
                      <w:highlight w:val="none"/>
                    </w:rPr>
                    <w:t>破碎机</w:t>
                  </w:r>
                </w:p>
              </w:tc>
              <w:tc>
                <w:tcPr>
                  <w:tcW w:w="1223" w:type="pct"/>
                  <w:vAlign w:val="center"/>
                </w:tcPr>
                <w:p>
                  <w:pPr>
                    <w:pStyle w:val="30"/>
                    <w:rPr>
                      <w:color w:val="auto"/>
                      <w:highlight w:val="none"/>
                    </w:rPr>
                  </w:pPr>
                  <w:r>
                    <w:rPr>
                      <w:rFonts w:hint="eastAsia"/>
                      <w:color w:val="auto"/>
                      <w:highlight w:val="none"/>
                    </w:rPr>
                    <w:t>1</w:t>
                  </w:r>
                </w:p>
              </w:tc>
              <w:tc>
                <w:tcPr>
                  <w:tcW w:w="1466" w:type="pct"/>
                  <w:vAlign w:val="center"/>
                </w:tcPr>
                <w:p>
                  <w:pPr>
                    <w:pStyle w:val="30"/>
                    <w:rPr>
                      <w:color w:val="auto"/>
                      <w:highlight w:val="none"/>
                    </w:rPr>
                  </w:pPr>
                  <w:r>
                    <w:rPr>
                      <w:rFonts w:hint="eastAsia"/>
                      <w:color w:val="auto"/>
                      <w:highlight w:val="none"/>
                    </w:rPr>
                    <w:t>75</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vAlign w:val="center"/>
                </w:tcPr>
                <w:p>
                  <w:pPr>
                    <w:pStyle w:val="40"/>
                    <w:rPr>
                      <w:color w:val="auto"/>
                      <w:highlight w:val="none"/>
                    </w:rPr>
                  </w:pPr>
                  <w:r>
                    <w:rPr>
                      <w:rFonts w:hint="eastAsia"/>
                      <w:color w:val="auto"/>
                      <w:highlight w:val="none"/>
                    </w:rPr>
                    <w:t>8</w:t>
                  </w:r>
                </w:p>
              </w:tc>
              <w:tc>
                <w:tcPr>
                  <w:tcW w:w="1740" w:type="pct"/>
                  <w:vAlign w:val="center"/>
                </w:tcPr>
                <w:p>
                  <w:pPr>
                    <w:jc w:val="center"/>
                    <w:rPr>
                      <w:color w:val="auto"/>
                      <w:highlight w:val="none"/>
                    </w:rPr>
                  </w:pPr>
                  <w:r>
                    <w:rPr>
                      <w:rFonts w:hint="eastAsia"/>
                      <w:color w:val="auto"/>
                      <w:highlight w:val="none"/>
                    </w:rPr>
                    <w:t>挤出机</w:t>
                  </w:r>
                </w:p>
              </w:tc>
              <w:tc>
                <w:tcPr>
                  <w:tcW w:w="1223" w:type="pct"/>
                  <w:vAlign w:val="center"/>
                </w:tcPr>
                <w:p>
                  <w:pPr>
                    <w:jc w:val="center"/>
                    <w:rPr>
                      <w:color w:val="auto"/>
                      <w:highlight w:val="none"/>
                    </w:rPr>
                  </w:pPr>
                  <w:r>
                    <w:rPr>
                      <w:rFonts w:hint="eastAsia"/>
                      <w:color w:val="auto"/>
                      <w:highlight w:val="none"/>
                    </w:rPr>
                    <w:t>2</w:t>
                  </w:r>
                </w:p>
              </w:tc>
              <w:tc>
                <w:tcPr>
                  <w:tcW w:w="1466" w:type="pct"/>
                  <w:vAlign w:val="center"/>
                </w:tcPr>
                <w:p>
                  <w:pPr>
                    <w:jc w:val="center"/>
                    <w:rPr>
                      <w:color w:val="auto"/>
                      <w:highlight w:val="none"/>
                    </w:rPr>
                  </w:pPr>
                  <w:r>
                    <w:rPr>
                      <w:rFonts w:hint="eastAsia"/>
                      <w:color w:val="auto"/>
                      <w:highlight w:val="none"/>
                    </w:rPr>
                    <w:t>65</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vAlign w:val="center"/>
                </w:tcPr>
                <w:p>
                  <w:pPr>
                    <w:pStyle w:val="40"/>
                    <w:rPr>
                      <w:color w:val="auto"/>
                      <w:highlight w:val="none"/>
                    </w:rPr>
                  </w:pPr>
                  <w:r>
                    <w:rPr>
                      <w:rFonts w:hint="eastAsia"/>
                      <w:color w:val="auto"/>
                      <w:highlight w:val="none"/>
                    </w:rPr>
                    <w:t>9</w:t>
                  </w:r>
                </w:p>
              </w:tc>
              <w:tc>
                <w:tcPr>
                  <w:tcW w:w="1740" w:type="pct"/>
                  <w:vAlign w:val="center"/>
                </w:tcPr>
                <w:p>
                  <w:pPr>
                    <w:jc w:val="center"/>
                    <w:rPr>
                      <w:color w:val="auto"/>
                      <w:highlight w:val="none"/>
                    </w:rPr>
                  </w:pPr>
                  <w:r>
                    <w:rPr>
                      <w:rFonts w:hint="eastAsia"/>
                      <w:color w:val="auto"/>
                      <w:highlight w:val="none"/>
                    </w:rPr>
                    <w:t>成型机</w:t>
                  </w:r>
                </w:p>
              </w:tc>
              <w:tc>
                <w:tcPr>
                  <w:tcW w:w="1223" w:type="pct"/>
                  <w:vAlign w:val="center"/>
                </w:tcPr>
                <w:p>
                  <w:pPr>
                    <w:jc w:val="center"/>
                    <w:rPr>
                      <w:color w:val="auto"/>
                      <w:highlight w:val="none"/>
                    </w:rPr>
                  </w:pPr>
                  <w:r>
                    <w:rPr>
                      <w:rFonts w:hint="eastAsia"/>
                      <w:color w:val="auto"/>
                      <w:highlight w:val="none"/>
                    </w:rPr>
                    <w:t>1</w:t>
                  </w:r>
                </w:p>
              </w:tc>
              <w:tc>
                <w:tcPr>
                  <w:tcW w:w="1466" w:type="pct"/>
                  <w:vAlign w:val="center"/>
                </w:tcPr>
                <w:p>
                  <w:pPr>
                    <w:jc w:val="center"/>
                    <w:rPr>
                      <w:color w:val="auto"/>
                      <w:highlight w:val="none"/>
                    </w:rPr>
                  </w:pPr>
                  <w:r>
                    <w:rPr>
                      <w:rFonts w:hint="eastAsia"/>
                      <w:color w:val="auto"/>
                      <w:highlight w:val="none"/>
                    </w:rPr>
                    <w:t>70</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vAlign w:val="center"/>
                </w:tcPr>
                <w:p>
                  <w:pPr>
                    <w:pStyle w:val="40"/>
                    <w:rPr>
                      <w:color w:val="auto"/>
                      <w:highlight w:val="none"/>
                    </w:rPr>
                  </w:pPr>
                  <w:r>
                    <w:rPr>
                      <w:rFonts w:hint="eastAsia"/>
                      <w:color w:val="auto"/>
                      <w:highlight w:val="none"/>
                    </w:rPr>
                    <w:t>10</w:t>
                  </w:r>
                </w:p>
              </w:tc>
              <w:tc>
                <w:tcPr>
                  <w:tcW w:w="1740" w:type="pct"/>
                  <w:vAlign w:val="center"/>
                </w:tcPr>
                <w:p>
                  <w:pPr>
                    <w:jc w:val="center"/>
                    <w:rPr>
                      <w:color w:val="auto"/>
                      <w:highlight w:val="none"/>
                    </w:rPr>
                  </w:pPr>
                  <w:r>
                    <w:rPr>
                      <w:rFonts w:hint="eastAsia"/>
                      <w:color w:val="auto"/>
                      <w:highlight w:val="none"/>
                    </w:rPr>
                    <w:t>注塑机</w:t>
                  </w:r>
                </w:p>
              </w:tc>
              <w:tc>
                <w:tcPr>
                  <w:tcW w:w="1223" w:type="pct"/>
                  <w:vAlign w:val="center"/>
                </w:tcPr>
                <w:p>
                  <w:pPr>
                    <w:jc w:val="center"/>
                    <w:rPr>
                      <w:color w:val="auto"/>
                      <w:highlight w:val="none"/>
                    </w:rPr>
                  </w:pPr>
                  <w:r>
                    <w:rPr>
                      <w:rFonts w:hint="eastAsia"/>
                      <w:color w:val="auto"/>
                      <w:highlight w:val="none"/>
                    </w:rPr>
                    <w:t>1</w:t>
                  </w:r>
                </w:p>
              </w:tc>
              <w:tc>
                <w:tcPr>
                  <w:tcW w:w="1466" w:type="pct"/>
                  <w:vAlign w:val="center"/>
                </w:tcPr>
                <w:p>
                  <w:pPr>
                    <w:jc w:val="center"/>
                    <w:rPr>
                      <w:color w:val="auto"/>
                      <w:highlight w:val="none"/>
                    </w:rPr>
                  </w:pPr>
                  <w:r>
                    <w:rPr>
                      <w:rFonts w:hint="eastAsia"/>
                      <w:color w:val="auto"/>
                      <w:highlight w:val="none"/>
                    </w:rPr>
                    <w:t>70</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vAlign w:val="center"/>
                </w:tcPr>
                <w:p>
                  <w:pPr>
                    <w:pStyle w:val="40"/>
                    <w:rPr>
                      <w:color w:val="auto"/>
                      <w:highlight w:val="none"/>
                    </w:rPr>
                  </w:pPr>
                  <w:r>
                    <w:rPr>
                      <w:rFonts w:hint="eastAsia"/>
                      <w:color w:val="auto"/>
                      <w:highlight w:val="none"/>
                    </w:rPr>
                    <w:t>11</w:t>
                  </w:r>
                </w:p>
              </w:tc>
              <w:tc>
                <w:tcPr>
                  <w:tcW w:w="1740" w:type="pct"/>
                  <w:vAlign w:val="center"/>
                </w:tcPr>
                <w:p>
                  <w:pPr>
                    <w:jc w:val="center"/>
                    <w:rPr>
                      <w:color w:val="auto"/>
                      <w:highlight w:val="none"/>
                    </w:rPr>
                  </w:pPr>
                  <w:r>
                    <w:rPr>
                      <w:rFonts w:hint="eastAsia"/>
                      <w:color w:val="auto"/>
                      <w:highlight w:val="none"/>
                    </w:rPr>
                    <w:t>离心机</w:t>
                  </w:r>
                </w:p>
              </w:tc>
              <w:tc>
                <w:tcPr>
                  <w:tcW w:w="1223" w:type="pct"/>
                  <w:vAlign w:val="center"/>
                </w:tcPr>
                <w:p>
                  <w:pPr>
                    <w:jc w:val="center"/>
                    <w:rPr>
                      <w:color w:val="auto"/>
                      <w:highlight w:val="none"/>
                    </w:rPr>
                  </w:pPr>
                  <w:r>
                    <w:rPr>
                      <w:rFonts w:hint="eastAsia"/>
                      <w:color w:val="auto"/>
                      <w:highlight w:val="none"/>
                    </w:rPr>
                    <w:t>3</w:t>
                  </w:r>
                </w:p>
              </w:tc>
              <w:tc>
                <w:tcPr>
                  <w:tcW w:w="1466" w:type="pct"/>
                  <w:vAlign w:val="center"/>
                </w:tcPr>
                <w:p>
                  <w:pPr>
                    <w:jc w:val="center"/>
                    <w:rPr>
                      <w:color w:val="auto"/>
                      <w:highlight w:val="none"/>
                    </w:rPr>
                  </w:pPr>
                  <w:r>
                    <w:rPr>
                      <w:rFonts w:hint="eastAsia"/>
                      <w:color w:val="auto"/>
                      <w:highlight w:val="none"/>
                    </w:rPr>
                    <w:t>85</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vAlign w:val="center"/>
                </w:tcPr>
                <w:p>
                  <w:pPr>
                    <w:pStyle w:val="40"/>
                    <w:rPr>
                      <w:color w:val="auto"/>
                      <w:highlight w:val="none"/>
                    </w:rPr>
                  </w:pPr>
                  <w:r>
                    <w:rPr>
                      <w:rFonts w:hint="eastAsia"/>
                      <w:color w:val="auto"/>
                      <w:highlight w:val="none"/>
                    </w:rPr>
                    <w:t>12</w:t>
                  </w:r>
                </w:p>
              </w:tc>
              <w:tc>
                <w:tcPr>
                  <w:tcW w:w="1740" w:type="pct"/>
                  <w:vAlign w:val="center"/>
                </w:tcPr>
                <w:p>
                  <w:pPr>
                    <w:jc w:val="center"/>
                    <w:rPr>
                      <w:color w:val="auto"/>
                      <w:highlight w:val="none"/>
                    </w:rPr>
                  </w:pPr>
                  <w:r>
                    <w:rPr>
                      <w:rFonts w:hint="eastAsia"/>
                      <w:color w:val="auto"/>
                      <w:highlight w:val="none"/>
                    </w:rPr>
                    <w:t>实验室通风系统</w:t>
                  </w:r>
                </w:p>
              </w:tc>
              <w:tc>
                <w:tcPr>
                  <w:tcW w:w="1223" w:type="pct"/>
                  <w:vAlign w:val="center"/>
                </w:tcPr>
                <w:p>
                  <w:pPr>
                    <w:jc w:val="center"/>
                    <w:rPr>
                      <w:color w:val="auto"/>
                      <w:highlight w:val="none"/>
                    </w:rPr>
                  </w:pPr>
                  <w:r>
                    <w:rPr>
                      <w:rFonts w:hint="eastAsia"/>
                      <w:color w:val="auto"/>
                      <w:highlight w:val="none"/>
                    </w:rPr>
                    <w:t>39</w:t>
                  </w:r>
                </w:p>
              </w:tc>
              <w:tc>
                <w:tcPr>
                  <w:tcW w:w="1466" w:type="pct"/>
                  <w:vAlign w:val="center"/>
                </w:tcPr>
                <w:p>
                  <w:pPr>
                    <w:jc w:val="center"/>
                    <w:rPr>
                      <w:color w:val="auto"/>
                      <w:highlight w:val="none"/>
                    </w:rPr>
                  </w:pPr>
                  <w:r>
                    <w:rPr>
                      <w:rFonts w:hint="eastAsia"/>
                      <w:color w:val="auto"/>
                      <w:highlight w:val="none"/>
                    </w:rPr>
                    <w:t>70</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vAlign w:val="center"/>
                </w:tcPr>
                <w:p>
                  <w:pPr>
                    <w:pStyle w:val="40"/>
                    <w:rPr>
                      <w:color w:val="auto"/>
                      <w:highlight w:val="none"/>
                    </w:rPr>
                  </w:pPr>
                  <w:r>
                    <w:rPr>
                      <w:rFonts w:hint="eastAsia"/>
                      <w:color w:val="auto"/>
                      <w:highlight w:val="none"/>
                    </w:rPr>
                    <w:t>13</w:t>
                  </w:r>
                </w:p>
              </w:tc>
              <w:tc>
                <w:tcPr>
                  <w:tcW w:w="1740" w:type="pct"/>
                  <w:vAlign w:val="center"/>
                </w:tcPr>
                <w:p>
                  <w:pPr>
                    <w:jc w:val="center"/>
                    <w:rPr>
                      <w:color w:val="auto"/>
                      <w:highlight w:val="none"/>
                    </w:rPr>
                  </w:pPr>
                  <w:r>
                    <w:rPr>
                      <w:rFonts w:hint="eastAsia"/>
                      <w:color w:val="auto"/>
                      <w:highlight w:val="none"/>
                    </w:rPr>
                    <w:t>加压水泵</w:t>
                  </w:r>
                </w:p>
              </w:tc>
              <w:tc>
                <w:tcPr>
                  <w:tcW w:w="1223" w:type="pct"/>
                  <w:vAlign w:val="center"/>
                </w:tcPr>
                <w:p>
                  <w:pPr>
                    <w:jc w:val="center"/>
                    <w:rPr>
                      <w:color w:val="auto"/>
                      <w:highlight w:val="none"/>
                    </w:rPr>
                  </w:pPr>
                  <w:r>
                    <w:rPr>
                      <w:rFonts w:hint="eastAsia"/>
                      <w:color w:val="auto"/>
                      <w:highlight w:val="none"/>
                    </w:rPr>
                    <w:t>1</w:t>
                  </w:r>
                </w:p>
              </w:tc>
              <w:tc>
                <w:tcPr>
                  <w:tcW w:w="1466" w:type="pct"/>
                  <w:vAlign w:val="center"/>
                </w:tcPr>
                <w:p>
                  <w:pPr>
                    <w:jc w:val="center"/>
                    <w:rPr>
                      <w:color w:val="auto"/>
                      <w:highlight w:val="none"/>
                    </w:rPr>
                  </w:pPr>
                  <w:r>
                    <w:rPr>
                      <w:rFonts w:hint="eastAsia"/>
                      <w:color w:val="auto"/>
                      <w:highlight w:val="none"/>
                    </w:rPr>
                    <w:t>80</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vAlign w:val="center"/>
                </w:tcPr>
                <w:p>
                  <w:pPr>
                    <w:pStyle w:val="40"/>
                    <w:rPr>
                      <w:color w:val="auto"/>
                      <w:highlight w:val="none"/>
                    </w:rPr>
                  </w:pPr>
                  <w:r>
                    <w:rPr>
                      <w:rFonts w:hint="eastAsia"/>
                      <w:color w:val="auto"/>
                      <w:highlight w:val="none"/>
                    </w:rPr>
                    <w:t>14</w:t>
                  </w:r>
                </w:p>
              </w:tc>
              <w:tc>
                <w:tcPr>
                  <w:tcW w:w="1740" w:type="pct"/>
                  <w:vAlign w:val="center"/>
                </w:tcPr>
                <w:p>
                  <w:pPr>
                    <w:jc w:val="center"/>
                    <w:rPr>
                      <w:color w:val="auto"/>
                      <w:highlight w:val="none"/>
                    </w:rPr>
                  </w:pPr>
                  <w:r>
                    <w:rPr>
                      <w:rFonts w:hint="eastAsia"/>
                      <w:color w:val="auto"/>
                      <w:highlight w:val="none"/>
                    </w:rPr>
                    <w:t>柴油发电机组</w:t>
                  </w:r>
                </w:p>
              </w:tc>
              <w:tc>
                <w:tcPr>
                  <w:tcW w:w="1223" w:type="pct"/>
                  <w:vAlign w:val="center"/>
                </w:tcPr>
                <w:p>
                  <w:pPr>
                    <w:jc w:val="center"/>
                    <w:rPr>
                      <w:color w:val="auto"/>
                      <w:highlight w:val="none"/>
                    </w:rPr>
                  </w:pPr>
                  <w:r>
                    <w:rPr>
                      <w:rFonts w:hint="eastAsia"/>
                      <w:color w:val="auto"/>
                      <w:highlight w:val="none"/>
                    </w:rPr>
                    <w:t>1</w:t>
                  </w:r>
                </w:p>
              </w:tc>
              <w:tc>
                <w:tcPr>
                  <w:tcW w:w="1466" w:type="pct"/>
                  <w:vAlign w:val="center"/>
                </w:tcPr>
                <w:p>
                  <w:pPr>
                    <w:jc w:val="center"/>
                    <w:rPr>
                      <w:color w:val="auto"/>
                      <w:highlight w:val="none"/>
                    </w:rPr>
                  </w:pPr>
                  <w:r>
                    <w:rPr>
                      <w:rFonts w:hint="eastAsia"/>
                      <w:color w:val="auto"/>
                      <w:highlight w:val="none"/>
                    </w:rPr>
                    <w:t>85</w:t>
                  </w:r>
                </w:p>
              </w:tc>
            </w:tr>
            <w:tr>
              <w:tblPrEx>
                <w:tblBorders>
                  <w:top w:val="single" w:color="auto" w:sz="4" w:space="0"/>
                  <w:left w:val="single" w:color="auto" w:sz="4" w:space="0"/>
                  <w:bottom w:val="single" w:color="auto" w:sz="6" w:space="0"/>
                  <w:right w:val="single" w:color="auto" w:sz="4" w:space="0"/>
                  <w:insideH w:val="single" w:color="auto" w:sz="6" w:space="0"/>
                  <w:insideV w:val="single" w:color="auto" w:sz="6" w:space="0"/>
                </w:tblBorders>
              </w:tblPrEx>
              <w:trPr>
                <w:trHeight w:val="340" w:hRule="atLeast"/>
                <w:jc w:val="center"/>
              </w:trPr>
              <w:tc>
                <w:tcPr>
                  <w:tcW w:w="569" w:type="pct"/>
                  <w:vAlign w:val="center"/>
                </w:tcPr>
                <w:p>
                  <w:pPr>
                    <w:pStyle w:val="40"/>
                    <w:rPr>
                      <w:color w:val="auto"/>
                      <w:highlight w:val="none"/>
                    </w:rPr>
                  </w:pPr>
                  <w:r>
                    <w:rPr>
                      <w:rFonts w:hint="eastAsia"/>
                      <w:color w:val="auto"/>
                      <w:highlight w:val="none"/>
                    </w:rPr>
                    <w:t>15</w:t>
                  </w:r>
                </w:p>
              </w:tc>
              <w:tc>
                <w:tcPr>
                  <w:tcW w:w="1740" w:type="pct"/>
                  <w:vAlign w:val="center"/>
                </w:tcPr>
                <w:p>
                  <w:pPr>
                    <w:jc w:val="center"/>
                    <w:rPr>
                      <w:color w:val="auto"/>
                      <w:highlight w:val="none"/>
                    </w:rPr>
                  </w:pPr>
                  <w:r>
                    <w:rPr>
                      <w:rFonts w:hint="eastAsia"/>
                      <w:color w:val="auto"/>
                      <w:highlight w:val="none"/>
                    </w:rPr>
                    <w:t>空调外机</w:t>
                  </w:r>
                </w:p>
              </w:tc>
              <w:tc>
                <w:tcPr>
                  <w:tcW w:w="1223" w:type="pct"/>
                  <w:vAlign w:val="center"/>
                </w:tcPr>
                <w:p>
                  <w:pPr>
                    <w:jc w:val="center"/>
                    <w:rPr>
                      <w:color w:val="auto"/>
                      <w:highlight w:val="none"/>
                    </w:rPr>
                  </w:pPr>
                  <w:r>
                    <w:rPr>
                      <w:rFonts w:hint="eastAsia"/>
                      <w:color w:val="auto"/>
                      <w:highlight w:val="none"/>
                    </w:rPr>
                    <w:t>30</w:t>
                  </w:r>
                </w:p>
              </w:tc>
              <w:tc>
                <w:tcPr>
                  <w:tcW w:w="1466" w:type="pct"/>
                  <w:vAlign w:val="center"/>
                </w:tcPr>
                <w:p>
                  <w:pPr>
                    <w:jc w:val="center"/>
                    <w:rPr>
                      <w:color w:val="auto"/>
                      <w:highlight w:val="none"/>
                    </w:rPr>
                  </w:pPr>
                  <w:r>
                    <w:rPr>
                      <w:rFonts w:hint="eastAsia"/>
                      <w:color w:val="auto"/>
                      <w:highlight w:val="none"/>
                    </w:rPr>
                    <w:t>60</w:t>
                  </w:r>
                </w:p>
              </w:tc>
            </w:tr>
          </w:tbl>
          <w:p>
            <w:pPr>
              <w:pStyle w:val="36"/>
              <w:ind w:firstLine="480"/>
              <w:rPr>
                <w:color w:val="auto"/>
                <w:highlight w:val="none"/>
              </w:rPr>
            </w:pPr>
          </w:p>
          <w:p>
            <w:pPr>
              <w:pStyle w:val="37"/>
              <w:rPr>
                <w:color w:val="auto"/>
                <w:highlight w:val="none"/>
              </w:rPr>
            </w:pPr>
            <w:r>
              <w:rPr>
                <w:rFonts w:hint="eastAsia"/>
                <w:color w:val="auto"/>
                <w:highlight w:val="none"/>
              </w:rPr>
              <w:t>4.2.3.2 噪声防治措施及达标情况分析</w:t>
            </w:r>
          </w:p>
          <w:p>
            <w:pPr>
              <w:pStyle w:val="36"/>
              <w:ind w:firstLine="480"/>
              <w:rPr>
                <w:color w:val="auto"/>
                <w:highlight w:val="none"/>
                <w:lang w:val="en-GB"/>
              </w:rPr>
            </w:pPr>
            <w:r>
              <w:rPr>
                <w:color w:val="auto"/>
                <w:highlight w:val="none"/>
                <w:lang w:val="en-GB"/>
              </w:rPr>
              <w:t>项目运营期间主要噪声源是</w:t>
            </w:r>
            <w:r>
              <w:rPr>
                <w:color w:val="auto"/>
                <w:highlight w:val="none"/>
              </w:rPr>
              <w:t>师生生活噪声（包括进出学校的交通噪声）、实验室设备噪声</w:t>
            </w:r>
            <w:r>
              <w:rPr>
                <w:color w:val="auto"/>
                <w:highlight w:val="none"/>
                <w:lang w:val="en-GB"/>
              </w:rPr>
              <w:t>以及院区内辅助设备运行产生的噪声。</w:t>
            </w:r>
          </w:p>
          <w:p>
            <w:pPr>
              <w:pStyle w:val="36"/>
              <w:ind w:firstLine="480"/>
              <w:rPr>
                <w:color w:val="auto"/>
                <w:highlight w:val="none"/>
                <w:lang w:val="en-GB"/>
              </w:rPr>
            </w:pPr>
            <w:r>
              <w:rPr>
                <w:rFonts w:hint="eastAsia"/>
                <w:color w:val="auto"/>
                <w:highlight w:val="none"/>
                <w:lang w:val="en-GB"/>
              </w:rPr>
              <w:t>（</w:t>
            </w:r>
            <w:r>
              <w:rPr>
                <w:rFonts w:hint="eastAsia"/>
                <w:color w:val="auto"/>
                <w:highlight w:val="none"/>
              </w:rPr>
              <w:t>1）</w:t>
            </w:r>
            <w:r>
              <w:rPr>
                <w:color w:val="auto"/>
                <w:highlight w:val="none"/>
                <w:lang w:val="en-GB"/>
              </w:rPr>
              <w:t>师生生活噪声</w:t>
            </w:r>
          </w:p>
          <w:p>
            <w:pPr>
              <w:pStyle w:val="36"/>
              <w:ind w:firstLine="480"/>
              <w:rPr>
                <w:color w:val="auto"/>
                <w:highlight w:val="none"/>
                <w:lang w:val="en-GB"/>
              </w:rPr>
            </w:pPr>
            <w:r>
              <w:rPr>
                <w:color w:val="auto"/>
                <w:highlight w:val="none"/>
                <w:lang w:val="en-GB"/>
              </w:rPr>
              <w:t>师生生活</w:t>
            </w:r>
            <w:r>
              <w:rPr>
                <w:color w:val="auto"/>
                <w:highlight w:val="none"/>
              </w:rPr>
              <w:t>噪声声级约60～65dB，上下课时噪声值达到最大；而对于</w:t>
            </w:r>
            <w:r>
              <w:rPr>
                <w:color w:val="auto"/>
                <w:highlight w:val="none"/>
                <w:lang w:val="en-GB"/>
              </w:rPr>
              <w:t>学校交通噪声加强管理，对于车辆产生的噪声可从加强管理着手，停车场的设置设置指示牌加以引导，进口和出口分开，并设置明显的进出口标志，避免车辆不必要的怠速、制动、起动甚至鸣号。正常运营期，在校门口设置警示牌，提醒进出校园的司机注意车辆减速慢行，禁止鸣笛；在校区内各主交通道路采用种植绿化树林带阻挡，尽量减少对教学楼、实验综合楼、住宅宿舍楼的噪声影响；学校应该根据《民用建筑隔声设计规范》，对临路一侧的建筑物墙体采用隔声吸声效果不低于20dB的建筑材料，降低道路交通噪声对建筑内部环境的影响，使各建筑室内噪声符合《声环境质量标准》</w:t>
            </w:r>
            <w:r>
              <w:rPr>
                <w:rFonts w:hint="eastAsia"/>
                <w:color w:val="auto"/>
                <w:highlight w:val="none"/>
                <w:lang w:val="en-GB"/>
              </w:rPr>
              <w:t>（</w:t>
            </w:r>
            <w:r>
              <w:rPr>
                <w:color w:val="auto"/>
                <w:highlight w:val="none"/>
                <w:lang w:val="en-GB"/>
              </w:rPr>
              <w:t>GB3096-2008</w:t>
            </w:r>
            <w:r>
              <w:rPr>
                <w:rFonts w:hint="eastAsia"/>
                <w:color w:val="auto"/>
                <w:highlight w:val="none"/>
                <w:lang w:val="en-GB"/>
              </w:rPr>
              <w:t>）</w:t>
            </w:r>
            <w:r>
              <w:rPr>
                <w:color w:val="auto"/>
                <w:highlight w:val="none"/>
                <w:lang w:val="en-GB"/>
              </w:rPr>
              <w:t>1类功能区要求。</w:t>
            </w:r>
          </w:p>
          <w:p>
            <w:pPr>
              <w:pStyle w:val="36"/>
              <w:ind w:firstLine="480"/>
              <w:rPr>
                <w:color w:val="auto"/>
                <w:highlight w:val="none"/>
              </w:rPr>
            </w:pPr>
            <w:r>
              <w:rPr>
                <w:color w:val="auto"/>
                <w:highlight w:val="none"/>
              </w:rPr>
              <w:t>（2）实验设备噪声和区内辅助设备噪声</w:t>
            </w:r>
          </w:p>
          <w:p>
            <w:pPr>
              <w:pStyle w:val="36"/>
              <w:ind w:firstLine="480"/>
              <w:rPr>
                <w:color w:val="auto"/>
                <w:highlight w:val="none"/>
                <w:lang w:val="en-GB"/>
              </w:rPr>
            </w:pPr>
            <w:r>
              <w:rPr>
                <w:rFonts w:hint="eastAsia"/>
                <w:color w:val="auto"/>
                <w:highlight w:val="none"/>
              </w:rPr>
              <w:t>①本项目在设备选型时尽量选用低噪声、低振动的先进设备，声源声压级较高的设备应考虑随即配套噪声治理设施。对高噪声设备将其置于专用机房内，设置隔声密闭门，墙体内衬隔声材料等；对有振动设备采取隔振减振措施，如安装橡胶或弹簧减振器、弹性吊架、管路选用柔性接头等；通风设备进出口采用柔性联接，设消声器、软接头隔振消声。</w:t>
            </w:r>
          </w:p>
          <w:p>
            <w:pPr>
              <w:pStyle w:val="36"/>
              <w:ind w:firstLine="480"/>
              <w:rPr>
                <w:color w:val="auto"/>
                <w:highlight w:val="none"/>
              </w:rPr>
            </w:pPr>
            <w:r>
              <w:rPr>
                <w:rFonts w:hint="eastAsia"/>
                <w:color w:val="auto"/>
                <w:highlight w:val="none"/>
                <w:lang w:val="en-GB"/>
              </w:rPr>
              <w:t>②项目</w:t>
            </w:r>
            <w:r>
              <w:rPr>
                <w:rFonts w:hint="eastAsia"/>
                <w:color w:val="auto"/>
                <w:highlight w:val="none"/>
              </w:rPr>
              <w:t>柴油发电机布置在专用的构筑物内，并采取有效的隔声、减震、降噪措施。如采用整体减震基础，机房墙体厚度不小于0.3m，同时须采用低频柔性阻尼隔声材料降低低频噪声的影响对各类通内设备的排风口和进风口安装消声器等。发电机散热风扇进、出风时产生的噪声也可经阻片式消声器处理。</w:t>
            </w:r>
          </w:p>
          <w:p>
            <w:pPr>
              <w:pStyle w:val="36"/>
              <w:ind w:firstLine="480"/>
              <w:rPr>
                <w:color w:val="auto"/>
                <w:highlight w:val="none"/>
              </w:rPr>
            </w:pPr>
            <w:r>
              <w:rPr>
                <w:rFonts w:hint="eastAsia"/>
                <w:color w:val="auto"/>
                <w:highlight w:val="none"/>
              </w:rPr>
              <w:t>③水泵房布置于专用构筑物内，并采取有效的隔声、减震、降噪措施，如设隔声门窗；在泵房四周和顶部吊挂超细玻璃棉吸声体；管道穿过墙壁、地板处用弹性垫或橡胶套管隔离等降噪措施。</w:t>
            </w:r>
          </w:p>
          <w:p>
            <w:pPr>
              <w:pStyle w:val="36"/>
              <w:ind w:firstLine="480"/>
              <w:rPr>
                <w:color w:val="auto"/>
                <w:highlight w:val="none"/>
              </w:rPr>
            </w:pPr>
            <w:r>
              <w:rPr>
                <w:rFonts w:hint="eastAsia"/>
                <w:color w:val="auto"/>
                <w:highlight w:val="none"/>
              </w:rPr>
              <w:t>④地下室通风设备的出风口应高于地面2.5m，出风口应朝向绿化带，应在排风管道内设风机消音器，使噪声值（在地面出风口1m处）小于60dB，夜间禁止排风。</w:t>
            </w:r>
          </w:p>
          <w:p>
            <w:pPr>
              <w:pStyle w:val="36"/>
              <w:ind w:firstLine="480"/>
              <w:rPr>
                <w:color w:val="auto"/>
                <w:highlight w:val="none"/>
              </w:rPr>
            </w:pPr>
            <w:r>
              <w:rPr>
                <w:rFonts w:hint="eastAsia"/>
                <w:color w:val="auto"/>
                <w:highlight w:val="none"/>
              </w:rPr>
              <w:t>⑤变配电设备应置于专用机房内并采取隔声减振措施。首先应使用低噪声的电力配电变压器和附属设施；其次专用机房采用箱体双层板设计，增强隔声能力，还可采用矿渣棉或类似的材料对墙面涂覆处理，可增加吸声系数。</w:t>
            </w:r>
          </w:p>
          <w:p>
            <w:pPr>
              <w:pStyle w:val="36"/>
              <w:ind w:firstLine="480"/>
              <w:rPr>
                <w:color w:val="auto"/>
                <w:highlight w:val="none"/>
              </w:rPr>
            </w:pPr>
            <w:r>
              <w:rPr>
                <w:rFonts w:hint="eastAsia"/>
                <w:color w:val="auto"/>
                <w:highlight w:val="none"/>
              </w:rPr>
              <w:t>⑥本项目应加强设备的日常管理及维护保养，并定期检修，保证设备处于良好的运行状态，避免因设备运转不正常造成周界噪声值增加。</w:t>
            </w:r>
          </w:p>
          <w:p>
            <w:pPr>
              <w:pStyle w:val="36"/>
              <w:ind w:firstLine="480"/>
              <w:rPr>
                <w:color w:val="auto"/>
                <w:highlight w:val="none"/>
              </w:rPr>
            </w:pPr>
            <w:r>
              <w:rPr>
                <w:rFonts w:hint="eastAsia"/>
                <w:color w:val="auto"/>
                <w:highlight w:val="none"/>
              </w:rPr>
              <w:t>经过措施后，运营期噪声可得到有效降低，对周围声环境的影响较小。</w:t>
            </w:r>
          </w:p>
          <w:p>
            <w:pPr>
              <w:pStyle w:val="37"/>
              <w:rPr>
                <w:color w:val="auto"/>
                <w:highlight w:val="none"/>
              </w:rPr>
            </w:pPr>
            <w:r>
              <w:rPr>
                <w:rFonts w:hint="eastAsia"/>
                <w:color w:val="auto"/>
                <w:highlight w:val="none"/>
              </w:rPr>
              <w:t>4.2.3.3 噪声监测要求</w:t>
            </w:r>
          </w:p>
          <w:p>
            <w:pPr>
              <w:pStyle w:val="36"/>
              <w:ind w:firstLine="480"/>
              <w:rPr>
                <w:color w:val="auto"/>
                <w:highlight w:val="none"/>
              </w:rPr>
            </w:pPr>
            <w:r>
              <w:rPr>
                <w:rFonts w:hint="eastAsia"/>
                <w:color w:val="auto"/>
                <w:highlight w:val="none"/>
              </w:rPr>
              <w:t>根据《排污单位自行监测技术指南 总则》（HJ819-2017）要求，项目每季度应至少开展一次厂界环境噪声昼夜监测；监测点位参照《工业企业厂界环境噪声排放标准》（GB12348-2008）进行布设，在厂界四周共布设4个噪声监测点位。</w:t>
            </w:r>
          </w:p>
          <w:p>
            <w:pPr>
              <w:pStyle w:val="36"/>
              <w:ind w:firstLine="0" w:firstLineChars="0"/>
              <w:rPr>
                <w:rFonts w:eastAsia="黑体"/>
                <w:b/>
                <w:bCs/>
                <w:color w:val="auto"/>
                <w:highlight w:val="none"/>
              </w:rPr>
            </w:pPr>
          </w:p>
        </w:tc>
      </w:tr>
    </w:tbl>
    <w:p>
      <w:pPr>
        <w:pStyle w:val="2"/>
        <w:ind w:firstLine="480"/>
        <w:rPr>
          <w:color w:val="auto"/>
          <w:highlight w:val="none"/>
        </w:rPr>
        <w:sectPr>
          <w:pgSz w:w="11907" w:h="16840"/>
          <w:pgMar w:top="1701" w:right="1531" w:bottom="2127" w:left="1531" w:header="851" w:footer="851" w:gutter="0"/>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1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3" w:hRule="atLeast"/>
        </w:trPr>
        <w:tc>
          <w:tcPr>
            <w:tcW w:w="1167" w:type="dxa"/>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期环</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境影</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响和</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保护</w:t>
            </w:r>
          </w:p>
          <w:p>
            <w:pPr>
              <w:pStyle w:val="2"/>
              <w:ind w:firstLine="0" w:firstLineChars="0"/>
              <w:jc w:val="center"/>
              <w:rPr>
                <w:color w:val="auto"/>
                <w:highlight w:val="none"/>
              </w:rPr>
            </w:pPr>
            <w:r>
              <w:rPr>
                <w:rFonts w:hint="eastAsia" w:ascii="宋体" w:hAnsi="宋体" w:cs="宋体"/>
                <w:bCs/>
                <w:color w:val="auto"/>
                <w:szCs w:val="21"/>
                <w:highlight w:val="none"/>
              </w:rPr>
              <w:t>措施</w:t>
            </w:r>
          </w:p>
        </w:tc>
        <w:tc>
          <w:tcPr>
            <w:tcW w:w="11837" w:type="dxa"/>
          </w:tcPr>
          <w:p>
            <w:pPr>
              <w:pStyle w:val="31"/>
              <w:rPr>
                <w:color w:val="auto"/>
                <w:highlight w:val="none"/>
              </w:rPr>
            </w:pPr>
            <w:r>
              <w:rPr>
                <w:rFonts w:hint="eastAsia"/>
                <w:color w:val="auto"/>
                <w:highlight w:val="none"/>
              </w:rPr>
              <w:t>4.2.4 固体废物影响及防治措施</w:t>
            </w:r>
          </w:p>
          <w:p>
            <w:pPr>
              <w:pStyle w:val="37"/>
              <w:rPr>
                <w:color w:val="auto"/>
                <w:highlight w:val="none"/>
              </w:rPr>
            </w:pPr>
            <w:r>
              <w:rPr>
                <w:rFonts w:hint="eastAsia"/>
                <w:color w:val="auto"/>
                <w:highlight w:val="none"/>
              </w:rPr>
              <w:t>4.2.4.1 固体废物产生及处置情况</w:t>
            </w:r>
          </w:p>
          <w:p>
            <w:pPr>
              <w:pStyle w:val="2"/>
              <w:spacing w:line="360" w:lineRule="auto"/>
              <w:ind w:firstLine="482"/>
              <w:jc w:val="center"/>
              <w:rPr>
                <w:rFonts w:eastAsia="黑体"/>
                <w:b/>
                <w:bCs/>
                <w:color w:val="auto"/>
                <w:highlight w:val="none"/>
              </w:rPr>
            </w:pPr>
            <w:r>
              <w:rPr>
                <w:rFonts w:hint="eastAsia" w:eastAsia="黑体"/>
                <w:b/>
                <w:bCs/>
                <w:color w:val="auto"/>
                <w:highlight w:val="none"/>
              </w:rPr>
              <w:t>表4.2.5 项目固体废物产生及处置情况一览表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328"/>
              <w:gridCol w:w="1549"/>
              <w:gridCol w:w="1437"/>
              <w:gridCol w:w="1126"/>
              <w:gridCol w:w="1126"/>
              <w:gridCol w:w="1126"/>
              <w:gridCol w:w="2297"/>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 w:type="pct"/>
                  <w:vAlign w:val="center"/>
                </w:tcPr>
                <w:p>
                  <w:pPr>
                    <w:pStyle w:val="30"/>
                    <w:rPr>
                      <w:color w:val="auto"/>
                      <w:highlight w:val="none"/>
                    </w:rPr>
                  </w:pPr>
                  <w:r>
                    <w:rPr>
                      <w:color w:val="auto"/>
                      <w:highlight w:val="none"/>
                    </w:rPr>
                    <w:t>序号</w:t>
                  </w:r>
                </w:p>
              </w:tc>
              <w:tc>
                <w:tcPr>
                  <w:tcW w:w="572" w:type="pct"/>
                  <w:vAlign w:val="center"/>
                </w:tcPr>
                <w:p>
                  <w:pPr>
                    <w:pStyle w:val="30"/>
                    <w:rPr>
                      <w:color w:val="auto"/>
                      <w:highlight w:val="none"/>
                    </w:rPr>
                  </w:pPr>
                  <w:r>
                    <w:rPr>
                      <w:color w:val="auto"/>
                      <w:highlight w:val="none"/>
                    </w:rPr>
                    <w:t>产生环节</w:t>
                  </w:r>
                </w:p>
              </w:tc>
              <w:tc>
                <w:tcPr>
                  <w:tcW w:w="667" w:type="pct"/>
                  <w:vAlign w:val="center"/>
                </w:tcPr>
                <w:p>
                  <w:pPr>
                    <w:pStyle w:val="30"/>
                    <w:rPr>
                      <w:color w:val="auto"/>
                      <w:highlight w:val="none"/>
                    </w:rPr>
                  </w:pPr>
                  <w:r>
                    <w:rPr>
                      <w:color w:val="auto"/>
                      <w:highlight w:val="none"/>
                    </w:rPr>
                    <w:t>名称</w:t>
                  </w:r>
                </w:p>
              </w:tc>
              <w:tc>
                <w:tcPr>
                  <w:tcW w:w="619" w:type="pct"/>
                  <w:vAlign w:val="center"/>
                </w:tcPr>
                <w:p>
                  <w:pPr>
                    <w:pStyle w:val="30"/>
                    <w:rPr>
                      <w:color w:val="auto"/>
                      <w:highlight w:val="none"/>
                    </w:rPr>
                  </w:pPr>
                  <w:r>
                    <w:rPr>
                      <w:color w:val="auto"/>
                      <w:highlight w:val="none"/>
                    </w:rPr>
                    <w:t>属性</w:t>
                  </w:r>
                </w:p>
              </w:tc>
              <w:tc>
                <w:tcPr>
                  <w:tcW w:w="485" w:type="pct"/>
                  <w:vAlign w:val="center"/>
                </w:tcPr>
                <w:p>
                  <w:pPr>
                    <w:pStyle w:val="30"/>
                    <w:rPr>
                      <w:color w:val="auto"/>
                      <w:highlight w:val="none"/>
                    </w:rPr>
                  </w:pPr>
                  <w:r>
                    <w:rPr>
                      <w:color w:val="auto"/>
                      <w:highlight w:val="none"/>
                    </w:rPr>
                    <w:t>物理性状</w:t>
                  </w:r>
                </w:p>
              </w:tc>
              <w:tc>
                <w:tcPr>
                  <w:tcW w:w="485" w:type="pct"/>
                  <w:vAlign w:val="center"/>
                </w:tcPr>
                <w:p>
                  <w:pPr>
                    <w:pStyle w:val="30"/>
                    <w:rPr>
                      <w:color w:val="auto"/>
                      <w:highlight w:val="none"/>
                    </w:rPr>
                  </w:pPr>
                  <w:r>
                    <w:rPr>
                      <w:color w:val="auto"/>
                      <w:highlight w:val="none"/>
                    </w:rPr>
                    <w:t>环境危险特性</w:t>
                  </w:r>
                </w:p>
              </w:tc>
              <w:tc>
                <w:tcPr>
                  <w:tcW w:w="485" w:type="pct"/>
                  <w:vAlign w:val="center"/>
                </w:tcPr>
                <w:p>
                  <w:pPr>
                    <w:pStyle w:val="30"/>
                    <w:rPr>
                      <w:color w:val="auto"/>
                      <w:highlight w:val="none"/>
                    </w:rPr>
                  </w:pPr>
                  <w:r>
                    <w:rPr>
                      <w:color w:val="auto"/>
                      <w:highlight w:val="none"/>
                    </w:rPr>
                    <w:t>年度产生量</w:t>
                  </w:r>
                  <w:r>
                    <w:rPr>
                      <w:rFonts w:hint="eastAsia"/>
                      <w:color w:val="auto"/>
                      <w:highlight w:val="none"/>
                    </w:rPr>
                    <w:t>(t/a)</w:t>
                  </w:r>
                </w:p>
              </w:tc>
              <w:tc>
                <w:tcPr>
                  <w:tcW w:w="989" w:type="pct"/>
                  <w:vAlign w:val="center"/>
                </w:tcPr>
                <w:p>
                  <w:pPr>
                    <w:pStyle w:val="30"/>
                    <w:rPr>
                      <w:color w:val="auto"/>
                      <w:highlight w:val="none"/>
                    </w:rPr>
                  </w:pPr>
                  <w:r>
                    <w:rPr>
                      <w:color w:val="auto"/>
                      <w:highlight w:val="none"/>
                    </w:rPr>
                    <w:t>利用处置方式及去向</w:t>
                  </w:r>
                </w:p>
              </w:tc>
              <w:tc>
                <w:tcPr>
                  <w:tcW w:w="485" w:type="pct"/>
                  <w:vAlign w:val="center"/>
                </w:tcPr>
                <w:p>
                  <w:pPr>
                    <w:pStyle w:val="30"/>
                    <w:rPr>
                      <w:color w:val="auto"/>
                      <w:highlight w:val="none"/>
                    </w:rPr>
                  </w:pPr>
                  <w:r>
                    <w:rPr>
                      <w:color w:val="auto"/>
                      <w:highlight w:val="none"/>
                    </w:rPr>
                    <w:t>利用或处置量</w:t>
                  </w:r>
                  <w:r>
                    <w:rPr>
                      <w:rFonts w:hint="eastAsia"/>
                      <w:color w:val="auto"/>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 w:type="pct"/>
                  <w:vAlign w:val="center"/>
                </w:tcPr>
                <w:p>
                  <w:pPr>
                    <w:pStyle w:val="30"/>
                    <w:rPr>
                      <w:color w:val="auto"/>
                      <w:highlight w:val="none"/>
                    </w:rPr>
                  </w:pPr>
                  <w:r>
                    <w:rPr>
                      <w:rFonts w:hint="eastAsia"/>
                      <w:color w:val="auto"/>
                      <w:highlight w:val="none"/>
                    </w:rPr>
                    <w:t>S1</w:t>
                  </w:r>
                </w:p>
              </w:tc>
              <w:tc>
                <w:tcPr>
                  <w:tcW w:w="572" w:type="pct"/>
                  <w:vAlign w:val="center"/>
                </w:tcPr>
                <w:p>
                  <w:pPr>
                    <w:pStyle w:val="30"/>
                    <w:rPr>
                      <w:color w:val="auto"/>
                      <w:highlight w:val="none"/>
                    </w:rPr>
                  </w:pPr>
                  <w:r>
                    <w:rPr>
                      <w:rFonts w:hint="eastAsia"/>
                      <w:color w:val="auto"/>
                      <w:highlight w:val="none"/>
                    </w:rPr>
                    <w:t>-</w:t>
                  </w:r>
                </w:p>
              </w:tc>
              <w:tc>
                <w:tcPr>
                  <w:tcW w:w="667" w:type="pct"/>
                  <w:vAlign w:val="center"/>
                </w:tcPr>
                <w:p>
                  <w:pPr>
                    <w:pStyle w:val="30"/>
                    <w:rPr>
                      <w:color w:val="auto"/>
                      <w:highlight w:val="none"/>
                    </w:rPr>
                  </w:pPr>
                  <w:r>
                    <w:rPr>
                      <w:rFonts w:hint="eastAsia"/>
                      <w:color w:val="auto"/>
                      <w:highlight w:val="none"/>
                    </w:rPr>
                    <w:t>生活垃圾</w:t>
                  </w:r>
                </w:p>
              </w:tc>
              <w:tc>
                <w:tcPr>
                  <w:tcW w:w="619" w:type="pct"/>
                  <w:vAlign w:val="center"/>
                </w:tcPr>
                <w:p>
                  <w:pPr>
                    <w:pStyle w:val="30"/>
                    <w:rPr>
                      <w:color w:val="auto"/>
                      <w:highlight w:val="none"/>
                    </w:rPr>
                  </w:pPr>
                  <w:r>
                    <w:rPr>
                      <w:rFonts w:hint="eastAsia"/>
                      <w:color w:val="auto"/>
                      <w:highlight w:val="none"/>
                    </w:rPr>
                    <w:t>生活垃圾</w:t>
                  </w:r>
                </w:p>
              </w:tc>
              <w:tc>
                <w:tcPr>
                  <w:tcW w:w="485" w:type="pct"/>
                  <w:vAlign w:val="center"/>
                </w:tcPr>
                <w:p>
                  <w:pPr>
                    <w:pStyle w:val="30"/>
                    <w:rPr>
                      <w:color w:val="auto"/>
                      <w:highlight w:val="none"/>
                    </w:rPr>
                  </w:pPr>
                  <w:r>
                    <w:rPr>
                      <w:rFonts w:hint="eastAsia"/>
                      <w:color w:val="auto"/>
                      <w:highlight w:val="none"/>
                    </w:rPr>
                    <w:t>固体</w:t>
                  </w:r>
                </w:p>
              </w:tc>
              <w:tc>
                <w:tcPr>
                  <w:tcW w:w="485" w:type="pct"/>
                  <w:vAlign w:val="center"/>
                </w:tcPr>
                <w:p>
                  <w:pPr>
                    <w:pStyle w:val="30"/>
                    <w:rPr>
                      <w:color w:val="auto"/>
                      <w:highlight w:val="none"/>
                    </w:rPr>
                  </w:pPr>
                  <w:r>
                    <w:rPr>
                      <w:rFonts w:hint="eastAsia"/>
                      <w:color w:val="auto"/>
                      <w:highlight w:val="none"/>
                    </w:rPr>
                    <w:t>-</w:t>
                  </w:r>
                </w:p>
              </w:tc>
              <w:tc>
                <w:tcPr>
                  <w:tcW w:w="485" w:type="pct"/>
                  <w:vAlign w:val="center"/>
                </w:tcPr>
                <w:p>
                  <w:pPr>
                    <w:pStyle w:val="30"/>
                    <w:rPr>
                      <w:color w:val="auto"/>
                      <w:highlight w:val="none"/>
                    </w:rPr>
                  </w:pPr>
                  <w:r>
                    <w:rPr>
                      <w:rFonts w:hint="eastAsia"/>
                      <w:color w:val="auto"/>
                      <w:highlight w:val="none"/>
                    </w:rPr>
                    <w:t>137.5</w:t>
                  </w:r>
                </w:p>
              </w:tc>
              <w:tc>
                <w:tcPr>
                  <w:tcW w:w="989" w:type="pct"/>
                  <w:vAlign w:val="center"/>
                </w:tcPr>
                <w:p>
                  <w:pPr>
                    <w:pStyle w:val="30"/>
                    <w:rPr>
                      <w:color w:val="auto"/>
                      <w:highlight w:val="none"/>
                    </w:rPr>
                  </w:pPr>
                  <w:r>
                    <w:rPr>
                      <w:rFonts w:hint="eastAsia"/>
                      <w:color w:val="auto"/>
                      <w:highlight w:val="none"/>
                    </w:rPr>
                    <w:t>由环卫部门清运</w:t>
                  </w:r>
                </w:p>
              </w:tc>
              <w:tc>
                <w:tcPr>
                  <w:tcW w:w="485" w:type="pct"/>
                  <w:vAlign w:val="center"/>
                </w:tcPr>
                <w:p>
                  <w:pPr>
                    <w:pStyle w:val="30"/>
                    <w:rPr>
                      <w:color w:val="auto"/>
                      <w:highlight w:val="none"/>
                    </w:rPr>
                  </w:pPr>
                  <w:r>
                    <w:rPr>
                      <w:rFonts w:hint="eastAsia"/>
                      <w:color w:val="auto"/>
                      <w:highlight w:val="none"/>
                    </w:rPr>
                    <w:t>137.5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 w:type="pct"/>
                  <w:vAlign w:val="center"/>
                </w:tcPr>
                <w:p>
                  <w:pPr>
                    <w:pStyle w:val="30"/>
                    <w:rPr>
                      <w:color w:val="auto"/>
                      <w:highlight w:val="none"/>
                    </w:rPr>
                  </w:pPr>
                  <w:r>
                    <w:rPr>
                      <w:rFonts w:hint="eastAsia"/>
                      <w:color w:val="auto"/>
                      <w:highlight w:val="none"/>
                    </w:rPr>
                    <w:t>S2</w:t>
                  </w:r>
                </w:p>
              </w:tc>
              <w:tc>
                <w:tcPr>
                  <w:tcW w:w="572" w:type="pct"/>
                  <w:vAlign w:val="center"/>
                </w:tcPr>
                <w:p>
                  <w:pPr>
                    <w:pStyle w:val="30"/>
                    <w:rPr>
                      <w:color w:val="auto"/>
                      <w:highlight w:val="none"/>
                    </w:rPr>
                  </w:pPr>
                  <w:r>
                    <w:rPr>
                      <w:rFonts w:hint="eastAsia"/>
                      <w:color w:val="auto"/>
                      <w:highlight w:val="none"/>
                    </w:rPr>
                    <w:t>-</w:t>
                  </w:r>
                </w:p>
              </w:tc>
              <w:tc>
                <w:tcPr>
                  <w:tcW w:w="667" w:type="pct"/>
                  <w:vAlign w:val="center"/>
                </w:tcPr>
                <w:p>
                  <w:pPr>
                    <w:pStyle w:val="30"/>
                    <w:rPr>
                      <w:color w:val="auto"/>
                      <w:highlight w:val="none"/>
                    </w:rPr>
                  </w:pPr>
                  <w:r>
                    <w:rPr>
                      <w:rFonts w:hint="eastAsia"/>
                      <w:color w:val="auto"/>
                      <w:highlight w:val="none"/>
                    </w:rPr>
                    <w:t>厨余垃圾</w:t>
                  </w:r>
                </w:p>
              </w:tc>
              <w:tc>
                <w:tcPr>
                  <w:tcW w:w="619" w:type="pct"/>
                  <w:vAlign w:val="center"/>
                </w:tcPr>
                <w:p>
                  <w:pPr>
                    <w:pStyle w:val="30"/>
                    <w:rPr>
                      <w:color w:val="auto"/>
                      <w:highlight w:val="none"/>
                    </w:rPr>
                  </w:pPr>
                  <w:r>
                    <w:rPr>
                      <w:rFonts w:hint="eastAsia"/>
                      <w:color w:val="auto"/>
                      <w:highlight w:val="none"/>
                    </w:rPr>
                    <w:t>厨余垃圾</w:t>
                  </w:r>
                </w:p>
              </w:tc>
              <w:tc>
                <w:tcPr>
                  <w:tcW w:w="485" w:type="pct"/>
                  <w:vAlign w:val="center"/>
                </w:tcPr>
                <w:p>
                  <w:pPr>
                    <w:pStyle w:val="30"/>
                    <w:rPr>
                      <w:color w:val="auto"/>
                      <w:highlight w:val="none"/>
                    </w:rPr>
                  </w:pPr>
                  <w:r>
                    <w:rPr>
                      <w:rFonts w:hint="eastAsia"/>
                      <w:color w:val="auto"/>
                      <w:highlight w:val="none"/>
                    </w:rPr>
                    <w:t>固体</w:t>
                  </w:r>
                </w:p>
              </w:tc>
              <w:tc>
                <w:tcPr>
                  <w:tcW w:w="485" w:type="pct"/>
                  <w:vAlign w:val="center"/>
                </w:tcPr>
                <w:p>
                  <w:pPr>
                    <w:pStyle w:val="30"/>
                    <w:rPr>
                      <w:color w:val="auto"/>
                      <w:highlight w:val="none"/>
                    </w:rPr>
                  </w:pPr>
                  <w:r>
                    <w:rPr>
                      <w:rFonts w:hint="eastAsia"/>
                      <w:color w:val="auto"/>
                      <w:highlight w:val="none"/>
                    </w:rPr>
                    <w:t>-</w:t>
                  </w:r>
                </w:p>
              </w:tc>
              <w:tc>
                <w:tcPr>
                  <w:tcW w:w="485" w:type="pct"/>
                  <w:vAlign w:val="center"/>
                </w:tcPr>
                <w:p>
                  <w:pPr>
                    <w:pStyle w:val="30"/>
                    <w:rPr>
                      <w:color w:val="auto"/>
                      <w:highlight w:val="none"/>
                    </w:rPr>
                  </w:pPr>
                  <w:r>
                    <w:rPr>
                      <w:rFonts w:hint="eastAsia"/>
                      <w:color w:val="auto"/>
                      <w:highlight w:val="none"/>
                    </w:rPr>
                    <w:t>414.653</w:t>
                  </w:r>
                </w:p>
              </w:tc>
              <w:tc>
                <w:tcPr>
                  <w:tcW w:w="989" w:type="pct"/>
                  <w:vAlign w:val="center"/>
                </w:tcPr>
                <w:p>
                  <w:pPr>
                    <w:pStyle w:val="30"/>
                    <w:rPr>
                      <w:color w:val="auto"/>
                      <w:highlight w:val="none"/>
                    </w:rPr>
                  </w:pPr>
                  <w:r>
                    <w:rPr>
                      <w:rFonts w:hint="eastAsia"/>
                      <w:color w:val="auto"/>
                      <w:highlight w:val="none"/>
                    </w:rPr>
                    <w:t>交有资质的单位处置</w:t>
                  </w:r>
                </w:p>
              </w:tc>
              <w:tc>
                <w:tcPr>
                  <w:tcW w:w="485" w:type="pct"/>
                  <w:vAlign w:val="center"/>
                </w:tcPr>
                <w:p>
                  <w:pPr>
                    <w:pStyle w:val="30"/>
                    <w:rPr>
                      <w:color w:val="auto"/>
                      <w:highlight w:val="none"/>
                    </w:rPr>
                  </w:pPr>
                  <w:r>
                    <w:rPr>
                      <w:rFonts w:hint="eastAsia"/>
                      <w:color w:val="auto"/>
                      <w:highlight w:val="none"/>
                    </w:rPr>
                    <w:t>414.653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 w:type="pct"/>
                  <w:vAlign w:val="center"/>
                </w:tcPr>
                <w:p>
                  <w:pPr>
                    <w:pStyle w:val="30"/>
                    <w:rPr>
                      <w:color w:val="auto"/>
                      <w:highlight w:val="none"/>
                    </w:rPr>
                  </w:pPr>
                  <w:r>
                    <w:rPr>
                      <w:rFonts w:hint="eastAsia"/>
                      <w:color w:val="auto"/>
                      <w:highlight w:val="none"/>
                    </w:rPr>
                    <w:t>S3</w:t>
                  </w:r>
                </w:p>
              </w:tc>
              <w:tc>
                <w:tcPr>
                  <w:tcW w:w="572" w:type="pct"/>
                  <w:vAlign w:val="center"/>
                </w:tcPr>
                <w:p>
                  <w:pPr>
                    <w:pStyle w:val="30"/>
                    <w:rPr>
                      <w:color w:val="auto"/>
                      <w:highlight w:val="none"/>
                    </w:rPr>
                  </w:pPr>
                  <w:r>
                    <w:rPr>
                      <w:rFonts w:hint="eastAsia"/>
                      <w:color w:val="auto"/>
                      <w:highlight w:val="none"/>
                    </w:rPr>
                    <w:t>实验过程</w:t>
                  </w:r>
                </w:p>
              </w:tc>
              <w:tc>
                <w:tcPr>
                  <w:tcW w:w="667" w:type="pct"/>
                  <w:vAlign w:val="center"/>
                </w:tcPr>
                <w:p>
                  <w:pPr>
                    <w:pStyle w:val="30"/>
                    <w:rPr>
                      <w:color w:val="auto"/>
                      <w:highlight w:val="none"/>
                    </w:rPr>
                  </w:pPr>
                  <w:r>
                    <w:rPr>
                      <w:rFonts w:hint="eastAsia"/>
                      <w:color w:val="auto"/>
                      <w:highlight w:val="none"/>
                    </w:rPr>
                    <w:t>实验室一般固废</w:t>
                  </w:r>
                </w:p>
              </w:tc>
              <w:tc>
                <w:tcPr>
                  <w:tcW w:w="619" w:type="pct"/>
                  <w:vAlign w:val="center"/>
                </w:tcPr>
                <w:p>
                  <w:pPr>
                    <w:pStyle w:val="30"/>
                    <w:rPr>
                      <w:color w:val="auto"/>
                      <w:highlight w:val="none"/>
                    </w:rPr>
                  </w:pPr>
                  <w:r>
                    <w:rPr>
                      <w:rFonts w:hint="eastAsia"/>
                      <w:color w:val="auto"/>
                      <w:highlight w:val="none"/>
                    </w:rPr>
                    <w:t>一般固废</w:t>
                  </w:r>
                </w:p>
              </w:tc>
              <w:tc>
                <w:tcPr>
                  <w:tcW w:w="485" w:type="pct"/>
                  <w:vAlign w:val="center"/>
                </w:tcPr>
                <w:p>
                  <w:pPr>
                    <w:pStyle w:val="30"/>
                    <w:rPr>
                      <w:color w:val="auto"/>
                      <w:highlight w:val="none"/>
                    </w:rPr>
                  </w:pPr>
                  <w:r>
                    <w:rPr>
                      <w:rFonts w:hint="eastAsia"/>
                      <w:color w:val="auto"/>
                      <w:highlight w:val="none"/>
                    </w:rPr>
                    <w:t>固体</w:t>
                  </w:r>
                </w:p>
              </w:tc>
              <w:tc>
                <w:tcPr>
                  <w:tcW w:w="485" w:type="pct"/>
                  <w:vAlign w:val="center"/>
                </w:tcPr>
                <w:p>
                  <w:pPr>
                    <w:pStyle w:val="30"/>
                    <w:rPr>
                      <w:color w:val="auto"/>
                      <w:highlight w:val="none"/>
                    </w:rPr>
                  </w:pPr>
                  <w:r>
                    <w:rPr>
                      <w:rFonts w:hint="eastAsia"/>
                      <w:color w:val="auto"/>
                      <w:highlight w:val="none"/>
                    </w:rPr>
                    <w:t>-</w:t>
                  </w:r>
                </w:p>
              </w:tc>
              <w:tc>
                <w:tcPr>
                  <w:tcW w:w="485" w:type="pct"/>
                  <w:vAlign w:val="center"/>
                </w:tcPr>
                <w:p>
                  <w:pPr>
                    <w:pStyle w:val="30"/>
                    <w:rPr>
                      <w:color w:val="auto"/>
                      <w:highlight w:val="none"/>
                    </w:rPr>
                  </w:pPr>
                  <w:r>
                    <w:rPr>
                      <w:rFonts w:hint="eastAsia"/>
                      <w:color w:val="auto"/>
                      <w:highlight w:val="none"/>
                    </w:rPr>
                    <w:t>7</w:t>
                  </w:r>
                </w:p>
              </w:tc>
              <w:tc>
                <w:tcPr>
                  <w:tcW w:w="989" w:type="pct"/>
                  <w:vAlign w:val="center"/>
                </w:tcPr>
                <w:p>
                  <w:pPr>
                    <w:pStyle w:val="30"/>
                    <w:rPr>
                      <w:color w:val="auto"/>
                      <w:highlight w:val="none"/>
                    </w:rPr>
                  </w:pPr>
                  <w:r>
                    <w:rPr>
                      <w:rFonts w:hint="eastAsia"/>
                      <w:color w:val="auto"/>
                      <w:highlight w:val="none"/>
                    </w:rPr>
                    <w:t>分类收集，可回收的部分回收利用，其余交环卫部门清运</w:t>
                  </w:r>
                </w:p>
              </w:tc>
              <w:tc>
                <w:tcPr>
                  <w:tcW w:w="485" w:type="pct"/>
                  <w:vAlign w:val="center"/>
                </w:tcPr>
                <w:p>
                  <w:pPr>
                    <w:pStyle w:val="30"/>
                    <w:rPr>
                      <w:color w:val="auto"/>
                      <w:highlight w:val="none"/>
                    </w:rPr>
                  </w:pPr>
                  <w:r>
                    <w:rPr>
                      <w:rFonts w:hint="eastAsia"/>
                      <w:color w:val="auto"/>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 w:type="pct"/>
                  <w:vMerge w:val="restart"/>
                  <w:vAlign w:val="center"/>
                </w:tcPr>
                <w:p>
                  <w:pPr>
                    <w:pStyle w:val="30"/>
                    <w:rPr>
                      <w:color w:val="auto"/>
                      <w:highlight w:val="none"/>
                    </w:rPr>
                  </w:pPr>
                  <w:r>
                    <w:rPr>
                      <w:rFonts w:hint="eastAsia"/>
                      <w:color w:val="auto"/>
                      <w:highlight w:val="none"/>
                    </w:rPr>
                    <w:t>S4</w:t>
                  </w:r>
                </w:p>
              </w:tc>
              <w:tc>
                <w:tcPr>
                  <w:tcW w:w="572" w:type="pct"/>
                  <w:vMerge w:val="restart"/>
                  <w:vAlign w:val="center"/>
                </w:tcPr>
                <w:p>
                  <w:pPr>
                    <w:pStyle w:val="30"/>
                    <w:rPr>
                      <w:color w:val="auto"/>
                      <w:highlight w:val="none"/>
                    </w:rPr>
                  </w:pPr>
                  <w:r>
                    <w:rPr>
                      <w:rFonts w:hint="eastAsia"/>
                      <w:color w:val="auto"/>
                      <w:highlight w:val="none"/>
                    </w:rPr>
                    <w:t>实验过程</w:t>
                  </w:r>
                </w:p>
              </w:tc>
              <w:tc>
                <w:tcPr>
                  <w:tcW w:w="667" w:type="pct"/>
                  <w:vAlign w:val="center"/>
                </w:tcPr>
                <w:p>
                  <w:pPr>
                    <w:pStyle w:val="30"/>
                    <w:rPr>
                      <w:color w:val="auto"/>
                      <w:highlight w:val="none"/>
                    </w:rPr>
                  </w:pPr>
                  <w:r>
                    <w:rPr>
                      <w:rFonts w:hint="eastAsia"/>
                      <w:color w:val="auto"/>
                      <w:highlight w:val="none"/>
                    </w:rPr>
                    <w:t>报废药品</w:t>
                  </w:r>
                </w:p>
              </w:tc>
              <w:tc>
                <w:tcPr>
                  <w:tcW w:w="619" w:type="pct"/>
                  <w:vAlign w:val="center"/>
                </w:tcPr>
                <w:p>
                  <w:pPr>
                    <w:pStyle w:val="30"/>
                    <w:rPr>
                      <w:color w:val="auto"/>
                      <w:highlight w:val="none"/>
                    </w:rPr>
                  </w:pPr>
                  <w:r>
                    <w:rPr>
                      <w:rFonts w:hint="eastAsia"/>
                      <w:color w:val="auto"/>
                      <w:highlight w:val="none"/>
                    </w:rPr>
                    <w:t>HW03 900-002-03</w:t>
                  </w:r>
                </w:p>
              </w:tc>
              <w:tc>
                <w:tcPr>
                  <w:tcW w:w="485" w:type="pct"/>
                  <w:vAlign w:val="center"/>
                </w:tcPr>
                <w:p>
                  <w:pPr>
                    <w:pStyle w:val="30"/>
                    <w:rPr>
                      <w:color w:val="auto"/>
                      <w:highlight w:val="none"/>
                    </w:rPr>
                  </w:pPr>
                  <w:r>
                    <w:rPr>
                      <w:rFonts w:hint="eastAsia"/>
                      <w:color w:val="auto"/>
                      <w:highlight w:val="none"/>
                    </w:rPr>
                    <w:t>固体</w:t>
                  </w:r>
                </w:p>
                <w:p>
                  <w:pPr>
                    <w:pStyle w:val="30"/>
                    <w:rPr>
                      <w:color w:val="auto"/>
                      <w:highlight w:val="none"/>
                    </w:rPr>
                  </w:pPr>
                  <w:r>
                    <w:rPr>
                      <w:rFonts w:hint="eastAsia"/>
                      <w:color w:val="auto"/>
                      <w:highlight w:val="none"/>
                    </w:rPr>
                    <w:t>液体</w:t>
                  </w:r>
                </w:p>
              </w:tc>
              <w:tc>
                <w:tcPr>
                  <w:tcW w:w="485" w:type="pct"/>
                  <w:vAlign w:val="center"/>
                </w:tcPr>
                <w:p>
                  <w:pPr>
                    <w:pStyle w:val="30"/>
                    <w:rPr>
                      <w:color w:val="auto"/>
                      <w:highlight w:val="none"/>
                    </w:rPr>
                  </w:pPr>
                  <w:r>
                    <w:rPr>
                      <w:rFonts w:hint="eastAsia"/>
                      <w:color w:val="auto"/>
                      <w:highlight w:val="none"/>
                    </w:rPr>
                    <w:t>T</w:t>
                  </w:r>
                </w:p>
              </w:tc>
              <w:tc>
                <w:tcPr>
                  <w:tcW w:w="485" w:type="pct"/>
                  <w:vMerge w:val="restart"/>
                  <w:vAlign w:val="center"/>
                </w:tcPr>
                <w:p>
                  <w:pPr>
                    <w:pStyle w:val="30"/>
                    <w:rPr>
                      <w:color w:val="auto"/>
                      <w:highlight w:val="none"/>
                    </w:rPr>
                  </w:pPr>
                  <w:r>
                    <w:rPr>
                      <w:rFonts w:hint="eastAsia"/>
                      <w:color w:val="auto"/>
                      <w:highlight w:val="none"/>
                    </w:rPr>
                    <w:t>高浓度废液</w:t>
                  </w:r>
                  <w:r>
                    <w:rPr>
                      <w:rFonts w:hint="eastAsia"/>
                      <w:color w:val="auto"/>
                      <w:highlight w:val="none"/>
                      <w:lang w:val="en-US" w:eastAsia="zh-CN"/>
                    </w:rPr>
                    <w:t>1.78</w:t>
                  </w:r>
                  <w:r>
                    <w:rPr>
                      <w:rFonts w:hint="eastAsia"/>
                      <w:color w:val="auto"/>
                      <w:highlight w:val="none"/>
                    </w:rPr>
                    <w:t>t/a，固态危废1.2t/a</w:t>
                  </w:r>
                </w:p>
              </w:tc>
              <w:tc>
                <w:tcPr>
                  <w:tcW w:w="989" w:type="pct"/>
                  <w:vMerge w:val="restart"/>
                  <w:vAlign w:val="center"/>
                </w:tcPr>
                <w:p>
                  <w:pPr>
                    <w:pStyle w:val="30"/>
                    <w:rPr>
                      <w:color w:val="auto"/>
                      <w:highlight w:val="none"/>
                    </w:rPr>
                  </w:pPr>
                  <w:r>
                    <w:rPr>
                      <w:rFonts w:hint="eastAsia"/>
                      <w:color w:val="auto"/>
                      <w:highlight w:val="none"/>
                    </w:rPr>
                    <w:t>委托</w:t>
                  </w:r>
                  <w:r>
                    <w:rPr>
                      <w:rFonts w:hint="eastAsia"/>
                      <w:color w:val="auto"/>
                      <w:highlight w:val="none"/>
                      <w:lang w:eastAsia="zh-CN"/>
                    </w:rPr>
                    <w:t>有资质的单位</w:t>
                  </w:r>
                  <w:r>
                    <w:rPr>
                      <w:rFonts w:hint="eastAsia"/>
                      <w:color w:val="auto"/>
                      <w:highlight w:val="none"/>
                    </w:rPr>
                    <w:t>接收处置</w:t>
                  </w:r>
                </w:p>
              </w:tc>
              <w:tc>
                <w:tcPr>
                  <w:tcW w:w="485" w:type="pct"/>
                  <w:vMerge w:val="restart"/>
                  <w:vAlign w:val="center"/>
                </w:tcPr>
                <w:p>
                  <w:pPr>
                    <w:pStyle w:val="30"/>
                    <w:rPr>
                      <w:rFonts w:hint="default" w:eastAsia="宋体"/>
                      <w:color w:val="auto"/>
                      <w:highlight w:val="none"/>
                      <w:lang w:val="en-US" w:eastAsia="zh-CN"/>
                    </w:rPr>
                  </w:pPr>
                  <w:r>
                    <w:rPr>
                      <w:rFonts w:hint="eastAsia"/>
                      <w:color w:val="auto"/>
                      <w:highlight w:val="none"/>
                      <w:lang w:val="en-US" w:eastAsia="zh-CN"/>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 w:type="pct"/>
                  <w:vMerge w:val="continue"/>
                  <w:vAlign w:val="center"/>
                </w:tcPr>
                <w:p>
                  <w:pPr>
                    <w:pStyle w:val="30"/>
                    <w:rPr>
                      <w:color w:val="auto"/>
                      <w:highlight w:val="none"/>
                    </w:rPr>
                  </w:pPr>
                </w:p>
              </w:tc>
              <w:tc>
                <w:tcPr>
                  <w:tcW w:w="572" w:type="pct"/>
                  <w:vMerge w:val="continue"/>
                  <w:vAlign w:val="center"/>
                </w:tcPr>
                <w:p>
                  <w:pPr>
                    <w:pStyle w:val="30"/>
                    <w:rPr>
                      <w:color w:val="auto"/>
                      <w:highlight w:val="none"/>
                    </w:rPr>
                  </w:pPr>
                </w:p>
              </w:tc>
              <w:tc>
                <w:tcPr>
                  <w:tcW w:w="667" w:type="pct"/>
                  <w:vAlign w:val="center"/>
                </w:tcPr>
                <w:p>
                  <w:pPr>
                    <w:pStyle w:val="30"/>
                    <w:rPr>
                      <w:color w:val="auto"/>
                      <w:highlight w:val="none"/>
                    </w:rPr>
                  </w:pPr>
                  <w:r>
                    <w:rPr>
                      <w:rFonts w:hint="eastAsia"/>
                      <w:color w:val="auto"/>
                      <w:highlight w:val="none"/>
                    </w:rPr>
                    <w:t>副产物</w:t>
                  </w:r>
                </w:p>
              </w:tc>
              <w:tc>
                <w:tcPr>
                  <w:tcW w:w="619" w:type="pct"/>
                  <w:vAlign w:val="center"/>
                </w:tcPr>
                <w:p>
                  <w:pPr>
                    <w:pStyle w:val="30"/>
                    <w:rPr>
                      <w:color w:val="auto"/>
                      <w:highlight w:val="none"/>
                    </w:rPr>
                  </w:pPr>
                  <w:r>
                    <w:rPr>
                      <w:rFonts w:hint="eastAsia"/>
                      <w:color w:val="auto"/>
                      <w:highlight w:val="none"/>
                    </w:rPr>
                    <w:t>HW14 900-017-14</w:t>
                  </w:r>
                </w:p>
              </w:tc>
              <w:tc>
                <w:tcPr>
                  <w:tcW w:w="485" w:type="pct"/>
                  <w:vAlign w:val="center"/>
                </w:tcPr>
                <w:p>
                  <w:pPr>
                    <w:pStyle w:val="30"/>
                    <w:rPr>
                      <w:color w:val="auto"/>
                      <w:highlight w:val="none"/>
                    </w:rPr>
                  </w:pPr>
                  <w:r>
                    <w:rPr>
                      <w:rFonts w:hint="eastAsia"/>
                      <w:color w:val="auto"/>
                      <w:highlight w:val="none"/>
                    </w:rPr>
                    <w:t>固体</w:t>
                  </w:r>
                </w:p>
                <w:p>
                  <w:pPr>
                    <w:pStyle w:val="30"/>
                    <w:rPr>
                      <w:color w:val="auto"/>
                      <w:highlight w:val="none"/>
                    </w:rPr>
                  </w:pPr>
                  <w:r>
                    <w:rPr>
                      <w:rFonts w:hint="eastAsia"/>
                      <w:color w:val="auto"/>
                      <w:highlight w:val="none"/>
                    </w:rPr>
                    <w:t>液体</w:t>
                  </w:r>
                </w:p>
              </w:tc>
              <w:tc>
                <w:tcPr>
                  <w:tcW w:w="485" w:type="pct"/>
                  <w:vAlign w:val="center"/>
                </w:tcPr>
                <w:p>
                  <w:pPr>
                    <w:pStyle w:val="30"/>
                    <w:rPr>
                      <w:color w:val="auto"/>
                      <w:highlight w:val="none"/>
                    </w:rPr>
                  </w:pPr>
                  <w:r>
                    <w:rPr>
                      <w:rFonts w:hint="eastAsia"/>
                      <w:color w:val="auto"/>
                      <w:highlight w:val="none"/>
                    </w:rPr>
                    <w:t>T/C/I/R</w:t>
                  </w:r>
                </w:p>
              </w:tc>
              <w:tc>
                <w:tcPr>
                  <w:tcW w:w="485" w:type="pct"/>
                  <w:vMerge w:val="continue"/>
                  <w:vAlign w:val="center"/>
                </w:tcPr>
                <w:p>
                  <w:pPr>
                    <w:pStyle w:val="30"/>
                    <w:rPr>
                      <w:color w:val="auto"/>
                      <w:highlight w:val="none"/>
                    </w:rPr>
                  </w:pPr>
                </w:p>
              </w:tc>
              <w:tc>
                <w:tcPr>
                  <w:tcW w:w="989" w:type="pct"/>
                  <w:vMerge w:val="continue"/>
                  <w:vAlign w:val="center"/>
                </w:tcPr>
                <w:p>
                  <w:pPr>
                    <w:pStyle w:val="30"/>
                    <w:rPr>
                      <w:color w:val="auto"/>
                      <w:highlight w:val="none"/>
                    </w:rPr>
                  </w:pPr>
                </w:p>
              </w:tc>
              <w:tc>
                <w:tcPr>
                  <w:tcW w:w="485" w:type="pct"/>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 w:type="pct"/>
                  <w:vMerge w:val="continue"/>
                  <w:vAlign w:val="center"/>
                </w:tcPr>
                <w:p>
                  <w:pPr>
                    <w:pStyle w:val="30"/>
                    <w:rPr>
                      <w:color w:val="auto"/>
                      <w:highlight w:val="none"/>
                    </w:rPr>
                  </w:pPr>
                </w:p>
              </w:tc>
              <w:tc>
                <w:tcPr>
                  <w:tcW w:w="572" w:type="pct"/>
                  <w:vMerge w:val="continue"/>
                  <w:vAlign w:val="center"/>
                </w:tcPr>
                <w:p>
                  <w:pPr>
                    <w:pStyle w:val="30"/>
                    <w:rPr>
                      <w:color w:val="auto"/>
                      <w:highlight w:val="none"/>
                    </w:rPr>
                  </w:pPr>
                </w:p>
              </w:tc>
              <w:tc>
                <w:tcPr>
                  <w:tcW w:w="667" w:type="pct"/>
                  <w:vAlign w:val="center"/>
                </w:tcPr>
                <w:p>
                  <w:pPr>
                    <w:pStyle w:val="30"/>
                    <w:rPr>
                      <w:color w:val="auto"/>
                      <w:highlight w:val="none"/>
                    </w:rPr>
                  </w:pPr>
                  <w:r>
                    <w:rPr>
                      <w:rFonts w:hint="eastAsia"/>
                      <w:color w:val="auto"/>
                      <w:highlight w:val="none"/>
                    </w:rPr>
                    <w:t>废容器及</w:t>
                  </w:r>
                </w:p>
                <w:p>
                  <w:pPr>
                    <w:pStyle w:val="30"/>
                    <w:rPr>
                      <w:color w:val="auto"/>
                      <w:highlight w:val="none"/>
                    </w:rPr>
                  </w:pPr>
                  <w:r>
                    <w:rPr>
                      <w:rFonts w:hint="eastAsia"/>
                      <w:color w:val="auto"/>
                      <w:highlight w:val="none"/>
                    </w:rPr>
                    <w:t>废包装物</w:t>
                  </w:r>
                </w:p>
              </w:tc>
              <w:tc>
                <w:tcPr>
                  <w:tcW w:w="619" w:type="pct"/>
                  <w:vAlign w:val="center"/>
                </w:tcPr>
                <w:p>
                  <w:pPr>
                    <w:pStyle w:val="30"/>
                    <w:rPr>
                      <w:color w:val="auto"/>
                      <w:highlight w:val="none"/>
                    </w:rPr>
                  </w:pPr>
                  <w:r>
                    <w:rPr>
                      <w:rFonts w:hint="eastAsia"/>
                      <w:color w:val="auto"/>
                      <w:highlight w:val="none"/>
                    </w:rPr>
                    <w:t>HW49 900-041-49</w:t>
                  </w:r>
                </w:p>
              </w:tc>
              <w:tc>
                <w:tcPr>
                  <w:tcW w:w="485" w:type="pct"/>
                  <w:vAlign w:val="center"/>
                </w:tcPr>
                <w:p>
                  <w:pPr>
                    <w:pStyle w:val="30"/>
                    <w:rPr>
                      <w:color w:val="auto"/>
                      <w:highlight w:val="none"/>
                    </w:rPr>
                  </w:pPr>
                  <w:r>
                    <w:rPr>
                      <w:rFonts w:hint="eastAsia"/>
                      <w:color w:val="auto"/>
                      <w:highlight w:val="none"/>
                    </w:rPr>
                    <w:t>固体</w:t>
                  </w:r>
                </w:p>
              </w:tc>
              <w:tc>
                <w:tcPr>
                  <w:tcW w:w="485" w:type="pct"/>
                  <w:vAlign w:val="center"/>
                </w:tcPr>
                <w:p>
                  <w:pPr>
                    <w:pStyle w:val="30"/>
                    <w:rPr>
                      <w:color w:val="auto"/>
                      <w:highlight w:val="none"/>
                    </w:rPr>
                  </w:pPr>
                  <w:r>
                    <w:rPr>
                      <w:rFonts w:hint="eastAsia"/>
                      <w:color w:val="auto"/>
                      <w:highlight w:val="none"/>
                    </w:rPr>
                    <w:t>T/In</w:t>
                  </w:r>
                </w:p>
              </w:tc>
              <w:tc>
                <w:tcPr>
                  <w:tcW w:w="485" w:type="pct"/>
                  <w:vMerge w:val="continue"/>
                  <w:vAlign w:val="center"/>
                </w:tcPr>
                <w:p>
                  <w:pPr>
                    <w:pStyle w:val="30"/>
                    <w:rPr>
                      <w:color w:val="auto"/>
                      <w:highlight w:val="none"/>
                    </w:rPr>
                  </w:pPr>
                </w:p>
              </w:tc>
              <w:tc>
                <w:tcPr>
                  <w:tcW w:w="989" w:type="pct"/>
                  <w:vMerge w:val="continue"/>
                  <w:vAlign w:val="center"/>
                </w:tcPr>
                <w:p>
                  <w:pPr>
                    <w:pStyle w:val="30"/>
                    <w:rPr>
                      <w:color w:val="auto"/>
                      <w:highlight w:val="none"/>
                    </w:rPr>
                  </w:pPr>
                </w:p>
              </w:tc>
              <w:tc>
                <w:tcPr>
                  <w:tcW w:w="485" w:type="pct"/>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 w:type="pct"/>
                  <w:vMerge w:val="continue"/>
                  <w:vAlign w:val="center"/>
                </w:tcPr>
                <w:p>
                  <w:pPr>
                    <w:pStyle w:val="30"/>
                    <w:rPr>
                      <w:color w:val="auto"/>
                      <w:highlight w:val="none"/>
                    </w:rPr>
                  </w:pPr>
                </w:p>
              </w:tc>
              <w:tc>
                <w:tcPr>
                  <w:tcW w:w="572" w:type="pct"/>
                  <w:vMerge w:val="continue"/>
                  <w:vAlign w:val="center"/>
                </w:tcPr>
                <w:p>
                  <w:pPr>
                    <w:pStyle w:val="30"/>
                    <w:rPr>
                      <w:color w:val="auto"/>
                      <w:highlight w:val="none"/>
                    </w:rPr>
                  </w:pPr>
                </w:p>
              </w:tc>
              <w:tc>
                <w:tcPr>
                  <w:tcW w:w="667" w:type="pct"/>
                  <w:vAlign w:val="center"/>
                </w:tcPr>
                <w:p>
                  <w:pPr>
                    <w:pStyle w:val="30"/>
                    <w:rPr>
                      <w:color w:val="auto"/>
                      <w:highlight w:val="none"/>
                    </w:rPr>
                  </w:pPr>
                  <w:r>
                    <w:rPr>
                      <w:rFonts w:hint="eastAsia"/>
                      <w:color w:val="auto"/>
                      <w:highlight w:val="none"/>
                    </w:rPr>
                    <w:t>废弃电池</w:t>
                  </w:r>
                </w:p>
              </w:tc>
              <w:tc>
                <w:tcPr>
                  <w:tcW w:w="619" w:type="pct"/>
                  <w:vAlign w:val="center"/>
                </w:tcPr>
                <w:p>
                  <w:pPr>
                    <w:pStyle w:val="30"/>
                    <w:rPr>
                      <w:color w:val="auto"/>
                      <w:highlight w:val="none"/>
                    </w:rPr>
                  </w:pPr>
                  <w:r>
                    <w:rPr>
                      <w:rFonts w:hint="eastAsia"/>
                      <w:color w:val="auto"/>
                      <w:highlight w:val="none"/>
                    </w:rPr>
                    <w:t>HW49</w:t>
                  </w:r>
                </w:p>
                <w:p>
                  <w:pPr>
                    <w:pStyle w:val="30"/>
                    <w:rPr>
                      <w:color w:val="auto"/>
                      <w:highlight w:val="none"/>
                    </w:rPr>
                  </w:pPr>
                  <w:r>
                    <w:rPr>
                      <w:rFonts w:hint="eastAsia"/>
                      <w:color w:val="auto"/>
                      <w:highlight w:val="none"/>
                    </w:rPr>
                    <w:t>900-044-49</w:t>
                  </w:r>
                </w:p>
              </w:tc>
              <w:tc>
                <w:tcPr>
                  <w:tcW w:w="485" w:type="pct"/>
                  <w:vAlign w:val="center"/>
                </w:tcPr>
                <w:p>
                  <w:pPr>
                    <w:pStyle w:val="30"/>
                    <w:rPr>
                      <w:color w:val="auto"/>
                      <w:highlight w:val="none"/>
                    </w:rPr>
                  </w:pPr>
                  <w:r>
                    <w:rPr>
                      <w:rFonts w:hint="eastAsia"/>
                      <w:color w:val="auto"/>
                      <w:highlight w:val="none"/>
                    </w:rPr>
                    <w:t>固体</w:t>
                  </w:r>
                </w:p>
              </w:tc>
              <w:tc>
                <w:tcPr>
                  <w:tcW w:w="485" w:type="pct"/>
                  <w:vAlign w:val="center"/>
                </w:tcPr>
                <w:p>
                  <w:pPr>
                    <w:pStyle w:val="30"/>
                    <w:rPr>
                      <w:color w:val="auto"/>
                      <w:highlight w:val="none"/>
                    </w:rPr>
                  </w:pPr>
                  <w:r>
                    <w:rPr>
                      <w:rFonts w:hint="eastAsia"/>
                      <w:color w:val="auto"/>
                      <w:highlight w:val="none"/>
                    </w:rPr>
                    <w:t>T</w:t>
                  </w:r>
                </w:p>
              </w:tc>
              <w:tc>
                <w:tcPr>
                  <w:tcW w:w="485" w:type="pct"/>
                  <w:vMerge w:val="continue"/>
                  <w:vAlign w:val="center"/>
                </w:tcPr>
                <w:p>
                  <w:pPr>
                    <w:pStyle w:val="30"/>
                    <w:rPr>
                      <w:color w:val="auto"/>
                      <w:highlight w:val="none"/>
                    </w:rPr>
                  </w:pPr>
                </w:p>
              </w:tc>
              <w:tc>
                <w:tcPr>
                  <w:tcW w:w="989" w:type="pct"/>
                  <w:vMerge w:val="continue"/>
                  <w:vAlign w:val="center"/>
                </w:tcPr>
                <w:p>
                  <w:pPr>
                    <w:pStyle w:val="30"/>
                    <w:rPr>
                      <w:color w:val="auto"/>
                      <w:highlight w:val="none"/>
                    </w:rPr>
                  </w:pPr>
                </w:p>
              </w:tc>
              <w:tc>
                <w:tcPr>
                  <w:tcW w:w="485" w:type="pct"/>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 w:type="pct"/>
                  <w:vMerge w:val="continue"/>
                  <w:vAlign w:val="center"/>
                </w:tcPr>
                <w:p>
                  <w:pPr>
                    <w:pStyle w:val="30"/>
                    <w:rPr>
                      <w:color w:val="auto"/>
                      <w:highlight w:val="none"/>
                    </w:rPr>
                  </w:pPr>
                </w:p>
              </w:tc>
              <w:tc>
                <w:tcPr>
                  <w:tcW w:w="572" w:type="pct"/>
                  <w:vMerge w:val="continue"/>
                  <w:vAlign w:val="center"/>
                </w:tcPr>
                <w:p>
                  <w:pPr>
                    <w:pStyle w:val="30"/>
                    <w:rPr>
                      <w:color w:val="auto"/>
                      <w:highlight w:val="none"/>
                    </w:rPr>
                  </w:pPr>
                </w:p>
              </w:tc>
              <w:tc>
                <w:tcPr>
                  <w:tcW w:w="667" w:type="pct"/>
                  <w:vAlign w:val="center"/>
                </w:tcPr>
                <w:p>
                  <w:pPr>
                    <w:pStyle w:val="30"/>
                    <w:rPr>
                      <w:color w:val="auto"/>
                      <w:highlight w:val="none"/>
                    </w:rPr>
                  </w:pPr>
                  <w:r>
                    <w:rPr>
                      <w:rFonts w:hint="eastAsia"/>
                      <w:color w:val="auto"/>
                      <w:highlight w:val="none"/>
                    </w:rPr>
                    <w:t>废电路板</w:t>
                  </w:r>
                </w:p>
              </w:tc>
              <w:tc>
                <w:tcPr>
                  <w:tcW w:w="619" w:type="pct"/>
                  <w:vAlign w:val="center"/>
                </w:tcPr>
                <w:p>
                  <w:pPr>
                    <w:pStyle w:val="30"/>
                    <w:rPr>
                      <w:color w:val="auto"/>
                      <w:highlight w:val="none"/>
                    </w:rPr>
                  </w:pPr>
                  <w:r>
                    <w:rPr>
                      <w:rFonts w:hint="eastAsia"/>
                      <w:color w:val="auto"/>
                      <w:highlight w:val="none"/>
                    </w:rPr>
                    <w:t>HW49</w:t>
                  </w:r>
                </w:p>
                <w:p>
                  <w:pPr>
                    <w:pStyle w:val="30"/>
                    <w:rPr>
                      <w:color w:val="auto"/>
                      <w:highlight w:val="none"/>
                    </w:rPr>
                  </w:pPr>
                  <w:r>
                    <w:rPr>
                      <w:rFonts w:hint="eastAsia"/>
                      <w:color w:val="auto"/>
                      <w:highlight w:val="none"/>
                    </w:rPr>
                    <w:t>900-045-49</w:t>
                  </w:r>
                </w:p>
              </w:tc>
              <w:tc>
                <w:tcPr>
                  <w:tcW w:w="485" w:type="pct"/>
                  <w:vAlign w:val="center"/>
                </w:tcPr>
                <w:p>
                  <w:pPr>
                    <w:pStyle w:val="30"/>
                    <w:rPr>
                      <w:color w:val="auto"/>
                      <w:highlight w:val="none"/>
                    </w:rPr>
                  </w:pPr>
                  <w:r>
                    <w:rPr>
                      <w:rFonts w:hint="eastAsia"/>
                      <w:color w:val="auto"/>
                      <w:highlight w:val="none"/>
                    </w:rPr>
                    <w:t>固体</w:t>
                  </w:r>
                </w:p>
              </w:tc>
              <w:tc>
                <w:tcPr>
                  <w:tcW w:w="485" w:type="pct"/>
                  <w:vAlign w:val="center"/>
                </w:tcPr>
                <w:p>
                  <w:pPr>
                    <w:pStyle w:val="30"/>
                    <w:rPr>
                      <w:color w:val="auto"/>
                      <w:highlight w:val="none"/>
                    </w:rPr>
                  </w:pPr>
                  <w:r>
                    <w:rPr>
                      <w:rFonts w:hint="eastAsia"/>
                      <w:color w:val="auto"/>
                      <w:highlight w:val="none"/>
                    </w:rPr>
                    <w:t>T</w:t>
                  </w:r>
                </w:p>
              </w:tc>
              <w:tc>
                <w:tcPr>
                  <w:tcW w:w="485" w:type="pct"/>
                  <w:vMerge w:val="continue"/>
                  <w:vAlign w:val="center"/>
                </w:tcPr>
                <w:p>
                  <w:pPr>
                    <w:pStyle w:val="30"/>
                    <w:rPr>
                      <w:color w:val="auto"/>
                      <w:highlight w:val="none"/>
                    </w:rPr>
                  </w:pPr>
                </w:p>
              </w:tc>
              <w:tc>
                <w:tcPr>
                  <w:tcW w:w="989" w:type="pct"/>
                  <w:vMerge w:val="continue"/>
                  <w:vAlign w:val="center"/>
                </w:tcPr>
                <w:p>
                  <w:pPr>
                    <w:pStyle w:val="30"/>
                    <w:rPr>
                      <w:color w:val="auto"/>
                      <w:highlight w:val="none"/>
                    </w:rPr>
                  </w:pPr>
                </w:p>
              </w:tc>
              <w:tc>
                <w:tcPr>
                  <w:tcW w:w="485" w:type="pct"/>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 w:type="pct"/>
                  <w:vMerge w:val="continue"/>
                  <w:vAlign w:val="center"/>
                </w:tcPr>
                <w:p>
                  <w:pPr>
                    <w:pStyle w:val="30"/>
                    <w:rPr>
                      <w:color w:val="auto"/>
                      <w:highlight w:val="none"/>
                    </w:rPr>
                  </w:pPr>
                </w:p>
              </w:tc>
              <w:tc>
                <w:tcPr>
                  <w:tcW w:w="572" w:type="pct"/>
                  <w:vMerge w:val="continue"/>
                  <w:vAlign w:val="center"/>
                </w:tcPr>
                <w:p>
                  <w:pPr>
                    <w:pStyle w:val="30"/>
                    <w:rPr>
                      <w:color w:val="auto"/>
                      <w:highlight w:val="none"/>
                    </w:rPr>
                  </w:pPr>
                </w:p>
              </w:tc>
              <w:tc>
                <w:tcPr>
                  <w:tcW w:w="667" w:type="pct"/>
                  <w:vAlign w:val="center"/>
                </w:tcPr>
                <w:p>
                  <w:pPr>
                    <w:pStyle w:val="30"/>
                    <w:rPr>
                      <w:color w:val="auto"/>
                      <w:highlight w:val="none"/>
                    </w:rPr>
                  </w:pPr>
                  <w:r>
                    <w:rPr>
                      <w:rFonts w:hint="eastAsia"/>
                      <w:color w:val="auto"/>
                      <w:highlight w:val="none"/>
                    </w:rPr>
                    <w:t>其他实验</w:t>
                  </w:r>
                </w:p>
                <w:p>
                  <w:pPr>
                    <w:pStyle w:val="30"/>
                    <w:rPr>
                      <w:color w:val="auto"/>
                      <w:highlight w:val="none"/>
                    </w:rPr>
                  </w:pPr>
                  <w:r>
                    <w:rPr>
                      <w:rFonts w:hint="eastAsia"/>
                      <w:color w:val="auto"/>
                      <w:highlight w:val="none"/>
                    </w:rPr>
                    <w:t>废液</w:t>
                  </w:r>
                </w:p>
              </w:tc>
              <w:tc>
                <w:tcPr>
                  <w:tcW w:w="619" w:type="pct"/>
                  <w:vAlign w:val="center"/>
                </w:tcPr>
                <w:p>
                  <w:pPr>
                    <w:pStyle w:val="30"/>
                    <w:rPr>
                      <w:color w:val="auto"/>
                      <w:highlight w:val="none"/>
                    </w:rPr>
                  </w:pPr>
                  <w:r>
                    <w:rPr>
                      <w:rFonts w:hint="eastAsia"/>
                      <w:color w:val="auto"/>
                      <w:highlight w:val="none"/>
                    </w:rPr>
                    <w:t>HW49 900-047-49</w:t>
                  </w:r>
                </w:p>
              </w:tc>
              <w:tc>
                <w:tcPr>
                  <w:tcW w:w="485" w:type="pct"/>
                  <w:vAlign w:val="center"/>
                </w:tcPr>
                <w:p>
                  <w:pPr>
                    <w:pStyle w:val="30"/>
                    <w:rPr>
                      <w:color w:val="auto"/>
                      <w:highlight w:val="none"/>
                    </w:rPr>
                  </w:pPr>
                  <w:r>
                    <w:rPr>
                      <w:rFonts w:hint="eastAsia"/>
                      <w:color w:val="auto"/>
                      <w:highlight w:val="none"/>
                    </w:rPr>
                    <w:t>固体</w:t>
                  </w:r>
                </w:p>
                <w:p>
                  <w:pPr>
                    <w:pStyle w:val="30"/>
                    <w:rPr>
                      <w:color w:val="auto"/>
                      <w:highlight w:val="none"/>
                    </w:rPr>
                  </w:pPr>
                  <w:r>
                    <w:rPr>
                      <w:rFonts w:hint="eastAsia"/>
                      <w:color w:val="auto"/>
                      <w:highlight w:val="none"/>
                    </w:rPr>
                    <w:t>液体</w:t>
                  </w:r>
                </w:p>
              </w:tc>
              <w:tc>
                <w:tcPr>
                  <w:tcW w:w="485" w:type="pct"/>
                  <w:vAlign w:val="center"/>
                </w:tcPr>
                <w:p>
                  <w:pPr>
                    <w:pStyle w:val="30"/>
                    <w:rPr>
                      <w:color w:val="auto"/>
                      <w:highlight w:val="none"/>
                    </w:rPr>
                  </w:pPr>
                  <w:r>
                    <w:rPr>
                      <w:rFonts w:hint="eastAsia"/>
                      <w:color w:val="auto"/>
                      <w:highlight w:val="none"/>
                    </w:rPr>
                    <w:t>T/C/I/R</w:t>
                  </w:r>
                </w:p>
              </w:tc>
              <w:tc>
                <w:tcPr>
                  <w:tcW w:w="485" w:type="pct"/>
                  <w:vMerge w:val="continue"/>
                  <w:vAlign w:val="center"/>
                </w:tcPr>
                <w:p>
                  <w:pPr>
                    <w:pStyle w:val="30"/>
                    <w:rPr>
                      <w:color w:val="auto"/>
                      <w:highlight w:val="none"/>
                    </w:rPr>
                  </w:pPr>
                </w:p>
              </w:tc>
              <w:tc>
                <w:tcPr>
                  <w:tcW w:w="989" w:type="pct"/>
                  <w:vMerge w:val="continue"/>
                  <w:vAlign w:val="center"/>
                </w:tcPr>
                <w:p>
                  <w:pPr>
                    <w:pStyle w:val="30"/>
                    <w:rPr>
                      <w:color w:val="auto"/>
                      <w:highlight w:val="none"/>
                    </w:rPr>
                  </w:pPr>
                </w:p>
              </w:tc>
              <w:tc>
                <w:tcPr>
                  <w:tcW w:w="485" w:type="pct"/>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 w:type="pct"/>
                  <w:vAlign w:val="center"/>
                </w:tcPr>
                <w:p>
                  <w:pPr>
                    <w:pStyle w:val="30"/>
                    <w:rPr>
                      <w:color w:val="auto"/>
                      <w:highlight w:val="none"/>
                    </w:rPr>
                  </w:pPr>
                  <w:r>
                    <w:rPr>
                      <w:rFonts w:hint="eastAsia"/>
                      <w:color w:val="auto"/>
                      <w:highlight w:val="none"/>
                    </w:rPr>
                    <w:t>S5</w:t>
                  </w:r>
                </w:p>
              </w:tc>
              <w:tc>
                <w:tcPr>
                  <w:tcW w:w="572" w:type="pct"/>
                  <w:vAlign w:val="center"/>
                </w:tcPr>
                <w:p>
                  <w:pPr>
                    <w:pStyle w:val="30"/>
                    <w:rPr>
                      <w:color w:val="auto"/>
                      <w:highlight w:val="none"/>
                    </w:rPr>
                  </w:pPr>
                  <w:r>
                    <w:rPr>
                      <w:rFonts w:hint="eastAsia"/>
                      <w:color w:val="auto"/>
                      <w:highlight w:val="none"/>
                    </w:rPr>
                    <w:t>废气处理</w:t>
                  </w:r>
                </w:p>
              </w:tc>
              <w:tc>
                <w:tcPr>
                  <w:tcW w:w="667" w:type="pct"/>
                  <w:vAlign w:val="center"/>
                </w:tcPr>
                <w:p>
                  <w:pPr>
                    <w:pStyle w:val="30"/>
                    <w:rPr>
                      <w:color w:val="auto"/>
                      <w:highlight w:val="none"/>
                    </w:rPr>
                  </w:pPr>
                  <w:r>
                    <w:rPr>
                      <w:rFonts w:hint="eastAsia"/>
                      <w:color w:val="auto"/>
                      <w:highlight w:val="none"/>
                    </w:rPr>
                    <w:t>废活性炭</w:t>
                  </w:r>
                </w:p>
              </w:tc>
              <w:tc>
                <w:tcPr>
                  <w:tcW w:w="619" w:type="pct"/>
                  <w:vAlign w:val="center"/>
                </w:tcPr>
                <w:p>
                  <w:pPr>
                    <w:pStyle w:val="30"/>
                    <w:rPr>
                      <w:color w:val="auto"/>
                      <w:highlight w:val="none"/>
                    </w:rPr>
                  </w:pPr>
                  <w:r>
                    <w:rPr>
                      <w:rFonts w:hint="eastAsia"/>
                      <w:color w:val="auto"/>
                      <w:highlight w:val="none"/>
                    </w:rPr>
                    <w:t>HW49 900-039-49</w:t>
                  </w:r>
                </w:p>
              </w:tc>
              <w:tc>
                <w:tcPr>
                  <w:tcW w:w="485" w:type="pct"/>
                  <w:vAlign w:val="center"/>
                </w:tcPr>
                <w:p>
                  <w:pPr>
                    <w:pStyle w:val="30"/>
                    <w:rPr>
                      <w:color w:val="auto"/>
                      <w:highlight w:val="none"/>
                    </w:rPr>
                  </w:pPr>
                  <w:r>
                    <w:rPr>
                      <w:rFonts w:hint="eastAsia"/>
                      <w:color w:val="auto"/>
                      <w:highlight w:val="none"/>
                    </w:rPr>
                    <w:t>固体</w:t>
                  </w:r>
                </w:p>
              </w:tc>
              <w:tc>
                <w:tcPr>
                  <w:tcW w:w="485" w:type="pct"/>
                  <w:vAlign w:val="center"/>
                </w:tcPr>
                <w:p>
                  <w:pPr>
                    <w:pStyle w:val="30"/>
                    <w:rPr>
                      <w:color w:val="auto"/>
                      <w:highlight w:val="none"/>
                    </w:rPr>
                  </w:pPr>
                  <w:r>
                    <w:rPr>
                      <w:rFonts w:hint="eastAsia"/>
                      <w:color w:val="auto"/>
                      <w:highlight w:val="none"/>
                    </w:rPr>
                    <w:t>T</w:t>
                  </w:r>
                </w:p>
              </w:tc>
              <w:tc>
                <w:tcPr>
                  <w:tcW w:w="485" w:type="pct"/>
                  <w:vAlign w:val="center"/>
                </w:tcPr>
                <w:p>
                  <w:pPr>
                    <w:pStyle w:val="30"/>
                    <w:rPr>
                      <w:color w:val="auto"/>
                      <w:highlight w:val="none"/>
                    </w:rPr>
                  </w:pPr>
                  <w:r>
                    <w:rPr>
                      <w:rFonts w:hint="eastAsia"/>
                      <w:color w:val="auto"/>
                      <w:highlight w:val="none"/>
                    </w:rPr>
                    <w:t>1.1</w:t>
                  </w:r>
                </w:p>
              </w:tc>
              <w:tc>
                <w:tcPr>
                  <w:tcW w:w="989" w:type="pct"/>
                  <w:vAlign w:val="center"/>
                </w:tcPr>
                <w:p>
                  <w:pPr>
                    <w:pStyle w:val="30"/>
                    <w:rPr>
                      <w:color w:val="auto"/>
                      <w:highlight w:val="none"/>
                    </w:rPr>
                  </w:pPr>
                  <w:r>
                    <w:rPr>
                      <w:rFonts w:hint="eastAsia"/>
                      <w:color w:val="auto"/>
                      <w:highlight w:val="none"/>
                    </w:rPr>
                    <w:t>委托</w:t>
                  </w:r>
                  <w:r>
                    <w:rPr>
                      <w:rFonts w:hint="eastAsia"/>
                      <w:color w:val="auto"/>
                      <w:highlight w:val="none"/>
                      <w:lang w:eastAsia="zh-CN"/>
                    </w:rPr>
                    <w:t>有资质的单位</w:t>
                  </w:r>
                  <w:r>
                    <w:rPr>
                      <w:rFonts w:hint="eastAsia"/>
                      <w:color w:val="auto"/>
                      <w:highlight w:val="none"/>
                    </w:rPr>
                    <w:t>处置</w:t>
                  </w:r>
                </w:p>
              </w:tc>
              <w:tc>
                <w:tcPr>
                  <w:tcW w:w="485" w:type="pct"/>
                  <w:vAlign w:val="center"/>
                </w:tcPr>
                <w:p>
                  <w:pPr>
                    <w:pStyle w:val="30"/>
                    <w:rPr>
                      <w:color w:val="auto"/>
                      <w:highlight w:val="none"/>
                    </w:rPr>
                  </w:pPr>
                  <w:r>
                    <w:rPr>
                      <w:rFonts w:hint="eastAsia"/>
                      <w:color w:val="auto"/>
                      <w:highlight w:val="none"/>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 w:type="pct"/>
                  <w:vAlign w:val="center"/>
                </w:tcPr>
                <w:p>
                  <w:pPr>
                    <w:pStyle w:val="30"/>
                    <w:rPr>
                      <w:color w:val="auto"/>
                      <w:highlight w:val="none"/>
                    </w:rPr>
                  </w:pPr>
                  <w:r>
                    <w:rPr>
                      <w:rFonts w:hint="eastAsia"/>
                      <w:color w:val="auto"/>
                      <w:highlight w:val="none"/>
                    </w:rPr>
                    <w:t>S6</w:t>
                  </w:r>
                </w:p>
              </w:tc>
              <w:tc>
                <w:tcPr>
                  <w:tcW w:w="572" w:type="pct"/>
                  <w:vAlign w:val="center"/>
                </w:tcPr>
                <w:p>
                  <w:pPr>
                    <w:pStyle w:val="30"/>
                    <w:rPr>
                      <w:color w:val="auto"/>
                      <w:highlight w:val="none"/>
                    </w:rPr>
                  </w:pPr>
                  <w:r>
                    <w:rPr>
                      <w:rFonts w:hint="eastAsia"/>
                      <w:color w:val="auto"/>
                      <w:highlight w:val="none"/>
                    </w:rPr>
                    <w:t>化粪池清掏</w:t>
                  </w:r>
                </w:p>
              </w:tc>
              <w:tc>
                <w:tcPr>
                  <w:tcW w:w="667" w:type="pct"/>
                  <w:vAlign w:val="center"/>
                </w:tcPr>
                <w:p>
                  <w:pPr>
                    <w:pStyle w:val="30"/>
                    <w:rPr>
                      <w:color w:val="auto"/>
                      <w:highlight w:val="none"/>
                    </w:rPr>
                  </w:pPr>
                  <w:r>
                    <w:rPr>
                      <w:rFonts w:hint="eastAsia"/>
                      <w:color w:val="auto"/>
                      <w:highlight w:val="none"/>
                    </w:rPr>
                    <w:t>污泥</w:t>
                  </w:r>
                </w:p>
              </w:tc>
              <w:tc>
                <w:tcPr>
                  <w:tcW w:w="619" w:type="pct"/>
                  <w:vAlign w:val="center"/>
                </w:tcPr>
                <w:p>
                  <w:pPr>
                    <w:pStyle w:val="30"/>
                    <w:rPr>
                      <w:color w:val="auto"/>
                      <w:highlight w:val="none"/>
                    </w:rPr>
                  </w:pPr>
                  <w:r>
                    <w:rPr>
                      <w:rFonts w:hint="eastAsia"/>
                      <w:color w:val="auto"/>
                      <w:highlight w:val="none"/>
                    </w:rPr>
                    <w:t>一般固废</w:t>
                  </w:r>
                </w:p>
              </w:tc>
              <w:tc>
                <w:tcPr>
                  <w:tcW w:w="485" w:type="pct"/>
                  <w:vAlign w:val="center"/>
                </w:tcPr>
                <w:p>
                  <w:pPr>
                    <w:pStyle w:val="30"/>
                    <w:rPr>
                      <w:color w:val="auto"/>
                      <w:highlight w:val="none"/>
                    </w:rPr>
                  </w:pPr>
                  <w:r>
                    <w:rPr>
                      <w:rFonts w:hint="eastAsia"/>
                      <w:color w:val="auto"/>
                      <w:highlight w:val="none"/>
                    </w:rPr>
                    <w:t>固体</w:t>
                  </w:r>
                </w:p>
              </w:tc>
              <w:tc>
                <w:tcPr>
                  <w:tcW w:w="485" w:type="pct"/>
                  <w:vAlign w:val="center"/>
                </w:tcPr>
                <w:p>
                  <w:pPr>
                    <w:pStyle w:val="30"/>
                    <w:rPr>
                      <w:color w:val="auto"/>
                      <w:highlight w:val="none"/>
                    </w:rPr>
                  </w:pPr>
                  <w:r>
                    <w:rPr>
                      <w:rFonts w:hint="eastAsia"/>
                      <w:color w:val="auto"/>
                      <w:highlight w:val="none"/>
                    </w:rPr>
                    <w:t>-</w:t>
                  </w:r>
                </w:p>
              </w:tc>
              <w:tc>
                <w:tcPr>
                  <w:tcW w:w="485" w:type="pct"/>
                  <w:vAlign w:val="center"/>
                </w:tcPr>
                <w:p>
                  <w:pPr>
                    <w:pStyle w:val="30"/>
                    <w:rPr>
                      <w:color w:val="auto"/>
                      <w:highlight w:val="none"/>
                    </w:rPr>
                  </w:pPr>
                  <w:r>
                    <w:rPr>
                      <w:rFonts w:hint="eastAsia"/>
                      <w:color w:val="auto"/>
                      <w:highlight w:val="none"/>
                    </w:rPr>
                    <w:t>2.11</w:t>
                  </w:r>
                </w:p>
              </w:tc>
              <w:tc>
                <w:tcPr>
                  <w:tcW w:w="989" w:type="pct"/>
                  <w:vAlign w:val="center"/>
                </w:tcPr>
                <w:p>
                  <w:pPr>
                    <w:pStyle w:val="30"/>
                    <w:rPr>
                      <w:color w:val="auto"/>
                      <w:highlight w:val="none"/>
                    </w:rPr>
                  </w:pPr>
                  <w:r>
                    <w:rPr>
                      <w:rFonts w:hint="eastAsia"/>
                      <w:color w:val="auto"/>
                      <w:highlight w:val="none"/>
                    </w:rPr>
                    <w:t>物业协助环卫部门进行清理</w:t>
                  </w:r>
                </w:p>
              </w:tc>
              <w:tc>
                <w:tcPr>
                  <w:tcW w:w="485" w:type="pct"/>
                  <w:vAlign w:val="center"/>
                </w:tcPr>
                <w:p>
                  <w:pPr>
                    <w:pStyle w:val="30"/>
                    <w:rPr>
                      <w:color w:val="auto"/>
                      <w:highlight w:val="none"/>
                    </w:rPr>
                  </w:pPr>
                  <w:r>
                    <w:rPr>
                      <w:rFonts w:hint="eastAsia"/>
                      <w:color w:val="auto"/>
                      <w:highlight w:val="none"/>
                    </w:rPr>
                    <w:t>2.11</w:t>
                  </w:r>
                </w:p>
              </w:tc>
            </w:tr>
          </w:tbl>
          <w:p>
            <w:pPr>
              <w:pStyle w:val="2"/>
              <w:ind w:firstLine="480"/>
              <w:rPr>
                <w:color w:val="auto"/>
                <w:highlight w:val="none"/>
              </w:rPr>
            </w:pPr>
          </w:p>
          <w:p>
            <w:pPr>
              <w:pStyle w:val="2"/>
              <w:ind w:firstLine="480"/>
              <w:rPr>
                <w:color w:val="auto"/>
                <w:highlight w:val="none"/>
              </w:rPr>
            </w:pPr>
          </w:p>
        </w:tc>
      </w:tr>
    </w:tbl>
    <w:p>
      <w:pPr>
        <w:pStyle w:val="2"/>
        <w:ind w:firstLine="480"/>
        <w:rPr>
          <w:color w:val="auto"/>
          <w:highlight w:val="none"/>
        </w:rPr>
        <w:sectPr>
          <w:pgSz w:w="16840" w:h="11907" w:orient="landscape"/>
          <w:pgMar w:top="1531" w:right="1701" w:bottom="1531" w:left="2127" w:header="851" w:footer="851" w:gutter="0"/>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0" w:hRule="atLeast"/>
        </w:trPr>
        <w:tc>
          <w:tcPr>
            <w:tcW w:w="817" w:type="dxa"/>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期环</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境影</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响和</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保护</w:t>
            </w:r>
          </w:p>
          <w:p>
            <w:pPr>
              <w:pStyle w:val="2"/>
              <w:ind w:left="0" w:leftChars="0" w:firstLine="0" w:firstLineChars="0"/>
              <w:jc w:val="center"/>
              <w:rPr>
                <w:color w:val="auto"/>
                <w:highlight w:val="none"/>
              </w:rPr>
            </w:pPr>
            <w:r>
              <w:rPr>
                <w:rFonts w:hint="eastAsia" w:ascii="宋体" w:hAnsi="宋体" w:cs="宋体"/>
                <w:bCs/>
                <w:color w:val="auto"/>
                <w:kern w:val="2"/>
                <w:sz w:val="21"/>
                <w:szCs w:val="21"/>
                <w:highlight w:val="none"/>
              </w:rPr>
              <w:t>措施</w:t>
            </w:r>
          </w:p>
        </w:tc>
        <w:tc>
          <w:tcPr>
            <w:tcW w:w="8244" w:type="dxa"/>
          </w:tcPr>
          <w:p>
            <w:pPr>
              <w:pStyle w:val="36"/>
              <w:ind w:firstLine="480"/>
              <w:rPr>
                <w:color w:val="auto"/>
                <w:highlight w:val="none"/>
              </w:rPr>
            </w:pPr>
            <w:r>
              <w:rPr>
                <w:rFonts w:hint="eastAsia"/>
                <w:color w:val="auto"/>
                <w:highlight w:val="none"/>
              </w:rPr>
              <w:t>项目产生的固体废物包括实验过程中产生的一般固废、危险废物、废活性炭、污泥、生活垃圾、厨余垃圾等。</w:t>
            </w:r>
          </w:p>
          <w:p>
            <w:pPr>
              <w:pStyle w:val="36"/>
              <w:ind w:firstLine="480"/>
              <w:rPr>
                <w:color w:val="auto"/>
                <w:highlight w:val="none"/>
              </w:rPr>
            </w:pPr>
            <w:r>
              <w:rPr>
                <w:rFonts w:hint="eastAsia"/>
                <w:color w:val="auto"/>
                <w:highlight w:val="none"/>
              </w:rPr>
              <w:t>（1）生活垃圾</w:t>
            </w:r>
          </w:p>
          <w:p>
            <w:pPr>
              <w:pStyle w:val="36"/>
              <w:ind w:firstLine="480"/>
              <w:rPr>
                <w:color w:val="auto"/>
                <w:highlight w:val="none"/>
              </w:rPr>
            </w:pPr>
            <w:r>
              <w:rPr>
                <w:rFonts w:hint="eastAsia"/>
                <w:color w:val="auto"/>
                <w:highlight w:val="none"/>
              </w:rPr>
              <w:t>本项目新增师生人数1000人，类比现有工程按0.5kg/人·天计算，学校运营期按275天计算，则生活垃圾产生量为500kg/d，即137.5t/a。生活垃圾由环卫部门清运处置。</w:t>
            </w:r>
          </w:p>
          <w:p>
            <w:pPr>
              <w:pStyle w:val="36"/>
              <w:ind w:firstLine="480"/>
              <w:rPr>
                <w:color w:val="auto"/>
                <w:highlight w:val="none"/>
              </w:rPr>
            </w:pPr>
            <w:r>
              <w:rPr>
                <w:rFonts w:hint="eastAsia"/>
                <w:color w:val="auto"/>
                <w:highlight w:val="none"/>
              </w:rPr>
              <w:t>（2）厨余垃圾</w:t>
            </w:r>
          </w:p>
          <w:p>
            <w:pPr>
              <w:pStyle w:val="36"/>
              <w:ind w:firstLine="480"/>
              <w:rPr>
                <w:color w:val="auto"/>
                <w:highlight w:val="none"/>
              </w:rPr>
            </w:pPr>
            <w:r>
              <w:rPr>
                <w:rFonts w:hint="eastAsia"/>
                <w:color w:val="auto"/>
                <w:highlight w:val="none"/>
              </w:rPr>
              <w:t>根据《社会区域类环境影响评价》（中国环境科学出版社），餐饮固体垃圾为0.5kg/（人·次），项目餐厅供应三餐，本项目新增师生数为1000人，住宿在校用餐天数按275天计算，本项目的餐饮垃圾为412.5t/a。类比福州市闽侯生态环境局于2021年8月审批的《福建农林大学海峡联合学院和海峡联合研究院二期项目环境影响报告表》，食宿在校人数为4800人，隔油池油脂产生量为10.332t/a，故本项目油脂产生量为2.153t/a。本项目餐饮垃圾总产生量为414.653t/a。</w:t>
            </w:r>
          </w:p>
          <w:p>
            <w:pPr>
              <w:pStyle w:val="36"/>
              <w:ind w:firstLine="480"/>
              <w:rPr>
                <w:color w:val="auto"/>
                <w:highlight w:val="none"/>
              </w:rPr>
            </w:pPr>
            <w:r>
              <w:rPr>
                <w:rFonts w:hint="eastAsia"/>
                <w:color w:val="auto"/>
                <w:highlight w:val="none"/>
              </w:rPr>
              <w:t>本项目厨余垃圾单独收集、分类存放，设置专用的密闭收集容器，不得裸露存放；定期将厨余垃圾交给与其签订协议的收集运输企业。</w:t>
            </w:r>
          </w:p>
          <w:p>
            <w:pPr>
              <w:pStyle w:val="36"/>
              <w:ind w:firstLine="480"/>
              <w:rPr>
                <w:color w:val="auto"/>
                <w:highlight w:val="none"/>
              </w:rPr>
            </w:pPr>
            <w:r>
              <w:rPr>
                <w:rFonts w:hint="eastAsia"/>
                <w:color w:val="auto"/>
                <w:highlight w:val="none"/>
              </w:rPr>
              <w:t>（3）实验室一般固废</w:t>
            </w:r>
          </w:p>
          <w:p>
            <w:pPr>
              <w:pStyle w:val="36"/>
              <w:ind w:firstLine="480"/>
              <w:rPr>
                <w:color w:val="auto"/>
                <w:highlight w:val="none"/>
              </w:rPr>
            </w:pPr>
            <w:r>
              <w:rPr>
                <w:rFonts w:hint="eastAsia"/>
                <w:color w:val="auto"/>
                <w:highlight w:val="none"/>
              </w:rPr>
              <w:t>类比项目现有工程，得到本项目产生的实验室一般固废约7t/a。本项目对实验室一般固废进行分类收集，能回收利用的部分交由专门机构回收，与生活垃圾性质类似的可同生活垃圾一起由环卫部门清运。</w:t>
            </w:r>
          </w:p>
          <w:p>
            <w:pPr>
              <w:pStyle w:val="36"/>
              <w:ind w:firstLine="480"/>
              <w:rPr>
                <w:color w:val="auto"/>
                <w:highlight w:val="none"/>
              </w:rPr>
            </w:pPr>
            <w:r>
              <w:rPr>
                <w:rFonts w:hint="eastAsia"/>
                <w:color w:val="auto"/>
                <w:highlight w:val="none"/>
              </w:rPr>
              <w:t>（4）实验室危险废物</w:t>
            </w:r>
          </w:p>
          <w:p>
            <w:pPr>
              <w:pStyle w:val="36"/>
              <w:ind w:firstLine="480"/>
              <w:rPr>
                <w:color w:val="auto"/>
                <w:highlight w:val="none"/>
              </w:rPr>
            </w:pPr>
            <w:r>
              <w:rPr>
                <w:rFonts w:hint="eastAsia"/>
                <w:color w:val="auto"/>
                <w:highlight w:val="none"/>
              </w:rPr>
              <w:t>根据业主方提供的实验设计方案及上述废水污染源计算，实验室收集的高浓度废液（如酸液、碱液、离心液、液体</w:t>
            </w:r>
            <w:r>
              <w:rPr>
                <w:rFonts w:hint="eastAsia"/>
                <w:color w:val="auto"/>
                <w:highlight w:val="none"/>
                <w:lang w:eastAsia="zh-CN"/>
              </w:rPr>
              <w:t>不合格产品</w:t>
            </w:r>
            <w:r>
              <w:rPr>
                <w:rFonts w:hint="eastAsia"/>
                <w:color w:val="auto"/>
                <w:highlight w:val="none"/>
              </w:rPr>
              <w:t>等）约为</w:t>
            </w:r>
            <w:r>
              <w:rPr>
                <w:rFonts w:hint="eastAsia"/>
                <w:color w:val="auto"/>
                <w:highlight w:val="none"/>
                <w:lang w:val="en-US" w:eastAsia="zh-CN"/>
              </w:rPr>
              <w:t>1.78</w:t>
            </w:r>
            <w:r>
              <w:rPr>
                <w:rFonts w:hint="eastAsia"/>
                <w:color w:val="auto"/>
                <w:highlight w:val="none"/>
              </w:rPr>
              <w:t>t/a；类比《福建师范大学旗山校区13-18号科研实验楼项目环境影响报告书》，其规模为配备人员2690人，产生的实验室固态危废约3.2517t/a，本项目定员为1000人，估算实验室固态危废（如生物实验动物尸体、危险化学品包装物、废弃电池、废电路板等）产生量约为1.2t/a。根据《国家危险废物名录》（2021年版），本项目实验室危险废物涉及的危险废物种类如下：</w:t>
            </w:r>
          </w:p>
          <w:p>
            <w:pPr>
              <w:pStyle w:val="36"/>
              <w:ind w:firstLine="480"/>
              <w:rPr>
                <w:color w:val="auto"/>
                <w:highlight w:val="none"/>
              </w:rPr>
            </w:pPr>
            <w:r>
              <w:rPr>
                <w:rFonts w:hint="eastAsia"/>
                <w:color w:val="auto"/>
                <w:highlight w:val="none"/>
              </w:rPr>
              <w:t>①报废药品：属于HW03 废药物、药品中900-002-03 销售及使用过程中产生的失效、变质、不合格、淘汰、伪劣的化学药品和生物制品（不包括列入《国家基本药物目录》中的维生素、矿物质类药，调节水、电解质及酸碱平衡药），以及《医疗用毒性药品管理办法》中所列的毒性中药（危险特性T）；</w:t>
            </w:r>
          </w:p>
          <w:p>
            <w:pPr>
              <w:pStyle w:val="36"/>
              <w:ind w:firstLine="480"/>
              <w:rPr>
                <w:color w:val="auto"/>
                <w:highlight w:val="none"/>
              </w:rPr>
            </w:pPr>
            <w:r>
              <w:rPr>
                <w:rFonts w:hint="eastAsia"/>
                <w:color w:val="auto"/>
                <w:highlight w:val="none"/>
              </w:rPr>
              <w:t>②副产物：HW14 新化学物质废物中900-017-14 研究、开发和教学活动中产生的对人类或环境影响不明的化学物质废物（危险特性T/C/I/R）；</w:t>
            </w:r>
          </w:p>
          <w:p>
            <w:pPr>
              <w:pStyle w:val="36"/>
              <w:ind w:firstLine="480"/>
              <w:rPr>
                <w:color w:val="auto"/>
                <w:highlight w:val="none"/>
              </w:rPr>
            </w:pPr>
            <w:r>
              <w:rPr>
                <w:rFonts w:hint="eastAsia"/>
                <w:color w:val="auto"/>
                <w:highlight w:val="none"/>
              </w:rPr>
              <w:t>③废容器及废包装物：属于HW49 其他废物中900-041-49 含有或沾染毒性、感染性危险废物的废弃包装物、容器、过滤吸附介质（危险特性T/In）；</w:t>
            </w:r>
          </w:p>
          <w:p>
            <w:pPr>
              <w:pStyle w:val="36"/>
              <w:ind w:firstLine="480"/>
              <w:rPr>
                <w:color w:val="auto"/>
                <w:highlight w:val="none"/>
                <w:shd w:val="clear" w:color="auto" w:fill="FFFFFF"/>
              </w:rPr>
            </w:pPr>
            <w:r>
              <w:rPr>
                <w:rFonts w:hint="eastAsia"/>
                <w:color w:val="auto"/>
                <w:highlight w:val="none"/>
              </w:rPr>
              <w:t xml:space="preserve">④废弃电池：属于HW49其他废物中900-044-49 </w:t>
            </w:r>
            <w:r>
              <w:rPr>
                <w:rFonts w:eastAsia="Helvetica"/>
                <w:color w:val="auto"/>
                <w:highlight w:val="none"/>
                <w:shd w:val="clear" w:color="auto" w:fill="FFFFFF"/>
              </w:rPr>
              <w:t>废弃的镉镍电池、荧光粉和阴极射线管</w:t>
            </w:r>
            <w:r>
              <w:rPr>
                <w:color w:val="auto"/>
                <w:highlight w:val="none"/>
                <w:shd w:val="clear" w:color="auto" w:fill="FFFFFF"/>
              </w:rPr>
              <w:t>（危险特性T）；</w:t>
            </w:r>
          </w:p>
          <w:p>
            <w:pPr>
              <w:pStyle w:val="36"/>
              <w:ind w:firstLine="480"/>
              <w:rPr>
                <w:color w:val="auto"/>
                <w:highlight w:val="none"/>
                <w:shd w:val="clear" w:color="auto" w:fill="FFFFFF"/>
              </w:rPr>
            </w:pPr>
            <w:r>
              <w:rPr>
                <w:color w:val="auto"/>
                <w:highlight w:val="none"/>
                <w:shd w:val="clear" w:color="auto" w:fill="FFFFFF"/>
              </w:rPr>
              <w:t>⑤废电路板：属于HW49其他废物中</w:t>
            </w:r>
            <w:r>
              <w:rPr>
                <w:rFonts w:hint="eastAsia"/>
                <w:color w:val="auto"/>
                <w:highlight w:val="none"/>
              </w:rPr>
              <w:t>900-045-49 废电路板（包括己拆除或未拆除元器件的废弃电路板），及废电路板拆解过程产生的废弃CPU、显卡、声卡、内存、含电解液的电容器、含金等贵金属的连接件（危险特性T）；</w:t>
            </w:r>
          </w:p>
          <w:p>
            <w:pPr>
              <w:pStyle w:val="36"/>
              <w:ind w:firstLine="480"/>
              <w:rPr>
                <w:color w:val="auto"/>
                <w:highlight w:val="none"/>
              </w:rPr>
            </w:pPr>
            <w:r>
              <w:rPr>
                <w:rFonts w:hint="eastAsia"/>
                <w:color w:val="auto"/>
                <w:highlight w:val="none"/>
              </w:rPr>
              <w:t>⑥实验废液：属于HW49 其他废物中900-047-49 生产、研究、开发、教学、环境检测（监测）活动中，化学和生物实验室（不包含感染性医学实验室及医疗机构化验室）产生的含氟、重金属无机废液及无机废液处理产生的残渣、残液，含矿物油、有机溶剂，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危险特性T/C/I/R）。</w:t>
            </w:r>
          </w:p>
          <w:p>
            <w:pPr>
              <w:pStyle w:val="36"/>
              <w:ind w:firstLine="480"/>
              <w:rPr>
                <w:color w:val="auto"/>
                <w:highlight w:val="none"/>
              </w:rPr>
            </w:pPr>
            <w:r>
              <w:rPr>
                <w:rFonts w:hint="eastAsia"/>
                <w:color w:val="auto"/>
                <w:highlight w:val="none"/>
              </w:rPr>
              <w:t>本项目产生的实验室危险废物根据产生量的多少来设置大小容器分类收集并于综合楼东南侧废液间、</w:t>
            </w:r>
            <w:r>
              <w:rPr>
                <w:rFonts w:hint="eastAsia"/>
                <w:color w:val="auto"/>
                <w:highlight w:val="none"/>
                <w:lang w:eastAsia="zh-CN"/>
              </w:rPr>
              <w:t>危废间</w:t>
            </w:r>
            <w:r>
              <w:rPr>
                <w:rFonts w:hint="eastAsia"/>
                <w:color w:val="auto"/>
                <w:highlight w:val="none"/>
              </w:rPr>
              <w:t>暂存，后委托</w:t>
            </w:r>
            <w:r>
              <w:rPr>
                <w:rFonts w:hint="eastAsia"/>
                <w:color w:val="auto"/>
                <w:highlight w:val="none"/>
                <w:lang w:eastAsia="zh-CN"/>
              </w:rPr>
              <w:t>有资质的单位</w:t>
            </w:r>
            <w:r>
              <w:rPr>
                <w:rFonts w:hint="eastAsia"/>
                <w:color w:val="auto"/>
                <w:highlight w:val="none"/>
              </w:rPr>
              <w:t>接收处置。同时在容器上作明显标识，加盖防止废液挥发污染室内空气；收集容器需放在指定的位置（通风、安全、有明显标识的地方），统一收集（有毒有害生物性废水、动物尸体内脏等需紫外消毒及高温灭活后再收集）。</w:t>
            </w:r>
          </w:p>
          <w:p>
            <w:pPr>
              <w:pStyle w:val="36"/>
              <w:ind w:firstLine="480"/>
              <w:rPr>
                <w:color w:val="auto"/>
                <w:highlight w:val="none"/>
              </w:rPr>
            </w:pPr>
            <w:r>
              <w:rPr>
                <w:rFonts w:hint="eastAsia"/>
                <w:color w:val="auto"/>
                <w:highlight w:val="none"/>
              </w:rPr>
              <w:t>（5）废活性炭</w:t>
            </w:r>
          </w:p>
          <w:p>
            <w:pPr>
              <w:pStyle w:val="36"/>
              <w:ind w:firstLine="480"/>
              <w:rPr>
                <w:color w:val="auto"/>
                <w:highlight w:val="none"/>
              </w:rPr>
            </w:pPr>
            <w:r>
              <w:rPr>
                <w:rFonts w:hint="eastAsia"/>
                <w:color w:val="auto"/>
                <w:highlight w:val="none"/>
              </w:rPr>
              <w:t>项目废气处理产生的废活性炭属于危险废物，代码为HW49 900-039-49。类比《福建农林大学海峡联合学院和海峡联合研究院二期项目环境影响报告表》，其废气中挥发性有机物吸附量为0.9784t/a，废活性炭产生量约为5t/a。本项目废气中挥发性有机物吸附量为0.2184t/a，则估算本项目废活性炭产生量约为1.1t/a。</w:t>
            </w:r>
            <w:r>
              <w:rPr>
                <w:rFonts w:hint="eastAsia"/>
                <w:color w:val="auto"/>
                <w:highlight w:val="none"/>
                <w:lang w:val="en-US" w:eastAsia="zh-CN"/>
              </w:rPr>
              <w:t>本项目每年更换一次活性炭，可</w:t>
            </w:r>
            <w:r>
              <w:rPr>
                <w:rFonts w:hint="eastAsia"/>
                <w:color w:val="auto"/>
                <w:highlight w:val="none"/>
              </w:rPr>
              <w:t>保证</w:t>
            </w:r>
            <w:r>
              <w:rPr>
                <w:color w:val="auto"/>
                <w:highlight w:val="none"/>
                <w:lang w:bidi="ar"/>
              </w:rPr>
              <w:t>项目有机废气达标排放</w:t>
            </w:r>
            <w:r>
              <w:rPr>
                <w:rFonts w:hint="eastAsia"/>
                <w:color w:val="auto"/>
                <w:highlight w:val="none"/>
                <w:lang w:bidi="ar"/>
              </w:rPr>
              <w:t>。</w:t>
            </w:r>
            <w:r>
              <w:rPr>
                <w:rFonts w:hint="eastAsia"/>
                <w:color w:val="auto"/>
                <w:highlight w:val="none"/>
              </w:rPr>
              <w:t>废活性炭暂时存于</w:t>
            </w:r>
            <w:r>
              <w:rPr>
                <w:rFonts w:hint="eastAsia"/>
                <w:color w:val="auto"/>
                <w:highlight w:val="none"/>
                <w:lang w:val="en-US" w:eastAsia="zh-CN"/>
              </w:rPr>
              <w:t>综合楼东南侧危废间</w:t>
            </w:r>
            <w:r>
              <w:rPr>
                <w:rFonts w:hint="eastAsia"/>
                <w:color w:val="auto"/>
                <w:highlight w:val="none"/>
              </w:rPr>
              <w:t>，定期委托</w:t>
            </w:r>
            <w:r>
              <w:rPr>
                <w:rFonts w:hint="eastAsia"/>
                <w:color w:val="auto"/>
                <w:highlight w:val="none"/>
                <w:lang w:eastAsia="zh-CN"/>
              </w:rPr>
              <w:t>有资质的单位</w:t>
            </w:r>
            <w:r>
              <w:rPr>
                <w:rFonts w:hint="eastAsia"/>
                <w:color w:val="auto"/>
                <w:highlight w:val="none"/>
              </w:rPr>
              <w:t>处置。</w:t>
            </w:r>
          </w:p>
          <w:p>
            <w:pPr>
              <w:pStyle w:val="36"/>
              <w:ind w:firstLine="480"/>
              <w:rPr>
                <w:color w:val="auto"/>
                <w:highlight w:val="none"/>
              </w:rPr>
            </w:pPr>
            <w:r>
              <w:rPr>
                <w:rFonts w:hint="eastAsia"/>
                <w:color w:val="auto"/>
                <w:highlight w:val="none"/>
              </w:rPr>
              <w:t>（6）污泥</w:t>
            </w:r>
          </w:p>
          <w:p>
            <w:pPr>
              <w:pStyle w:val="36"/>
              <w:ind w:firstLine="480"/>
              <w:rPr>
                <w:color w:val="auto"/>
                <w:highlight w:val="none"/>
              </w:rPr>
            </w:pPr>
            <w:r>
              <w:rPr>
                <w:rFonts w:hint="eastAsia"/>
                <w:color w:val="auto"/>
                <w:highlight w:val="none"/>
              </w:rPr>
              <w:t>对化粪池定期清理产生废渣和暴雨过后会产生污泥。本项目污水最大产生量为10533.92t/a，均会进入化粪池处理，类比《福耀科技大学（暂名）</w:t>
            </w:r>
            <w:r>
              <w:rPr>
                <w:color w:val="auto"/>
                <w:highlight w:val="none"/>
              </w:rPr>
              <w:t>项目环境影响报告表</w:t>
            </w:r>
            <w:r>
              <w:rPr>
                <w:rFonts w:hint="eastAsia"/>
                <w:color w:val="auto"/>
                <w:highlight w:val="none"/>
              </w:rPr>
              <w:t>》，污泥产生量按污水量的万分之二计，则本项目污泥产生量约为2.11t/a。污泥由物业协助环卫部门进行清理。</w:t>
            </w:r>
          </w:p>
          <w:p>
            <w:pPr>
              <w:pStyle w:val="37"/>
              <w:rPr>
                <w:rFonts w:hint="eastAsia"/>
                <w:color w:val="auto"/>
                <w:highlight w:val="none"/>
                <w:lang w:val="en-US" w:eastAsia="zh-CN"/>
              </w:rPr>
            </w:pPr>
            <w:r>
              <w:rPr>
                <w:rFonts w:hint="eastAsia"/>
                <w:color w:val="auto"/>
                <w:highlight w:val="none"/>
                <w:lang w:val="en-US" w:eastAsia="zh-CN"/>
              </w:rPr>
              <w:t>4.2.4.2 处理措施可行性分析</w:t>
            </w:r>
          </w:p>
          <w:p>
            <w:pPr>
              <w:pStyle w:val="36"/>
              <w:bidi w:val="0"/>
              <w:rPr>
                <w:rFonts w:hint="eastAsia"/>
                <w:color w:val="auto"/>
                <w:highlight w:val="none"/>
              </w:rPr>
            </w:pPr>
            <w:r>
              <w:rPr>
                <w:rFonts w:hint="eastAsia"/>
                <w:color w:val="auto"/>
                <w:lang w:val="en-US" w:eastAsia="zh-CN"/>
              </w:rPr>
              <w:t>项目产生的</w:t>
            </w:r>
            <w:r>
              <w:rPr>
                <w:rFonts w:hint="eastAsia"/>
                <w:color w:val="auto"/>
                <w:highlight w:val="none"/>
              </w:rPr>
              <w:t>一般固废分类处理，能回收利用的部分交由专门机构回收，与生活垃圾性质类似的同生活垃圾一起由环卫部门清运。</w:t>
            </w:r>
          </w:p>
          <w:p>
            <w:pPr>
              <w:pStyle w:val="36"/>
              <w:bidi w:val="0"/>
              <w:rPr>
                <w:rFonts w:hint="eastAsia"/>
                <w:color w:val="auto"/>
                <w:highlight w:val="none"/>
                <w:lang w:eastAsia="zh-CN"/>
              </w:rPr>
            </w:pPr>
            <w:r>
              <w:rPr>
                <w:rFonts w:hint="eastAsia"/>
                <w:color w:val="auto"/>
                <w:highlight w:val="none"/>
              </w:rPr>
              <w:t>师生</w:t>
            </w:r>
            <w:r>
              <w:rPr>
                <w:color w:val="auto"/>
                <w:highlight w:val="none"/>
              </w:rPr>
              <w:t>产生的生活垃圾经分类收集，委托环卫部门统一外运处置</w:t>
            </w:r>
            <w:r>
              <w:rPr>
                <w:rFonts w:hint="eastAsia"/>
                <w:color w:val="auto"/>
                <w:highlight w:val="none"/>
                <w:lang w:eastAsia="zh-CN"/>
              </w:rPr>
              <w:t>；</w:t>
            </w:r>
            <w:r>
              <w:rPr>
                <w:rFonts w:hint="eastAsia"/>
                <w:color w:val="auto"/>
                <w:highlight w:val="none"/>
              </w:rPr>
              <w:t>餐厅产生的厨余垃圾单独收集、分类存放，设置专用的密闭收集容器，定期将厨余垃圾交给与其签订协议的收集运输企业</w:t>
            </w:r>
            <w:r>
              <w:rPr>
                <w:rFonts w:hint="eastAsia"/>
                <w:color w:val="auto"/>
                <w:highlight w:val="none"/>
                <w:lang w:eastAsia="zh-CN"/>
              </w:rPr>
              <w:t>。</w:t>
            </w:r>
          </w:p>
          <w:p>
            <w:pPr>
              <w:pStyle w:val="36"/>
              <w:bidi w:val="0"/>
              <w:rPr>
                <w:rFonts w:hint="eastAsia" w:eastAsia="宋体"/>
                <w:color w:val="auto"/>
                <w:highlight w:val="none"/>
                <w:lang w:val="en-US" w:eastAsia="zh-CN"/>
              </w:rPr>
            </w:pPr>
            <w:r>
              <w:rPr>
                <w:rFonts w:hint="eastAsia"/>
                <w:color w:val="auto"/>
                <w:highlight w:val="none"/>
              </w:rPr>
              <w:t>项目产生的危险废物先暂存至综合楼危废暂存点，后委托</w:t>
            </w:r>
            <w:r>
              <w:rPr>
                <w:rFonts w:hint="eastAsia"/>
                <w:color w:val="auto"/>
                <w:highlight w:val="none"/>
                <w:lang w:eastAsia="zh-CN"/>
              </w:rPr>
              <w:t>有资质的单位</w:t>
            </w:r>
            <w:r>
              <w:rPr>
                <w:rFonts w:hint="eastAsia"/>
                <w:color w:val="auto"/>
                <w:highlight w:val="none"/>
              </w:rPr>
              <w:t>定期转运处理。</w:t>
            </w:r>
          </w:p>
          <w:p>
            <w:pPr>
              <w:pStyle w:val="37"/>
              <w:rPr>
                <w:color w:val="auto"/>
                <w:highlight w:val="none"/>
              </w:rPr>
            </w:pPr>
            <w:r>
              <w:rPr>
                <w:rFonts w:hint="eastAsia"/>
                <w:color w:val="auto"/>
                <w:highlight w:val="none"/>
              </w:rPr>
              <w:t>4.2.4.</w:t>
            </w:r>
            <w:r>
              <w:rPr>
                <w:rFonts w:hint="eastAsia"/>
                <w:color w:val="auto"/>
                <w:highlight w:val="none"/>
                <w:lang w:val="en-US" w:eastAsia="zh-CN"/>
              </w:rPr>
              <w:t>3</w:t>
            </w:r>
            <w:r>
              <w:rPr>
                <w:rFonts w:hint="eastAsia"/>
                <w:color w:val="auto"/>
                <w:highlight w:val="none"/>
              </w:rPr>
              <w:t xml:space="preserve"> 环境管理要求</w:t>
            </w:r>
          </w:p>
          <w:p>
            <w:pPr>
              <w:pStyle w:val="36"/>
              <w:ind w:firstLine="480"/>
              <w:rPr>
                <w:color w:val="auto"/>
                <w:highlight w:val="none"/>
              </w:rPr>
            </w:pPr>
            <w:r>
              <w:rPr>
                <w:rFonts w:hint="eastAsia"/>
                <w:color w:val="auto"/>
                <w:highlight w:val="none"/>
              </w:rPr>
              <w:t>（1）一般</w:t>
            </w:r>
            <w:r>
              <w:rPr>
                <w:color w:val="auto"/>
                <w:highlight w:val="none"/>
              </w:rPr>
              <w:t>固废</w:t>
            </w:r>
          </w:p>
          <w:p>
            <w:pPr>
              <w:pStyle w:val="36"/>
              <w:ind w:firstLine="480"/>
              <w:rPr>
                <w:color w:val="auto"/>
                <w:highlight w:val="none"/>
              </w:rPr>
            </w:pPr>
            <w:r>
              <w:rPr>
                <w:rFonts w:hint="eastAsia"/>
                <w:color w:val="auto"/>
                <w:highlight w:val="none"/>
              </w:rPr>
              <w:t>本项目产生的一般固废包括实验室一般固废（如不涉及危险化学品的包装物、破旧容器等），以及化粪池定期清掏产生的污泥。本项目实验室一般固废分类处理，能回收利用的部分交由专门机构回收，与生活垃圾性质类似的同生活垃圾一起由环卫部门清运。项目一般固废的</w:t>
            </w:r>
            <w:r>
              <w:rPr>
                <w:color w:val="auto"/>
                <w:highlight w:val="none"/>
              </w:rPr>
              <w:t>存储及运输去向执行《</w:t>
            </w:r>
            <w:r>
              <w:rPr>
                <w:rFonts w:hint="eastAsia"/>
                <w:color w:val="auto"/>
                <w:highlight w:val="none"/>
              </w:rPr>
              <w:t>一般工业固体废物贮存和填埋污染控制标准</w:t>
            </w:r>
            <w:r>
              <w:rPr>
                <w:color w:val="auto"/>
                <w:highlight w:val="none"/>
              </w:rPr>
              <w:t>》（GB18599-20</w:t>
            </w:r>
            <w:r>
              <w:rPr>
                <w:rFonts w:hint="eastAsia"/>
                <w:color w:val="auto"/>
                <w:highlight w:val="none"/>
              </w:rPr>
              <w:t>20</w:t>
            </w:r>
            <w:r>
              <w:rPr>
                <w:color w:val="auto"/>
                <w:highlight w:val="none"/>
              </w:rPr>
              <w:t>）</w:t>
            </w:r>
            <w:r>
              <w:rPr>
                <w:rFonts w:hint="eastAsia"/>
                <w:color w:val="auto"/>
                <w:highlight w:val="none"/>
              </w:rPr>
              <w:t>、《</w:t>
            </w:r>
            <w:r>
              <w:rPr>
                <w:rFonts w:hint="eastAsia"/>
                <w:color w:val="auto"/>
                <w:highlight w:val="none"/>
                <w:lang w:eastAsia="zh-CN"/>
              </w:rPr>
              <w:t>中华人民共和国固体废物污染环境防治法</w:t>
            </w:r>
            <w:r>
              <w:rPr>
                <w:rFonts w:hint="eastAsia"/>
                <w:color w:val="auto"/>
                <w:highlight w:val="none"/>
              </w:rPr>
              <w:t>》中的相关规定。</w:t>
            </w:r>
          </w:p>
          <w:p>
            <w:pPr>
              <w:pStyle w:val="36"/>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）生活垃圾、厨余垃圾</w:t>
            </w:r>
          </w:p>
          <w:p>
            <w:pPr>
              <w:pStyle w:val="36"/>
              <w:ind w:firstLine="480"/>
              <w:rPr>
                <w:color w:val="auto"/>
                <w:highlight w:val="none"/>
              </w:rPr>
            </w:pPr>
            <w:r>
              <w:rPr>
                <w:rFonts w:hint="eastAsia"/>
                <w:color w:val="auto"/>
                <w:highlight w:val="none"/>
              </w:rPr>
              <w:t>师生</w:t>
            </w:r>
            <w:r>
              <w:rPr>
                <w:color w:val="auto"/>
                <w:highlight w:val="none"/>
              </w:rPr>
              <w:t>产生的生活垃圾经分类收集，委托环卫部门统一外运处置</w:t>
            </w:r>
            <w:r>
              <w:rPr>
                <w:rFonts w:hint="eastAsia"/>
                <w:color w:val="auto"/>
                <w:highlight w:val="none"/>
              </w:rPr>
              <w:t>，</w:t>
            </w:r>
            <w:r>
              <w:rPr>
                <w:color w:val="auto"/>
                <w:highlight w:val="none"/>
              </w:rPr>
              <w:t>不会对环境造成不良影响。</w:t>
            </w:r>
          </w:p>
          <w:p>
            <w:pPr>
              <w:pStyle w:val="36"/>
              <w:ind w:firstLine="480"/>
              <w:rPr>
                <w:color w:val="auto"/>
                <w:highlight w:val="none"/>
              </w:rPr>
            </w:pPr>
            <w:r>
              <w:rPr>
                <w:rFonts w:hint="eastAsia"/>
                <w:color w:val="auto"/>
                <w:highlight w:val="none"/>
              </w:rPr>
              <w:t>餐厅产生的厨余垃圾单独收集、分类存放，设置专用的密闭收集容器，不得裸露存放；定期将厨余垃圾交给与其签订协议的收集运输企业，</w:t>
            </w:r>
            <w:r>
              <w:rPr>
                <w:color w:val="auto"/>
                <w:highlight w:val="none"/>
              </w:rPr>
              <w:t>不会对环境造成不良影响。</w:t>
            </w:r>
          </w:p>
          <w:p>
            <w:pPr>
              <w:pStyle w:val="36"/>
              <w:ind w:firstLine="480"/>
              <w:rPr>
                <w:color w:val="auto"/>
                <w:highlight w:val="none"/>
              </w:rPr>
            </w:pPr>
            <w:r>
              <w:rPr>
                <w:rFonts w:hint="eastAsia"/>
                <w:color w:val="auto"/>
                <w:highlight w:val="none"/>
              </w:rPr>
              <w:t>（3）危险废物</w:t>
            </w:r>
          </w:p>
          <w:p>
            <w:pPr>
              <w:pStyle w:val="36"/>
              <w:wordWrap w:val="0"/>
              <w:ind w:firstLine="480"/>
              <w:rPr>
                <w:color w:val="auto"/>
                <w:highlight w:val="none"/>
              </w:rPr>
            </w:pPr>
            <w:r>
              <w:rPr>
                <w:rFonts w:hint="eastAsia"/>
                <w:color w:val="auto"/>
                <w:highlight w:val="none"/>
              </w:rPr>
              <w:t>项目产生的危险废物主要为实验室危险废物、废活性炭，设不同容器分类收集，并于特定地点贮存，委托</w:t>
            </w:r>
            <w:r>
              <w:rPr>
                <w:rFonts w:hint="eastAsia"/>
                <w:color w:val="auto"/>
                <w:highlight w:val="none"/>
                <w:lang w:eastAsia="zh-CN"/>
              </w:rPr>
              <w:t>有资质的单位</w:t>
            </w:r>
            <w:r>
              <w:rPr>
                <w:rFonts w:hint="eastAsia"/>
                <w:color w:val="auto"/>
                <w:highlight w:val="none"/>
              </w:rPr>
              <w:t>定期转运处理。本项目在综合楼东南角道路旁设置了</w:t>
            </w:r>
            <w:r>
              <w:rPr>
                <w:rFonts w:hint="eastAsia"/>
                <w:color w:val="auto"/>
                <w:highlight w:val="none"/>
                <w:lang w:eastAsia="zh-CN"/>
              </w:rPr>
              <w:t>危废间</w:t>
            </w:r>
            <w:r>
              <w:rPr>
                <w:rFonts w:hint="eastAsia"/>
                <w:color w:val="auto"/>
                <w:highlight w:val="none"/>
              </w:rPr>
              <w:t>、废液间，各占地21.5m</w:t>
            </w:r>
            <w:r>
              <w:rPr>
                <w:rFonts w:hint="eastAsia"/>
                <w:color w:val="auto"/>
                <w:highlight w:val="none"/>
                <w:vertAlign w:val="superscript"/>
              </w:rPr>
              <w:t>2</w:t>
            </w:r>
            <w:r>
              <w:rPr>
                <w:rFonts w:hint="eastAsia"/>
                <w:color w:val="auto"/>
                <w:highlight w:val="none"/>
              </w:rPr>
              <w:t>。危险废物临时贮存点应按照《危险废物贮存污染控制标准》（GB18597-20</w:t>
            </w:r>
            <w:r>
              <w:rPr>
                <w:rFonts w:hint="eastAsia"/>
                <w:color w:val="auto"/>
                <w:highlight w:val="none"/>
                <w:lang w:val="en-US" w:eastAsia="zh-CN"/>
              </w:rPr>
              <w:t>23</w:t>
            </w:r>
            <w:r>
              <w:rPr>
                <w:rFonts w:hint="eastAsia"/>
                <w:color w:val="auto"/>
                <w:highlight w:val="none"/>
              </w:rPr>
              <w:t>）的有关规定设立，设计要求如下：</w:t>
            </w:r>
          </w:p>
          <w:p>
            <w:pPr>
              <w:pStyle w:val="36"/>
              <w:wordWrap w:val="0"/>
              <w:ind w:firstLine="480"/>
              <w:rPr>
                <w:color w:val="auto"/>
                <w:highlight w:val="none"/>
              </w:rPr>
            </w:pPr>
            <w:r>
              <w:rPr>
                <w:rFonts w:hint="eastAsia"/>
                <w:color w:val="auto"/>
                <w:highlight w:val="none"/>
              </w:rPr>
              <w:t>①地面与裙角要用坚固、防渗的材料建造，建筑材料必须与危险废物相容；</w:t>
            </w:r>
          </w:p>
          <w:p>
            <w:pPr>
              <w:pStyle w:val="36"/>
              <w:wordWrap w:val="0"/>
              <w:ind w:firstLine="480"/>
              <w:rPr>
                <w:color w:val="auto"/>
                <w:highlight w:val="none"/>
              </w:rPr>
            </w:pPr>
            <w:r>
              <w:rPr>
                <w:rFonts w:hint="eastAsia"/>
                <w:color w:val="auto"/>
                <w:highlight w:val="none"/>
              </w:rPr>
              <w:t>②必须有泄漏液体收集装置、气体导出口及气体净化装置；</w:t>
            </w:r>
          </w:p>
          <w:p>
            <w:pPr>
              <w:pStyle w:val="36"/>
              <w:wordWrap w:val="0"/>
              <w:ind w:firstLine="480"/>
              <w:rPr>
                <w:color w:val="auto"/>
                <w:highlight w:val="none"/>
              </w:rPr>
            </w:pPr>
            <w:r>
              <w:rPr>
                <w:rFonts w:hint="eastAsia"/>
                <w:color w:val="auto"/>
                <w:highlight w:val="none"/>
              </w:rPr>
              <w:t>③设施内要有安全照明设施和观察窗口；</w:t>
            </w:r>
          </w:p>
          <w:p>
            <w:pPr>
              <w:pStyle w:val="36"/>
              <w:wordWrap w:val="0"/>
              <w:ind w:firstLine="480"/>
              <w:rPr>
                <w:color w:val="auto"/>
                <w:highlight w:val="none"/>
              </w:rPr>
            </w:pPr>
            <w:r>
              <w:rPr>
                <w:rFonts w:hint="eastAsia"/>
                <w:color w:val="auto"/>
                <w:highlight w:val="none"/>
              </w:rPr>
              <w:t>④用以存放装载液体、半固体危险废物容器的地方，必须有耐腐蚀的硬化地面，且表面无裂隙；</w:t>
            </w:r>
          </w:p>
          <w:p>
            <w:pPr>
              <w:pStyle w:val="36"/>
              <w:wordWrap w:val="0"/>
              <w:ind w:firstLine="480"/>
              <w:rPr>
                <w:color w:val="auto"/>
                <w:highlight w:val="none"/>
              </w:rPr>
            </w:pPr>
            <w:r>
              <w:rPr>
                <w:rFonts w:hint="eastAsia"/>
                <w:color w:val="auto"/>
                <w:highlight w:val="none"/>
              </w:rPr>
              <w:t>⑤应设计堵截泄漏的裙脚，地面与裙脚所围建的容积不低于堵截最大容器的最大储量或总储量的1/5；</w:t>
            </w:r>
          </w:p>
          <w:p>
            <w:pPr>
              <w:pStyle w:val="36"/>
              <w:wordWrap w:val="0"/>
              <w:ind w:firstLine="480"/>
              <w:rPr>
                <w:color w:val="auto"/>
                <w:highlight w:val="none"/>
              </w:rPr>
            </w:pPr>
            <w:r>
              <w:rPr>
                <w:rFonts w:hint="eastAsia"/>
                <w:color w:val="auto"/>
                <w:highlight w:val="none"/>
              </w:rPr>
              <w:t>⑥不相容的危险废物必须分开存放，并设有隔离间隔断；</w:t>
            </w:r>
          </w:p>
          <w:p>
            <w:pPr>
              <w:pStyle w:val="36"/>
              <w:wordWrap w:val="0"/>
              <w:ind w:firstLine="480"/>
              <w:rPr>
                <w:color w:val="auto"/>
                <w:highlight w:val="none"/>
              </w:rPr>
            </w:pPr>
            <w:r>
              <w:rPr>
                <w:rFonts w:hint="eastAsia"/>
                <w:color w:val="auto"/>
                <w:highlight w:val="none"/>
              </w:rPr>
              <w:t>⑦防渗层为至少1m厚粘土层（渗透系数≤10</w:t>
            </w:r>
            <w:r>
              <w:rPr>
                <w:rFonts w:hint="eastAsia"/>
                <w:color w:val="auto"/>
                <w:highlight w:val="none"/>
                <w:vertAlign w:val="superscript"/>
              </w:rPr>
              <w:t>-7</w:t>
            </w:r>
            <w:r>
              <w:rPr>
                <w:rFonts w:hint="eastAsia"/>
                <w:color w:val="auto"/>
                <w:highlight w:val="none"/>
              </w:rPr>
              <w:t>cm/s），或2mm厚高密度聚乙烯，或至少2mm厚的其他人工材料，渗透系数≤10</w:t>
            </w:r>
            <w:r>
              <w:rPr>
                <w:rFonts w:hint="eastAsia"/>
                <w:color w:val="auto"/>
                <w:highlight w:val="none"/>
                <w:vertAlign w:val="superscript"/>
              </w:rPr>
              <w:t>-8</w:t>
            </w:r>
            <w:r>
              <w:rPr>
                <w:rFonts w:hint="eastAsia"/>
                <w:color w:val="auto"/>
                <w:highlight w:val="none"/>
              </w:rPr>
              <w:t>cm/s。</w:t>
            </w:r>
          </w:p>
          <w:p>
            <w:pPr>
              <w:pStyle w:val="36"/>
              <w:wordWrap w:val="0"/>
              <w:ind w:firstLine="480"/>
              <w:rPr>
                <w:color w:val="auto"/>
                <w:highlight w:val="none"/>
              </w:rPr>
            </w:pPr>
            <w:r>
              <w:rPr>
                <w:rFonts w:hint="eastAsia"/>
                <w:color w:val="auto"/>
                <w:highlight w:val="none"/>
              </w:rPr>
              <w:t>项目产生的危险废物先暂存至综合楼危废暂存点，后委托</w:t>
            </w:r>
            <w:r>
              <w:rPr>
                <w:rFonts w:hint="eastAsia"/>
                <w:color w:val="auto"/>
                <w:highlight w:val="none"/>
                <w:lang w:eastAsia="zh-CN"/>
              </w:rPr>
              <w:t>有资质的单位</w:t>
            </w:r>
            <w:r>
              <w:rPr>
                <w:rFonts w:hint="eastAsia"/>
                <w:color w:val="auto"/>
                <w:highlight w:val="none"/>
              </w:rPr>
              <w:t>定期转运处理。按照上述要求对危险废物进行处置后，对周边环境的影响不大。</w:t>
            </w:r>
          </w:p>
          <w:p>
            <w:pPr>
              <w:pStyle w:val="31"/>
              <w:rPr>
                <w:color w:val="auto"/>
                <w:highlight w:val="none"/>
              </w:rPr>
            </w:pPr>
            <w:r>
              <w:rPr>
                <w:rFonts w:hint="eastAsia"/>
                <w:color w:val="auto"/>
                <w:highlight w:val="none"/>
              </w:rPr>
              <w:t>4.2.5 生态环境影响及防控措施</w:t>
            </w:r>
          </w:p>
          <w:p>
            <w:pPr>
              <w:pStyle w:val="36"/>
              <w:ind w:firstLine="480"/>
              <w:rPr>
                <w:color w:val="auto"/>
                <w:highlight w:val="none"/>
              </w:rPr>
            </w:pPr>
            <w:r>
              <w:rPr>
                <w:rFonts w:hint="eastAsia"/>
                <w:color w:val="auto"/>
                <w:highlight w:val="none"/>
              </w:rPr>
              <w:t>本项目为普通高等教育学校教学的建设，用地为</w:t>
            </w:r>
            <w:r>
              <w:rPr>
                <w:rFonts w:hint="eastAsia"/>
                <w:color w:val="auto"/>
                <w:highlight w:val="none"/>
                <w:lang w:eastAsia="zh-CN"/>
              </w:rPr>
              <w:t>福建师范</w:t>
            </w:r>
            <w:r>
              <w:rPr>
                <w:rFonts w:hint="eastAsia"/>
                <w:color w:val="auto"/>
                <w:highlight w:val="none"/>
              </w:rPr>
              <w:t>大学已有红线内，为预留地，现状为裸露地表。项目建设完成后校园内会采取绿化措施，对项目区域内生态环境起到改善作用。本项目实验室涉及的生化实验均在科研楼实验室内完成，试验结束后产生的的实验废料进行高温灭活后并委托专业机构进行收集和处理。不会对外环境造成影响。因此，学校应该严格进行管控，确保实验过程中的实验废料得到妥善收集及处理。</w:t>
            </w:r>
          </w:p>
          <w:p>
            <w:pPr>
              <w:pStyle w:val="31"/>
              <w:rPr>
                <w:color w:val="auto"/>
                <w:highlight w:val="none"/>
              </w:rPr>
            </w:pPr>
            <w:r>
              <w:rPr>
                <w:rFonts w:hint="eastAsia"/>
                <w:color w:val="auto"/>
                <w:highlight w:val="none"/>
              </w:rPr>
              <w:t>4.2.6 土壤和</w:t>
            </w:r>
            <w:r>
              <w:rPr>
                <w:color w:val="auto"/>
                <w:highlight w:val="none"/>
              </w:rPr>
              <w:t>地下水</w:t>
            </w:r>
            <w:r>
              <w:rPr>
                <w:rFonts w:hint="eastAsia"/>
                <w:color w:val="auto"/>
                <w:highlight w:val="none"/>
              </w:rPr>
              <w:t>环境影响及防控措施</w:t>
            </w:r>
          </w:p>
          <w:p>
            <w:pPr>
              <w:pStyle w:val="37"/>
              <w:rPr>
                <w:color w:val="auto"/>
                <w:highlight w:val="none"/>
              </w:rPr>
            </w:pPr>
            <w:r>
              <w:rPr>
                <w:rFonts w:hint="eastAsia"/>
                <w:color w:val="auto"/>
                <w:highlight w:val="none"/>
              </w:rPr>
              <w:t>4.2.6.1 地下水环境影响及防控措施</w:t>
            </w:r>
          </w:p>
          <w:p>
            <w:pPr>
              <w:pStyle w:val="36"/>
              <w:ind w:firstLine="480"/>
              <w:rPr>
                <w:color w:val="auto"/>
                <w:highlight w:val="none"/>
              </w:rPr>
            </w:pPr>
            <w:r>
              <w:rPr>
                <w:rFonts w:hint="eastAsia"/>
                <w:color w:val="auto"/>
                <w:highlight w:val="none"/>
              </w:rPr>
              <w:t>本项目运营期废水为实验室实验废水及学校人员生活污水，生活污水经过化粪池处理后接入市政管网进入大学城污水处理厂进行处理，实验室废水经过学校本次建设的一体化污水处理设备处理后接入市政管网进入大学城污水处理厂进行处理。本项目废水不含有毒有害污染物，不含重金属等污染物，正常工况下生产废水处理设施各构筑物采取严格的防渗、防溢流等措施，废水不易渗漏和进入地下水。</w:t>
            </w:r>
          </w:p>
          <w:p>
            <w:pPr>
              <w:pStyle w:val="36"/>
              <w:ind w:firstLine="480"/>
              <w:rPr>
                <w:color w:val="auto"/>
                <w:highlight w:val="none"/>
              </w:rPr>
            </w:pPr>
            <w:r>
              <w:rPr>
                <w:rFonts w:hint="eastAsia"/>
                <w:color w:val="auto"/>
                <w:highlight w:val="none"/>
              </w:rPr>
              <w:t>根据现场调查，项目评价区域无饮用水水源地，用水采用自来水。项目一般工业固废暂存场所及危险废物暂存间严格按照《一般工业固体废物贮存和填埋污染控制标准》（GB18599-2020）的要求及《危险废物贮存污染控制标准》（GB18597-20</w:t>
            </w:r>
            <w:r>
              <w:rPr>
                <w:rFonts w:hint="eastAsia"/>
                <w:color w:val="auto"/>
                <w:highlight w:val="none"/>
                <w:lang w:val="en-US" w:eastAsia="zh-CN"/>
              </w:rPr>
              <w:t>23</w:t>
            </w:r>
            <w:r>
              <w:rPr>
                <w:rFonts w:hint="eastAsia"/>
                <w:color w:val="auto"/>
                <w:highlight w:val="none"/>
              </w:rPr>
              <w:t>）要求进行建设，具备防风、防雨、防晒、防渗漏等要求。在正常工况，不会对评价区地下水产生明显影响，其影响程度是可接受的。</w:t>
            </w:r>
          </w:p>
          <w:p>
            <w:pPr>
              <w:pStyle w:val="36"/>
              <w:ind w:firstLine="480"/>
              <w:rPr>
                <w:color w:val="auto"/>
                <w:highlight w:val="none"/>
              </w:rPr>
            </w:pPr>
            <w:r>
              <w:rPr>
                <w:rFonts w:hint="eastAsia"/>
                <w:color w:val="auto"/>
                <w:highlight w:val="none"/>
              </w:rPr>
              <w:t>综上所述，项目在正常运行工况下，项目对地下水影响不大。</w:t>
            </w:r>
          </w:p>
          <w:p>
            <w:pPr>
              <w:pStyle w:val="37"/>
              <w:rPr>
                <w:color w:val="auto"/>
                <w:highlight w:val="none"/>
              </w:rPr>
            </w:pPr>
            <w:r>
              <w:rPr>
                <w:rFonts w:hint="eastAsia"/>
                <w:color w:val="auto"/>
                <w:highlight w:val="none"/>
              </w:rPr>
              <w:t>4.2.6.2 土壤环境影响及防控措施</w:t>
            </w:r>
          </w:p>
          <w:p>
            <w:pPr>
              <w:pStyle w:val="36"/>
              <w:ind w:firstLine="480"/>
              <w:rPr>
                <w:color w:val="auto"/>
                <w:highlight w:val="none"/>
              </w:rPr>
            </w:pPr>
            <w:r>
              <w:rPr>
                <w:rFonts w:hint="eastAsia"/>
                <w:color w:val="auto"/>
                <w:highlight w:val="none"/>
              </w:rPr>
              <w:t>本项目为污染影响型项目，按照《环境影响评价技术导则土壤环境(试行)》(HJ964-2018)“第6.2.2 污染影响型”中有关规定，根据土壤环境影响评价项目类别、占地规模与敏感程度划分评价工作等级，根据《环境影响评价技术导则土壤环境(试行)》(HJ964-2018)中附录A“表A.1 土壤环境影响评价项目类别”，项目属于“社会事业与服务类”类别项目，为IV 类项目。因此，本评价不开展土壤环境影响评价工作。</w:t>
            </w:r>
          </w:p>
          <w:p>
            <w:pPr>
              <w:pStyle w:val="31"/>
              <w:rPr>
                <w:color w:val="auto"/>
                <w:highlight w:val="none"/>
              </w:rPr>
            </w:pPr>
            <w:r>
              <w:rPr>
                <w:rFonts w:hint="eastAsia"/>
                <w:color w:val="auto"/>
                <w:highlight w:val="none"/>
              </w:rPr>
              <w:t>4.2.7 环境风险分析</w:t>
            </w:r>
          </w:p>
          <w:p>
            <w:pPr>
              <w:pStyle w:val="37"/>
              <w:rPr>
                <w:color w:val="auto"/>
                <w:highlight w:val="none"/>
              </w:rPr>
            </w:pPr>
            <w:r>
              <w:rPr>
                <w:rFonts w:hint="eastAsia"/>
                <w:color w:val="auto"/>
                <w:highlight w:val="none"/>
              </w:rPr>
              <w:t>4.2.7.1  风险识别</w:t>
            </w:r>
          </w:p>
          <w:p>
            <w:pPr>
              <w:pStyle w:val="36"/>
              <w:ind w:firstLine="480"/>
              <w:rPr>
                <w:color w:val="auto"/>
                <w:highlight w:val="none"/>
              </w:rPr>
            </w:pPr>
            <w:r>
              <w:rPr>
                <w:rFonts w:hint="eastAsia"/>
                <w:color w:val="auto"/>
                <w:highlight w:val="none"/>
              </w:rPr>
              <w:t>本项目为普通高等教育学校教学楼的建设，教学实验过程中会使用到易燃、有毒物质，但从下表中可以看出，危险药品的使用量和储存量较小，未超过《建设项目环境风险评价技术导则》（HJ169-2018）中规定的临界量。</w:t>
            </w:r>
          </w:p>
          <w:p>
            <w:pPr>
              <w:pStyle w:val="32"/>
              <w:rPr>
                <w:color w:val="auto"/>
                <w:highlight w:val="none"/>
              </w:rPr>
            </w:pPr>
            <w:r>
              <w:rPr>
                <w:rFonts w:hint="eastAsia"/>
                <w:color w:val="auto"/>
                <w:highlight w:val="none"/>
              </w:rPr>
              <w:t>表4.2.6 项目危险物质数量及分布情况一览表</w:t>
            </w:r>
          </w:p>
          <w:tbl>
            <w:tblPr>
              <w:tblStyle w:val="20"/>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0"/>
              <w:gridCol w:w="1246"/>
              <w:gridCol w:w="1604"/>
              <w:gridCol w:w="1604"/>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危险物质</w:t>
                  </w:r>
                </w:p>
              </w:tc>
              <w:tc>
                <w:tcPr>
                  <w:tcW w:w="1246" w:type="dxa"/>
                  <w:vAlign w:val="center"/>
                </w:tcPr>
                <w:p>
                  <w:pPr>
                    <w:pStyle w:val="30"/>
                    <w:rPr>
                      <w:color w:val="auto"/>
                      <w:highlight w:val="none"/>
                    </w:rPr>
                  </w:pPr>
                  <w:r>
                    <w:rPr>
                      <w:rFonts w:hint="eastAsia"/>
                      <w:color w:val="auto"/>
                      <w:highlight w:val="none"/>
                    </w:rPr>
                    <w:t>最大贮存量（t）</w:t>
                  </w:r>
                </w:p>
              </w:tc>
              <w:tc>
                <w:tcPr>
                  <w:tcW w:w="1604" w:type="dxa"/>
                  <w:vAlign w:val="center"/>
                </w:tcPr>
                <w:p>
                  <w:pPr>
                    <w:pStyle w:val="30"/>
                    <w:rPr>
                      <w:color w:val="auto"/>
                      <w:highlight w:val="none"/>
                    </w:rPr>
                  </w:pPr>
                  <w:r>
                    <w:rPr>
                      <w:rFonts w:hint="eastAsia"/>
                      <w:color w:val="auto"/>
                      <w:highlight w:val="none"/>
                    </w:rPr>
                    <w:t>临界量（t）</w:t>
                  </w:r>
                </w:p>
              </w:tc>
              <w:tc>
                <w:tcPr>
                  <w:tcW w:w="1604" w:type="dxa"/>
                  <w:vAlign w:val="center"/>
                </w:tcPr>
                <w:p>
                  <w:pPr>
                    <w:pStyle w:val="30"/>
                    <w:rPr>
                      <w:color w:val="auto"/>
                      <w:highlight w:val="none"/>
                    </w:rPr>
                  </w:pPr>
                  <w:r>
                    <w:rPr>
                      <w:rFonts w:hint="eastAsia"/>
                      <w:color w:val="auto"/>
                      <w:highlight w:val="none"/>
                    </w:rPr>
                    <w:t>危险物质数量与临界量比值（Q）</w:t>
                  </w:r>
                </w:p>
              </w:tc>
              <w:tc>
                <w:tcPr>
                  <w:tcW w:w="1604" w:type="dxa"/>
                  <w:vAlign w:val="center"/>
                </w:tcPr>
                <w:p>
                  <w:pPr>
                    <w:pStyle w:val="30"/>
                    <w:rPr>
                      <w:color w:val="auto"/>
                      <w:highlight w:val="none"/>
                    </w:rPr>
                  </w:pPr>
                  <w:r>
                    <w:rPr>
                      <w:rFonts w:hint="eastAsia"/>
                      <w:color w:val="auto"/>
                      <w:highlight w:val="none"/>
                    </w:rPr>
                    <w:t>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丙酮</w:t>
                  </w:r>
                </w:p>
              </w:tc>
              <w:tc>
                <w:tcPr>
                  <w:tcW w:w="1246" w:type="dxa"/>
                  <w:vAlign w:val="center"/>
                </w:tcPr>
                <w:p>
                  <w:pPr>
                    <w:pStyle w:val="30"/>
                    <w:rPr>
                      <w:color w:val="auto"/>
                      <w:highlight w:val="none"/>
                    </w:rPr>
                  </w:pPr>
                  <w:r>
                    <w:rPr>
                      <w:rFonts w:hint="eastAsia"/>
                      <w:color w:val="auto"/>
                      <w:highlight w:val="none"/>
                    </w:rPr>
                    <w:t>0.05</w:t>
                  </w:r>
                </w:p>
              </w:tc>
              <w:tc>
                <w:tcPr>
                  <w:tcW w:w="1604" w:type="dxa"/>
                  <w:vAlign w:val="center"/>
                </w:tcPr>
                <w:p>
                  <w:pPr>
                    <w:pStyle w:val="30"/>
                    <w:rPr>
                      <w:color w:val="auto"/>
                      <w:highlight w:val="none"/>
                    </w:rPr>
                  </w:pPr>
                  <w:r>
                    <w:rPr>
                      <w:rFonts w:hint="eastAsia"/>
                      <w:color w:val="auto"/>
                      <w:highlight w:val="none"/>
                    </w:rPr>
                    <w:t>10</w:t>
                  </w:r>
                </w:p>
              </w:tc>
              <w:tc>
                <w:tcPr>
                  <w:tcW w:w="1604" w:type="dxa"/>
                  <w:vAlign w:val="center"/>
                </w:tcPr>
                <w:p>
                  <w:pPr>
                    <w:pStyle w:val="30"/>
                    <w:rPr>
                      <w:color w:val="auto"/>
                      <w:highlight w:val="none"/>
                    </w:rPr>
                  </w:pPr>
                  <w:r>
                    <w:rPr>
                      <w:rFonts w:hint="eastAsia"/>
                      <w:color w:val="auto"/>
                      <w:highlight w:val="none"/>
                    </w:rPr>
                    <w:t>0.005</w:t>
                  </w:r>
                </w:p>
              </w:tc>
              <w:tc>
                <w:tcPr>
                  <w:tcW w:w="1604" w:type="dxa"/>
                  <w:vMerge w:val="restart"/>
                  <w:vAlign w:val="center"/>
                </w:tcPr>
                <w:p>
                  <w:pPr>
                    <w:pStyle w:val="30"/>
                    <w:rPr>
                      <w:color w:val="auto"/>
                      <w:highlight w:val="none"/>
                    </w:rPr>
                  </w:pPr>
                  <w:r>
                    <w:rPr>
                      <w:rFonts w:hint="eastAsia"/>
                      <w:color w:val="auto"/>
                      <w:highlight w:val="none"/>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二甲苯</w:t>
                  </w:r>
                </w:p>
              </w:tc>
              <w:tc>
                <w:tcPr>
                  <w:tcW w:w="1246" w:type="dxa"/>
                  <w:vAlign w:val="center"/>
                </w:tcPr>
                <w:p>
                  <w:pPr>
                    <w:pStyle w:val="30"/>
                    <w:rPr>
                      <w:color w:val="auto"/>
                      <w:highlight w:val="none"/>
                    </w:rPr>
                  </w:pPr>
                  <w:r>
                    <w:rPr>
                      <w:rFonts w:hint="eastAsia"/>
                      <w:color w:val="auto"/>
                      <w:highlight w:val="none"/>
                    </w:rPr>
                    <w:t>0.05</w:t>
                  </w:r>
                </w:p>
              </w:tc>
              <w:tc>
                <w:tcPr>
                  <w:tcW w:w="1604" w:type="dxa"/>
                  <w:vAlign w:val="center"/>
                </w:tcPr>
                <w:p>
                  <w:pPr>
                    <w:pStyle w:val="30"/>
                    <w:rPr>
                      <w:color w:val="auto"/>
                      <w:highlight w:val="none"/>
                    </w:rPr>
                  </w:pPr>
                  <w:r>
                    <w:rPr>
                      <w:rFonts w:hint="eastAsia"/>
                      <w:color w:val="auto"/>
                      <w:highlight w:val="none"/>
                    </w:rPr>
                    <w:t>10</w:t>
                  </w:r>
                </w:p>
              </w:tc>
              <w:tc>
                <w:tcPr>
                  <w:tcW w:w="1604" w:type="dxa"/>
                  <w:vAlign w:val="center"/>
                </w:tcPr>
                <w:p>
                  <w:pPr>
                    <w:pStyle w:val="30"/>
                    <w:rPr>
                      <w:color w:val="auto"/>
                      <w:highlight w:val="none"/>
                    </w:rPr>
                  </w:pPr>
                  <w:r>
                    <w:rPr>
                      <w:rFonts w:hint="eastAsia"/>
                      <w:color w:val="auto"/>
                      <w:highlight w:val="none"/>
                    </w:rPr>
                    <w:t>0.005</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苯</w:t>
                  </w:r>
                </w:p>
              </w:tc>
              <w:tc>
                <w:tcPr>
                  <w:tcW w:w="1246" w:type="dxa"/>
                  <w:vAlign w:val="center"/>
                </w:tcPr>
                <w:p>
                  <w:pPr>
                    <w:pStyle w:val="30"/>
                    <w:rPr>
                      <w:color w:val="auto"/>
                      <w:highlight w:val="none"/>
                    </w:rPr>
                  </w:pPr>
                  <w:r>
                    <w:rPr>
                      <w:rFonts w:hint="eastAsia"/>
                      <w:color w:val="auto"/>
                      <w:highlight w:val="none"/>
                    </w:rPr>
                    <w:t>0.05</w:t>
                  </w:r>
                </w:p>
              </w:tc>
              <w:tc>
                <w:tcPr>
                  <w:tcW w:w="1604" w:type="dxa"/>
                  <w:vAlign w:val="center"/>
                </w:tcPr>
                <w:p>
                  <w:pPr>
                    <w:pStyle w:val="30"/>
                    <w:rPr>
                      <w:color w:val="auto"/>
                      <w:highlight w:val="none"/>
                    </w:rPr>
                  </w:pPr>
                  <w:r>
                    <w:rPr>
                      <w:rFonts w:hint="eastAsia"/>
                      <w:color w:val="auto"/>
                      <w:highlight w:val="none"/>
                    </w:rPr>
                    <w:t>10</w:t>
                  </w:r>
                </w:p>
              </w:tc>
              <w:tc>
                <w:tcPr>
                  <w:tcW w:w="1604" w:type="dxa"/>
                  <w:vAlign w:val="center"/>
                </w:tcPr>
                <w:p>
                  <w:pPr>
                    <w:pStyle w:val="30"/>
                    <w:rPr>
                      <w:color w:val="auto"/>
                      <w:highlight w:val="none"/>
                    </w:rPr>
                  </w:pPr>
                  <w:r>
                    <w:rPr>
                      <w:rFonts w:hint="eastAsia"/>
                      <w:color w:val="auto"/>
                      <w:highlight w:val="none"/>
                    </w:rPr>
                    <w:t>0.005</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甲醇</w:t>
                  </w:r>
                </w:p>
              </w:tc>
              <w:tc>
                <w:tcPr>
                  <w:tcW w:w="1246" w:type="dxa"/>
                  <w:vAlign w:val="center"/>
                </w:tcPr>
                <w:p>
                  <w:pPr>
                    <w:pStyle w:val="30"/>
                    <w:rPr>
                      <w:color w:val="auto"/>
                      <w:highlight w:val="none"/>
                    </w:rPr>
                  </w:pPr>
                  <w:r>
                    <w:rPr>
                      <w:rFonts w:hint="eastAsia"/>
                      <w:color w:val="auto"/>
                      <w:highlight w:val="none"/>
                    </w:rPr>
                    <w:t>0.05</w:t>
                  </w:r>
                </w:p>
              </w:tc>
              <w:tc>
                <w:tcPr>
                  <w:tcW w:w="1604" w:type="dxa"/>
                  <w:vAlign w:val="center"/>
                </w:tcPr>
                <w:p>
                  <w:pPr>
                    <w:pStyle w:val="30"/>
                    <w:rPr>
                      <w:color w:val="auto"/>
                      <w:highlight w:val="none"/>
                    </w:rPr>
                  </w:pPr>
                  <w:r>
                    <w:rPr>
                      <w:rFonts w:hint="eastAsia"/>
                      <w:color w:val="auto"/>
                      <w:highlight w:val="none"/>
                    </w:rPr>
                    <w:t>10</w:t>
                  </w:r>
                </w:p>
              </w:tc>
              <w:tc>
                <w:tcPr>
                  <w:tcW w:w="1604" w:type="dxa"/>
                  <w:vAlign w:val="center"/>
                </w:tcPr>
                <w:p>
                  <w:pPr>
                    <w:pStyle w:val="30"/>
                    <w:rPr>
                      <w:color w:val="auto"/>
                      <w:highlight w:val="none"/>
                    </w:rPr>
                  </w:pPr>
                  <w:r>
                    <w:rPr>
                      <w:rFonts w:hint="eastAsia"/>
                      <w:color w:val="auto"/>
                      <w:highlight w:val="none"/>
                    </w:rPr>
                    <w:t>0.005</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盐酸</w:t>
                  </w:r>
                </w:p>
              </w:tc>
              <w:tc>
                <w:tcPr>
                  <w:tcW w:w="1246" w:type="dxa"/>
                  <w:vAlign w:val="center"/>
                </w:tcPr>
                <w:p>
                  <w:pPr>
                    <w:pStyle w:val="30"/>
                    <w:rPr>
                      <w:color w:val="auto"/>
                      <w:highlight w:val="none"/>
                    </w:rPr>
                  </w:pPr>
                  <w:r>
                    <w:rPr>
                      <w:rFonts w:hint="eastAsia"/>
                      <w:color w:val="auto"/>
                      <w:highlight w:val="none"/>
                    </w:rPr>
                    <w:t>0.05</w:t>
                  </w:r>
                </w:p>
              </w:tc>
              <w:tc>
                <w:tcPr>
                  <w:tcW w:w="1604" w:type="dxa"/>
                  <w:vAlign w:val="center"/>
                </w:tcPr>
                <w:p>
                  <w:pPr>
                    <w:pStyle w:val="30"/>
                    <w:rPr>
                      <w:color w:val="auto"/>
                      <w:highlight w:val="none"/>
                    </w:rPr>
                  </w:pPr>
                  <w:r>
                    <w:rPr>
                      <w:rFonts w:hint="eastAsia"/>
                      <w:color w:val="auto"/>
                      <w:highlight w:val="none"/>
                    </w:rPr>
                    <w:t>7.5</w:t>
                  </w:r>
                </w:p>
              </w:tc>
              <w:tc>
                <w:tcPr>
                  <w:tcW w:w="1604" w:type="dxa"/>
                  <w:vAlign w:val="center"/>
                </w:tcPr>
                <w:p>
                  <w:pPr>
                    <w:pStyle w:val="30"/>
                    <w:rPr>
                      <w:color w:val="auto"/>
                      <w:highlight w:val="none"/>
                    </w:rPr>
                  </w:pPr>
                  <w:r>
                    <w:rPr>
                      <w:rFonts w:hint="eastAsia"/>
                      <w:color w:val="auto"/>
                      <w:highlight w:val="none"/>
                    </w:rPr>
                    <w:t>0.0067</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乙酸</w:t>
                  </w:r>
                </w:p>
              </w:tc>
              <w:tc>
                <w:tcPr>
                  <w:tcW w:w="1246" w:type="dxa"/>
                  <w:vAlign w:val="center"/>
                </w:tcPr>
                <w:p>
                  <w:pPr>
                    <w:pStyle w:val="30"/>
                    <w:rPr>
                      <w:color w:val="auto"/>
                      <w:highlight w:val="none"/>
                    </w:rPr>
                  </w:pPr>
                  <w:r>
                    <w:rPr>
                      <w:rFonts w:hint="eastAsia"/>
                      <w:color w:val="auto"/>
                      <w:highlight w:val="none"/>
                    </w:rPr>
                    <w:t>0.05</w:t>
                  </w:r>
                </w:p>
              </w:tc>
              <w:tc>
                <w:tcPr>
                  <w:tcW w:w="1604" w:type="dxa"/>
                  <w:vAlign w:val="center"/>
                </w:tcPr>
                <w:p>
                  <w:pPr>
                    <w:pStyle w:val="30"/>
                    <w:rPr>
                      <w:color w:val="auto"/>
                      <w:highlight w:val="none"/>
                    </w:rPr>
                  </w:pPr>
                  <w:r>
                    <w:rPr>
                      <w:rFonts w:hint="eastAsia"/>
                      <w:color w:val="auto"/>
                      <w:highlight w:val="none"/>
                    </w:rPr>
                    <w:t>10</w:t>
                  </w:r>
                </w:p>
              </w:tc>
              <w:tc>
                <w:tcPr>
                  <w:tcW w:w="1604" w:type="dxa"/>
                  <w:vAlign w:val="center"/>
                </w:tcPr>
                <w:p>
                  <w:pPr>
                    <w:pStyle w:val="30"/>
                    <w:rPr>
                      <w:color w:val="auto"/>
                      <w:highlight w:val="none"/>
                    </w:rPr>
                  </w:pPr>
                  <w:r>
                    <w:rPr>
                      <w:rFonts w:hint="eastAsia"/>
                      <w:color w:val="auto"/>
                      <w:highlight w:val="none"/>
                    </w:rPr>
                    <w:t>0.005</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苯酚</w:t>
                  </w:r>
                </w:p>
              </w:tc>
              <w:tc>
                <w:tcPr>
                  <w:tcW w:w="1246" w:type="dxa"/>
                  <w:vAlign w:val="center"/>
                </w:tcPr>
                <w:p>
                  <w:pPr>
                    <w:pStyle w:val="30"/>
                    <w:rPr>
                      <w:color w:val="auto"/>
                      <w:highlight w:val="none"/>
                    </w:rPr>
                  </w:pPr>
                  <w:r>
                    <w:rPr>
                      <w:rFonts w:hint="eastAsia"/>
                      <w:color w:val="auto"/>
                      <w:highlight w:val="none"/>
                    </w:rPr>
                    <w:t>0.006</w:t>
                  </w:r>
                </w:p>
              </w:tc>
              <w:tc>
                <w:tcPr>
                  <w:tcW w:w="1604" w:type="dxa"/>
                  <w:vAlign w:val="center"/>
                </w:tcPr>
                <w:p>
                  <w:pPr>
                    <w:pStyle w:val="30"/>
                    <w:rPr>
                      <w:color w:val="auto"/>
                      <w:highlight w:val="none"/>
                    </w:rPr>
                  </w:pPr>
                  <w:r>
                    <w:rPr>
                      <w:rFonts w:hint="eastAsia"/>
                      <w:color w:val="auto"/>
                      <w:highlight w:val="none"/>
                    </w:rPr>
                    <w:t>88</w:t>
                  </w:r>
                </w:p>
              </w:tc>
              <w:tc>
                <w:tcPr>
                  <w:tcW w:w="1604" w:type="dxa"/>
                  <w:vAlign w:val="center"/>
                </w:tcPr>
                <w:p>
                  <w:pPr>
                    <w:pStyle w:val="30"/>
                    <w:rPr>
                      <w:color w:val="auto"/>
                      <w:highlight w:val="none"/>
                    </w:rPr>
                  </w:pPr>
                  <w:r>
                    <w:rPr>
                      <w:rFonts w:hint="eastAsia"/>
                      <w:color w:val="auto"/>
                      <w:highlight w:val="none"/>
                    </w:rPr>
                    <w:t>0.000068</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异丙醇</w:t>
                  </w:r>
                </w:p>
              </w:tc>
              <w:tc>
                <w:tcPr>
                  <w:tcW w:w="1246" w:type="dxa"/>
                  <w:vAlign w:val="center"/>
                </w:tcPr>
                <w:p>
                  <w:pPr>
                    <w:pStyle w:val="30"/>
                    <w:rPr>
                      <w:color w:val="auto"/>
                      <w:highlight w:val="none"/>
                    </w:rPr>
                  </w:pPr>
                  <w:r>
                    <w:rPr>
                      <w:rFonts w:hint="eastAsia"/>
                      <w:color w:val="auto"/>
                      <w:highlight w:val="none"/>
                    </w:rPr>
                    <w:t>0.05</w:t>
                  </w:r>
                </w:p>
              </w:tc>
              <w:tc>
                <w:tcPr>
                  <w:tcW w:w="1604" w:type="dxa"/>
                  <w:vAlign w:val="center"/>
                </w:tcPr>
                <w:p>
                  <w:pPr>
                    <w:pStyle w:val="30"/>
                    <w:rPr>
                      <w:color w:val="auto"/>
                      <w:highlight w:val="none"/>
                    </w:rPr>
                  </w:pPr>
                  <w:r>
                    <w:rPr>
                      <w:rFonts w:hint="eastAsia"/>
                      <w:color w:val="auto"/>
                      <w:highlight w:val="none"/>
                    </w:rPr>
                    <w:t>10</w:t>
                  </w:r>
                </w:p>
              </w:tc>
              <w:tc>
                <w:tcPr>
                  <w:tcW w:w="1604" w:type="dxa"/>
                  <w:vAlign w:val="center"/>
                </w:tcPr>
                <w:p>
                  <w:pPr>
                    <w:pStyle w:val="30"/>
                    <w:rPr>
                      <w:color w:val="auto"/>
                      <w:highlight w:val="none"/>
                    </w:rPr>
                  </w:pPr>
                  <w:r>
                    <w:rPr>
                      <w:rFonts w:hint="eastAsia"/>
                      <w:color w:val="auto"/>
                      <w:highlight w:val="none"/>
                    </w:rPr>
                    <w:t>0.005</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苯胺</w:t>
                  </w:r>
                </w:p>
              </w:tc>
              <w:tc>
                <w:tcPr>
                  <w:tcW w:w="1246" w:type="dxa"/>
                  <w:vAlign w:val="center"/>
                </w:tcPr>
                <w:p>
                  <w:pPr>
                    <w:pStyle w:val="30"/>
                    <w:rPr>
                      <w:color w:val="auto"/>
                      <w:highlight w:val="none"/>
                    </w:rPr>
                  </w:pPr>
                  <w:r>
                    <w:rPr>
                      <w:rFonts w:hint="eastAsia"/>
                      <w:color w:val="auto"/>
                      <w:highlight w:val="none"/>
                    </w:rPr>
                    <w:t>0.05</w:t>
                  </w:r>
                </w:p>
              </w:tc>
              <w:tc>
                <w:tcPr>
                  <w:tcW w:w="1604" w:type="dxa"/>
                  <w:vAlign w:val="center"/>
                </w:tcPr>
                <w:p>
                  <w:pPr>
                    <w:pStyle w:val="30"/>
                    <w:rPr>
                      <w:color w:val="auto"/>
                      <w:highlight w:val="none"/>
                    </w:rPr>
                  </w:pPr>
                  <w:r>
                    <w:rPr>
                      <w:rFonts w:hint="eastAsia"/>
                      <w:color w:val="auto"/>
                      <w:highlight w:val="none"/>
                    </w:rPr>
                    <w:t>5</w:t>
                  </w:r>
                </w:p>
              </w:tc>
              <w:tc>
                <w:tcPr>
                  <w:tcW w:w="1604" w:type="dxa"/>
                  <w:vAlign w:val="center"/>
                </w:tcPr>
                <w:p>
                  <w:pPr>
                    <w:pStyle w:val="30"/>
                    <w:rPr>
                      <w:color w:val="auto"/>
                      <w:highlight w:val="none"/>
                    </w:rPr>
                  </w:pPr>
                  <w:r>
                    <w:rPr>
                      <w:rFonts w:hint="eastAsia"/>
                      <w:color w:val="auto"/>
                      <w:highlight w:val="none"/>
                    </w:rPr>
                    <w:t>0.01</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乙二胺</w:t>
                  </w:r>
                </w:p>
              </w:tc>
              <w:tc>
                <w:tcPr>
                  <w:tcW w:w="1246" w:type="dxa"/>
                  <w:vAlign w:val="center"/>
                </w:tcPr>
                <w:p>
                  <w:pPr>
                    <w:pStyle w:val="30"/>
                    <w:rPr>
                      <w:color w:val="auto"/>
                      <w:highlight w:val="none"/>
                    </w:rPr>
                  </w:pPr>
                  <w:r>
                    <w:rPr>
                      <w:rFonts w:hint="eastAsia"/>
                      <w:color w:val="auto"/>
                      <w:highlight w:val="none"/>
                    </w:rPr>
                    <w:t>0.03</w:t>
                  </w:r>
                </w:p>
              </w:tc>
              <w:tc>
                <w:tcPr>
                  <w:tcW w:w="1604" w:type="dxa"/>
                  <w:vAlign w:val="center"/>
                </w:tcPr>
                <w:p>
                  <w:pPr>
                    <w:pStyle w:val="30"/>
                    <w:rPr>
                      <w:color w:val="auto"/>
                      <w:highlight w:val="none"/>
                    </w:rPr>
                  </w:pPr>
                  <w:r>
                    <w:rPr>
                      <w:rFonts w:hint="eastAsia"/>
                      <w:color w:val="auto"/>
                      <w:highlight w:val="none"/>
                    </w:rPr>
                    <w:t>10</w:t>
                  </w:r>
                </w:p>
              </w:tc>
              <w:tc>
                <w:tcPr>
                  <w:tcW w:w="1604" w:type="dxa"/>
                  <w:vAlign w:val="center"/>
                </w:tcPr>
                <w:p>
                  <w:pPr>
                    <w:pStyle w:val="30"/>
                    <w:rPr>
                      <w:color w:val="auto"/>
                      <w:highlight w:val="none"/>
                    </w:rPr>
                  </w:pPr>
                  <w:r>
                    <w:rPr>
                      <w:rFonts w:hint="eastAsia"/>
                      <w:color w:val="auto"/>
                      <w:highlight w:val="none"/>
                    </w:rPr>
                    <w:t>0.003</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二甲基甲酰胺</w:t>
                  </w:r>
                </w:p>
              </w:tc>
              <w:tc>
                <w:tcPr>
                  <w:tcW w:w="1246" w:type="dxa"/>
                  <w:vAlign w:val="center"/>
                </w:tcPr>
                <w:p>
                  <w:pPr>
                    <w:pStyle w:val="30"/>
                    <w:rPr>
                      <w:color w:val="auto"/>
                      <w:highlight w:val="none"/>
                    </w:rPr>
                  </w:pPr>
                  <w:r>
                    <w:rPr>
                      <w:rFonts w:hint="eastAsia"/>
                      <w:color w:val="auto"/>
                      <w:highlight w:val="none"/>
                    </w:rPr>
                    <w:t>0.015</w:t>
                  </w:r>
                </w:p>
              </w:tc>
              <w:tc>
                <w:tcPr>
                  <w:tcW w:w="1604" w:type="dxa"/>
                  <w:vAlign w:val="center"/>
                </w:tcPr>
                <w:p>
                  <w:pPr>
                    <w:pStyle w:val="30"/>
                    <w:rPr>
                      <w:color w:val="auto"/>
                      <w:highlight w:val="none"/>
                    </w:rPr>
                  </w:pPr>
                  <w:r>
                    <w:rPr>
                      <w:rFonts w:hint="eastAsia"/>
                      <w:color w:val="auto"/>
                      <w:highlight w:val="none"/>
                    </w:rPr>
                    <w:t>5</w:t>
                  </w:r>
                </w:p>
              </w:tc>
              <w:tc>
                <w:tcPr>
                  <w:tcW w:w="1604" w:type="dxa"/>
                  <w:vAlign w:val="center"/>
                </w:tcPr>
                <w:p>
                  <w:pPr>
                    <w:pStyle w:val="30"/>
                    <w:rPr>
                      <w:color w:val="auto"/>
                      <w:highlight w:val="none"/>
                    </w:rPr>
                  </w:pPr>
                  <w:r>
                    <w:rPr>
                      <w:rFonts w:hint="eastAsia"/>
                      <w:color w:val="auto"/>
                      <w:highlight w:val="none"/>
                    </w:rPr>
                    <w:t>0.003</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苯乙烯</w:t>
                  </w:r>
                </w:p>
              </w:tc>
              <w:tc>
                <w:tcPr>
                  <w:tcW w:w="1246" w:type="dxa"/>
                  <w:vAlign w:val="center"/>
                </w:tcPr>
                <w:p>
                  <w:pPr>
                    <w:pStyle w:val="30"/>
                    <w:rPr>
                      <w:color w:val="auto"/>
                      <w:highlight w:val="none"/>
                    </w:rPr>
                  </w:pPr>
                  <w:r>
                    <w:rPr>
                      <w:rFonts w:hint="eastAsia"/>
                      <w:color w:val="auto"/>
                      <w:highlight w:val="none"/>
                    </w:rPr>
                    <w:t>0.006</w:t>
                  </w:r>
                </w:p>
              </w:tc>
              <w:tc>
                <w:tcPr>
                  <w:tcW w:w="1604" w:type="dxa"/>
                  <w:vAlign w:val="center"/>
                </w:tcPr>
                <w:p>
                  <w:pPr>
                    <w:pStyle w:val="30"/>
                    <w:rPr>
                      <w:color w:val="auto"/>
                      <w:highlight w:val="none"/>
                    </w:rPr>
                  </w:pPr>
                  <w:r>
                    <w:rPr>
                      <w:rFonts w:hint="eastAsia"/>
                      <w:color w:val="auto"/>
                      <w:highlight w:val="none"/>
                    </w:rPr>
                    <w:t>10</w:t>
                  </w:r>
                </w:p>
              </w:tc>
              <w:tc>
                <w:tcPr>
                  <w:tcW w:w="1604" w:type="dxa"/>
                  <w:vAlign w:val="center"/>
                </w:tcPr>
                <w:p>
                  <w:pPr>
                    <w:pStyle w:val="30"/>
                    <w:rPr>
                      <w:color w:val="auto"/>
                      <w:highlight w:val="none"/>
                    </w:rPr>
                  </w:pPr>
                  <w:r>
                    <w:rPr>
                      <w:rFonts w:hint="eastAsia"/>
                      <w:color w:val="auto"/>
                      <w:highlight w:val="none"/>
                    </w:rPr>
                    <w:t>0.0006</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甲苯二异氰酸酯</w:t>
                  </w:r>
                </w:p>
              </w:tc>
              <w:tc>
                <w:tcPr>
                  <w:tcW w:w="1246" w:type="dxa"/>
                  <w:vAlign w:val="center"/>
                </w:tcPr>
                <w:p>
                  <w:pPr>
                    <w:pStyle w:val="30"/>
                    <w:rPr>
                      <w:color w:val="auto"/>
                      <w:highlight w:val="none"/>
                    </w:rPr>
                  </w:pPr>
                  <w:r>
                    <w:rPr>
                      <w:rFonts w:hint="eastAsia"/>
                      <w:color w:val="auto"/>
                      <w:highlight w:val="none"/>
                    </w:rPr>
                    <w:t>0.015</w:t>
                  </w:r>
                </w:p>
              </w:tc>
              <w:tc>
                <w:tcPr>
                  <w:tcW w:w="1604" w:type="dxa"/>
                  <w:vAlign w:val="center"/>
                </w:tcPr>
                <w:p>
                  <w:pPr>
                    <w:pStyle w:val="30"/>
                    <w:rPr>
                      <w:color w:val="auto"/>
                      <w:highlight w:val="none"/>
                    </w:rPr>
                  </w:pPr>
                  <w:r>
                    <w:rPr>
                      <w:rFonts w:hint="eastAsia"/>
                      <w:color w:val="auto"/>
                      <w:highlight w:val="none"/>
                    </w:rPr>
                    <w:t>2.5</w:t>
                  </w:r>
                </w:p>
              </w:tc>
              <w:tc>
                <w:tcPr>
                  <w:tcW w:w="1604" w:type="dxa"/>
                  <w:vAlign w:val="center"/>
                </w:tcPr>
                <w:p>
                  <w:pPr>
                    <w:pStyle w:val="30"/>
                    <w:rPr>
                      <w:color w:val="auto"/>
                      <w:highlight w:val="none"/>
                    </w:rPr>
                  </w:pPr>
                  <w:r>
                    <w:rPr>
                      <w:rFonts w:hint="eastAsia"/>
                      <w:color w:val="auto"/>
                      <w:highlight w:val="none"/>
                    </w:rPr>
                    <w:t>0.06</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次氯酸钠</w:t>
                  </w:r>
                </w:p>
              </w:tc>
              <w:tc>
                <w:tcPr>
                  <w:tcW w:w="1246" w:type="dxa"/>
                  <w:vAlign w:val="center"/>
                </w:tcPr>
                <w:p>
                  <w:pPr>
                    <w:pStyle w:val="30"/>
                    <w:rPr>
                      <w:color w:val="auto"/>
                      <w:highlight w:val="none"/>
                    </w:rPr>
                  </w:pPr>
                  <w:r>
                    <w:rPr>
                      <w:rFonts w:hint="eastAsia"/>
                      <w:color w:val="auto"/>
                      <w:highlight w:val="none"/>
                    </w:rPr>
                    <w:t>0.0015</w:t>
                  </w:r>
                </w:p>
              </w:tc>
              <w:tc>
                <w:tcPr>
                  <w:tcW w:w="1604" w:type="dxa"/>
                  <w:vAlign w:val="center"/>
                </w:tcPr>
                <w:p>
                  <w:pPr>
                    <w:pStyle w:val="30"/>
                    <w:rPr>
                      <w:color w:val="auto"/>
                      <w:highlight w:val="none"/>
                    </w:rPr>
                  </w:pPr>
                  <w:r>
                    <w:rPr>
                      <w:rFonts w:hint="eastAsia"/>
                      <w:color w:val="auto"/>
                      <w:highlight w:val="none"/>
                    </w:rPr>
                    <w:t>5</w:t>
                  </w:r>
                </w:p>
              </w:tc>
              <w:tc>
                <w:tcPr>
                  <w:tcW w:w="1604" w:type="dxa"/>
                  <w:vAlign w:val="center"/>
                </w:tcPr>
                <w:p>
                  <w:pPr>
                    <w:pStyle w:val="30"/>
                    <w:rPr>
                      <w:color w:val="auto"/>
                      <w:highlight w:val="none"/>
                    </w:rPr>
                  </w:pPr>
                  <w:r>
                    <w:rPr>
                      <w:rFonts w:hint="eastAsia"/>
                      <w:color w:val="auto"/>
                      <w:highlight w:val="none"/>
                    </w:rPr>
                    <w:t>0.0003</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磷酸</w:t>
                  </w:r>
                </w:p>
              </w:tc>
              <w:tc>
                <w:tcPr>
                  <w:tcW w:w="1246" w:type="dxa"/>
                  <w:vAlign w:val="center"/>
                </w:tcPr>
                <w:p>
                  <w:pPr>
                    <w:pStyle w:val="30"/>
                    <w:rPr>
                      <w:color w:val="auto"/>
                      <w:highlight w:val="none"/>
                    </w:rPr>
                  </w:pPr>
                  <w:r>
                    <w:rPr>
                      <w:rFonts w:hint="eastAsia"/>
                      <w:color w:val="auto"/>
                      <w:highlight w:val="none"/>
                    </w:rPr>
                    <w:t>0.05</w:t>
                  </w:r>
                </w:p>
              </w:tc>
              <w:tc>
                <w:tcPr>
                  <w:tcW w:w="1604" w:type="dxa"/>
                  <w:vAlign w:val="center"/>
                </w:tcPr>
                <w:p>
                  <w:pPr>
                    <w:pStyle w:val="30"/>
                    <w:rPr>
                      <w:color w:val="auto"/>
                      <w:highlight w:val="none"/>
                    </w:rPr>
                  </w:pPr>
                  <w:r>
                    <w:rPr>
                      <w:rFonts w:hint="eastAsia"/>
                      <w:color w:val="auto"/>
                      <w:highlight w:val="none"/>
                    </w:rPr>
                    <w:t>10</w:t>
                  </w:r>
                </w:p>
              </w:tc>
              <w:tc>
                <w:tcPr>
                  <w:tcW w:w="1604" w:type="dxa"/>
                  <w:vAlign w:val="center"/>
                </w:tcPr>
                <w:p>
                  <w:pPr>
                    <w:pStyle w:val="30"/>
                    <w:rPr>
                      <w:color w:val="auto"/>
                      <w:highlight w:val="none"/>
                    </w:rPr>
                  </w:pPr>
                  <w:r>
                    <w:rPr>
                      <w:rFonts w:hint="eastAsia"/>
                      <w:color w:val="auto"/>
                      <w:highlight w:val="none"/>
                    </w:rPr>
                    <w:t>0.005</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环氧氯丙烷</w:t>
                  </w:r>
                </w:p>
              </w:tc>
              <w:tc>
                <w:tcPr>
                  <w:tcW w:w="1246" w:type="dxa"/>
                  <w:vAlign w:val="center"/>
                </w:tcPr>
                <w:p>
                  <w:pPr>
                    <w:pStyle w:val="30"/>
                    <w:rPr>
                      <w:color w:val="auto"/>
                      <w:highlight w:val="none"/>
                    </w:rPr>
                  </w:pPr>
                  <w:r>
                    <w:rPr>
                      <w:rFonts w:hint="eastAsia"/>
                      <w:color w:val="auto"/>
                      <w:highlight w:val="none"/>
                    </w:rPr>
                    <w:t>0.0003</w:t>
                  </w:r>
                </w:p>
              </w:tc>
              <w:tc>
                <w:tcPr>
                  <w:tcW w:w="1604" w:type="dxa"/>
                  <w:vAlign w:val="center"/>
                </w:tcPr>
                <w:p>
                  <w:pPr>
                    <w:pStyle w:val="30"/>
                    <w:rPr>
                      <w:color w:val="auto"/>
                      <w:highlight w:val="none"/>
                    </w:rPr>
                  </w:pPr>
                  <w:r>
                    <w:rPr>
                      <w:rFonts w:hint="eastAsia"/>
                      <w:color w:val="auto"/>
                      <w:highlight w:val="none"/>
                    </w:rPr>
                    <w:t>10</w:t>
                  </w:r>
                </w:p>
              </w:tc>
              <w:tc>
                <w:tcPr>
                  <w:tcW w:w="1604" w:type="dxa"/>
                  <w:vAlign w:val="center"/>
                </w:tcPr>
                <w:p>
                  <w:pPr>
                    <w:pStyle w:val="30"/>
                    <w:rPr>
                      <w:color w:val="auto"/>
                      <w:highlight w:val="none"/>
                    </w:rPr>
                  </w:pPr>
                  <w:r>
                    <w:rPr>
                      <w:rFonts w:hint="eastAsia"/>
                      <w:color w:val="auto"/>
                      <w:highlight w:val="none"/>
                    </w:rPr>
                    <w:t>0.0003</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硫酸</w:t>
                  </w:r>
                </w:p>
              </w:tc>
              <w:tc>
                <w:tcPr>
                  <w:tcW w:w="1246" w:type="dxa"/>
                  <w:vAlign w:val="center"/>
                </w:tcPr>
                <w:p>
                  <w:pPr>
                    <w:pStyle w:val="30"/>
                    <w:rPr>
                      <w:color w:val="auto"/>
                      <w:highlight w:val="none"/>
                    </w:rPr>
                  </w:pPr>
                  <w:r>
                    <w:rPr>
                      <w:rFonts w:hint="eastAsia"/>
                      <w:color w:val="auto"/>
                      <w:highlight w:val="none"/>
                    </w:rPr>
                    <w:t>0.05</w:t>
                  </w:r>
                </w:p>
              </w:tc>
              <w:tc>
                <w:tcPr>
                  <w:tcW w:w="1604" w:type="dxa"/>
                  <w:vAlign w:val="center"/>
                </w:tcPr>
                <w:p>
                  <w:pPr>
                    <w:pStyle w:val="30"/>
                    <w:rPr>
                      <w:color w:val="auto"/>
                      <w:highlight w:val="none"/>
                    </w:rPr>
                  </w:pPr>
                  <w:r>
                    <w:rPr>
                      <w:rFonts w:hint="eastAsia"/>
                      <w:color w:val="auto"/>
                      <w:highlight w:val="none"/>
                    </w:rPr>
                    <w:t>10</w:t>
                  </w:r>
                </w:p>
              </w:tc>
              <w:tc>
                <w:tcPr>
                  <w:tcW w:w="1604" w:type="dxa"/>
                  <w:vAlign w:val="center"/>
                </w:tcPr>
                <w:p>
                  <w:pPr>
                    <w:pStyle w:val="30"/>
                    <w:rPr>
                      <w:color w:val="auto"/>
                      <w:highlight w:val="none"/>
                    </w:rPr>
                  </w:pPr>
                  <w:r>
                    <w:rPr>
                      <w:rFonts w:hint="eastAsia"/>
                      <w:color w:val="auto"/>
                      <w:highlight w:val="none"/>
                    </w:rPr>
                    <w:t>0.005</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无水三氯化铝</w:t>
                  </w:r>
                </w:p>
              </w:tc>
              <w:tc>
                <w:tcPr>
                  <w:tcW w:w="1246" w:type="dxa"/>
                  <w:vAlign w:val="center"/>
                </w:tcPr>
                <w:p>
                  <w:pPr>
                    <w:pStyle w:val="30"/>
                    <w:rPr>
                      <w:color w:val="auto"/>
                      <w:highlight w:val="none"/>
                    </w:rPr>
                  </w:pPr>
                  <w:r>
                    <w:rPr>
                      <w:rFonts w:hint="eastAsia"/>
                      <w:color w:val="auto"/>
                      <w:highlight w:val="none"/>
                    </w:rPr>
                    <w:t>0.0003</w:t>
                  </w:r>
                </w:p>
              </w:tc>
              <w:tc>
                <w:tcPr>
                  <w:tcW w:w="1604" w:type="dxa"/>
                  <w:vAlign w:val="center"/>
                </w:tcPr>
                <w:p>
                  <w:pPr>
                    <w:pStyle w:val="30"/>
                    <w:rPr>
                      <w:color w:val="auto"/>
                      <w:highlight w:val="none"/>
                    </w:rPr>
                  </w:pPr>
                  <w:r>
                    <w:rPr>
                      <w:rFonts w:hint="eastAsia"/>
                      <w:color w:val="auto"/>
                      <w:highlight w:val="none"/>
                    </w:rPr>
                    <w:t>10</w:t>
                  </w:r>
                </w:p>
              </w:tc>
              <w:tc>
                <w:tcPr>
                  <w:tcW w:w="1604" w:type="dxa"/>
                  <w:vAlign w:val="center"/>
                </w:tcPr>
                <w:p>
                  <w:pPr>
                    <w:pStyle w:val="30"/>
                    <w:rPr>
                      <w:color w:val="auto"/>
                      <w:highlight w:val="none"/>
                    </w:rPr>
                  </w:pPr>
                  <w:r>
                    <w:rPr>
                      <w:rFonts w:hint="eastAsia"/>
                      <w:color w:val="auto"/>
                      <w:highlight w:val="none"/>
                    </w:rPr>
                    <w:t>0.00003</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正辛醇</w:t>
                  </w:r>
                </w:p>
              </w:tc>
              <w:tc>
                <w:tcPr>
                  <w:tcW w:w="1246" w:type="dxa"/>
                  <w:vAlign w:val="center"/>
                </w:tcPr>
                <w:p>
                  <w:pPr>
                    <w:pStyle w:val="30"/>
                    <w:rPr>
                      <w:color w:val="auto"/>
                      <w:highlight w:val="none"/>
                    </w:rPr>
                  </w:pPr>
                  <w:r>
                    <w:rPr>
                      <w:rFonts w:hint="eastAsia"/>
                      <w:color w:val="auto"/>
                      <w:highlight w:val="none"/>
                    </w:rPr>
                    <w:t>0.0003</w:t>
                  </w:r>
                </w:p>
              </w:tc>
              <w:tc>
                <w:tcPr>
                  <w:tcW w:w="1604" w:type="dxa"/>
                  <w:vAlign w:val="center"/>
                </w:tcPr>
                <w:p>
                  <w:pPr>
                    <w:pStyle w:val="30"/>
                    <w:rPr>
                      <w:color w:val="auto"/>
                      <w:highlight w:val="none"/>
                    </w:rPr>
                  </w:pPr>
                  <w:r>
                    <w:rPr>
                      <w:rFonts w:hint="eastAsia"/>
                      <w:color w:val="auto"/>
                      <w:highlight w:val="none"/>
                    </w:rPr>
                    <w:t>10</w:t>
                  </w:r>
                </w:p>
              </w:tc>
              <w:tc>
                <w:tcPr>
                  <w:tcW w:w="1604" w:type="dxa"/>
                  <w:vAlign w:val="center"/>
                </w:tcPr>
                <w:p>
                  <w:pPr>
                    <w:pStyle w:val="30"/>
                    <w:rPr>
                      <w:color w:val="auto"/>
                      <w:highlight w:val="none"/>
                    </w:rPr>
                  </w:pPr>
                  <w:r>
                    <w:rPr>
                      <w:rFonts w:hint="eastAsia"/>
                      <w:color w:val="auto"/>
                      <w:highlight w:val="none"/>
                    </w:rPr>
                    <w:t>0.00003</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十二烷基苯磺酸</w:t>
                  </w:r>
                </w:p>
              </w:tc>
              <w:tc>
                <w:tcPr>
                  <w:tcW w:w="1246" w:type="dxa"/>
                  <w:vAlign w:val="center"/>
                </w:tcPr>
                <w:p>
                  <w:pPr>
                    <w:pStyle w:val="30"/>
                    <w:rPr>
                      <w:color w:val="auto"/>
                      <w:highlight w:val="none"/>
                    </w:rPr>
                  </w:pPr>
                  <w:r>
                    <w:rPr>
                      <w:rFonts w:hint="eastAsia"/>
                      <w:color w:val="auto"/>
                      <w:highlight w:val="none"/>
                    </w:rPr>
                    <w:t>0.005</w:t>
                  </w:r>
                </w:p>
              </w:tc>
              <w:tc>
                <w:tcPr>
                  <w:tcW w:w="1604" w:type="dxa"/>
                  <w:vAlign w:val="center"/>
                </w:tcPr>
                <w:p>
                  <w:pPr>
                    <w:pStyle w:val="30"/>
                    <w:rPr>
                      <w:color w:val="auto"/>
                      <w:highlight w:val="none"/>
                    </w:rPr>
                  </w:pPr>
                  <w:r>
                    <w:rPr>
                      <w:rFonts w:hint="eastAsia"/>
                      <w:color w:val="auto"/>
                      <w:highlight w:val="none"/>
                    </w:rPr>
                    <w:t>5</w:t>
                  </w:r>
                </w:p>
              </w:tc>
              <w:tc>
                <w:tcPr>
                  <w:tcW w:w="1604" w:type="dxa"/>
                  <w:vAlign w:val="center"/>
                </w:tcPr>
                <w:p>
                  <w:pPr>
                    <w:pStyle w:val="30"/>
                    <w:rPr>
                      <w:color w:val="auto"/>
                      <w:highlight w:val="none"/>
                    </w:rPr>
                  </w:pPr>
                  <w:r>
                    <w:rPr>
                      <w:rFonts w:hint="eastAsia"/>
                      <w:color w:val="auto"/>
                      <w:highlight w:val="none"/>
                    </w:rPr>
                    <w:t>0.001</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氢氟酸</w:t>
                  </w:r>
                </w:p>
              </w:tc>
              <w:tc>
                <w:tcPr>
                  <w:tcW w:w="1246" w:type="dxa"/>
                  <w:vAlign w:val="center"/>
                </w:tcPr>
                <w:p>
                  <w:pPr>
                    <w:pStyle w:val="30"/>
                    <w:rPr>
                      <w:color w:val="auto"/>
                      <w:highlight w:val="none"/>
                    </w:rPr>
                  </w:pPr>
                  <w:r>
                    <w:rPr>
                      <w:rFonts w:hint="eastAsia"/>
                      <w:color w:val="auto"/>
                      <w:highlight w:val="none"/>
                    </w:rPr>
                    <w:t>0.01</w:t>
                  </w:r>
                </w:p>
              </w:tc>
              <w:tc>
                <w:tcPr>
                  <w:tcW w:w="1604" w:type="dxa"/>
                  <w:vAlign w:val="center"/>
                </w:tcPr>
                <w:p>
                  <w:pPr>
                    <w:pStyle w:val="30"/>
                    <w:rPr>
                      <w:color w:val="auto"/>
                      <w:highlight w:val="none"/>
                    </w:rPr>
                  </w:pPr>
                  <w:r>
                    <w:rPr>
                      <w:rFonts w:hint="eastAsia"/>
                      <w:color w:val="auto"/>
                      <w:highlight w:val="none"/>
                    </w:rPr>
                    <w:t>1</w:t>
                  </w:r>
                </w:p>
              </w:tc>
              <w:tc>
                <w:tcPr>
                  <w:tcW w:w="1604" w:type="dxa"/>
                  <w:vAlign w:val="center"/>
                </w:tcPr>
                <w:p>
                  <w:pPr>
                    <w:pStyle w:val="30"/>
                    <w:rPr>
                      <w:color w:val="auto"/>
                      <w:highlight w:val="none"/>
                    </w:rPr>
                  </w:pPr>
                  <w:r>
                    <w:rPr>
                      <w:rFonts w:hint="eastAsia"/>
                      <w:color w:val="auto"/>
                      <w:highlight w:val="none"/>
                    </w:rPr>
                    <w:t>0.01</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硝酸</w:t>
                  </w:r>
                </w:p>
              </w:tc>
              <w:tc>
                <w:tcPr>
                  <w:tcW w:w="1246" w:type="dxa"/>
                  <w:vAlign w:val="center"/>
                </w:tcPr>
                <w:p>
                  <w:pPr>
                    <w:pStyle w:val="30"/>
                    <w:rPr>
                      <w:color w:val="auto"/>
                      <w:highlight w:val="none"/>
                    </w:rPr>
                  </w:pPr>
                  <w:r>
                    <w:rPr>
                      <w:rFonts w:hint="eastAsia"/>
                      <w:color w:val="auto"/>
                      <w:highlight w:val="none"/>
                    </w:rPr>
                    <w:t>0.05</w:t>
                  </w:r>
                </w:p>
              </w:tc>
              <w:tc>
                <w:tcPr>
                  <w:tcW w:w="1604" w:type="dxa"/>
                  <w:vAlign w:val="center"/>
                </w:tcPr>
                <w:p>
                  <w:pPr>
                    <w:pStyle w:val="30"/>
                    <w:rPr>
                      <w:color w:val="auto"/>
                      <w:highlight w:val="none"/>
                    </w:rPr>
                  </w:pPr>
                  <w:r>
                    <w:rPr>
                      <w:rFonts w:hint="eastAsia"/>
                      <w:color w:val="auto"/>
                      <w:highlight w:val="none"/>
                    </w:rPr>
                    <w:t>7.5</w:t>
                  </w:r>
                </w:p>
              </w:tc>
              <w:tc>
                <w:tcPr>
                  <w:tcW w:w="1604" w:type="dxa"/>
                  <w:vAlign w:val="center"/>
                </w:tcPr>
                <w:p>
                  <w:pPr>
                    <w:pStyle w:val="30"/>
                    <w:rPr>
                      <w:color w:val="auto"/>
                      <w:highlight w:val="none"/>
                    </w:rPr>
                  </w:pPr>
                  <w:r>
                    <w:rPr>
                      <w:rFonts w:hint="eastAsia"/>
                      <w:color w:val="auto"/>
                      <w:highlight w:val="none"/>
                    </w:rPr>
                    <w:t>0.0067</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邻苯二甲酸二辛酯</w:t>
                  </w:r>
                </w:p>
              </w:tc>
              <w:tc>
                <w:tcPr>
                  <w:tcW w:w="1246" w:type="dxa"/>
                  <w:vAlign w:val="center"/>
                </w:tcPr>
                <w:p>
                  <w:pPr>
                    <w:pStyle w:val="30"/>
                    <w:rPr>
                      <w:color w:val="auto"/>
                      <w:highlight w:val="none"/>
                    </w:rPr>
                  </w:pPr>
                  <w:r>
                    <w:rPr>
                      <w:rFonts w:hint="eastAsia"/>
                      <w:color w:val="auto"/>
                      <w:highlight w:val="none"/>
                    </w:rPr>
                    <w:t>0.003</w:t>
                  </w:r>
                </w:p>
              </w:tc>
              <w:tc>
                <w:tcPr>
                  <w:tcW w:w="1604" w:type="dxa"/>
                  <w:vAlign w:val="center"/>
                </w:tcPr>
                <w:p>
                  <w:pPr>
                    <w:pStyle w:val="30"/>
                    <w:rPr>
                      <w:color w:val="auto"/>
                      <w:highlight w:val="none"/>
                    </w:rPr>
                  </w:pPr>
                  <w:r>
                    <w:rPr>
                      <w:rFonts w:hint="eastAsia"/>
                      <w:color w:val="auto"/>
                      <w:highlight w:val="none"/>
                    </w:rPr>
                    <w:t>10</w:t>
                  </w:r>
                </w:p>
              </w:tc>
              <w:tc>
                <w:tcPr>
                  <w:tcW w:w="1604" w:type="dxa"/>
                  <w:vAlign w:val="center"/>
                </w:tcPr>
                <w:p>
                  <w:pPr>
                    <w:pStyle w:val="30"/>
                    <w:rPr>
                      <w:color w:val="auto"/>
                      <w:highlight w:val="none"/>
                    </w:rPr>
                  </w:pPr>
                  <w:r>
                    <w:rPr>
                      <w:rFonts w:hint="eastAsia"/>
                      <w:color w:val="auto"/>
                      <w:highlight w:val="none"/>
                    </w:rPr>
                    <w:t>0.0003</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邻苯二甲酸二丁酯</w:t>
                  </w:r>
                </w:p>
              </w:tc>
              <w:tc>
                <w:tcPr>
                  <w:tcW w:w="1246" w:type="dxa"/>
                  <w:vAlign w:val="center"/>
                </w:tcPr>
                <w:p>
                  <w:pPr>
                    <w:pStyle w:val="30"/>
                    <w:rPr>
                      <w:color w:val="auto"/>
                      <w:highlight w:val="none"/>
                    </w:rPr>
                  </w:pPr>
                  <w:r>
                    <w:rPr>
                      <w:rFonts w:hint="eastAsia"/>
                      <w:color w:val="auto"/>
                      <w:highlight w:val="none"/>
                    </w:rPr>
                    <w:t>0.0006</w:t>
                  </w:r>
                </w:p>
              </w:tc>
              <w:tc>
                <w:tcPr>
                  <w:tcW w:w="1604" w:type="dxa"/>
                  <w:vAlign w:val="center"/>
                </w:tcPr>
                <w:p>
                  <w:pPr>
                    <w:pStyle w:val="30"/>
                    <w:rPr>
                      <w:color w:val="auto"/>
                      <w:highlight w:val="none"/>
                    </w:rPr>
                  </w:pPr>
                  <w:r>
                    <w:rPr>
                      <w:rFonts w:hint="eastAsia"/>
                      <w:color w:val="auto"/>
                      <w:highlight w:val="none"/>
                    </w:rPr>
                    <w:t>10</w:t>
                  </w:r>
                </w:p>
              </w:tc>
              <w:tc>
                <w:tcPr>
                  <w:tcW w:w="1604" w:type="dxa"/>
                  <w:vAlign w:val="center"/>
                </w:tcPr>
                <w:p>
                  <w:pPr>
                    <w:pStyle w:val="30"/>
                    <w:rPr>
                      <w:color w:val="auto"/>
                      <w:highlight w:val="none"/>
                    </w:rPr>
                  </w:pPr>
                  <w:r>
                    <w:rPr>
                      <w:rFonts w:hint="eastAsia"/>
                      <w:color w:val="auto"/>
                      <w:highlight w:val="none"/>
                    </w:rPr>
                    <w:t>0.00006</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正己烷</w:t>
                  </w:r>
                </w:p>
              </w:tc>
              <w:tc>
                <w:tcPr>
                  <w:tcW w:w="1246" w:type="dxa"/>
                  <w:vAlign w:val="center"/>
                </w:tcPr>
                <w:p>
                  <w:pPr>
                    <w:pStyle w:val="30"/>
                    <w:rPr>
                      <w:color w:val="auto"/>
                      <w:highlight w:val="none"/>
                    </w:rPr>
                  </w:pPr>
                  <w:r>
                    <w:rPr>
                      <w:rFonts w:hint="eastAsia"/>
                      <w:color w:val="auto"/>
                      <w:highlight w:val="none"/>
                    </w:rPr>
                    <w:t>0.05</w:t>
                  </w:r>
                </w:p>
              </w:tc>
              <w:tc>
                <w:tcPr>
                  <w:tcW w:w="1604" w:type="dxa"/>
                  <w:vAlign w:val="center"/>
                </w:tcPr>
                <w:p>
                  <w:pPr>
                    <w:pStyle w:val="30"/>
                    <w:rPr>
                      <w:color w:val="auto"/>
                      <w:highlight w:val="none"/>
                    </w:rPr>
                  </w:pPr>
                  <w:r>
                    <w:rPr>
                      <w:rFonts w:hint="eastAsia"/>
                      <w:color w:val="auto"/>
                      <w:highlight w:val="none"/>
                    </w:rPr>
                    <w:t>10</w:t>
                  </w:r>
                </w:p>
              </w:tc>
              <w:tc>
                <w:tcPr>
                  <w:tcW w:w="1604" w:type="dxa"/>
                  <w:vAlign w:val="center"/>
                </w:tcPr>
                <w:p>
                  <w:pPr>
                    <w:pStyle w:val="30"/>
                    <w:rPr>
                      <w:color w:val="auto"/>
                      <w:highlight w:val="none"/>
                    </w:rPr>
                  </w:pPr>
                  <w:r>
                    <w:rPr>
                      <w:rFonts w:hint="eastAsia"/>
                      <w:color w:val="auto"/>
                      <w:highlight w:val="none"/>
                    </w:rPr>
                    <w:t>0.005</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color w:val="auto"/>
                      <w:highlight w:val="none"/>
                    </w:rPr>
                  </w:pPr>
                  <w:r>
                    <w:rPr>
                      <w:rFonts w:hint="eastAsia"/>
                      <w:color w:val="auto"/>
                      <w:highlight w:val="none"/>
                    </w:rPr>
                    <w:t>甲酸</w:t>
                  </w:r>
                </w:p>
              </w:tc>
              <w:tc>
                <w:tcPr>
                  <w:tcW w:w="1246" w:type="dxa"/>
                  <w:vAlign w:val="center"/>
                </w:tcPr>
                <w:p>
                  <w:pPr>
                    <w:pStyle w:val="30"/>
                    <w:rPr>
                      <w:color w:val="auto"/>
                      <w:highlight w:val="none"/>
                    </w:rPr>
                  </w:pPr>
                  <w:r>
                    <w:rPr>
                      <w:rFonts w:hint="eastAsia"/>
                      <w:color w:val="auto"/>
                      <w:highlight w:val="none"/>
                    </w:rPr>
                    <w:t>0.03</w:t>
                  </w:r>
                </w:p>
              </w:tc>
              <w:tc>
                <w:tcPr>
                  <w:tcW w:w="1604" w:type="dxa"/>
                  <w:vAlign w:val="center"/>
                </w:tcPr>
                <w:p>
                  <w:pPr>
                    <w:pStyle w:val="30"/>
                    <w:rPr>
                      <w:color w:val="auto"/>
                      <w:highlight w:val="none"/>
                    </w:rPr>
                  </w:pPr>
                  <w:r>
                    <w:rPr>
                      <w:rFonts w:hint="eastAsia"/>
                      <w:color w:val="auto"/>
                      <w:highlight w:val="none"/>
                    </w:rPr>
                    <w:t>10</w:t>
                  </w:r>
                </w:p>
              </w:tc>
              <w:tc>
                <w:tcPr>
                  <w:tcW w:w="1604" w:type="dxa"/>
                  <w:vAlign w:val="center"/>
                </w:tcPr>
                <w:p>
                  <w:pPr>
                    <w:pStyle w:val="30"/>
                    <w:rPr>
                      <w:color w:val="auto"/>
                      <w:highlight w:val="none"/>
                    </w:rPr>
                  </w:pPr>
                  <w:r>
                    <w:rPr>
                      <w:rFonts w:hint="eastAsia"/>
                      <w:color w:val="auto"/>
                      <w:highlight w:val="none"/>
                    </w:rPr>
                    <w:t>0.003</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0" w:type="dxa"/>
                  <w:vAlign w:val="center"/>
                </w:tcPr>
                <w:p>
                  <w:pPr>
                    <w:pStyle w:val="30"/>
                    <w:rPr>
                      <w:rFonts w:hint="eastAsia" w:eastAsia="宋体"/>
                      <w:color w:val="auto"/>
                      <w:highlight w:val="none"/>
                      <w:lang w:eastAsia="zh-CN"/>
                    </w:rPr>
                  </w:pPr>
                  <w:r>
                    <w:rPr>
                      <w:rFonts w:hint="eastAsia"/>
                      <w:color w:val="auto"/>
                      <w:highlight w:val="none"/>
                      <w:lang w:eastAsia="zh-CN"/>
                    </w:rPr>
                    <w:t>柴油</w:t>
                  </w:r>
                </w:p>
              </w:tc>
              <w:tc>
                <w:tcPr>
                  <w:tcW w:w="1246" w:type="dxa"/>
                  <w:vAlign w:val="center"/>
                </w:tcPr>
                <w:p>
                  <w:pPr>
                    <w:pStyle w:val="30"/>
                    <w:rPr>
                      <w:rFonts w:hint="default" w:eastAsia="宋体"/>
                      <w:color w:val="auto"/>
                      <w:highlight w:val="none"/>
                      <w:lang w:val="en-US" w:eastAsia="zh-CN"/>
                    </w:rPr>
                  </w:pPr>
                  <w:r>
                    <w:rPr>
                      <w:rFonts w:hint="eastAsia"/>
                      <w:color w:val="auto"/>
                      <w:highlight w:val="none"/>
                      <w:lang w:val="en-US" w:eastAsia="zh-CN"/>
                    </w:rPr>
                    <w:t>0.4</w:t>
                  </w:r>
                </w:p>
              </w:tc>
              <w:tc>
                <w:tcPr>
                  <w:tcW w:w="1604" w:type="dxa"/>
                  <w:vAlign w:val="center"/>
                </w:tcPr>
                <w:p>
                  <w:pPr>
                    <w:pStyle w:val="30"/>
                    <w:rPr>
                      <w:rFonts w:hint="default" w:eastAsia="宋体"/>
                      <w:color w:val="auto"/>
                      <w:highlight w:val="none"/>
                      <w:lang w:val="en-US" w:eastAsia="zh-CN"/>
                    </w:rPr>
                  </w:pPr>
                  <w:r>
                    <w:rPr>
                      <w:rFonts w:hint="eastAsia"/>
                      <w:color w:val="auto"/>
                      <w:highlight w:val="none"/>
                      <w:lang w:val="en-US" w:eastAsia="zh-CN"/>
                    </w:rPr>
                    <w:t>2500</w:t>
                  </w:r>
                </w:p>
              </w:tc>
              <w:tc>
                <w:tcPr>
                  <w:tcW w:w="1604" w:type="dxa"/>
                  <w:vAlign w:val="center"/>
                </w:tcPr>
                <w:p>
                  <w:pPr>
                    <w:pStyle w:val="30"/>
                    <w:rPr>
                      <w:rFonts w:hint="default" w:eastAsia="宋体"/>
                      <w:color w:val="auto"/>
                      <w:highlight w:val="none"/>
                      <w:lang w:val="en-US" w:eastAsia="zh-CN"/>
                    </w:rPr>
                  </w:pPr>
                  <w:r>
                    <w:rPr>
                      <w:rFonts w:hint="eastAsia"/>
                      <w:color w:val="auto"/>
                      <w:highlight w:val="none"/>
                      <w:lang w:val="en-US" w:eastAsia="zh-CN"/>
                    </w:rPr>
                    <w:t>0.00016</w:t>
                  </w:r>
                </w:p>
              </w:tc>
              <w:tc>
                <w:tcPr>
                  <w:tcW w:w="1604" w:type="dxa"/>
                  <w:vMerge w:val="continue"/>
                  <w:vAlign w:val="center"/>
                </w:tcPr>
                <w:p>
                  <w:pPr>
                    <w:pStyle w:val="3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gridSpan w:val="3"/>
                  <w:vAlign w:val="center"/>
                </w:tcPr>
                <w:p>
                  <w:pPr>
                    <w:pStyle w:val="30"/>
                    <w:rPr>
                      <w:color w:val="auto"/>
                      <w:highlight w:val="none"/>
                    </w:rPr>
                  </w:pPr>
                  <w:r>
                    <w:rPr>
                      <w:rFonts w:hint="eastAsia"/>
                      <w:color w:val="auto"/>
                      <w:highlight w:val="none"/>
                    </w:rPr>
                    <w:t>合计</w:t>
                  </w:r>
                </w:p>
              </w:tc>
              <w:tc>
                <w:tcPr>
                  <w:tcW w:w="1604" w:type="dxa"/>
                  <w:vAlign w:val="center"/>
                </w:tcPr>
                <w:p>
                  <w:pPr>
                    <w:pStyle w:val="30"/>
                    <w:rPr>
                      <w:rFonts w:hint="eastAsia" w:eastAsia="宋体"/>
                      <w:color w:val="auto"/>
                      <w:highlight w:val="none"/>
                      <w:lang w:eastAsia="zh-CN"/>
                    </w:rPr>
                  </w:pPr>
                  <w:r>
                    <w:rPr>
                      <w:rFonts w:hint="eastAsia"/>
                      <w:color w:val="auto"/>
                      <w:highlight w:val="none"/>
                    </w:rPr>
                    <w:t>0.1</w:t>
                  </w:r>
                  <w:r>
                    <w:rPr>
                      <w:rFonts w:hint="eastAsia"/>
                      <w:color w:val="auto"/>
                      <w:highlight w:val="none"/>
                      <w:lang w:val="en-US" w:eastAsia="zh-CN"/>
                    </w:rPr>
                    <w:t>5</w:t>
                  </w:r>
                </w:p>
              </w:tc>
              <w:tc>
                <w:tcPr>
                  <w:tcW w:w="1604" w:type="dxa"/>
                  <w:vAlign w:val="center"/>
                </w:tcPr>
                <w:p>
                  <w:pPr>
                    <w:pStyle w:val="30"/>
                    <w:rPr>
                      <w:color w:val="auto"/>
                      <w:highlight w:val="none"/>
                    </w:rPr>
                  </w:pPr>
                </w:p>
              </w:tc>
            </w:tr>
          </w:tbl>
          <w:p>
            <w:pPr>
              <w:pStyle w:val="36"/>
              <w:ind w:firstLine="480"/>
              <w:rPr>
                <w:color w:val="auto"/>
                <w:highlight w:val="none"/>
              </w:rPr>
            </w:pPr>
          </w:p>
          <w:p>
            <w:pPr>
              <w:pStyle w:val="36"/>
              <w:ind w:firstLine="480"/>
              <w:rPr>
                <w:color w:val="auto"/>
                <w:highlight w:val="none"/>
              </w:rPr>
            </w:pPr>
            <w:r>
              <w:rPr>
                <w:rFonts w:hint="eastAsia"/>
                <w:color w:val="auto"/>
                <w:highlight w:val="none"/>
              </w:rPr>
              <w:t>由上表可得，本项目Q=0.1</w:t>
            </w:r>
            <w:r>
              <w:rPr>
                <w:rFonts w:hint="eastAsia"/>
                <w:color w:val="auto"/>
                <w:highlight w:val="none"/>
                <w:lang w:val="en-US" w:eastAsia="zh-CN"/>
              </w:rPr>
              <w:t>5</w:t>
            </w:r>
            <w:r>
              <w:rPr>
                <w:rFonts w:hint="eastAsia"/>
                <w:color w:val="auto"/>
                <w:highlight w:val="none"/>
              </w:rPr>
              <w:t>＜1，因此本次评价仅对环境风险进行简单分析。</w:t>
            </w:r>
          </w:p>
          <w:p>
            <w:pPr>
              <w:pStyle w:val="36"/>
              <w:ind w:firstLine="480"/>
              <w:rPr>
                <w:color w:val="auto"/>
                <w:highlight w:val="none"/>
              </w:rPr>
            </w:pPr>
            <w:r>
              <w:rPr>
                <w:rFonts w:hint="eastAsia"/>
                <w:color w:val="auto"/>
                <w:highlight w:val="none"/>
              </w:rPr>
              <w:t>本项目对环境可能造成的风险事故情景主要有：</w:t>
            </w:r>
          </w:p>
          <w:p>
            <w:pPr>
              <w:pStyle w:val="36"/>
              <w:ind w:firstLine="480"/>
              <w:rPr>
                <w:color w:val="auto"/>
                <w:highlight w:val="none"/>
              </w:rPr>
            </w:pPr>
            <w:r>
              <w:rPr>
                <w:rFonts w:hint="eastAsia"/>
                <w:color w:val="auto"/>
                <w:highlight w:val="none"/>
              </w:rPr>
              <w:t>（1）实验过程中因违反操作规程或操作不当发生故障或泄漏；</w:t>
            </w:r>
          </w:p>
          <w:p>
            <w:pPr>
              <w:pStyle w:val="36"/>
              <w:ind w:firstLine="480"/>
              <w:rPr>
                <w:color w:val="auto"/>
                <w:highlight w:val="none"/>
              </w:rPr>
            </w:pPr>
            <w:r>
              <w:rPr>
                <w:rFonts w:hint="eastAsia"/>
                <w:color w:val="auto"/>
                <w:highlight w:val="none"/>
              </w:rPr>
              <w:t>（2）实验过程中使用的电器设备破损、漏电，绝缘性能不好，引起燃烧，发生火灾事故；</w:t>
            </w:r>
          </w:p>
          <w:p>
            <w:pPr>
              <w:pStyle w:val="36"/>
              <w:ind w:firstLine="480"/>
              <w:rPr>
                <w:color w:val="auto"/>
                <w:highlight w:val="none"/>
              </w:rPr>
            </w:pPr>
            <w:r>
              <w:rPr>
                <w:rFonts w:hint="eastAsia"/>
                <w:color w:val="auto"/>
                <w:highlight w:val="none"/>
              </w:rPr>
              <w:t>（3）因操作失误，实验设备故障引起实验物料等流失至污水处理设施；或出现火灾事故时消防废水进入雨水管道，污染周边地表水环境。</w:t>
            </w:r>
          </w:p>
          <w:p>
            <w:pPr>
              <w:pStyle w:val="37"/>
              <w:rPr>
                <w:color w:val="auto"/>
                <w:highlight w:val="none"/>
              </w:rPr>
            </w:pPr>
            <w:r>
              <w:rPr>
                <w:rFonts w:hint="eastAsia"/>
                <w:color w:val="auto"/>
                <w:highlight w:val="none"/>
              </w:rPr>
              <w:t>4.2.7.2 环境风险影响分析</w:t>
            </w:r>
          </w:p>
          <w:p>
            <w:pPr>
              <w:pStyle w:val="36"/>
              <w:ind w:firstLine="480"/>
              <w:rPr>
                <w:color w:val="auto"/>
                <w:highlight w:val="none"/>
              </w:rPr>
            </w:pPr>
            <w:r>
              <w:rPr>
                <w:rFonts w:hint="eastAsia"/>
                <w:color w:val="auto"/>
                <w:highlight w:val="none"/>
              </w:rPr>
              <w:t>（1）危险物质泄漏风险影响分析</w:t>
            </w:r>
          </w:p>
          <w:p>
            <w:pPr>
              <w:pStyle w:val="36"/>
              <w:ind w:firstLine="480"/>
              <w:rPr>
                <w:color w:val="auto"/>
                <w:highlight w:val="none"/>
              </w:rPr>
            </w:pPr>
            <w:r>
              <w:rPr>
                <w:rFonts w:hint="eastAsia"/>
                <w:color w:val="auto"/>
                <w:highlight w:val="none"/>
              </w:rPr>
              <w:t xml:space="preserve">本项目所使用化学物品，在贮运和使用过程中，均有可能发生泄漏。在使用过程中，主要是因操作不当而造成危险物质泄漏；在贮存过程中，泄漏原因主要为包装因意外而破损；在运输过程中因交通事故等原因造成泄漏。           </w:t>
            </w:r>
          </w:p>
          <w:p>
            <w:pPr>
              <w:pStyle w:val="36"/>
              <w:ind w:firstLine="480"/>
              <w:rPr>
                <w:color w:val="auto"/>
                <w:highlight w:val="none"/>
              </w:rPr>
            </w:pPr>
            <w:r>
              <w:rPr>
                <w:rFonts w:hint="eastAsia"/>
                <w:color w:val="auto"/>
                <w:highlight w:val="none"/>
              </w:rPr>
              <w:t>由于本项目化学物品单次购入量较少，使用周期短，只要加强管理和泄漏事故防范，基本可以避免泄漏事故的发生。</w:t>
            </w:r>
          </w:p>
          <w:p>
            <w:pPr>
              <w:pStyle w:val="36"/>
              <w:ind w:firstLine="480"/>
              <w:rPr>
                <w:color w:val="auto"/>
                <w:highlight w:val="none"/>
              </w:rPr>
            </w:pPr>
            <w:bookmarkStart w:id="17" w:name="_Toc383531991"/>
            <w:r>
              <w:rPr>
                <w:rFonts w:hint="eastAsia"/>
                <w:color w:val="auto"/>
                <w:highlight w:val="none"/>
              </w:rPr>
              <w:t xml:space="preserve">（2）火灾风险影响分析 </w:t>
            </w:r>
          </w:p>
          <w:p>
            <w:pPr>
              <w:pStyle w:val="36"/>
              <w:ind w:firstLine="480"/>
              <w:rPr>
                <w:color w:val="auto"/>
                <w:highlight w:val="none"/>
              </w:rPr>
            </w:pPr>
            <w:r>
              <w:rPr>
                <w:rFonts w:hint="eastAsia"/>
                <w:color w:val="auto"/>
                <w:highlight w:val="none"/>
              </w:rPr>
              <w:t>火灾风险对周围环境的主要危害包括以下方面：</w:t>
            </w:r>
          </w:p>
          <w:p>
            <w:pPr>
              <w:pStyle w:val="36"/>
              <w:ind w:firstLine="480"/>
              <w:rPr>
                <w:color w:val="auto"/>
                <w:highlight w:val="none"/>
              </w:rPr>
            </w:pPr>
            <w:r>
              <w:rPr>
                <w:rFonts w:hint="eastAsia"/>
                <w:color w:val="auto"/>
                <w:highlight w:val="none"/>
              </w:rPr>
              <w:t>①热辐射：易燃物品由于其遇热挥发和易于流散，不但燃烧速度快、燃烧面积太，而且放出大量的辐射热。危及火区周围的人员的生命及毗邻建筑物和设备的安全。</w:t>
            </w:r>
          </w:p>
          <w:p>
            <w:pPr>
              <w:pStyle w:val="36"/>
              <w:ind w:firstLine="480"/>
              <w:rPr>
                <w:color w:val="auto"/>
                <w:highlight w:val="none"/>
              </w:rPr>
            </w:pPr>
            <w:r>
              <w:rPr>
                <w:rFonts w:hint="eastAsia"/>
                <w:color w:val="auto"/>
                <w:highlight w:val="none"/>
              </w:rPr>
              <w:t>②浓烟及有毒废气：易燃物品火灾时在放出大量辐射热的同时，还散发出大量的浓烟，它是由燃烧物质释放出的高温蒸汽和毒气（其中燃烧产生SO</w:t>
            </w:r>
            <w:r>
              <w:rPr>
                <w:rFonts w:hint="eastAsia"/>
                <w:color w:val="auto"/>
                <w:highlight w:val="none"/>
                <w:vertAlign w:val="subscript"/>
              </w:rPr>
              <w:t>2</w:t>
            </w:r>
            <w:r>
              <w:rPr>
                <w:rFonts w:hint="eastAsia"/>
                <w:color w:val="auto"/>
                <w:highlight w:val="none"/>
              </w:rPr>
              <w:t>、CO等），同时被分解的未燃物质和被火加热而带入上升气流中的空气和污染物质的混合物。它不但含有大量的热量，而且还含有蒸汽，有毒气体和弥散的固体微粒，对火场周围的人员生命安全造成危害、对周围的大气环境质量造成污染。</w:t>
            </w:r>
          </w:p>
          <w:p>
            <w:pPr>
              <w:pStyle w:val="36"/>
              <w:ind w:firstLine="480"/>
              <w:rPr>
                <w:color w:val="auto"/>
                <w:highlight w:val="none"/>
              </w:rPr>
            </w:pPr>
            <w:r>
              <w:rPr>
                <w:rFonts w:hint="eastAsia"/>
                <w:color w:val="auto"/>
                <w:highlight w:val="none"/>
              </w:rPr>
              <w:t>③同时在处理火灾过程，会产生大量的消防废水如果不经收集直接排放，可能进入雨水管后排入附近水体，从而污染地表水环境。</w:t>
            </w:r>
          </w:p>
          <w:p>
            <w:pPr>
              <w:pStyle w:val="36"/>
              <w:ind w:firstLine="480"/>
              <w:rPr>
                <w:color w:val="auto"/>
                <w:highlight w:val="none"/>
              </w:rPr>
            </w:pPr>
            <w:r>
              <w:rPr>
                <w:rFonts w:hint="eastAsia"/>
                <w:color w:val="auto"/>
                <w:highlight w:val="none"/>
              </w:rPr>
              <w:t>（3）事故伴生/次生污染分析</w:t>
            </w:r>
          </w:p>
          <w:p>
            <w:pPr>
              <w:pStyle w:val="36"/>
              <w:ind w:firstLine="480"/>
              <w:rPr>
                <w:color w:val="auto"/>
                <w:highlight w:val="none"/>
              </w:rPr>
            </w:pPr>
            <w:r>
              <w:rPr>
                <w:rFonts w:hint="eastAsia"/>
                <w:color w:val="auto"/>
                <w:highlight w:val="none"/>
              </w:rPr>
              <w:t>在发生火灾事故处理过程中，有可能会产生以下伴生/次生污染为消防废水，项目火灾事故消防废水引发的水环境风险，主要是事故消防污水可能进入雨水管后排入附近水体，从而污染地表水环境。如果发生事故情况下没有应急措施，事故消防污水将可能直接进入周边水体，对周边水体水质及生态环境将产生不利的影响。</w:t>
            </w:r>
          </w:p>
          <w:bookmarkEnd w:id="17"/>
          <w:p>
            <w:pPr>
              <w:pStyle w:val="37"/>
              <w:rPr>
                <w:color w:val="auto"/>
                <w:highlight w:val="none"/>
              </w:rPr>
            </w:pPr>
            <w:r>
              <w:rPr>
                <w:rFonts w:hint="eastAsia"/>
                <w:color w:val="auto"/>
                <w:highlight w:val="none"/>
              </w:rPr>
              <w:t>4.2.7.3  环境风险防范措施</w:t>
            </w:r>
          </w:p>
          <w:p>
            <w:pPr>
              <w:pStyle w:val="36"/>
              <w:ind w:firstLine="480"/>
              <w:rPr>
                <w:color w:val="auto"/>
                <w:highlight w:val="none"/>
              </w:rPr>
            </w:pPr>
            <w:r>
              <w:rPr>
                <w:rFonts w:hint="eastAsia"/>
                <w:color w:val="auto"/>
                <w:highlight w:val="none"/>
              </w:rPr>
              <w:t>（1）危险化学品泄漏事故风险防范措施</w:t>
            </w:r>
          </w:p>
          <w:p>
            <w:pPr>
              <w:pStyle w:val="36"/>
              <w:ind w:firstLine="480"/>
              <w:rPr>
                <w:color w:val="auto"/>
                <w:highlight w:val="none"/>
              </w:rPr>
            </w:pPr>
            <w:r>
              <w:rPr>
                <w:rFonts w:hint="eastAsia"/>
                <w:color w:val="auto"/>
                <w:highlight w:val="none"/>
              </w:rPr>
              <w:t>①设置专门的危险废物暂存间，地面采取防渗，设置警示标识等。</w:t>
            </w:r>
          </w:p>
          <w:p>
            <w:pPr>
              <w:pStyle w:val="36"/>
              <w:ind w:firstLine="480"/>
              <w:rPr>
                <w:color w:val="auto"/>
                <w:highlight w:val="none"/>
              </w:rPr>
            </w:pPr>
            <w:r>
              <w:rPr>
                <w:rFonts w:hint="eastAsia"/>
                <w:color w:val="auto"/>
                <w:highlight w:val="none"/>
              </w:rPr>
              <w:t>②加强管理，严格要求师生的实验操作符合规范，避免因操作失误造成危险化学品泄漏。</w:t>
            </w:r>
          </w:p>
          <w:p>
            <w:pPr>
              <w:pStyle w:val="36"/>
              <w:ind w:firstLine="480"/>
              <w:rPr>
                <w:rFonts w:hint="eastAsia" w:eastAsia="宋体"/>
                <w:color w:val="auto"/>
                <w:highlight w:val="none"/>
                <w:lang w:eastAsia="zh-CN"/>
              </w:rPr>
            </w:pPr>
            <w:r>
              <w:rPr>
                <w:rFonts w:hint="eastAsia"/>
                <w:color w:val="auto"/>
                <w:highlight w:val="none"/>
              </w:rPr>
              <w:t>③定期对比实际存量与使用记录，定期检查化学品存放位置，避免因存放位置位于不适位置造成危害</w:t>
            </w:r>
            <w:r>
              <w:rPr>
                <w:rFonts w:hint="eastAsia"/>
                <w:color w:val="auto"/>
                <w:highlight w:val="none"/>
                <w:lang w:eastAsia="zh-CN"/>
              </w:rPr>
              <w:t>。</w:t>
            </w:r>
          </w:p>
          <w:p>
            <w:pPr>
              <w:pStyle w:val="36"/>
              <w:ind w:firstLine="480"/>
              <w:rPr>
                <w:color w:val="auto"/>
                <w:highlight w:val="none"/>
              </w:rPr>
            </w:pPr>
            <w:r>
              <w:rPr>
                <w:rFonts w:hint="eastAsia"/>
                <w:color w:val="auto"/>
                <w:highlight w:val="none"/>
              </w:rPr>
              <w:t>（2）火灾事故风险防范措施</w:t>
            </w:r>
          </w:p>
          <w:p>
            <w:pPr>
              <w:pStyle w:val="36"/>
              <w:ind w:firstLine="480"/>
              <w:rPr>
                <w:color w:val="auto"/>
                <w:highlight w:val="none"/>
              </w:rPr>
            </w:pPr>
            <w:r>
              <w:rPr>
                <w:rFonts w:hint="eastAsia"/>
                <w:color w:val="auto"/>
                <w:highlight w:val="none"/>
              </w:rPr>
              <w:t>①加强消防设施和灭火器材的配备，严格落实有关消防技术规范的规定，加强人员疏散设施管理，保证疏散通道畅通。</w:t>
            </w:r>
          </w:p>
          <w:p>
            <w:pPr>
              <w:pStyle w:val="36"/>
              <w:ind w:firstLine="480"/>
              <w:rPr>
                <w:color w:val="auto"/>
                <w:highlight w:val="none"/>
              </w:rPr>
            </w:pPr>
            <w:r>
              <w:rPr>
                <w:rFonts w:hint="eastAsia"/>
                <w:color w:val="auto"/>
                <w:highlight w:val="none"/>
              </w:rPr>
              <w:t>②定期进行防火安全检查，确保消防设施完整好用。</w:t>
            </w:r>
          </w:p>
          <w:p>
            <w:pPr>
              <w:pStyle w:val="36"/>
              <w:ind w:firstLine="480"/>
              <w:rPr>
                <w:color w:val="auto"/>
                <w:highlight w:val="none"/>
              </w:rPr>
            </w:pPr>
            <w:r>
              <w:rPr>
                <w:rFonts w:hint="eastAsia"/>
                <w:color w:val="auto"/>
                <w:highlight w:val="none"/>
              </w:rPr>
              <w:t>③学校要求师生应遵守各项规章制度，强化安全、消防和环保管理，完善环保安全管理机构，完善各项管理制度，加强日常监督检查；学校内严禁烟火。</w:t>
            </w:r>
          </w:p>
          <w:p>
            <w:pPr>
              <w:pStyle w:val="36"/>
              <w:ind w:firstLine="480"/>
              <w:rPr>
                <w:color w:val="auto"/>
                <w:highlight w:val="none"/>
              </w:rPr>
            </w:pPr>
            <w:r>
              <w:rPr>
                <w:rFonts w:hint="eastAsia"/>
                <w:color w:val="auto"/>
                <w:highlight w:val="none"/>
              </w:rPr>
              <w:t>（3）废水事故排放及泄漏风险防范措施</w:t>
            </w:r>
          </w:p>
          <w:p>
            <w:pPr>
              <w:pStyle w:val="36"/>
              <w:ind w:firstLine="480"/>
              <w:rPr>
                <w:color w:val="auto"/>
                <w:highlight w:val="none"/>
              </w:rPr>
            </w:pPr>
            <w:r>
              <w:rPr>
                <w:rFonts w:hint="eastAsia"/>
                <w:color w:val="auto"/>
                <w:highlight w:val="none"/>
              </w:rPr>
              <w:t>①校区排水实行雨污分流。</w:t>
            </w:r>
          </w:p>
          <w:p>
            <w:pPr>
              <w:pStyle w:val="36"/>
              <w:ind w:firstLine="480"/>
              <w:rPr>
                <w:color w:val="auto"/>
                <w:highlight w:val="none"/>
              </w:rPr>
            </w:pPr>
            <w:r>
              <w:rPr>
                <w:rFonts w:hint="eastAsia"/>
                <w:color w:val="auto"/>
                <w:highlight w:val="none"/>
              </w:rPr>
              <w:t>②定期对废水处理设施进行检查和维修。</w:t>
            </w:r>
          </w:p>
          <w:p>
            <w:pPr>
              <w:pStyle w:val="36"/>
              <w:ind w:firstLine="480"/>
              <w:rPr>
                <w:color w:val="auto"/>
                <w:highlight w:val="none"/>
              </w:rPr>
            </w:pPr>
            <w:r>
              <w:rPr>
                <w:rFonts w:hint="eastAsia"/>
                <w:color w:val="auto"/>
                <w:highlight w:val="none"/>
              </w:rPr>
              <w:t>③实验废水严禁未处理排放、偷排、漏排现象。</w:t>
            </w:r>
          </w:p>
          <w:p>
            <w:pPr>
              <w:pStyle w:val="36"/>
              <w:ind w:firstLine="480"/>
              <w:rPr>
                <w:color w:val="auto"/>
                <w:highlight w:val="none"/>
              </w:rPr>
            </w:pPr>
            <w:r>
              <w:rPr>
                <w:rFonts w:hint="eastAsia"/>
                <w:color w:val="auto"/>
                <w:highlight w:val="none"/>
              </w:rPr>
              <w:t>④应急物资仓库及雨污排放口应储备有堵漏工具及物资（如抽水泵、砂袋等）。</w:t>
            </w:r>
          </w:p>
          <w:p>
            <w:pPr>
              <w:pStyle w:val="37"/>
              <w:rPr>
                <w:color w:val="auto"/>
                <w:highlight w:val="none"/>
              </w:rPr>
            </w:pPr>
            <w:r>
              <w:rPr>
                <w:rFonts w:hint="eastAsia"/>
                <w:color w:val="auto"/>
                <w:highlight w:val="none"/>
              </w:rPr>
              <w:t>4.2.7.4 应急处理措施</w:t>
            </w:r>
          </w:p>
          <w:p>
            <w:pPr>
              <w:pStyle w:val="36"/>
              <w:ind w:firstLine="480"/>
              <w:rPr>
                <w:color w:val="auto"/>
                <w:highlight w:val="none"/>
              </w:rPr>
            </w:pPr>
            <w:r>
              <w:rPr>
                <w:rFonts w:hint="eastAsia"/>
                <w:color w:val="auto"/>
                <w:highlight w:val="none"/>
              </w:rPr>
              <w:t>（1）当环境事故等紧急情况发生后，应迅速报告给有关部门，并疏散在校师生，防止事态进一步扩大，并积极协助前来的救援人员，将损失和影响降至最低。</w:t>
            </w:r>
          </w:p>
          <w:p>
            <w:pPr>
              <w:pStyle w:val="36"/>
              <w:ind w:firstLine="480"/>
              <w:rPr>
                <w:color w:val="auto"/>
                <w:highlight w:val="none"/>
              </w:rPr>
            </w:pPr>
            <w:r>
              <w:rPr>
                <w:rFonts w:hint="eastAsia"/>
                <w:color w:val="auto"/>
                <w:highlight w:val="none"/>
              </w:rPr>
              <w:t>（2）迅速控制污染源，并对造成的危害进行检测、处置，测定事故的危害区域，危险化学品物质及危害程度，直至符合国家环境保护标准。</w:t>
            </w:r>
          </w:p>
          <w:p>
            <w:pPr>
              <w:pStyle w:val="36"/>
              <w:ind w:firstLine="480"/>
              <w:rPr>
                <w:color w:val="auto"/>
                <w:highlight w:val="none"/>
              </w:rPr>
            </w:pPr>
            <w:r>
              <w:rPr>
                <w:rFonts w:hint="eastAsia"/>
                <w:color w:val="auto"/>
                <w:highlight w:val="none"/>
              </w:rPr>
              <w:t>（3）针对事故对人体、动植物、土壤、水源、空气造成的现实危害和可能产生的危害区域迅速采取封闭、隔离、洗消等措施。</w:t>
            </w:r>
          </w:p>
          <w:p>
            <w:pPr>
              <w:pStyle w:val="36"/>
              <w:ind w:firstLine="480"/>
              <w:rPr>
                <w:color w:val="auto"/>
                <w:highlight w:val="none"/>
              </w:rPr>
            </w:pPr>
            <w:r>
              <w:rPr>
                <w:rFonts w:hint="eastAsia"/>
                <w:color w:val="auto"/>
                <w:highlight w:val="none"/>
              </w:rPr>
              <w:t>（4）发生可能对周围环境造成危害的事故时，应立即向当地政府及环境主管部门报告，以便得到正确的指导和采取有效的防治措施，使事故危险降到最低。</w:t>
            </w:r>
          </w:p>
          <w:p>
            <w:pPr>
              <w:pStyle w:val="37"/>
              <w:rPr>
                <w:color w:val="auto"/>
                <w:highlight w:val="none"/>
              </w:rPr>
            </w:pPr>
            <w:r>
              <w:rPr>
                <w:rFonts w:hint="eastAsia"/>
                <w:color w:val="auto"/>
                <w:highlight w:val="none"/>
              </w:rPr>
              <w:t>4.2.7.5  结论</w:t>
            </w:r>
          </w:p>
          <w:p>
            <w:pPr>
              <w:pStyle w:val="36"/>
              <w:bidi w:val="0"/>
              <w:rPr>
                <w:color w:val="auto"/>
              </w:rPr>
            </w:pPr>
            <w:r>
              <w:rPr>
                <w:color w:val="auto"/>
                <w:lang w:val="en-GB"/>
              </w:rPr>
              <w:t>本项目</w:t>
            </w:r>
            <w:r>
              <w:rPr>
                <w:rFonts w:hint="eastAsia"/>
                <w:color w:val="auto"/>
                <w:lang w:val="en-GB"/>
              </w:rPr>
              <w:t>风险物质</w:t>
            </w:r>
            <w:r>
              <w:rPr>
                <w:color w:val="auto"/>
                <w:lang w:val="en-GB"/>
              </w:rPr>
              <w:t>储存量较少，不构成重大危险源。配套相应的应急物质的前提下，在加强</w:t>
            </w:r>
            <w:r>
              <w:rPr>
                <w:rFonts w:hint="eastAsia"/>
                <w:color w:val="auto"/>
                <w:lang w:val="en-GB"/>
              </w:rPr>
              <w:t>校区药品管理及</w:t>
            </w:r>
            <w:r>
              <w:rPr>
                <w:color w:val="auto"/>
                <w:lang w:val="en-GB"/>
              </w:rPr>
              <w:t>防火管理、完善事故应急预案的基础上，事故发生概率很低，经过采取妥善的风险防范措施，本项目环境风险在可接受的范围内。</w:t>
            </w:r>
          </w:p>
        </w:tc>
      </w:tr>
    </w:tbl>
    <w:p>
      <w:pPr>
        <w:pStyle w:val="2"/>
        <w:ind w:firstLine="480"/>
        <w:rPr>
          <w:color w:val="auto"/>
          <w:highlight w:val="none"/>
        </w:rPr>
        <w:sectPr>
          <w:pgSz w:w="11907" w:h="16840"/>
          <w:pgMar w:top="1701" w:right="1531" w:bottom="2127" w:left="1531" w:header="851" w:footer="851" w:gutter="0"/>
          <w:cols w:space="720" w:num="1"/>
          <w:docGrid w:linePitch="312" w:charSpace="0"/>
        </w:sectPr>
      </w:pPr>
    </w:p>
    <w:p>
      <w:pPr>
        <w:pStyle w:val="17"/>
        <w:jc w:val="center"/>
        <w:outlineLvl w:val="0"/>
        <w:rPr>
          <w:rFonts w:ascii="黑体" w:hAnsi="黑体" w:eastAsia="黑体"/>
          <w:snapToGrid w:val="0"/>
          <w:color w:val="auto"/>
          <w:sz w:val="30"/>
          <w:szCs w:val="30"/>
          <w:highlight w:val="none"/>
        </w:rPr>
      </w:pPr>
      <w:bookmarkStart w:id="18" w:name="_Toc31791"/>
      <w:r>
        <w:rPr>
          <w:rFonts w:hint="eastAsia" w:ascii="黑体" w:hAnsi="黑体" w:eastAsia="黑体"/>
          <w:snapToGrid w:val="0"/>
          <w:color w:val="auto"/>
          <w:sz w:val="30"/>
          <w:szCs w:val="30"/>
          <w:highlight w:val="none"/>
        </w:rPr>
        <w:t>五、</w:t>
      </w:r>
      <w:bookmarkStart w:id="19" w:name="_Hlk54167917"/>
      <w:r>
        <w:rPr>
          <w:rFonts w:hint="eastAsia" w:ascii="黑体" w:hAnsi="黑体" w:eastAsia="黑体"/>
          <w:snapToGrid w:val="0"/>
          <w:color w:val="auto"/>
          <w:sz w:val="30"/>
          <w:szCs w:val="30"/>
          <w:highlight w:val="none"/>
        </w:rPr>
        <w:t>环境保护措施监督检查清单</w:t>
      </w:r>
      <w:bookmarkEnd w:id="18"/>
      <w:bookmarkEnd w:id="19"/>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600"/>
        <w:gridCol w:w="1465"/>
        <w:gridCol w:w="1596"/>
        <w:gridCol w:w="30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tcBorders>
              <w:tl2br w:val="single" w:color="auto" w:sz="4" w:space="0"/>
            </w:tcBorders>
            <w:vAlign w:val="center"/>
          </w:tcPr>
          <w:p>
            <w:pPr>
              <w:adjustRightInd w:val="0"/>
              <w:snapToGrid w:val="0"/>
              <w:ind w:firstLine="840"/>
              <w:jc w:val="center"/>
              <w:rPr>
                <w:color w:val="auto"/>
                <w:sz w:val="24"/>
                <w:highlight w:val="none"/>
              </w:rPr>
            </w:pPr>
            <w:r>
              <w:rPr>
                <w:color w:val="auto"/>
                <w:sz w:val="24"/>
                <w:highlight w:val="none"/>
              </w:rPr>
              <w:t>内容</w:t>
            </w:r>
          </w:p>
          <w:p>
            <w:pPr>
              <w:adjustRightInd w:val="0"/>
              <w:snapToGrid w:val="0"/>
              <w:jc w:val="center"/>
              <w:rPr>
                <w:color w:val="auto"/>
                <w:sz w:val="24"/>
                <w:highlight w:val="none"/>
              </w:rPr>
            </w:pPr>
            <w:r>
              <w:rPr>
                <w:color w:val="auto"/>
                <w:sz w:val="24"/>
                <w:highlight w:val="none"/>
              </w:rPr>
              <w:t>要素</w:t>
            </w:r>
          </w:p>
        </w:tc>
        <w:tc>
          <w:tcPr>
            <w:tcW w:w="1600" w:type="dxa"/>
            <w:vAlign w:val="center"/>
          </w:tcPr>
          <w:p>
            <w:pPr>
              <w:adjustRightInd w:val="0"/>
              <w:snapToGrid w:val="0"/>
              <w:jc w:val="center"/>
              <w:rPr>
                <w:color w:val="auto"/>
                <w:sz w:val="24"/>
                <w:highlight w:val="none"/>
              </w:rPr>
            </w:pPr>
            <w:r>
              <w:rPr>
                <w:color w:val="auto"/>
                <w:sz w:val="24"/>
                <w:highlight w:val="none"/>
              </w:rPr>
              <w:t>排放口(编号、名称)/污染源</w:t>
            </w:r>
          </w:p>
        </w:tc>
        <w:tc>
          <w:tcPr>
            <w:tcW w:w="1465" w:type="dxa"/>
            <w:vAlign w:val="center"/>
          </w:tcPr>
          <w:p>
            <w:pPr>
              <w:adjustRightInd w:val="0"/>
              <w:snapToGrid w:val="0"/>
              <w:jc w:val="center"/>
              <w:rPr>
                <w:color w:val="auto"/>
                <w:sz w:val="24"/>
                <w:highlight w:val="none"/>
              </w:rPr>
            </w:pPr>
            <w:r>
              <w:rPr>
                <w:color w:val="auto"/>
                <w:sz w:val="24"/>
                <w:highlight w:val="none"/>
              </w:rPr>
              <w:t>污染物项目</w:t>
            </w:r>
          </w:p>
        </w:tc>
        <w:tc>
          <w:tcPr>
            <w:tcW w:w="1596" w:type="dxa"/>
            <w:vAlign w:val="center"/>
          </w:tcPr>
          <w:p>
            <w:pPr>
              <w:adjustRightInd w:val="0"/>
              <w:snapToGrid w:val="0"/>
              <w:jc w:val="center"/>
              <w:rPr>
                <w:color w:val="auto"/>
                <w:sz w:val="24"/>
                <w:highlight w:val="none"/>
              </w:rPr>
            </w:pPr>
            <w:r>
              <w:rPr>
                <w:color w:val="auto"/>
                <w:sz w:val="24"/>
                <w:highlight w:val="none"/>
              </w:rPr>
              <w:t>环境保护措施</w:t>
            </w:r>
          </w:p>
        </w:tc>
        <w:tc>
          <w:tcPr>
            <w:tcW w:w="3041" w:type="dxa"/>
            <w:vAlign w:val="center"/>
          </w:tcPr>
          <w:p>
            <w:pPr>
              <w:adjustRightInd w:val="0"/>
              <w:snapToGrid w:val="0"/>
              <w:jc w:val="center"/>
              <w:rPr>
                <w:color w:val="auto"/>
                <w:sz w:val="24"/>
                <w:highlight w:val="none"/>
              </w:rPr>
            </w:pPr>
            <w:r>
              <w:rPr>
                <w:color w:val="auto"/>
                <w:sz w:val="24"/>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restart"/>
            <w:vAlign w:val="center"/>
          </w:tcPr>
          <w:p>
            <w:pPr>
              <w:adjustRightInd w:val="0"/>
              <w:snapToGrid w:val="0"/>
              <w:jc w:val="center"/>
              <w:rPr>
                <w:color w:val="auto"/>
                <w:sz w:val="24"/>
                <w:highlight w:val="none"/>
              </w:rPr>
            </w:pPr>
            <w:r>
              <w:rPr>
                <w:color w:val="auto"/>
                <w:sz w:val="24"/>
                <w:highlight w:val="none"/>
              </w:rPr>
              <w:t>大气环境</w:t>
            </w:r>
          </w:p>
        </w:tc>
        <w:tc>
          <w:tcPr>
            <w:tcW w:w="1600" w:type="dxa"/>
            <w:vAlign w:val="center"/>
          </w:tcPr>
          <w:p>
            <w:pPr>
              <w:adjustRightInd w:val="0"/>
              <w:snapToGrid w:val="0"/>
              <w:jc w:val="center"/>
              <w:rPr>
                <w:color w:val="auto"/>
                <w:szCs w:val="21"/>
                <w:highlight w:val="none"/>
              </w:rPr>
            </w:pPr>
            <w:r>
              <w:rPr>
                <w:rFonts w:hint="eastAsia"/>
                <w:color w:val="auto"/>
                <w:szCs w:val="21"/>
                <w:highlight w:val="none"/>
              </w:rPr>
              <w:t>G1厨房废气</w:t>
            </w:r>
          </w:p>
        </w:tc>
        <w:tc>
          <w:tcPr>
            <w:tcW w:w="1465" w:type="dxa"/>
            <w:vAlign w:val="center"/>
          </w:tcPr>
          <w:p>
            <w:pPr>
              <w:adjustRightInd w:val="0"/>
              <w:snapToGrid w:val="0"/>
              <w:jc w:val="center"/>
              <w:rPr>
                <w:color w:val="auto"/>
                <w:szCs w:val="21"/>
                <w:highlight w:val="none"/>
              </w:rPr>
            </w:pPr>
            <w:r>
              <w:rPr>
                <w:rFonts w:hint="eastAsia"/>
                <w:color w:val="auto"/>
                <w:szCs w:val="21"/>
                <w:highlight w:val="none"/>
              </w:rPr>
              <w:t>油烟</w:t>
            </w:r>
          </w:p>
        </w:tc>
        <w:tc>
          <w:tcPr>
            <w:tcW w:w="1596" w:type="dxa"/>
            <w:vAlign w:val="center"/>
          </w:tcPr>
          <w:p>
            <w:pPr>
              <w:adjustRightInd w:val="0"/>
              <w:snapToGrid w:val="0"/>
              <w:jc w:val="center"/>
              <w:rPr>
                <w:bCs/>
                <w:color w:val="auto"/>
                <w:kern w:val="0"/>
                <w:szCs w:val="21"/>
                <w:highlight w:val="none"/>
              </w:rPr>
            </w:pPr>
            <w:r>
              <w:rPr>
                <w:rFonts w:hint="eastAsia"/>
                <w:bCs/>
                <w:color w:val="auto"/>
                <w:kern w:val="0"/>
                <w:szCs w:val="21"/>
                <w:highlight w:val="none"/>
              </w:rPr>
              <w:t>抽油烟机</w:t>
            </w:r>
          </w:p>
        </w:tc>
        <w:tc>
          <w:tcPr>
            <w:tcW w:w="3041" w:type="dxa"/>
            <w:vAlign w:val="center"/>
          </w:tcPr>
          <w:p>
            <w:pPr>
              <w:adjustRightInd w:val="0"/>
              <w:snapToGrid w:val="0"/>
              <w:jc w:val="center"/>
              <w:rPr>
                <w:color w:val="auto"/>
                <w:szCs w:val="21"/>
                <w:highlight w:val="none"/>
              </w:rPr>
            </w:pPr>
            <w:r>
              <w:rPr>
                <w:rFonts w:hint="eastAsia"/>
                <w:color w:val="auto"/>
                <w:highlight w:val="none"/>
                <w:lang w:eastAsia="zh-CN"/>
              </w:rPr>
              <w:t>《饮食业油烟排放标准（试行）》（</w:t>
            </w:r>
            <w:r>
              <w:rPr>
                <w:rFonts w:hint="eastAsia"/>
                <w:color w:val="auto"/>
                <w:highlight w:val="none"/>
                <w:lang w:val="en-US" w:eastAsia="zh-CN"/>
              </w:rPr>
              <w:t>GB18483-2001）中最高允许排放浓度限值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continue"/>
            <w:vAlign w:val="center"/>
          </w:tcPr>
          <w:p>
            <w:pPr>
              <w:adjustRightInd w:val="0"/>
              <w:snapToGrid w:val="0"/>
              <w:jc w:val="center"/>
              <w:rPr>
                <w:color w:val="auto"/>
                <w:sz w:val="24"/>
                <w:highlight w:val="none"/>
              </w:rPr>
            </w:pPr>
          </w:p>
        </w:tc>
        <w:tc>
          <w:tcPr>
            <w:tcW w:w="1600" w:type="dxa"/>
            <w:vMerge w:val="restart"/>
            <w:vAlign w:val="center"/>
          </w:tcPr>
          <w:p>
            <w:pPr>
              <w:adjustRightInd w:val="0"/>
              <w:snapToGrid w:val="0"/>
              <w:jc w:val="center"/>
              <w:rPr>
                <w:color w:val="auto"/>
                <w:szCs w:val="21"/>
                <w:highlight w:val="none"/>
              </w:rPr>
            </w:pPr>
            <w:r>
              <w:rPr>
                <w:rFonts w:hint="eastAsia"/>
                <w:color w:val="auto"/>
                <w:szCs w:val="21"/>
                <w:highlight w:val="none"/>
              </w:rPr>
              <w:t>G2发电机废气</w:t>
            </w:r>
          </w:p>
        </w:tc>
        <w:tc>
          <w:tcPr>
            <w:tcW w:w="1465" w:type="dxa"/>
            <w:vAlign w:val="center"/>
          </w:tcPr>
          <w:p>
            <w:pPr>
              <w:adjustRightInd w:val="0"/>
              <w:snapToGrid w:val="0"/>
              <w:jc w:val="center"/>
              <w:rPr>
                <w:color w:val="auto"/>
                <w:highlight w:val="none"/>
              </w:rPr>
            </w:pPr>
            <w:r>
              <w:rPr>
                <w:rFonts w:hint="eastAsia"/>
                <w:color w:val="auto"/>
                <w:highlight w:val="none"/>
              </w:rPr>
              <w:t>SO</w:t>
            </w:r>
            <w:r>
              <w:rPr>
                <w:rFonts w:hint="eastAsia"/>
                <w:color w:val="auto"/>
                <w:highlight w:val="none"/>
                <w:vertAlign w:val="subscript"/>
              </w:rPr>
              <w:t>2</w:t>
            </w:r>
          </w:p>
        </w:tc>
        <w:tc>
          <w:tcPr>
            <w:tcW w:w="1596" w:type="dxa"/>
            <w:vMerge w:val="restart"/>
            <w:vAlign w:val="center"/>
          </w:tcPr>
          <w:p>
            <w:pPr>
              <w:adjustRightInd w:val="0"/>
              <w:snapToGrid w:val="0"/>
              <w:jc w:val="center"/>
              <w:rPr>
                <w:bCs/>
                <w:color w:val="auto"/>
                <w:kern w:val="0"/>
                <w:szCs w:val="21"/>
                <w:highlight w:val="none"/>
              </w:rPr>
            </w:pPr>
            <w:r>
              <w:rPr>
                <w:rFonts w:hint="eastAsia"/>
                <w:bCs/>
                <w:color w:val="auto"/>
                <w:kern w:val="0"/>
                <w:szCs w:val="21"/>
                <w:highlight w:val="none"/>
              </w:rPr>
              <w:t>机械排风系统</w:t>
            </w:r>
          </w:p>
        </w:tc>
        <w:tc>
          <w:tcPr>
            <w:tcW w:w="3041" w:type="dxa"/>
            <w:vMerge w:val="restart"/>
            <w:vAlign w:val="center"/>
          </w:tcPr>
          <w:p>
            <w:pPr>
              <w:adjustRightInd w:val="0"/>
              <w:snapToGrid w:val="0"/>
              <w:jc w:val="center"/>
              <w:rPr>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continue"/>
            <w:vAlign w:val="center"/>
          </w:tcPr>
          <w:p>
            <w:pPr>
              <w:adjustRightInd w:val="0"/>
              <w:snapToGrid w:val="0"/>
              <w:jc w:val="center"/>
              <w:rPr>
                <w:color w:val="auto"/>
                <w:sz w:val="24"/>
                <w:highlight w:val="none"/>
              </w:rPr>
            </w:pPr>
          </w:p>
        </w:tc>
        <w:tc>
          <w:tcPr>
            <w:tcW w:w="1600" w:type="dxa"/>
            <w:vMerge w:val="continue"/>
            <w:vAlign w:val="center"/>
          </w:tcPr>
          <w:p>
            <w:pPr>
              <w:adjustRightInd w:val="0"/>
              <w:snapToGrid w:val="0"/>
              <w:jc w:val="center"/>
              <w:rPr>
                <w:color w:val="auto"/>
                <w:szCs w:val="21"/>
                <w:highlight w:val="none"/>
              </w:rPr>
            </w:pPr>
          </w:p>
        </w:tc>
        <w:tc>
          <w:tcPr>
            <w:tcW w:w="1465" w:type="dxa"/>
            <w:vAlign w:val="center"/>
          </w:tcPr>
          <w:p>
            <w:pPr>
              <w:adjustRightInd w:val="0"/>
              <w:snapToGrid w:val="0"/>
              <w:jc w:val="center"/>
              <w:rPr>
                <w:color w:val="auto"/>
                <w:highlight w:val="none"/>
              </w:rPr>
            </w:pPr>
            <w:r>
              <w:rPr>
                <w:rFonts w:hint="eastAsia"/>
                <w:color w:val="auto"/>
                <w:highlight w:val="none"/>
              </w:rPr>
              <w:t>烟尘</w:t>
            </w:r>
          </w:p>
        </w:tc>
        <w:tc>
          <w:tcPr>
            <w:tcW w:w="1596" w:type="dxa"/>
            <w:vMerge w:val="continue"/>
            <w:vAlign w:val="center"/>
          </w:tcPr>
          <w:p>
            <w:pPr>
              <w:adjustRightInd w:val="0"/>
              <w:snapToGrid w:val="0"/>
              <w:jc w:val="center"/>
              <w:rPr>
                <w:bCs/>
                <w:color w:val="auto"/>
                <w:kern w:val="0"/>
                <w:szCs w:val="21"/>
                <w:highlight w:val="none"/>
              </w:rPr>
            </w:pPr>
          </w:p>
        </w:tc>
        <w:tc>
          <w:tcPr>
            <w:tcW w:w="3041" w:type="dxa"/>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continue"/>
            <w:vAlign w:val="center"/>
          </w:tcPr>
          <w:p>
            <w:pPr>
              <w:adjustRightInd w:val="0"/>
              <w:snapToGrid w:val="0"/>
              <w:jc w:val="center"/>
              <w:rPr>
                <w:color w:val="auto"/>
                <w:sz w:val="24"/>
                <w:highlight w:val="none"/>
              </w:rPr>
            </w:pPr>
          </w:p>
        </w:tc>
        <w:tc>
          <w:tcPr>
            <w:tcW w:w="1600" w:type="dxa"/>
            <w:vMerge w:val="restart"/>
            <w:vAlign w:val="center"/>
          </w:tcPr>
          <w:p>
            <w:pPr>
              <w:adjustRightInd w:val="0"/>
              <w:snapToGrid w:val="0"/>
              <w:jc w:val="center"/>
              <w:rPr>
                <w:color w:val="auto"/>
                <w:szCs w:val="21"/>
                <w:highlight w:val="none"/>
              </w:rPr>
            </w:pPr>
            <w:r>
              <w:rPr>
                <w:rFonts w:hint="eastAsia"/>
                <w:color w:val="auto"/>
                <w:szCs w:val="21"/>
                <w:highlight w:val="none"/>
              </w:rPr>
              <w:t>G3汽车尾气</w:t>
            </w:r>
          </w:p>
        </w:tc>
        <w:tc>
          <w:tcPr>
            <w:tcW w:w="1465" w:type="dxa"/>
            <w:vAlign w:val="center"/>
          </w:tcPr>
          <w:p>
            <w:pPr>
              <w:adjustRightInd w:val="0"/>
              <w:snapToGrid w:val="0"/>
              <w:jc w:val="center"/>
              <w:rPr>
                <w:color w:val="auto"/>
                <w:szCs w:val="21"/>
                <w:highlight w:val="none"/>
              </w:rPr>
            </w:pPr>
            <w:r>
              <w:rPr>
                <w:rFonts w:hint="eastAsia"/>
                <w:color w:val="auto"/>
                <w:highlight w:val="none"/>
              </w:rPr>
              <w:t>CO</w:t>
            </w:r>
          </w:p>
        </w:tc>
        <w:tc>
          <w:tcPr>
            <w:tcW w:w="1596" w:type="dxa"/>
            <w:vMerge w:val="restart"/>
            <w:vAlign w:val="center"/>
          </w:tcPr>
          <w:p>
            <w:pPr>
              <w:adjustRightInd w:val="0"/>
              <w:snapToGrid w:val="0"/>
              <w:jc w:val="center"/>
              <w:rPr>
                <w:bCs/>
                <w:color w:val="auto"/>
                <w:kern w:val="0"/>
                <w:szCs w:val="21"/>
                <w:highlight w:val="none"/>
              </w:rPr>
            </w:pPr>
            <w:r>
              <w:rPr>
                <w:rFonts w:hint="eastAsia"/>
                <w:bCs/>
                <w:color w:val="auto"/>
                <w:kern w:val="0"/>
                <w:szCs w:val="21"/>
                <w:highlight w:val="none"/>
              </w:rPr>
              <w:t>机械排风系统</w:t>
            </w:r>
          </w:p>
        </w:tc>
        <w:tc>
          <w:tcPr>
            <w:tcW w:w="3041" w:type="dxa"/>
            <w:vMerge w:val="restart"/>
            <w:vAlign w:val="center"/>
          </w:tcPr>
          <w:p>
            <w:pPr>
              <w:adjustRightInd w:val="0"/>
              <w:snapToGrid w:val="0"/>
              <w:jc w:val="center"/>
              <w:rPr>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continue"/>
            <w:vAlign w:val="center"/>
          </w:tcPr>
          <w:p>
            <w:pPr>
              <w:adjustRightInd w:val="0"/>
              <w:snapToGrid w:val="0"/>
              <w:jc w:val="center"/>
              <w:rPr>
                <w:color w:val="auto"/>
                <w:sz w:val="24"/>
                <w:highlight w:val="none"/>
              </w:rPr>
            </w:pPr>
          </w:p>
        </w:tc>
        <w:tc>
          <w:tcPr>
            <w:tcW w:w="1600" w:type="dxa"/>
            <w:vMerge w:val="continue"/>
            <w:vAlign w:val="center"/>
          </w:tcPr>
          <w:p>
            <w:pPr>
              <w:adjustRightInd w:val="0"/>
              <w:snapToGrid w:val="0"/>
              <w:jc w:val="center"/>
              <w:rPr>
                <w:color w:val="auto"/>
                <w:szCs w:val="21"/>
                <w:highlight w:val="none"/>
              </w:rPr>
            </w:pPr>
          </w:p>
        </w:tc>
        <w:tc>
          <w:tcPr>
            <w:tcW w:w="1465" w:type="dxa"/>
            <w:vAlign w:val="center"/>
          </w:tcPr>
          <w:p>
            <w:pPr>
              <w:adjustRightInd w:val="0"/>
              <w:snapToGrid w:val="0"/>
              <w:jc w:val="center"/>
              <w:rPr>
                <w:color w:val="auto"/>
                <w:szCs w:val="21"/>
                <w:highlight w:val="none"/>
              </w:rPr>
            </w:pPr>
            <w:r>
              <w:rPr>
                <w:rFonts w:hint="eastAsia"/>
                <w:color w:val="auto"/>
                <w:highlight w:val="none"/>
              </w:rPr>
              <w:t>烃类</w:t>
            </w:r>
          </w:p>
        </w:tc>
        <w:tc>
          <w:tcPr>
            <w:tcW w:w="1596" w:type="dxa"/>
            <w:vMerge w:val="continue"/>
            <w:vAlign w:val="center"/>
          </w:tcPr>
          <w:p>
            <w:pPr>
              <w:adjustRightInd w:val="0"/>
              <w:snapToGrid w:val="0"/>
              <w:jc w:val="center"/>
              <w:rPr>
                <w:bCs/>
                <w:color w:val="auto"/>
                <w:kern w:val="0"/>
                <w:szCs w:val="21"/>
                <w:highlight w:val="none"/>
              </w:rPr>
            </w:pPr>
          </w:p>
        </w:tc>
        <w:tc>
          <w:tcPr>
            <w:tcW w:w="3041" w:type="dxa"/>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continue"/>
            <w:vAlign w:val="center"/>
          </w:tcPr>
          <w:p>
            <w:pPr>
              <w:adjustRightInd w:val="0"/>
              <w:snapToGrid w:val="0"/>
              <w:jc w:val="center"/>
              <w:rPr>
                <w:color w:val="auto"/>
                <w:sz w:val="24"/>
                <w:highlight w:val="none"/>
              </w:rPr>
            </w:pPr>
          </w:p>
        </w:tc>
        <w:tc>
          <w:tcPr>
            <w:tcW w:w="1600" w:type="dxa"/>
            <w:vMerge w:val="continue"/>
            <w:vAlign w:val="center"/>
          </w:tcPr>
          <w:p>
            <w:pPr>
              <w:adjustRightInd w:val="0"/>
              <w:snapToGrid w:val="0"/>
              <w:jc w:val="center"/>
              <w:rPr>
                <w:color w:val="auto"/>
                <w:szCs w:val="21"/>
                <w:highlight w:val="none"/>
              </w:rPr>
            </w:pPr>
          </w:p>
        </w:tc>
        <w:tc>
          <w:tcPr>
            <w:tcW w:w="1465" w:type="dxa"/>
            <w:vAlign w:val="center"/>
          </w:tcPr>
          <w:p>
            <w:pPr>
              <w:adjustRightInd w:val="0"/>
              <w:snapToGrid w:val="0"/>
              <w:jc w:val="center"/>
              <w:rPr>
                <w:color w:val="auto"/>
                <w:szCs w:val="21"/>
                <w:highlight w:val="none"/>
              </w:rPr>
            </w:pPr>
            <w:r>
              <w:rPr>
                <w:rFonts w:hint="eastAsia"/>
                <w:color w:val="auto"/>
                <w:highlight w:val="none"/>
              </w:rPr>
              <w:t>NOx</w:t>
            </w:r>
          </w:p>
        </w:tc>
        <w:tc>
          <w:tcPr>
            <w:tcW w:w="1596" w:type="dxa"/>
            <w:vMerge w:val="continue"/>
            <w:vAlign w:val="center"/>
          </w:tcPr>
          <w:p>
            <w:pPr>
              <w:adjustRightInd w:val="0"/>
              <w:snapToGrid w:val="0"/>
              <w:jc w:val="center"/>
              <w:rPr>
                <w:bCs/>
                <w:color w:val="auto"/>
                <w:kern w:val="0"/>
                <w:szCs w:val="21"/>
                <w:highlight w:val="none"/>
              </w:rPr>
            </w:pPr>
          </w:p>
        </w:tc>
        <w:tc>
          <w:tcPr>
            <w:tcW w:w="3041" w:type="dxa"/>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continue"/>
            <w:vAlign w:val="center"/>
          </w:tcPr>
          <w:p>
            <w:pPr>
              <w:adjustRightInd w:val="0"/>
              <w:snapToGrid w:val="0"/>
              <w:jc w:val="center"/>
              <w:rPr>
                <w:color w:val="auto"/>
                <w:sz w:val="24"/>
                <w:highlight w:val="none"/>
              </w:rPr>
            </w:pPr>
          </w:p>
        </w:tc>
        <w:tc>
          <w:tcPr>
            <w:tcW w:w="1600" w:type="dxa"/>
            <w:vAlign w:val="center"/>
          </w:tcPr>
          <w:p>
            <w:pPr>
              <w:adjustRightInd w:val="0"/>
              <w:snapToGrid w:val="0"/>
              <w:jc w:val="center"/>
              <w:rPr>
                <w:color w:val="auto"/>
                <w:szCs w:val="21"/>
                <w:highlight w:val="none"/>
              </w:rPr>
            </w:pPr>
            <w:r>
              <w:rPr>
                <w:color w:val="auto"/>
                <w:szCs w:val="21"/>
                <w:highlight w:val="none"/>
              </w:rPr>
              <w:t>G</w:t>
            </w:r>
            <w:r>
              <w:rPr>
                <w:rFonts w:hint="eastAsia"/>
                <w:color w:val="auto"/>
                <w:szCs w:val="21"/>
                <w:highlight w:val="none"/>
              </w:rPr>
              <w:t>4</w:t>
            </w:r>
            <w:r>
              <w:rPr>
                <w:rFonts w:hint="eastAsia"/>
                <w:color w:val="auto"/>
                <w:highlight w:val="none"/>
              </w:rPr>
              <w:t>实验室废气</w:t>
            </w:r>
          </w:p>
        </w:tc>
        <w:tc>
          <w:tcPr>
            <w:tcW w:w="1465" w:type="dxa"/>
            <w:vAlign w:val="center"/>
          </w:tcPr>
          <w:p>
            <w:pPr>
              <w:adjustRightInd w:val="0"/>
              <w:snapToGrid w:val="0"/>
              <w:jc w:val="center"/>
              <w:rPr>
                <w:color w:val="auto"/>
                <w:szCs w:val="21"/>
                <w:highlight w:val="none"/>
              </w:rPr>
            </w:pPr>
            <w:r>
              <w:rPr>
                <w:rFonts w:hint="eastAsia"/>
                <w:color w:val="auto"/>
                <w:szCs w:val="21"/>
                <w:highlight w:val="none"/>
              </w:rPr>
              <w:t>挥发性有机物</w:t>
            </w:r>
          </w:p>
        </w:tc>
        <w:tc>
          <w:tcPr>
            <w:tcW w:w="1596" w:type="dxa"/>
            <w:vAlign w:val="center"/>
          </w:tcPr>
          <w:p>
            <w:pPr>
              <w:adjustRightInd w:val="0"/>
              <w:snapToGrid w:val="0"/>
              <w:jc w:val="center"/>
              <w:rPr>
                <w:color w:val="auto"/>
                <w:szCs w:val="21"/>
                <w:highlight w:val="none"/>
              </w:rPr>
            </w:pPr>
            <w:r>
              <w:rPr>
                <w:rFonts w:hint="eastAsia"/>
                <w:color w:val="auto"/>
                <w:highlight w:val="none"/>
              </w:rPr>
              <w:t>机械排气系统+</w:t>
            </w:r>
            <w:r>
              <w:rPr>
                <w:rFonts w:hint="eastAsia"/>
                <w:color w:val="auto"/>
                <w:szCs w:val="21"/>
                <w:highlight w:val="none"/>
              </w:rPr>
              <w:t>活性炭吸附装置</w:t>
            </w:r>
          </w:p>
        </w:tc>
        <w:tc>
          <w:tcPr>
            <w:tcW w:w="3041" w:type="dxa"/>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有组织执行</w:t>
            </w:r>
            <w:r>
              <w:rPr>
                <w:color w:val="auto"/>
                <w:szCs w:val="21"/>
                <w:highlight w:val="none"/>
              </w:rPr>
              <w:t>《大气污染物综合排放标准》（GB16297-1996）中表2二级排放限值</w:t>
            </w:r>
            <w:r>
              <w:rPr>
                <w:rFonts w:hint="eastAsia"/>
                <w:color w:val="auto"/>
                <w:szCs w:val="21"/>
                <w:highlight w:val="none"/>
                <w:lang w:eastAsia="zh-CN"/>
              </w:rPr>
              <w:t>；无组织执行</w:t>
            </w:r>
            <w:r>
              <w:rPr>
                <w:color w:val="auto"/>
                <w:highlight w:val="none"/>
              </w:rPr>
              <w:t>《大气污染物综合排放标准》（GB16297-1996）</w:t>
            </w:r>
            <w:r>
              <w:rPr>
                <w:rFonts w:hint="eastAsia"/>
                <w:color w:val="auto"/>
                <w:highlight w:val="none"/>
              </w:rPr>
              <w:t>表2中标准限值及</w:t>
            </w:r>
            <w:r>
              <w:rPr>
                <w:color w:val="auto"/>
                <w:highlight w:val="none"/>
              </w:rPr>
              <w:t>《挥发性有机物无组织排放控制标准》</w:t>
            </w:r>
            <w:r>
              <w:rPr>
                <w:rFonts w:hint="eastAsia"/>
                <w:color w:val="auto"/>
                <w:highlight w:val="none"/>
              </w:rPr>
              <w:t>（</w:t>
            </w:r>
            <w:r>
              <w:rPr>
                <w:color w:val="auto"/>
                <w:highlight w:val="none"/>
              </w:rPr>
              <w:t>GB 37822-2019</w:t>
            </w:r>
            <w:r>
              <w:rPr>
                <w:rFonts w:hint="eastAsia"/>
                <w:color w:val="auto"/>
                <w:highlight w:val="none"/>
              </w:rPr>
              <w:t>）</w:t>
            </w:r>
            <w:r>
              <w:rPr>
                <w:color w:val="auto"/>
                <w:highlight w:val="none"/>
              </w:rPr>
              <w:t>中附录A表A.1标准限值</w:t>
            </w:r>
            <w:r>
              <w:rPr>
                <w:rFonts w:hint="eastAsia"/>
                <w:color w:val="auto"/>
                <w:highlight w:val="none"/>
              </w:rPr>
              <w:t>中最严格限值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restart"/>
            <w:vAlign w:val="center"/>
          </w:tcPr>
          <w:p>
            <w:pPr>
              <w:adjustRightInd w:val="0"/>
              <w:snapToGrid w:val="0"/>
              <w:jc w:val="center"/>
              <w:rPr>
                <w:color w:val="auto"/>
                <w:sz w:val="24"/>
                <w:highlight w:val="none"/>
              </w:rPr>
            </w:pPr>
            <w:r>
              <w:rPr>
                <w:color w:val="auto"/>
                <w:sz w:val="24"/>
                <w:highlight w:val="none"/>
              </w:rPr>
              <w:t>地表水环境</w:t>
            </w:r>
          </w:p>
        </w:tc>
        <w:tc>
          <w:tcPr>
            <w:tcW w:w="1600" w:type="dxa"/>
            <w:vMerge w:val="restart"/>
            <w:vAlign w:val="center"/>
          </w:tcPr>
          <w:p>
            <w:pPr>
              <w:adjustRightInd w:val="0"/>
              <w:snapToGrid w:val="0"/>
              <w:jc w:val="center"/>
              <w:rPr>
                <w:color w:val="auto"/>
                <w:szCs w:val="21"/>
                <w:highlight w:val="none"/>
              </w:rPr>
            </w:pPr>
            <w:r>
              <w:rPr>
                <w:rFonts w:hint="eastAsia"/>
                <w:color w:val="auto"/>
                <w:szCs w:val="21"/>
                <w:highlight w:val="none"/>
              </w:rPr>
              <w:t>W1 生活污水</w:t>
            </w:r>
          </w:p>
        </w:tc>
        <w:tc>
          <w:tcPr>
            <w:tcW w:w="1465" w:type="dxa"/>
            <w:vAlign w:val="center"/>
          </w:tcPr>
          <w:p>
            <w:pPr>
              <w:pStyle w:val="36"/>
              <w:spacing w:line="240" w:lineRule="auto"/>
              <w:ind w:firstLine="0" w:firstLineChars="0"/>
              <w:jc w:val="center"/>
              <w:rPr>
                <w:color w:val="auto"/>
                <w:sz w:val="21"/>
                <w:szCs w:val="21"/>
                <w:highlight w:val="none"/>
              </w:rPr>
            </w:pPr>
            <w:r>
              <w:rPr>
                <w:color w:val="auto"/>
                <w:sz w:val="21"/>
                <w:szCs w:val="21"/>
                <w:highlight w:val="none"/>
              </w:rPr>
              <w:t>BOD</w:t>
            </w:r>
            <w:r>
              <w:rPr>
                <w:color w:val="auto"/>
                <w:sz w:val="21"/>
                <w:szCs w:val="21"/>
                <w:highlight w:val="none"/>
                <w:vertAlign w:val="subscript"/>
              </w:rPr>
              <w:t>5</w:t>
            </w:r>
          </w:p>
        </w:tc>
        <w:tc>
          <w:tcPr>
            <w:tcW w:w="1596" w:type="dxa"/>
            <w:vMerge w:val="restart"/>
            <w:vAlign w:val="center"/>
          </w:tcPr>
          <w:p>
            <w:pPr>
              <w:adjustRightInd w:val="0"/>
              <w:snapToGrid w:val="0"/>
              <w:jc w:val="center"/>
              <w:rPr>
                <w:color w:val="auto"/>
                <w:szCs w:val="21"/>
                <w:highlight w:val="none"/>
              </w:rPr>
            </w:pPr>
            <w:r>
              <w:rPr>
                <w:rFonts w:hint="eastAsia"/>
                <w:color w:val="auto"/>
                <w:szCs w:val="21"/>
                <w:highlight w:val="none"/>
              </w:rPr>
              <w:t>化粪池</w:t>
            </w:r>
          </w:p>
        </w:tc>
        <w:tc>
          <w:tcPr>
            <w:tcW w:w="3041" w:type="dxa"/>
            <w:vMerge w:val="restart"/>
            <w:vAlign w:val="center"/>
          </w:tcPr>
          <w:p>
            <w:pPr>
              <w:adjustRightInd w:val="0"/>
              <w:snapToGrid w:val="0"/>
              <w:jc w:val="center"/>
              <w:rPr>
                <w:color w:val="auto"/>
                <w:szCs w:val="21"/>
                <w:highlight w:val="none"/>
              </w:rPr>
            </w:pPr>
            <w:r>
              <w:rPr>
                <w:rFonts w:hint="eastAsia"/>
                <w:color w:val="auto"/>
                <w:szCs w:val="21"/>
                <w:highlight w:val="none"/>
              </w:rPr>
              <w:t>执行福州大学城污水处理</w:t>
            </w:r>
          </w:p>
          <w:p>
            <w:pPr>
              <w:adjustRightInd w:val="0"/>
              <w:snapToGrid w:val="0"/>
              <w:jc w:val="center"/>
              <w:rPr>
                <w:color w:val="auto"/>
                <w:szCs w:val="21"/>
                <w:highlight w:val="none"/>
              </w:rPr>
            </w:pPr>
            <w:r>
              <w:rPr>
                <w:rFonts w:hint="eastAsia"/>
                <w:color w:val="auto"/>
                <w:szCs w:val="21"/>
                <w:highlight w:val="none"/>
              </w:rPr>
              <w:t>厂的纳管标准；福州大学</w:t>
            </w:r>
          </w:p>
          <w:p>
            <w:pPr>
              <w:adjustRightInd w:val="0"/>
              <w:snapToGrid w:val="0"/>
              <w:jc w:val="center"/>
              <w:rPr>
                <w:color w:val="auto"/>
                <w:szCs w:val="21"/>
                <w:highlight w:val="none"/>
              </w:rPr>
            </w:pPr>
            <w:r>
              <w:rPr>
                <w:rFonts w:hint="eastAsia"/>
                <w:color w:val="auto"/>
                <w:szCs w:val="21"/>
                <w:highlight w:val="none"/>
              </w:rPr>
              <w:t>城污水处理厂尾水排放执</w:t>
            </w:r>
          </w:p>
          <w:p>
            <w:pPr>
              <w:adjustRightInd w:val="0"/>
              <w:snapToGrid w:val="0"/>
              <w:jc w:val="center"/>
              <w:rPr>
                <w:color w:val="auto"/>
                <w:szCs w:val="21"/>
                <w:highlight w:val="none"/>
              </w:rPr>
            </w:pPr>
            <w:r>
              <w:rPr>
                <w:rFonts w:hint="eastAsia"/>
                <w:color w:val="auto"/>
                <w:szCs w:val="21"/>
                <w:highlight w:val="none"/>
              </w:rPr>
              <w:t>行《城镇污水处理厂污染</w:t>
            </w:r>
          </w:p>
          <w:p>
            <w:pPr>
              <w:adjustRightInd w:val="0"/>
              <w:snapToGrid w:val="0"/>
              <w:jc w:val="center"/>
              <w:rPr>
                <w:color w:val="auto"/>
                <w:szCs w:val="21"/>
                <w:highlight w:val="none"/>
              </w:rPr>
            </w:pPr>
            <w:r>
              <w:rPr>
                <w:rFonts w:hint="eastAsia"/>
                <w:color w:val="auto"/>
                <w:szCs w:val="21"/>
                <w:highlight w:val="none"/>
              </w:rPr>
              <w:t>物排放标准》一级 A 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continue"/>
            <w:vAlign w:val="center"/>
          </w:tcPr>
          <w:p>
            <w:pPr>
              <w:adjustRightInd w:val="0"/>
              <w:snapToGrid w:val="0"/>
              <w:jc w:val="center"/>
              <w:rPr>
                <w:color w:val="auto"/>
                <w:sz w:val="24"/>
                <w:highlight w:val="none"/>
              </w:rPr>
            </w:pPr>
          </w:p>
        </w:tc>
        <w:tc>
          <w:tcPr>
            <w:tcW w:w="1600" w:type="dxa"/>
            <w:vMerge w:val="continue"/>
            <w:vAlign w:val="center"/>
          </w:tcPr>
          <w:p>
            <w:pPr>
              <w:adjustRightInd w:val="0"/>
              <w:snapToGrid w:val="0"/>
              <w:jc w:val="center"/>
              <w:rPr>
                <w:color w:val="auto"/>
                <w:szCs w:val="21"/>
                <w:highlight w:val="none"/>
              </w:rPr>
            </w:pPr>
          </w:p>
        </w:tc>
        <w:tc>
          <w:tcPr>
            <w:tcW w:w="1465" w:type="dxa"/>
            <w:vAlign w:val="center"/>
          </w:tcPr>
          <w:p>
            <w:pPr>
              <w:pStyle w:val="36"/>
              <w:spacing w:line="240" w:lineRule="auto"/>
              <w:ind w:firstLine="0" w:firstLineChars="0"/>
              <w:jc w:val="center"/>
              <w:rPr>
                <w:color w:val="auto"/>
                <w:sz w:val="21"/>
                <w:szCs w:val="21"/>
                <w:highlight w:val="none"/>
              </w:rPr>
            </w:pPr>
            <w:r>
              <w:rPr>
                <w:color w:val="auto"/>
                <w:sz w:val="21"/>
                <w:szCs w:val="21"/>
                <w:highlight w:val="none"/>
              </w:rPr>
              <w:t>氨氮</w:t>
            </w:r>
          </w:p>
        </w:tc>
        <w:tc>
          <w:tcPr>
            <w:tcW w:w="1596" w:type="dxa"/>
            <w:vMerge w:val="continue"/>
            <w:vAlign w:val="center"/>
          </w:tcPr>
          <w:p>
            <w:pPr>
              <w:adjustRightInd w:val="0"/>
              <w:snapToGrid w:val="0"/>
              <w:jc w:val="center"/>
              <w:rPr>
                <w:color w:val="auto"/>
                <w:szCs w:val="21"/>
                <w:highlight w:val="none"/>
              </w:rPr>
            </w:pPr>
          </w:p>
        </w:tc>
        <w:tc>
          <w:tcPr>
            <w:tcW w:w="3041" w:type="dxa"/>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continue"/>
            <w:vAlign w:val="center"/>
          </w:tcPr>
          <w:p>
            <w:pPr>
              <w:adjustRightInd w:val="0"/>
              <w:snapToGrid w:val="0"/>
              <w:jc w:val="center"/>
              <w:rPr>
                <w:color w:val="auto"/>
                <w:sz w:val="24"/>
                <w:highlight w:val="none"/>
              </w:rPr>
            </w:pPr>
          </w:p>
        </w:tc>
        <w:tc>
          <w:tcPr>
            <w:tcW w:w="1600" w:type="dxa"/>
            <w:vMerge w:val="continue"/>
            <w:vAlign w:val="center"/>
          </w:tcPr>
          <w:p>
            <w:pPr>
              <w:adjustRightInd w:val="0"/>
              <w:snapToGrid w:val="0"/>
              <w:jc w:val="center"/>
              <w:rPr>
                <w:color w:val="auto"/>
                <w:szCs w:val="21"/>
                <w:highlight w:val="none"/>
              </w:rPr>
            </w:pPr>
          </w:p>
        </w:tc>
        <w:tc>
          <w:tcPr>
            <w:tcW w:w="1465" w:type="dxa"/>
            <w:vAlign w:val="center"/>
          </w:tcPr>
          <w:p>
            <w:pPr>
              <w:pStyle w:val="30"/>
              <w:rPr>
                <w:color w:val="auto"/>
                <w:highlight w:val="none"/>
              </w:rPr>
            </w:pPr>
            <w:r>
              <w:rPr>
                <w:rFonts w:hint="eastAsia"/>
                <w:color w:val="auto"/>
                <w:highlight w:val="none"/>
              </w:rPr>
              <w:t>COD</w:t>
            </w:r>
          </w:p>
        </w:tc>
        <w:tc>
          <w:tcPr>
            <w:tcW w:w="1596" w:type="dxa"/>
            <w:vMerge w:val="continue"/>
            <w:vAlign w:val="center"/>
          </w:tcPr>
          <w:p>
            <w:pPr>
              <w:adjustRightInd w:val="0"/>
              <w:snapToGrid w:val="0"/>
              <w:jc w:val="center"/>
              <w:rPr>
                <w:color w:val="auto"/>
                <w:szCs w:val="21"/>
                <w:highlight w:val="none"/>
              </w:rPr>
            </w:pPr>
          </w:p>
        </w:tc>
        <w:tc>
          <w:tcPr>
            <w:tcW w:w="3041" w:type="dxa"/>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continue"/>
            <w:vAlign w:val="center"/>
          </w:tcPr>
          <w:p>
            <w:pPr>
              <w:adjustRightInd w:val="0"/>
              <w:snapToGrid w:val="0"/>
              <w:jc w:val="center"/>
              <w:rPr>
                <w:color w:val="auto"/>
                <w:sz w:val="24"/>
                <w:highlight w:val="none"/>
              </w:rPr>
            </w:pPr>
          </w:p>
        </w:tc>
        <w:tc>
          <w:tcPr>
            <w:tcW w:w="1600" w:type="dxa"/>
            <w:vMerge w:val="continue"/>
            <w:vAlign w:val="center"/>
          </w:tcPr>
          <w:p>
            <w:pPr>
              <w:adjustRightInd w:val="0"/>
              <w:snapToGrid w:val="0"/>
              <w:jc w:val="center"/>
              <w:rPr>
                <w:color w:val="auto"/>
                <w:szCs w:val="21"/>
                <w:highlight w:val="none"/>
              </w:rPr>
            </w:pPr>
          </w:p>
        </w:tc>
        <w:tc>
          <w:tcPr>
            <w:tcW w:w="1465" w:type="dxa"/>
            <w:vAlign w:val="center"/>
          </w:tcPr>
          <w:p>
            <w:pPr>
              <w:pStyle w:val="30"/>
              <w:rPr>
                <w:color w:val="auto"/>
                <w:highlight w:val="none"/>
              </w:rPr>
            </w:pPr>
            <w:r>
              <w:rPr>
                <w:rFonts w:hint="eastAsia"/>
                <w:color w:val="auto"/>
                <w:highlight w:val="none"/>
              </w:rPr>
              <w:t>悬浮物</w:t>
            </w:r>
          </w:p>
        </w:tc>
        <w:tc>
          <w:tcPr>
            <w:tcW w:w="1596" w:type="dxa"/>
            <w:vMerge w:val="continue"/>
            <w:vAlign w:val="center"/>
          </w:tcPr>
          <w:p>
            <w:pPr>
              <w:adjustRightInd w:val="0"/>
              <w:snapToGrid w:val="0"/>
              <w:jc w:val="center"/>
              <w:rPr>
                <w:color w:val="auto"/>
                <w:szCs w:val="21"/>
                <w:highlight w:val="none"/>
              </w:rPr>
            </w:pPr>
          </w:p>
        </w:tc>
        <w:tc>
          <w:tcPr>
            <w:tcW w:w="3041" w:type="dxa"/>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continue"/>
            <w:vAlign w:val="center"/>
          </w:tcPr>
          <w:p>
            <w:pPr>
              <w:adjustRightInd w:val="0"/>
              <w:snapToGrid w:val="0"/>
              <w:jc w:val="center"/>
              <w:rPr>
                <w:color w:val="auto"/>
                <w:sz w:val="24"/>
                <w:highlight w:val="none"/>
              </w:rPr>
            </w:pPr>
          </w:p>
        </w:tc>
        <w:tc>
          <w:tcPr>
            <w:tcW w:w="1600" w:type="dxa"/>
            <w:vMerge w:val="continue"/>
            <w:vAlign w:val="center"/>
          </w:tcPr>
          <w:p>
            <w:pPr>
              <w:adjustRightInd w:val="0"/>
              <w:snapToGrid w:val="0"/>
              <w:jc w:val="center"/>
              <w:rPr>
                <w:color w:val="auto"/>
                <w:szCs w:val="21"/>
                <w:highlight w:val="none"/>
              </w:rPr>
            </w:pPr>
          </w:p>
        </w:tc>
        <w:tc>
          <w:tcPr>
            <w:tcW w:w="1465" w:type="dxa"/>
            <w:vAlign w:val="center"/>
          </w:tcPr>
          <w:p>
            <w:pPr>
              <w:pStyle w:val="30"/>
              <w:rPr>
                <w:color w:val="auto"/>
                <w:highlight w:val="none"/>
              </w:rPr>
            </w:pPr>
            <w:r>
              <w:rPr>
                <w:rFonts w:hint="eastAsia"/>
                <w:color w:val="auto"/>
                <w:highlight w:val="none"/>
              </w:rPr>
              <w:t>动植物油</w:t>
            </w:r>
          </w:p>
        </w:tc>
        <w:tc>
          <w:tcPr>
            <w:tcW w:w="1596" w:type="dxa"/>
            <w:vAlign w:val="center"/>
          </w:tcPr>
          <w:p>
            <w:pPr>
              <w:adjustRightInd w:val="0"/>
              <w:snapToGrid w:val="0"/>
              <w:jc w:val="center"/>
              <w:rPr>
                <w:color w:val="auto"/>
                <w:szCs w:val="21"/>
                <w:highlight w:val="none"/>
              </w:rPr>
            </w:pPr>
            <w:r>
              <w:rPr>
                <w:rFonts w:hint="eastAsia"/>
                <w:color w:val="auto"/>
                <w:szCs w:val="21"/>
                <w:highlight w:val="none"/>
              </w:rPr>
              <w:t>隔油池+化粪池</w:t>
            </w:r>
          </w:p>
        </w:tc>
        <w:tc>
          <w:tcPr>
            <w:tcW w:w="3041" w:type="dxa"/>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continue"/>
            <w:vAlign w:val="center"/>
          </w:tcPr>
          <w:p>
            <w:pPr>
              <w:adjustRightInd w:val="0"/>
              <w:snapToGrid w:val="0"/>
              <w:jc w:val="center"/>
              <w:rPr>
                <w:color w:val="auto"/>
                <w:sz w:val="24"/>
                <w:highlight w:val="none"/>
              </w:rPr>
            </w:pPr>
          </w:p>
        </w:tc>
        <w:tc>
          <w:tcPr>
            <w:tcW w:w="1600" w:type="dxa"/>
            <w:vMerge w:val="restart"/>
            <w:vAlign w:val="center"/>
          </w:tcPr>
          <w:p>
            <w:pPr>
              <w:adjustRightInd w:val="0"/>
              <w:snapToGrid w:val="0"/>
              <w:jc w:val="center"/>
              <w:rPr>
                <w:color w:val="auto"/>
                <w:szCs w:val="21"/>
                <w:highlight w:val="none"/>
              </w:rPr>
            </w:pPr>
            <w:r>
              <w:rPr>
                <w:rFonts w:hint="eastAsia"/>
                <w:color w:val="auto"/>
                <w:szCs w:val="21"/>
                <w:highlight w:val="none"/>
              </w:rPr>
              <w:t>W2 一般实验废水</w:t>
            </w:r>
          </w:p>
        </w:tc>
        <w:tc>
          <w:tcPr>
            <w:tcW w:w="1465" w:type="dxa"/>
            <w:vAlign w:val="center"/>
          </w:tcPr>
          <w:p>
            <w:pPr>
              <w:pStyle w:val="36"/>
              <w:spacing w:line="240" w:lineRule="auto"/>
              <w:ind w:firstLine="0" w:firstLineChars="0"/>
              <w:jc w:val="center"/>
              <w:rPr>
                <w:color w:val="auto"/>
                <w:highlight w:val="none"/>
              </w:rPr>
            </w:pPr>
            <w:r>
              <w:rPr>
                <w:color w:val="auto"/>
                <w:sz w:val="21"/>
                <w:szCs w:val="21"/>
                <w:highlight w:val="none"/>
              </w:rPr>
              <w:t>BOD</w:t>
            </w:r>
            <w:r>
              <w:rPr>
                <w:color w:val="auto"/>
                <w:sz w:val="21"/>
                <w:szCs w:val="21"/>
                <w:highlight w:val="none"/>
                <w:vertAlign w:val="subscript"/>
              </w:rPr>
              <w:t>5</w:t>
            </w:r>
          </w:p>
        </w:tc>
        <w:tc>
          <w:tcPr>
            <w:tcW w:w="1596" w:type="dxa"/>
            <w:vMerge w:val="restart"/>
            <w:vAlign w:val="center"/>
          </w:tcPr>
          <w:p>
            <w:pPr>
              <w:adjustRightInd w:val="0"/>
              <w:snapToGrid w:val="0"/>
              <w:jc w:val="center"/>
              <w:rPr>
                <w:color w:val="auto"/>
                <w:szCs w:val="21"/>
                <w:highlight w:val="none"/>
              </w:rPr>
            </w:pPr>
            <w:r>
              <w:rPr>
                <w:rFonts w:hint="eastAsia"/>
                <w:color w:val="auto"/>
                <w:szCs w:val="21"/>
                <w:highlight w:val="none"/>
              </w:rPr>
              <w:t>酸碱中和池+消毒池+化粪池</w:t>
            </w:r>
          </w:p>
        </w:tc>
        <w:tc>
          <w:tcPr>
            <w:tcW w:w="3041" w:type="dxa"/>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continue"/>
            <w:vAlign w:val="center"/>
          </w:tcPr>
          <w:p>
            <w:pPr>
              <w:adjustRightInd w:val="0"/>
              <w:snapToGrid w:val="0"/>
              <w:jc w:val="center"/>
              <w:rPr>
                <w:color w:val="auto"/>
                <w:sz w:val="24"/>
                <w:highlight w:val="none"/>
              </w:rPr>
            </w:pPr>
          </w:p>
        </w:tc>
        <w:tc>
          <w:tcPr>
            <w:tcW w:w="1600" w:type="dxa"/>
            <w:vMerge w:val="continue"/>
            <w:vAlign w:val="center"/>
          </w:tcPr>
          <w:p>
            <w:pPr>
              <w:adjustRightInd w:val="0"/>
              <w:snapToGrid w:val="0"/>
              <w:jc w:val="center"/>
              <w:rPr>
                <w:color w:val="auto"/>
                <w:szCs w:val="21"/>
                <w:highlight w:val="none"/>
              </w:rPr>
            </w:pPr>
          </w:p>
        </w:tc>
        <w:tc>
          <w:tcPr>
            <w:tcW w:w="1465" w:type="dxa"/>
            <w:vAlign w:val="center"/>
          </w:tcPr>
          <w:p>
            <w:pPr>
              <w:pStyle w:val="36"/>
              <w:spacing w:line="240" w:lineRule="auto"/>
              <w:ind w:firstLine="0" w:firstLineChars="0"/>
              <w:jc w:val="center"/>
              <w:rPr>
                <w:color w:val="auto"/>
                <w:highlight w:val="none"/>
              </w:rPr>
            </w:pPr>
            <w:r>
              <w:rPr>
                <w:color w:val="auto"/>
                <w:sz w:val="21"/>
                <w:szCs w:val="21"/>
                <w:highlight w:val="none"/>
              </w:rPr>
              <w:t>氨氮</w:t>
            </w:r>
          </w:p>
        </w:tc>
        <w:tc>
          <w:tcPr>
            <w:tcW w:w="1596" w:type="dxa"/>
            <w:vMerge w:val="continue"/>
            <w:vAlign w:val="center"/>
          </w:tcPr>
          <w:p>
            <w:pPr>
              <w:adjustRightInd w:val="0"/>
              <w:snapToGrid w:val="0"/>
              <w:jc w:val="center"/>
              <w:rPr>
                <w:color w:val="auto"/>
                <w:szCs w:val="21"/>
                <w:highlight w:val="none"/>
              </w:rPr>
            </w:pPr>
          </w:p>
        </w:tc>
        <w:tc>
          <w:tcPr>
            <w:tcW w:w="3041" w:type="dxa"/>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continue"/>
            <w:vAlign w:val="center"/>
          </w:tcPr>
          <w:p>
            <w:pPr>
              <w:adjustRightInd w:val="0"/>
              <w:snapToGrid w:val="0"/>
              <w:jc w:val="center"/>
              <w:rPr>
                <w:color w:val="auto"/>
                <w:sz w:val="24"/>
                <w:highlight w:val="none"/>
              </w:rPr>
            </w:pPr>
          </w:p>
        </w:tc>
        <w:tc>
          <w:tcPr>
            <w:tcW w:w="1600" w:type="dxa"/>
            <w:vMerge w:val="continue"/>
            <w:vAlign w:val="center"/>
          </w:tcPr>
          <w:p>
            <w:pPr>
              <w:adjustRightInd w:val="0"/>
              <w:snapToGrid w:val="0"/>
              <w:jc w:val="center"/>
              <w:rPr>
                <w:color w:val="auto"/>
                <w:szCs w:val="21"/>
                <w:highlight w:val="none"/>
              </w:rPr>
            </w:pPr>
          </w:p>
        </w:tc>
        <w:tc>
          <w:tcPr>
            <w:tcW w:w="1465" w:type="dxa"/>
            <w:vAlign w:val="center"/>
          </w:tcPr>
          <w:p>
            <w:pPr>
              <w:pStyle w:val="30"/>
              <w:rPr>
                <w:color w:val="auto"/>
                <w:highlight w:val="none"/>
              </w:rPr>
            </w:pPr>
            <w:r>
              <w:rPr>
                <w:rFonts w:hint="eastAsia"/>
                <w:color w:val="auto"/>
                <w:highlight w:val="none"/>
              </w:rPr>
              <w:t>COD</w:t>
            </w:r>
          </w:p>
        </w:tc>
        <w:tc>
          <w:tcPr>
            <w:tcW w:w="1596" w:type="dxa"/>
            <w:vMerge w:val="continue"/>
            <w:vAlign w:val="center"/>
          </w:tcPr>
          <w:p>
            <w:pPr>
              <w:adjustRightInd w:val="0"/>
              <w:snapToGrid w:val="0"/>
              <w:jc w:val="center"/>
              <w:rPr>
                <w:color w:val="auto"/>
                <w:szCs w:val="21"/>
                <w:highlight w:val="none"/>
              </w:rPr>
            </w:pPr>
          </w:p>
        </w:tc>
        <w:tc>
          <w:tcPr>
            <w:tcW w:w="3041" w:type="dxa"/>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continue"/>
            <w:vAlign w:val="center"/>
          </w:tcPr>
          <w:p>
            <w:pPr>
              <w:adjustRightInd w:val="0"/>
              <w:snapToGrid w:val="0"/>
              <w:jc w:val="center"/>
              <w:rPr>
                <w:color w:val="auto"/>
                <w:sz w:val="24"/>
                <w:highlight w:val="none"/>
              </w:rPr>
            </w:pPr>
          </w:p>
        </w:tc>
        <w:tc>
          <w:tcPr>
            <w:tcW w:w="1600" w:type="dxa"/>
            <w:vMerge w:val="continue"/>
            <w:vAlign w:val="center"/>
          </w:tcPr>
          <w:p>
            <w:pPr>
              <w:adjustRightInd w:val="0"/>
              <w:snapToGrid w:val="0"/>
              <w:jc w:val="center"/>
              <w:rPr>
                <w:color w:val="auto"/>
                <w:szCs w:val="21"/>
                <w:highlight w:val="none"/>
              </w:rPr>
            </w:pPr>
          </w:p>
        </w:tc>
        <w:tc>
          <w:tcPr>
            <w:tcW w:w="1465" w:type="dxa"/>
            <w:vAlign w:val="center"/>
          </w:tcPr>
          <w:p>
            <w:pPr>
              <w:pStyle w:val="30"/>
              <w:rPr>
                <w:color w:val="auto"/>
                <w:highlight w:val="none"/>
              </w:rPr>
            </w:pPr>
            <w:r>
              <w:rPr>
                <w:rFonts w:hint="eastAsia"/>
                <w:color w:val="auto"/>
                <w:highlight w:val="none"/>
              </w:rPr>
              <w:t>悬浮物</w:t>
            </w:r>
          </w:p>
        </w:tc>
        <w:tc>
          <w:tcPr>
            <w:tcW w:w="1596" w:type="dxa"/>
            <w:vMerge w:val="continue"/>
            <w:vAlign w:val="center"/>
          </w:tcPr>
          <w:p>
            <w:pPr>
              <w:adjustRightInd w:val="0"/>
              <w:snapToGrid w:val="0"/>
              <w:jc w:val="center"/>
              <w:rPr>
                <w:color w:val="auto"/>
                <w:szCs w:val="21"/>
                <w:highlight w:val="none"/>
              </w:rPr>
            </w:pPr>
          </w:p>
        </w:tc>
        <w:tc>
          <w:tcPr>
            <w:tcW w:w="3041" w:type="dxa"/>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restart"/>
            <w:vAlign w:val="center"/>
          </w:tcPr>
          <w:p>
            <w:pPr>
              <w:adjustRightInd w:val="0"/>
              <w:snapToGrid w:val="0"/>
              <w:jc w:val="center"/>
              <w:rPr>
                <w:color w:val="auto"/>
                <w:sz w:val="24"/>
                <w:highlight w:val="none"/>
              </w:rPr>
            </w:pPr>
            <w:r>
              <w:rPr>
                <w:color w:val="auto"/>
                <w:sz w:val="24"/>
                <w:highlight w:val="none"/>
              </w:rPr>
              <w:t>声环境</w:t>
            </w:r>
          </w:p>
        </w:tc>
        <w:tc>
          <w:tcPr>
            <w:tcW w:w="1600" w:type="dxa"/>
            <w:vAlign w:val="center"/>
          </w:tcPr>
          <w:p>
            <w:pPr>
              <w:pStyle w:val="30"/>
              <w:rPr>
                <w:color w:val="auto"/>
                <w:highlight w:val="none"/>
              </w:rPr>
            </w:pPr>
            <w:r>
              <w:rPr>
                <w:rFonts w:hint="eastAsia"/>
                <w:color w:val="auto"/>
                <w:highlight w:val="none"/>
              </w:rPr>
              <w:t>N1师生生活噪声</w:t>
            </w:r>
          </w:p>
        </w:tc>
        <w:tc>
          <w:tcPr>
            <w:tcW w:w="1465" w:type="dxa"/>
            <w:vMerge w:val="restart"/>
            <w:vAlign w:val="center"/>
          </w:tcPr>
          <w:p>
            <w:pPr>
              <w:adjustRightInd w:val="0"/>
              <w:snapToGrid w:val="0"/>
              <w:jc w:val="center"/>
              <w:rPr>
                <w:color w:val="auto"/>
                <w:szCs w:val="21"/>
                <w:highlight w:val="none"/>
              </w:rPr>
            </w:pPr>
            <w:r>
              <w:rPr>
                <w:rFonts w:hint="eastAsia"/>
                <w:color w:val="auto"/>
                <w:szCs w:val="21"/>
                <w:highlight w:val="none"/>
              </w:rPr>
              <w:t>等效连续A声级</w:t>
            </w:r>
          </w:p>
        </w:tc>
        <w:tc>
          <w:tcPr>
            <w:tcW w:w="1596" w:type="dxa"/>
            <w:vMerge w:val="restart"/>
            <w:vAlign w:val="center"/>
          </w:tcPr>
          <w:p>
            <w:pPr>
              <w:adjustRightInd w:val="0"/>
              <w:snapToGrid w:val="0"/>
              <w:jc w:val="center"/>
              <w:rPr>
                <w:color w:val="auto"/>
                <w:szCs w:val="21"/>
                <w:highlight w:val="none"/>
              </w:rPr>
            </w:pPr>
            <w:r>
              <w:rPr>
                <w:color w:val="auto"/>
                <w:szCs w:val="21"/>
                <w:highlight w:val="none"/>
              </w:rPr>
              <w:t>选用先进、低噪声设备；对各类机械、设备定期检修、维护等</w:t>
            </w:r>
          </w:p>
        </w:tc>
        <w:tc>
          <w:tcPr>
            <w:tcW w:w="3041" w:type="dxa"/>
            <w:vMerge w:val="restart"/>
            <w:vAlign w:val="center"/>
          </w:tcPr>
          <w:p>
            <w:pPr>
              <w:adjustRightInd w:val="0"/>
              <w:snapToGrid w:val="0"/>
              <w:jc w:val="center"/>
              <w:rPr>
                <w:color w:val="auto"/>
                <w:szCs w:val="21"/>
                <w:highlight w:val="none"/>
              </w:rPr>
            </w:pPr>
            <w:r>
              <w:rPr>
                <w:color w:val="auto"/>
                <w:szCs w:val="21"/>
                <w:highlight w:val="none"/>
              </w:rPr>
              <w:t>《工业企业厂界环境噪声排放标准》（GB12348-2008）中</w:t>
            </w:r>
            <w:r>
              <w:rPr>
                <w:rFonts w:hint="eastAsia"/>
                <w:color w:val="auto"/>
                <w:szCs w:val="21"/>
                <w:highlight w:val="none"/>
              </w:rPr>
              <w:t>1</w:t>
            </w:r>
            <w:r>
              <w:rPr>
                <w:color w:val="auto"/>
                <w:szCs w:val="21"/>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continue"/>
            <w:vAlign w:val="center"/>
          </w:tcPr>
          <w:p>
            <w:pPr>
              <w:adjustRightInd w:val="0"/>
              <w:snapToGrid w:val="0"/>
              <w:jc w:val="center"/>
              <w:rPr>
                <w:color w:val="auto"/>
                <w:sz w:val="24"/>
                <w:highlight w:val="none"/>
              </w:rPr>
            </w:pPr>
          </w:p>
        </w:tc>
        <w:tc>
          <w:tcPr>
            <w:tcW w:w="1600" w:type="dxa"/>
            <w:vAlign w:val="center"/>
          </w:tcPr>
          <w:p>
            <w:pPr>
              <w:pStyle w:val="30"/>
              <w:rPr>
                <w:color w:val="auto"/>
                <w:highlight w:val="none"/>
              </w:rPr>
            </w:pPr>
            <w:r>
              <w:rPr>
                <w:color w:val="auto"/>
                <w:highlight w:val="none"/>
              </w:rPr>
              <w:t xml:space="preserve">N2 </w:t>
            </w:r>
            <w:r>
              <w:rPr>
                <w:rFonts w:hint="eastAsia"/>
                <w:color w:val="auto"/>
                <w:highlight w:val="none"/>
              </w:rPr>
              <w:t>实验室设备噪声</w:t>
            </w:r>
          </w:p>
        </w:tc>
        <w:tc>
          <w:tcPr>
            <w:tcW w:w="1465" w:type="dxa"/>
            <w:vMerge w:val="continue"/>
            <w:vAlign w:val="center"/>
          </w:tcPr>
          <w:p>
            <w:pPr>
              <w:adjustRightInd w:val="0"/>
              <w:snapToGrid w:val="0"/>
              <w:jc w:val="center"/>
              <w:rPr>
                <w:color w:val="auto"/>
                <w:sz w:val="24"/>
                <w:highlight w:val="none"/>
              </w:rPr>
            </w:pPr>
          </w:p>
        </w:tc>
        <w:tc>
          <w:tcPr>
            <w:tcW w:w="1596" w:type="dxa"/>
            <w:vMerge w:val="continue"/>
            <w:vAlign w:val="center"/>
          </w:tcPr>
          <w:p>
            <w:pPr>
              <w:adjustRightInd w:val="0"/>
              <w:snapToGrid w:val="0"/>
              <w:jc w:val="center"/>
              <w:rPr>
                <w:color w:val="auto"/>
                <w:sz w:val="24"/>
                <w:highlight w:val="none"/>
              </w:rPr>
            </w:pPr>
          </w:p>
        </w:tc>
        <w:tc>
          <w:tcPr>
            <w:tcW w:w="3041" w:type="dxa"/>
            <w:vMerge w:val="continue"/>
            <w:vAlign w:val="center"/>
          </w:tcPr>
          <w:p>
            <w:pPr>
              <w:adjustRightInd w:val="0"/>
              <w:snapToGrid w:val="0"/>
              <w:jc w:val="center"/>
              <w:rPr>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8" w:type="dxa"/>
            <w:vMerge w:val="continue"/>
            <w:vAlign w:val="center"/>
          </w:tcPr>
          <w:p>
            <w:pPr>
              <w:adjustRightInd w:val="0"/>
              <w:snapToGrid w:val="0"/>
              <w:jc w:val="center"/>
              <w:rPr>
                <w:color w:val="auto"/>
                <w:sz w:val="24"/>
                <w:highlight w:val="none"/>
              </w:rPr>
            </w:pPr>
          </w:p>
        </w:tc>
        <w:tc>
          <w:tcPr>
            <w:tcW w:w="1600" w:type="dxa"/>
            <w:vAlign w:val="center"/>
          </w:tcPr>
          <w:p>
            <w:pPr>
              <w:pStyle w:val="30"/>
              <w:rPr>
                <w:color w:val="auto"/>
                <w:highlight w:val="none"/>
              </w:rPr>
            </w:pPr>
            <w:r>
              <w:rPr>
                <w:color w:val="auto"/>
                <w:highlight w:val="none"/>
              </w:rPr>
              <w:t xml:space="preserve">N3 </w:t>
            </w:r>
            <w:r>
              <w:rPr>
                <w:rFonts w:hint="eastAsia"/>
                <w:color w:val="auto"/>
                <w:highlight w:val="none"/>
              </w:rPr>
              <w:t>辅助设备噪声</w:t>
            </w:r>
          </w:p>
        </w:tc>
        <w:tc>
          <w:tcPr>
            <w:tcW w:w="1465" w:type="dxa"/>
            <w:vMerge w:val="continue"/>
            <w:vAlign w:val="center"/>
          </w:tcPr>
          <w:p>
            <w:pPr>
              <w:adjustRightInd w:val="0"/>
              <w:snapToGrid w:val="0"/>
              <w:jc w:val="center"/>
              <w:rPr>
                <w:color w:val="auto"/>
                <w:sz w:val="24"/>
                <w:highlight w:val="none"/>
              </w:rPr>
            </w:pPr>
          </w:p>
        </w:tc>
        <w:tc>
          <w:tcPr>
            <w:tcW w:w="1596" w:type="dxa"/>
            <w:vMerge w:val="continue"/>
            <w:vAlign w:val="center"/>
          </w:tcPr>
          <w:p>
            <w:pPr>
              <w:adjustRightInd w:val="0"/>
              <w:snapToGrid w:val="0"/>
              <w:jc w:val="center"/>
              <w:rPr>
                <w:color w:val="auto"/>
                <w:sz w:val="24"/>
                <w:highlight w:val="none"/>
              </w:rPr>
            </w:pPr>
          </w:p>
        </w:tc>
        <w:tc>
          <w:tcPr>
            <w:tcW w:w="3041" w:type="dxa"/>
            <w:vMerge w:val="continue"/>
            <w:vAlign w:val="center"/>
          </w:tcPr>
          <w:p>
            <w:pPr>
              <w:adjustRightInd w:val="0"/>
              <w:snapToGrid w:val="0"/>
              <w:jc w:val="center"/>
              <w:rPr>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58" w:type="dxa"/>
            <w:vAlign w:val="center"/>
          </w:tcPr>
          <w:p>
            <w:pPr>
              <w:adjustRightInd w:val="0"/>
              <w:snapToGrid w:val="0"/>
              <w:jc w:val="center"/>
              <w:rPr>
                <w:color w:val="auto"/>
                <w:sz w:val="24"/>
                <w:highlight w:val="none"/>
              </w:rPr>
            </w:pPr>
            <w:r>
              <w:rPr>
                <w:color w:val="auto"/>
                <w:sz w:val="24"/>
                <w:highlight w:val="none"/>
              </w:rPr>
              <w:t>电磁辐射</w:t>
            </w:r>
          </w:p>
        </w:tc>
        <w:tc>
          <w:tcPr>
            <w:tcW w:w="7702" w:type="dxa"/>
            <w:gridSpan w:val="4"/>
            <w:vAlign w:val="center"/>
          </w:tcPr>
          <w:p>
            <w:pPr>
              <w:adjustRightInd w:val="0"/>
              <w:snapToGrid w:val="0"/>
              <w:jc w:val="center"/>
              <w:rPr>
                <w:color w:val="auto"/>
                <w:sz w:val="24"/>
                <w:highlight w:val="none"/>
              </w:rPr>
            </w:pPr>
            <w:r>
              <w:rPr>
                <w:rFonts w:hint="eastAsia"/>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58" w:type="dxa"/>
            <w:vAlign w:val="center"/>
          </w:tcPr>
          <w:p>
            <w:pPr>
              <w:adjustRightInd w:val="0"/>
              <w:snapToGrid w:val="0"/>
              <w:jc w:val="center"/>
              <w:rPr>
                <w:color w:val="auto"/>
                <w:sz w:val="24"/>
                <w:highlight w:val="none"/>
              </w:rPr>
            </w:pPr>
            <w:r>
              <w:rPr>
                <w:color w:val="auto"/>
                <w:sz w:val="24"/>
                <w:highlight w:val="none"/>
              </w:rPr>
              <w:t>固体废物</w:t>
            </w:r>
          </w:p>
        </w:tc>
        <w:tc>
          <w:tcPr>
            <w:tcW w:w="7702" w:type="dxa"/>
            <w:gridSpan w:val="4"/>
            <w:vAlign w:val="center"/>
          </w:tcPr>
          <w:p>
            <w:pPr>
              <w:pStyle w:val="36"/>
              <w:ind w:firstLine="480"/>
              <w:rPr>
                <w:color w:val="auto"/>
                <w:highlight w:val="none"/>
              </w:rPr>
            </w:pPr>
            <w:r>
              <w:rPr>
                <w:rFonts w:hint="eastAsia"/>
                <w:color w:val="auto"/>
                <w:highlight w:val="none"/>
              </w:rPr>
              <w:t>（1）一般</w:t>
            </w:r>
            <w:r>
              <w:rPr>
                <w:color w:val="auto"/>
                <w:highlight w:val="none"/>
              </w:rPr>
              <w:t>固废</w:t>
            </w:r>
          </w:p>
          <w:p>
            <w:pPr>
              <w:pStyle w:val="36"/>
              <w:ind w:firstLine="480"/>
              <w:rPr>
                <w:color w:val="auto"/>
                <w:highlight w:val="none"/>
              </w:rPr>
            </w:pPr>
            <w:r>
              <w:rPr>
                <w:rFonts w:hint="eastAsia"/>
                <w:color w:val="auto"/>
                <w:highlight w:val="none"/>
              </w:rPr>
              <w:t>本项目产生的一般固废包括实验室一般固废（如不涉及危险化学品的包装物、破旧容器等），以及化粪池定期清掏产生的污泥。本项目实验室一般固废分类处理，能回收利用的部分交由专门机构回收，与生活垃圾性质类似的同生活垃圾一起由环卫部门清运。项目一般固废的</w:t>
            </w:r>
            <w:r>
              <w:rPr>
                <w:color w:val="auto"/>
                <w:highlight w:val="none"/>
              </w:rPr>
              <w:t>存储及运输去向执行《</w:t>
            </w:r>
            <w:r>
              <w:rPr>
                <w:rFonts w:hint="eastAsia"/>
                <w:color w:val="auto"/>
                <w:highlight w:val="none"/>
              </w:rPr>
              <w:t>一般工业固体废物贮存和填埋污染控制标准</w:t>
            </w:r>
            <w:r>
              <w:rPr>
                <w:color w:val="auto"/>
                <w:highlight w:val="none"/>
              </w:rPr>
              <w:t>》（GB18599-20</w:t>
            </w:r>
            <w:r>
              <w:rPr>
                <w:rFonts w:hint="eastAsia"/>
                <w:color w:val="auto"/>
                <w:highlight w:val="none"/>
              </w:rPr>
              <w:t>20</w:t>
            </w:r>
            <w:r>
              <w:rPr>
                <w:color w:val="auto"/>
                <w:highlight w:val="none"/>
              </w:rPr>
              <w:t>）</w:t>
            </w:r>
            <w:r>
              <w:rPr>
                <w:rFonts w:hint="eastAsia"/>
                <w:color w:val="auto"/>
                <w:highlight w:val="none"/>
              </w:rPr>
              <w:t>、《</w:t>
            </w:r>
            <w:r>
              <w:rPr>
                <w:rFonts w:hint="eastAsia"/>
                <w:color w:val="auto"/>
                <w:highlight w:val="none"/>
                <w:lang w:eastAsia="zh-CN"/>
              </w:rPr>
              <w:t>中华人民共和国固体废物污染环境防治法</w:t>
            </w:r>
            <w:bookmarkStart w:id="24" w:name="_GoBack"/>
            <w:bookmarkEnd w:id="24"/>
            <w:r>
              <w:rPr>
                <w:rFonts w:hint="eastAsia"/>
                <w:color w:val="auto"/>
                <w:highlight w:val="none"/>
              </w:rPr>
              <w:t>》中的相关规定。</w:t>
            </w:r>
          </w:p>
          <w:p>
            <w:pPr>
              <w:pStyle w:val="36"/>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）生活垃圾、厨余垃圾</w:t>
            </w:r>
          </w:p>
          <w:p>
            <w:pPr>
              <w:pStyle w:val="36"/>
              <w:ind w:firstLine="480"/>
              <w:rPr>
                <w:color w:val="auto"/>
                <w:highlight w:val="none"/>
              </w:rPr>
            </w:pPr>
            <w:r>
              <w:rPr>
                <w:rFonts w:hint="eastAsia"/>
                <w:color w:val="auto"/>
                <w:highlight w:val="none"/>
              </w:rPr>
              <w:t>师生</w:t>
            </w:r>
            <w:r>
              <w:rPr>
                <w:color w:val="auto"/>
                <w:highlight w:val="none"/>
              </w:rPr>
              <w:t>产生的生活垃圾经分类收集，委托环卫部门统一外运处置</w:t>
            </w:r>
            <w:r>
              <w:rPr>
                <w:rFonts w:hint="eastAsia"/>
                <w:color w:val="auto"/>
                <w:highlight w:val="none"/>
              </w:rPr>
              <w:t>，</w:t>
            </w:r>
            <w:r>
              <w:rPr>
                <w:color w:val="auto"/>
                <w:highlight w:val="none"/>
              </w:rPr>
              <w:t>不会对环境造成不良影响。</w:t>
            </w:r>
          </w:p>
          <w:p>
            <w:pPr>
              <w:pStyle w:val="36"/>
              <w:ind w:firstLine="480"/>
              <w:rPr>
                <w:color w:val="auto"/>
                <w:highlight w:val="none"/>
              </w:rPr>
            </w:pPr>
            <w:r>
              <w:rPr>
                <w:rFonts w:hint="eastAsia"/>
                <w:color w:val="auto"/>
                <w:highlight w:val="none"/>
              </w:rPr>
              <w:t>餐厅产生的厨余垃圾单独收集、分类存放，设置专用的密闭收集容器，不得裸露存放；定期将厨余垃圾交给与其签订协议的收集运输企业，</w:t>
            </w:r>
            <w:r>
              <w:rPr>
                <w:color w:val="auto"/>
                <w:highlight w:val="none"/>
              </w:rPr>
              <w:t>不会对环境造成不良影响。</w:t>
            </w:r>
          </w:p>
          <w:p>
            <w:pPr>
              <w:pStyle w:val="36"/>
              <w:ind w:firstLine="480"/>
              <w:rPr>
                <w:color w:val="auto"/>
                <w:highlight w:val="none"/>
              </w:rPr>
            </w:pPr>
            <w:r>
              <w:rPr>
                <w:rFonts w:hint="eastAsia"/>
                <w:color w:val="auto"/>
                <w:highlight w:val="none"/>
              </w:rPr>
              <w:t>（3）危险废物</w:t>
            </w:r>
          </w:p>
          <w:p>
            <w:pPr>
              <w:pStyle w:val="36"/>
              <w:ind w:firstLine="480"/>
              <w:rPr>
                <w:color w:val="auto"/>
                <w:highlight w:val="none"/>
              </w:rPr>
            </w:pPr>
            <w:r>
              <w:rPr>
                <w:rFonts w:hint="eastAsia"/>
                <w:color w:val="auto"/>
                <w:highlight w:val="none"/>
              </w:rPr>
              <w:t>项目产生的危险废物主要为实验室危险废物、废活性炭，设不同容器分类收集，项目产生的危险废物先暂存至综合楼危废暂存点，后委托</w:t>
            </w:r>
            <w:r>
              <w:rPr>
                <w:rFonts w:hint="eastAsia"/>
                <w:color w:val="auto"/>
                <w:highlight w:val="none"/>
                <w:lang w:eastAsia="zh-CN"/>
              </w:rPr>
              <w:t>有资质的单位</w:t>
            </w:r>
            <w:r>
              <w:rPr>
                <w:rFonts w:hint="eastAsia"/>
                <w:color w:val="auto"/>
                <w:highlight w:val="none"/>
              </w:rPr>
              <w:t>定期转运处理。本项目在综合楼东南角道路旁设置了</w:t>
            </w:r>
            <w:r>
              <w:rPr>
                <w:rFonts w:hint="eastAsia"/>
                <w:color w:val="auto"/>
                <w:highlight w:val="none"/>
                <w:lang w:eastAsia="zh-CN"/>
              </w:rPr>
              <w:t>危废间</w:t>
            </w:r>
            <w:r>
              <w:rPr>
                <w:rFonts w:hint="eastAsia"/>
                <w:color w:val="auto"/>
                <w:highlight w:val="none"/>
              </w:rPr>
              <w:t>、废液间，各占地21.5m</w:t>
            </w:r>
            <w:r>
              <w:rPr>
                <w:rFonts w:hint="eastAsia"/>
                <w:color w:val="auto"/>
                <w:highlight w:val="none"/>
                <w:vertAlign w:val="superscript"/>
              </w:rPr>
              <w:t>2</w:t>
            </w:r>
            <w:r>
              <w:rPr>
                <w:rFonts w:hint="eastAsia"/>
                <w:color w:val="auto"/>
                <w:highlight w:val="none"/>
              </w:rPr>
              <w:t>。危险废物临时贮存点应按照《危险废物贮存污染控制标准》（GB18597-20</w:t>
            </w:r>
            <w:r>
              <w:rPr>
                <w:rFonts w:hint="eastAsia"/>
                <w:color w:val="auto"/>
                <w:highlight w:val="none"/>
                <w:lang w:val="en-US" w:eastAsia="zh-CN"/>
              </w:rPr>
              <w:t>23</w:t>
            </w:r>
            <w:r>
              <w:rPr>
                <w:rFonts w:hint="eastAsia"/>
                <w:color w:val="auto"/>
                <w:highlight w:val="none"/>
              </w:rPr>
              <w:t>）的有关规定设立。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58" w:type="dxa"/>
            <w:vAlign w:val="center"/>
          </w:tcPr>
          <w:p>
            <w:pPr>
              <w:adjustRightInd w:val="0"/>
              <w:snapToGrid w:val="0"/>
              <w:jc w:val="center"/>
              <w:rPr>
                <w:color w:val="auto"/>
                <w:sz w:val="24"/>
                <w:highlight w:val="none"/>
              </w:rPr>
            </w:pPr>
            <w:r>
              <w:rPr>
                <w:color w:val="auto"/>
                <w:sz w:val="24"/>
                <w:highlight w:val="none"/>
              </w:rPr>
              <w:t>土壤及地下水污染防治措施</w:t>
            </w:r>
          </w:p>
        </w:tc>
        <w:tc>
          <w:tcPr>
            <w:tcW w:w="7702" w:type="dxa"/>
            <w:gridSpan w:val="4"/>
            <w:vAlign w:val="center"/>
          </w:tcPr>
          <w:p>
            <w:pPr>
              <w:adjustRightInd w:val="0"/>
              <w:snapToGrid w:val="0"/>
              <w:spacing w:line="360" w:lineRule="auto"/>
              <w:ind w:firstLine="480" w:firstLineChars="200"/>
              <w:jc w:val="left"/>
              <w:rPr>
                <w:color w:val="auto"/>
                <w:sz w:val="24"/>
                <w:highlight w:val="none"/>
              </w:rPr>
            </w:pPr>
            <w:r>
              <w:rPr>
                <w:rFonts w:hint="eastAsia"/>
                <w:color w:val="auto"/>
                <w:sz w:val="24"/>
                <w:highlight w:val="none"/>
              </w:rPr>
              <w:t>项目一般工业固废暂存场所及危险废物暂存间严格按照《一般工业固体废物贮存和填埋污染控制标准》（GB18599-2020）的要求及《危险废物贮存污染控制标准》（GB18597-20</w:t>
            </w:r>
            <w:r>
              <w:rPr>
                <w:rFonts w:hint="eastAsia"/>
                <w:color w:val="auto"/>
                <w:sz w:val="24"/>
                <w:highlight w:val="none"/>
                <w:lang w:val="en-US" w:eastAsia="zh-CN"/>
              </w:rPr>
              <w:t>23</w:t>
            </w:r>
            <w:r>
              <w:rPr>
                <w:rFonts w:hint="eastAsia"/>
                <w:color w:val="auto"/>
                <w:sz w:val="24"/>
                <w:highlight w:val="none"/>
              </w:rPr>
              <w:t>）要求进行建设，具备防风、防雨、防晒、防渗漏等要求。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58" w:type="dxa"/>
            <w:vAlign w:val="center"/>
          </w:tcPr>
          <w:p>
            <w:pPr>
              <w:adjustRightInd w:val="0"/>
              <w:snapToGrid w:val="0"/>
              <w:jc w:val="center"/>
              <w:rPr>
                <w:color w:val="auto"/>
                <w:sz w:val="24"/>
                <w:highlight w:val="none"/>
              </w:rPr>
            </w:pPr>
            <w:r>
              <w:rPr>
                <w:color w:val="auto"/>
                <w:sz w:val="24"/>
                <w:highlight w:val="none"/>
              </w:rPr>
              <w:t>生态保护措施</w:t>
            </w:r>
          </w:p>
        </w:tc>
        <w:tc>
          <w:tcPr>
            <w:tcW w:w="7702" w:type="dxa"/>
            <w:gridSpan w:val="4"/>
            <w:vAlign w:val="center"/>
          </w:tcPr>
          <w:p>
            <w:pPr>
              <w:adjustRightInd w:val="0"/>
              <w:snapToGrid w:val="0"/>
              <w:spacing w:line="360" w:lineRule="auto"/>
              <w:jc w:val="center"/>
              <w:rPr>
                <w:color w:val="auto"/>
                <w:sz w:val="24"/>
                <w:highlight w:val="none"/>
              </w:rPr>
            </w:pPr>
            <w:r>
              <w:rPr>
                <w:rFonts w:hint="eastAsia"/>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58" w:type="dxa"/>
            <w:vAlign w:val="center"/>
          </w:tcPr>
          <w:p>
            <w:pPr>
              <w:adjustRightInd w:val="0"/>
              <w:snapToGrid w:val="0"/>
              <w:jc w:val="center"/>
              <w:rPr>
                <w:color w:val="auto"/>
                <w:spacing w:val="-8"/>
                <w:sz w:val="24"/>
                <w:highlight w:val="none"/>
              </w:rPr>
            </w:pPr>
            <w:r>
              <w:rPr>
                <w:color w:val="auto"/>
                <w:spacing w:val="-8"/>
                <w:sz w:val="24"/>
                <w:highlight w:val="none"/>
              </w:rPr>
              <w:t>环境风险</w:t>
            </w:r>
          </w:p>
          <w:p>
            <w:pPr>
              <w:adjustRightInd w:val="0"/>
              <w:snapToGrid w:val="0"/>
              <w:jc w:val="center"/>
              <w:rPr>
                <w:color w:val="auto"/>
                <w:spacing w:val="-8"/>
                <w:sz w:val="24"/>
                <w:highlight w:val="none"/>
              </w:rPr>
            </w:pPr>
            <w:r>
              <w:rPr>
                <w:color w:val="auto"/>
                <w:spacing w:val="-8"/>
                <w:sz w:val="24"/>
                <w:highlight w:val="none"/>
              </w:rPr>
              <w:t>防范措施</w:t>
            </w:r>
          </w:p>
        </w:tc>
        <w:tc>
          <w:tcPr>
            <w:tcW w:w="7702" w:type="dxa"/>
            <w:gridSpan w:val="4"/>
            <w:vAlign w:val="center"/>
          </w:tcPr>
          <w:p>
            <w:pPr>
              <w:spacing w:line="360" w:lineRule="auto"/>
              <w:ind w:firstLine="480" w:firstLineChars="200"/>
              <w:rPr>
                <w:color w:val="auto"/>
                <w:sz w:val="24"/>
                <w:highlight w:val="none"/>
              </w:rPr>
            </w:pPr>
            <w:r>
              <w:rPr>
                <w:rFonts w:hint="eastAsia"/>
                <w:color w:val="auto"/>
                <w:sz w:val="24"/>
                <w:highlight w:val="none"/>
              </w:rPr>
              <w:t>（1）危险化学品泄漏事故风险防范措施</w:t>
            </w:r>
          </w:p>
          <w:p>
            <w:pPr>
              <w:spacing w:line="360" w:lineRule="auto"/>
              <w:ind w:firstLine="480" w:firstLineChars="200"/>
              <w:rPr>
                <w:color w:val="auto"/>
                <w:sz w:val="24"/>
                <w:highlight w:val="none"/>
              </w:rPr>
            </w:pPr>
            <w:r>
              <w:rPr>
                <w:rFonts w:hint="eastAsia"/>
                <w:color w:val="auto"/>
                <w:sz w:val="24"/>
                <w:highlight w:val="none"/>
              </w:rPr>
              <w:t>①设置专门的危险废物暂存间，地面采取防渗，设置警示标识等。</w:t>
            </w:r>
          </w:p>
          <w:p>
            <w:pPr>
              <w:spacing w:line="360" w:lineRule="auto"/>
              <w:ind w:firstLine="480" w:firstLineChars="200"/>
              <w:rPr>
                <w:color w:val="auto"/>
                <w:sz w:val="24"/>
                <w:highlight w:val="none"/>
              </w:rPr>
            </w:pPr>
            <w:r>
              <w:rPr>
                <w:rFonts w:hint="eastAsia"/>
                <w:color w:val="auto"/>
                <w:sz w:val="24"/>
                <w:highlight w:val="none"/>
              </w:rPr>
              <w:t>②加强管理，严格要求师生的实验操作符合规范，避免因操作失误造成危险化学品泄漏。</w:t>
            </w:r>
          </w:p>
          <w:p>
            <w:pPr>
              <w:spacing w:line="360" w:lineRule="auto"/>
              <w:ind w:firstLine="480" w:firstLineChars="200"/>
              <w:rPr>
                <w:color w:val="auto"/>
                <w:sz w:val="24"/>
                <w:highlight w:val="none"/>
              </w:rPr>
            </w:pPr>
            <w:r>
              <w:rPr>
                <w:rFonts w:hint="eastAsia"/>
                <w:color w:val="auto"/>
                <w:sz w:val="24"/>
                <w:highlight w:val="none"/>
              </w:rPr>
              <w:t>③定期对比实际存量与使用记录，定期检查化学品存放位置，避免因存放位置位于不适位置造成危害</w:t>
            </w:r>
          </w:p>
          <w:p>
            <w:pPr>
              <w:spacing w:line="360" w:lineRule="auto"/>
              <w:ind w:firstLine="480" w:firstLineChars="200"/>
              <w:rPr>
                <w:color w:val="auto"/>
                <w:sz w:val="24"/>
                <w:highlight w:val="none"/>
              </w:rPr>
            </w:pPr>
            <w:r>
              <w:rPr>
                <w:rFonts w:hint="eastAsia"/>
                <w:color w:val="auto"/>
                <w:sz w:val="24"/>
                <w:highlight w:val="none"/>
              </w:rPr>
              <w:t>（2）火灾事故风险防范措施</w:t>
            </w:r>
          </w:p>
          <w:p>
            <w:pPr>
              <w:spacing w:line="360" w:lineRule="auto"/>
              <w:ind w:firstLine="480" w:firstLineChars="200"/>
              <w:rPr>
                <w:color w:val="auto"/>
                <w:sz w:val="24"/>
                <w:highlight w:val="none"/>
              </w:rPr>
            </w:pPr>
            <w:r>
              <w:rPr>
                <w:rFonts w:hint="eastAsia"/>
                <w:color w:val="auto"/>
                <w:sz w:val="24"/>
                <w:highlight w:val="none"/>
              </w:rPr>
              <w:t>①加强消防设施和灭火器材的配备，严格落实有关消防技术规范的规定，加强人员疏散设施管理，保证疏散通道畅通。</w:t>
            </w:r>
          </w:p>
          <w:p>
            <w:pPr>
              <w:spacing w:line="360" w:lineRule="auto"/>
              <w:ind w:firstLine="480" w:firstLineChars="200"/>
              <w:rPr>
                <w:color w:val="auto"/>
                <w:sz w:val="24"/>
                <w:highlight w:val="none"/>
              </w:rPr>
            </w:pPr>
            <w:r>
              <w:rPr>
                <w:rFonts w:hint="eastAsia"/>
                <w:color w:val="auto"/>
                <w:sz w:val="24"/>
                <w:highlight w:val="none"/>
              </w:rPr>
              <w:t>②定期进行防火安全检查，确保消防设施完整好用。</w:t>
            </w:r>
          </w:p>
          <w:p>
            <w:pPr>
              <w:spacing w:line="360" w:lineRule="auto"/>
              <w:ind w:firstLine="480" w:firstLineChars="200"/>
              <w:rPr>
                <w:color w:val="auto"/>
                <w:sz w:val="24"/>
                <w:highlight w:val="none"/>
              </w:rPr>
            </w:pPr>
            <w:r>
              <w:rPr>
                <w:rFonts w:hint="eastAsia"/>
                <w:color w:val="auto"/>
                <w:sz w:val="24"/>
                <w:highlight w:val="none"/>
              </w:rPr>
              <w:t>③学校要求师生应遵守各项规章制度，强化安全、消防和环保管理，完善环保安全管理机构，完善各项管理制度，加强日常监督检查；学校内严禁烟火。</w:t>
            </w:r>
          </w:p>
          <w:p>
            <w:pPr>
              <w:spacing w:line="360" w:lineRule="auto"/>
              <w:ind w:firstLine="480" w:firstLineChars="200"/>
              <w:rPr>
                <w:color w:val="auto"/>
                <w:sz w:val="24"/>
                <w:highlight w:val="none"/>
              </w:rPr>
            </w:pPr>
            <w:r>
              <w:rPr>
                <w:rFonts w:hint="eastAsia"/>
                <w:color w:val="auto"/>
                <w:sz w:val="24"/>
                <w:highlight w:val="none"/>
              </w:rPr>
              <w:t>（3）废水事故排放及泄漏风险防范措施</w:t>
            </w:r>
          </w:p>
          <w:p>
            <w:pPr>
              <w:spacing w:line="360" w:lineRule="auto"/>
              <w:ind w:firstLine="480" w:firstLineChars="200"/>
              <w:rPr>
                <w:color w:val="auto"/>
                <w:sz w:val="24"/>
                <w:highlight w:val="none"/>
              </w:rPr>
            </w:pPr>
            <w:r>
              <w:rPr>
                <w:rFonts w:hint="eastAsia"/>
                <w:color w:val="auto"/>
                <w:sz w:val="24"/>
                <w:highlight w:val="none"/>
              </w:rPr>
              <w:t>①校区排水实行雨污分流。</w:t>
            </w:r>
          </w:p>
          <w:p>
            <w:pPr>
              <w:spacing w:line="360" w:lineRule="auto"/>
              <w:ind w:firstLine="480" w:firstLineChars="200"/>
              <w:rPr>
                <w:color w:val="auto"/>
                <w:sz w:val="24"/>
                <w:highlight w:val="none"/>
              </w:rPr>
            </w:pPr>
            <w:r>
              <w:rPr>
                <w:rFonts w:hint="eastAsia"/>
                <w:color w:val="auto"/>
                <w:sz w:val="24"/>
                <w:highlight w:val="none"/>
              </w:rPr>
              <w:t>②定期对废水处理设施进行检查和维修。</w:t>
            </w:r>
          </w:p>
          <w:p>
            <w:pPr>
              <w:spacing w:line="360" w:lineRule="auto"/>
              <w:ind w:firstLine="480" w:firstLineChars="200"/>
              <w:rPr>
                <w:color w:val="auto"/>
                <w:sz w:val="24"/>
                <w:highlight w:val="none"/>
              </w:rPr>
            </w:pPr>
            <w:r>
              <w:rPr>
                <w:rFonts w:hint="eastAsia"/>
                <w:color w:val="auto"/>
                <w:sz w:val="24"/>
                <w:highlight w:val="none"/>
              </w:rPr>
              <w:t>③实验废水严禁未处理排放、偷排、漏排现象。</w:t>
            </w:r>
          </w:p>
          <w:p>
            <w:pPr>
              <w:spacing w:line="360" w:lineRule="auto"/>
              <w:ind w:firstLine="480" w:firstLineChars="200"/>
              <w:rPr>
                <w:color w:val="auto"/>
                <w:sz w:val="24"/>
                <w:highlight w:val="none"/>
              </w:rPr>
            </w:pPr>
            <w:r>
              <w:rPr>
                <w:rFonts w:hint="eastAsia"/>
                <w:color w:val="auto"/>
                <w:sz w:val="24"/>
                <w:highlight w:val="none"/>
              </w:rPr>
              <w:t>④应急物资仓库及雨污排放口应储备有堵漏工具及物资（如抽水泵、砂袋等）。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96" w:hRule="atLeast"/>
          <w:jc w:val="center"/>
        </w:trPr>
        <w:tc>
          <w:tcPr>
            <w:tcW w:w="1358" w:type="dxa"/>
            <w:vAlign w:val="center"/>
          </w:tcPr>
          <w:p>
            <w:pPr>
              <w:adjustRightInd w:val="0"/>
              <w:snapToGrid w:val="0"/>
              <w:jc w:val="center"/>
              <w:rPr>
                <w:color w:val="auto"/>
                <w:spacing w:val="-8"/>
                <w:sz w:val="24"/>
                <w:highlight w:val="none"/>
              </w:rPr>
            </w:pPr>
            <w:r>
              <w:rPr>
                <w:color w:val="auto"/>
                <w:spacing w:val="-8"/>
                <w:sz w:val="24"/>
                <w:highlight w:val="none"/>
              </w:rPr>
              <w:t>其他环境</w:t>
            </w:r>
          </w:p>
          <w:p>
            <w:pPr>
              <w:adjustRightInd w:val="0"/>
              <w:snapToGrid w:val="0"/>
              <w:jc w:val="center"/>
              <w:rPr>
                <w:color w:val="auto"/>
                <w:spacing w:val="-8"/>
                <w:sz w:val="24"/>
                <w:highlight w:val="none"/>
              </w:rPr>
            </w:pPr>
            <w:r>
              <w:rPr>
                <w:color w:val="auto"/>
                <w:spacing w:val="-8"/>
                <w:sz w:val="24"/>
                <w:highlight w:val="none"/>
              </w:rPr>
              <w:t>管理要求</w:t>
            </w:r>
          </w:p>
        </w:tc>
        <w:tc>
          <w:tcPr>
            <w:tcW w:w="7702" w:type="dxa"/>
            <w:gridSpan w:val="4"/>
            <w:vAlign w:val="center"/>
          </w:tcPr>
          <w:p>
            <w:pPr>
              <w:adjustRightInd w:val="0"/>
              <w:snapToGrid w:val="0"/>
              <w:spacing w:line="360" w:lineRule="auto"/>
              <w:ind w:firstLine="480" w:firstLineChars="200"/>
              <w:jc w:val="left"/>
              <w:rPr>
                <w:color w:val="auto"/>
                <w:sz w:val="24"/>
                <w:highlight w:val="none"/>
              </w:rPr>
            </w:pPr>
            <w:r>
              <w:rPr>
                <w:color w:val="auto"/>
                <w:sz w:val="24"/>
                <w:highlight w:val="none"/>
              </w:rPr>
              <w:t>（</w:t>
            </w:r>
            <w:r>
              <w:rPr>
                <w:rFonts w:hint="eastAsia"/>
                <w:color w:val="auto"/>
                <w:sz w:val="24"/>
                <w:highlight w:val="none"/>
                <w:lang w:val="en-US" w:eastAsia="zh-CN"/>
              </w:rPr>
              <w:t>1</w:t>
            </w:r>
            <w:r>
              <w:rPr>
                <w:color w:val="auto"/>
                <w:sz w:val="24"/>
                <w:highlight w:val="none"/>
              </w:rPr>
              <w:t>）环境监测计划：环境监测应按</w:t>
            </w:r>
            <w:r>
              <w:rPr>
                <w:rFonts w:hint="eastAsia"/>
                <w:color w:val="auto"/>
                <w:sz w:val="24"/>
                <w:highlight w:val="none"/>
              </w:rPr>
              <w:t>《排污单位自行监测技术指南 总则》（HJ819-2017）中</w:t>
            </w:r>
            <w:r>
              <w:rPr>
                <w:color w:val="auto"/>
                <w:sz w:val="24"/>
                <w:highlight w:val="none"/>
              </w:rPr>
              <w:t>的各项监测指标进行监测，并根据具体指标分别采取常规监测和定期监测，环境监测内容主要是污染源监测与必要的外环境监测，根据本项目的特征和区域环境现状、环境规划要求，制定本项目运营期的环境监测计划，包括监测因子、频次、点位等具体内容，具体监测计划见下表：</w:t>
            </w:r>
          </w:p>
          <w:p>
            <w:pPr>
              <w:pStyle w:val="32"/>
              <w:rPr>
                <w:color w:val="auto"/>
                <w:szCs w:val="24"/>
                <w:highlight w:val="none"/>
              </w:rPr>
            </w:pPr>
            <w:r>
              <w:rPr>
                <w:rFonts w:hint="eastAsia"/>
                <w:color w:val="auto"/>
                <w:szCs w:val="24"/>
                <w:highlight w:val="none"/>
              </w:rPr>
              <w:t>表5.1.</w:t>
            </w:r>
            <w:r>
              <w:rPr>
                <w:rFonts w:hint="eastAsia"/>
                <w:color w:val="auto"/>
                <w:szCs w:val="24"/>
                <w:highlight w:val="none"/>
                <w:lang w:val="en-US" w:eastAsia="zh-CN"/>
              </w:rPr>
              <w:t>1</w:t>
            </w:r>
            <w:r>
              <w:rPr>
                <w:rFonts w:hint="eastAsia"/>
                <w:color w:val="auto"/>
                <w:szCs w:val="24"/>
                <w:highlight w:val="none"/>
              </w:rPr>
              <w:t xml:space="preserve"> 监测计划一览表</w:t>
            </w:r>
          </w:p>
          <w:tbl>
            <w:tblPr>
              <w:tblStyle w:val="19"/>
              <w:tblW w:w="6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2175"/>
              <w:gridCol w:w="1590"/>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298" w:type="dxa"/>
                  <w:tcBorders>
                    <w:right w:val="single" w:color="000000" w:sz="4" w:space="0"/>
                  </w:tcBorders>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项目</w:t>
                  </w:r>
                </w:p>
              </w:tc>
              <w:tc>
                <w:tcPr>
                  <w:tcW w:w="2175" w:type="dxa"/>
                  <w:tcBorders>
                    <w:left w:val="single" w:color="000000" w:sz="4" w:space="0"/>
                  </w:tcBorders>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监测点位</w:t>
                  </w:r>
                </w:p>
              </w:tc>
              <w:tc>
                <w:tcPr>
                  <w:tcW w:w="1590" w:type="dxa"/>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监测指标</w:t>
                  </w:r>
                </w:p>
              </w:tc>
              <w:tc>
                <w:tcPr>
                  <w:tcW w:w="1743" w:type="dxa"/>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tcBorders>
                    <w:right w:val="single" w:color="000000" w:sz="4" w:space="0"/>
                  </w:tcBorders>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有组织废气</w:t>
                  </w:r>
                </w:p>
              </w:tc>
              <w:tc>
                <w:tcPr>
                  <w:tcW w:w="2175" w:type="dxa"/>
                  <w:tcBorders>
                    <w:left w:val="single" w:color="000000" w:sz="4" w:space="0"/>
                  </w:tcBorders>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sz w:val="21"/>
                      <w:szCs w:val="21"/>
                      <w:highlight w:val="none"/>
                    </w:rPr>
                    <w:t>综合楼实验室</w:t>
                  </w:r>
                  <w:r>
                    <w:rPr>
                      <w:rFonts w:ascii="Times New Roman" w:hAnsi="Times New Roman" w:eastAsia="宋体"/>
                      <w:color w:val="auto"/>
                      <w:kern w:val="2"/>
                      <w:sz w:val="21"/>
                      <w:szCs w:val="21"/>
                      <w:highlight w:val="none"/>
                    </w:rPr>
                    <w:t>排气筒</w:t>
                  </w:r>
                </w:p>
              </w:tc>
              <w:tc>
                <w:tcPr>
                  <w:tcW w:w="1590" w:type="dxa"/>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挥发性有机物</w:t>
                  </w:r>
                </w:p>
              </w:tc>
              <w:tc>
                <w:tcPr>
                  <w:tcW w:w="1743" w:type="dxa"/>
                  <w:vAlign w:val="center"/>
                </w:tcPr>
                <w:p>
                  <w:pPr>
                    <w:jc w:val="center"/>
                    <w:rPr>
                      <w:color w:val="auto"/>
                      <w:szCs w:val="21"/>
                      <w:highlight w:val="none"/>
                    </w:rPr>
                  </w:pPr>
                  <w:r>
                    <w:rPr>
                      <w:rFonts w:hint="eastAsia"/>
                      <w:color w:val="auto"/>
                      <w:szCs w:val="21"/>
                      <w:highlight w:val="none"/>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无组织废气</w:t>
                  </w:r>
                </w:p>
              </w:tc>
              <w:tc>
                <w:tcPr>
                  <w:tcW w:w="2175" w:type="dxa"/>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厂界</w:t>
                  </w:r>
                </w:p>
              </w:tc>
              <w:tc>
                <w:tcPr>
                  <w:tcW w:w="1590" w:type="dxa"/>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挥发性有机物</w:t>
                  </w:r>
                </w:p>
              </w:tc>
              <w:tc>
                <w:tcPr>
                  <w:tcW w:w="1743" w:type="dxa"/>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废水</w:t>
                  </w:r>
                </w:p>
              </w:tc>
              <w:tc>
                <w:tcPr>
                  <w:tcW w:w="2175" w:type="dxa"/>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项目废水排放口</w:t>
                  </w:r>
                </w:p>
              </w:tc>
              <w:tc>
                <w:tcPr>
                  <w:tcW w:w="1590" w:type="dxa"/>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化学需氧量、五日生化需氧量、氨氮、悬浮物</w:t>
                  </w:r>
                </w:p>
              </w:tc>
              <w:tc>
                <w:tcPr>
                  <w:tcW w:w="1743" w:type="dxa"/>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3" w:type="dxa"/>
                  <w:gridSpan w:val="2"/>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厂界噪声</w:t>
                  </w:r>
                </w:p>
              </w:tc>
              <w:tc>
                <w:tcPr>
                  <w:tcW w:w="1590" w:type="dxa"/>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噪声</w:t>
                  </w:r>
                </w:p>
              </w:tc>
              <w:tc>
                <w:tcPr>
                  <w:tcW w:w="1743" w:type="dxa"/>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1次/季度</w:t>
                  </w:r>
                </w:p>
              </w:tc>
            </w:tr>
          </w:tbl>
          <w:p>
            <w:pPr>
              <w:pStyle w:val="27"/>
              <w:jc w:val="center"/>
              <w:rPr>
                <w:rFonts w:hint="default" w:ascii="Times New Roman" w:hAnsi="Times New Roman" w:eastAsia="宋体"/>
                <w:color w:val="auto"/>
                <w:kern w:val="2"/>
                <w:szCs w:val="24"/>
                <w:highlight w:val="none"/>
              </w:rPr>
            </w:pP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ascii="Times New Roman" w:hAnsi="Times New Roman" w:eastAsia="宋体"/>
                <w:color w:val="auto"/>
                <w:kern w:val="2"/>
                <w:szCs w:val="24"/>
                <w:highlight w:val="none"/>
              </w:rPr>
              <w:t>（</w:t>
            </w:r>
            <w:r>
              <w:rPr>
                <w:rFonts w:hint="eastAsia" w:ascii="Times New Roman" w:hAnsi="Times New Roman" w:eastAsia="宋体"/>
                <w:color w:val="auto"/>
                <w:kern w:val="2"/>
                <w:szCs w:val="24"/>
                <w:highlight w:val="none"/>
                <w:lang w:val="en-US" w:eastAsia="zh-CN"/>
              </w:rPr>
              <w:t>2</w:t>
            </w:r>
            <w:r>
              <w:rPr>
                <w:rFonts w:ascii="Times New Roman" w:hAnsi="Times New Roman" w:eastAsia="宋体"/>
                <w:color w:val="auto"/>
                <w:kern w:val="2"/>
                <w:szCs w:val="24"/>
                <w:highlight w:val="none"/>
              </w:rPr>
              <w:t>）排污口规范建设和管理</w:t>
            </w: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hint="default" w:ascii="Times New Roman" w:hAnsi="Times New Roman" w:eastAsia="宋体"/>
                <w:color w:val="auto"/>
                <w:kern w:val="2"/>
                <w:szCs w:val="24"/>
                <w:highlight w:val="none"/>
              </w:rPr>
              <w:t>根据国家环境保护总局环发[1999]24号文件的规定，一切新建、扩建、改建的排污单位必须在建设污染治理设施的同时建设规范化排污口，作为落实环境保护“三同时”制度的必要组成和项目验收内容之一。</w:t>
            </w: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ascii="Times New Roman" w:hAnsi="Times New Roman" w:eastAsia="宋体"/>
                <w:color w:val="auto"/>
                <w:kern w:val="2"/>
                <w:szCs w:val="24"/>
                <w:highlight w:val="none"/>
              </w:rPr>
              <w:t>①</w:t>
            </w:r>
            <w:r>
              <w:rPr>
                <w:rFonts w:hint="default" w:ascii="Times New Roman" w:hAnsi="Times New Roman" w:eastAsia="宋体"/>
                <w:color w:val="auto"/>
                <w:kern w:val="2"/>
                <w:szCs w:val="24"/>
                <w:highlight w:val="none"/>
              </w:rPr>
              <w:t>规范化的排污口</w:t>
            </w: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ascii="Times New Roman" w:hAnsi="Times New Roman" w:eastAsia="宋体"/>
                <w:color w:val="auto"/>
                <w:kern w:val="2"/>
                <w:szCs w:val="24"/>
                <w:highlight w:val="none"/>
              </w:rPr>
              <w:t>废水：</w:t>
            </w:r>
            <w:r>
              <w:rPr>
                <w:rFonts w:hint="default" w:ascii="Times New Roman" w:hAnsi="Times New Roman" w:eastAsia="宋体"/>
                <w:color w:val="auto"/>
                <w:kern w:val="2"/>
                <w:szCs w:val="24"/>
                <w:highlight w:val="none"/>
              </w:rPr>
              <w:t>本项目</w:t>
            </w:r>
            <w:r>
              <w:rPr>
                <w:rFonts w:ascii="Times New Roman" w:hAnsi="Times New Roman" w:eastAsia="宋体"/>
                <w:color w:val="auto"/>
                <w:kern w:val="2"/>
                <w:szCs w:val="24"/>
                <w:highlight w:val="none"/>
              </w:rPr>
              <w:t>废水经预处理后，接市政管网进入大学城污水处理厂处理</w:t>
            </w:r>
            <w:r>
              <w:rPr>
                <w:rFonts w:hint="default" w:ascii="Times New Roman" w:hAnsi="Times New Roman" w:eastAsia="宋体"/>
                <w:color w:val="auto"/>
                <w:kern w:val="2"/>
                <w:szCs w:val="24"/>
                <w:highlight w:val="none"/>
              </w:rPr>
              <w:t>。</w:t>
            </w: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ascii="Times New Roman" w:hAnsi="Times New Roman" w:eastAsia="宋体"/>
                <w:color w:val="auto"/>
                <w:kern w:val="2"/>
                <w:szCs w:val="24"/>
                <w:highlight w:val="none"/>
              </w:rPr>
              <w:t>噪声：</w:t>
            </w:r>
            <w:r>
              <w:rPr>
                <w:rFonts w:hint="default" w:ascii="Times New Roman" w:hAnsi="Times New Roman" w:eastAsia="宋体"/>
                <w:color w:val="auto"/>
                <w:kern w:val="2"/>
                <w:szCs w:val="24"/>
                <w:highlight w:val="none"/>
              </w:rPr>
              <w:t>在固定噪声源设置环境噪声监测点，并在附近醒目处设置环境保护图形标志牌。</w:t>
            </w: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ascii="Times New Roman" w:hAnsi="Times New Roman" w:eastAsia="宋体"/>
                <w:color w:val="auto"/>
                <w:kern w:val="2"/>
                <w:szCs w:val="24"/>
                <w:highlight w:val="none"/>
              </w:rPr>
              <w:t>废气：</w:t>
            </w:r>
            <w:r>
              <w:rPr>
                <w:rFonts w:hint="default" w:ascii="Times New Roman" w:hAnsi="Times New Roman" w:eastAsia="宋体"/>
                <w:color w:val="auto"/>
                <w:kern w:val="2"/>
                <w:szCs w:val="24"/>
                <w:highlight w:val="none"/>
              </w:rPr>
              <w:t>在废气排放口处设置采样口和采样监测平台，废气排放口的环境保护图形标志牌设在废气处理设施排气筒附近地面醒目处。</w:t>
            </w: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hint="default" w:ascii="Times New Roman" w:hAnsi="Times New Roman" w:eastAsia="宋体"/>
                <w:color w:val="auto"/>
                <w:kern w:val="2"/>
                <w:szCs w:val="24"/>
                <w:highlight w:val="none"/>
              </w:rPr>
              <w:t>建设项目完成排污口规范建设，其投资纳入正常生产设备之中。各污染源排放口设置专项图标，执行《环境保护图形标志--排放口(源)》</w:t>
            </w:r>
            <w:r>
              <w:rPr>
                <w:rFonts w:ascii="Times New Roman" w:hAnsi="Times New Roman" w:eastAsia="宋体"/>
                <w:color w:val="auto"/>
                <w:kern w:val="2"/>
                <w:szCs w:val="24"/>
                <w:highlight w:val="none"/>
              </w:rPr>
              <w:t>（</w:t>
            </w:r>
            <w:r>
              <w:rPr>
                <w:rFonts w:hint="default" w:ascii="Times New Roman" w:hAnsi="Times New Roman" w:eastAsia="宋体"/>
                <w:color w:val="auto"/>
                <w:kern w:val="2"/>
                <w:szCs w:val="24"/>
                <w:highlight w:val="none"/>
              </w:rPr>
              <w:t>GB15563.1-1995</w:t>
            </w:r>
            <w:r>
              <w:rPr>
                <w:rFonts w:ascii="Times New Roman" w:hAnsi="Times New Roman" w:eastAsia="宋体"/>
                <w:color w:val="auto"/>
                <w:kern w:val="2"/>
                <w:szCs w:val="24"/>
                <w:highlight w:val="none"/>
              </w:rPr>
              <w:t>）</w:t>
            </w:r>
            <w:r>
              <w:rPr>
                <w:rFonts w:hint="default" w:ascii="Times New Roman" w:hAnsi="Times New Roman" w:eastAsia="宋体"/>
                <w:color w:val="auto"/>
                <w:kern w:val="2"/>
                <w:szCs w:val="24"/>
                <w:highlight w:val="none"/>
              </w:rPr>
              <w:t>，要求各排放口</w:t>
            </w:r>
            <w:r>
              <w:rPr>
                <w:rFonts w:ascii="Times New Roman" w:hAnsi="Times New Roman" w:eastAsia="宋体"/>
                <w:color w:val="auto"/>
                <w:kern w:val="2"/>
                <w:szCs w:val="24"/>
                <w:highlight w:val="none"/>
              </w:rPr>
              <w:t>（</w:t>
            </w:r>
            <w:r>
              <w:rPr>
                <w:rFonts w:hint="default" w:ascii="Times New Roman" w:hAnsi="Times New Roman" w:eastAsia="宋体"/>
                <w:color w:val="auto"/>
                <w:kern w:val="2"/>
                <w:szCs w:val="24"/>
                <w:highlight w:val="none"/>
              </w:rPr>
              <w:t>源</w:t>
            </w:r>
            <w:r>
              <w:rPr>
                <w:rFonts w:ascii="Times New Roman" w:hAnsi="Times New Roman" w:eastAsia="宋体"/>
                <w:color w:val="auto"/>
                <w:kern w:val="2"/>
                <w:szCs w:val="24"/>
                <w:highlight w:val="none"/>
              </w:rPr>
              <w:t>）</w:t>
            </w:r>
            <w:r>
              <w:rPr>
                <w:rFonts w:hint="default" w:ascii="Times New Roman" w:hAnsi="Times New Roman" w:eastAsia="宋体"/>
                <w:color w:val="auto"/>
                <w:kern w:val="2"/>
                <w:szCs w:val="24"/>
                <w:highlight w:val="none"/>
              </w:rPr>
              <w:t>提示标志形状采用正方形边框，背景颜色采用绿色，图形颜色采用白色。标志牌设在与之功能相应的醒目处，并保持清晰、完整，具体详见表</w:t>
            </w:r>
            <w:r>
              <w:rPr>
                <w:rFonts w:ascii="Times New Roman" w:hAnsi="Times New Roman" w:eastAsia="宋体"/>
                <w:color w:val="auto"/>
                <w:kern w:val="2"/>
                <w:szCs w:val="24"/>
                <w:highlight w:val="none"/>
              </w:rPr>
              <w:t>5.1.3</w:t>
            </w:r>
            <w:r>
              <w:rPr>
                <w:rFonts w:hint="default" w:ascii="Times New Roman" w:hAnsi="Times New Roman" w:eastAsia="宋体"/>
                <w:color w:val="auto"/>
                <w:kern w:val="2"/>
                <w:szCs w:val="24"/>
                <w:highlight w:val="none"/>
              </w:rPr>
              <w:t>。</w:t>
            </w:r>
          </w:p>
          <w:p>
            <w:pPr>
              <w:pStyle w:val="32"/>
              <w:rPr>
                <w:color w:val="auto"/>
                <w:szCs w:val="24"/>
                <w:highlight w:val="none"/>
              </w:rPr>
            </w:pPr>
          </w:p>
          <w:p>
            <w:pPr>
              <w:pStyle w:val="32"/>
              <w:rPr>
                <w:color w:val="auto"/>
                <w:szCs w:val="24"/>
                <w:highlight w:val="none"/>
              </w:rPr>
            </w:pPr>
          </w:p>
          <w:p>
            <w:pPr>
              <w:pStyle w:val="32"/>
              <w:rPr>
                <w:color w:val="auto"/>
                <w:szCs w:val="24"/>
                <w:highlight w:val="none"/>
              </w:rPr>
            </w:pPr>
          </w:p>
          <w:p>
            <w:pPr>
              <w:pStyle w:val="32"/>
              <w:rPr>
                <w:color w:val="auto"/>
                <w:szCs w:val="24"/>
                <w:highlight w:val="none"/>
              </w:rPr>
            </w:pPr>
          </w:p>
          <w:p>
            <w:pPr>
              <w:pStyle w:val="32"/>
              <w:rPr>
                <w:color w:val="auto"/>
                <w:szCs w:val="24"/>
                <w:highlight w:val="none"/>
              </w:rPr>
            </w:pPr>
            <w:r>
              <w:rPr>
                <w:color w:val="auto"/>
                <w:szCs w:val="24"/>
                <w:highlight w:val="none"/>
              </w:rPr>
              <w:t>表</w:t>
            </w:r>
            <w:r>
              <w:rPr>
                <w:rFonts w:hint="eastAsia"/>
                <w:color w:val="auto"/>
                <w:szCs w:val="24"/>
                <w:highlight w:val="none"/>
              </w:rPr>
              <w:t>5.1.3</w:t>
            </w:r>
            <w:r>
              <w:rPr>
                <w:color w:val="auto"/>
                <w:szCs w:val="24"/>
                <w:highlight w:val="none"/>
              </w:rPr>
              <w:t xml:space="preserve">  各排污口（源）标志牌设置示意图</w:t>
            </w:r>
          </w:p>
          <w:tbl>
            <w:tblPr>
              <w:tblStyle w:val="19"/>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1"/>
              <w:gridCol w:w="1326"/>
              <w:gridCol w:w="1287"/>
              <w:gridCol w:w="1321"/>
              <w:gridCol w:w="1530"/>
              <w:gridCol w:w="1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503" w:type="pct"/>
                  <w:vAlign w:val="center"/>
                </w:tcPr>
                <w:p>
                  <w:pPr>
                    <w:pStyle w:val="27"/>
                    <w:jc w:val="center"/>
                    <w:rPr>
                      <w:rFonts w:hint="default" w:ascii="Times New Roman" w:hAnsi="Times New Roman" w:eastAsia="宋体"/>
                      <w:color w:val="auto"/>
                      <w:kern w:val="2"/>
                      <w:sz w:val="21"/>
                      <w:szCs w:val="21"/>
                      <w:highlight w:val="none"/>
                    </w:rPr>
                  </w:pPr>
                  <w:r>
                    <w:rPr>
                      <w:rFonts w:hint="default" w:ascii="Times New Roman" w:hAnsi="Times New Roman" w:eastAsia="宋体"/>
                      <w:color w:val="auto"/>
                      <w:kern w:val="2"/>
                      <w:sz w:val="21"/>
                      <w:szCs w:val="21"/>
                      <w:highlight w:val="none"/>
                    </w:rPr>
                    <w:t>名称</w:t>
                  </w:r>
                </w:p>
              </w:tc>
              <w:tc>
                <w:tcPr>
                  <w:tcW w:w="887" w:type="pct"/>
                  <w:vAlign w:val="center"/>
                </w:tcPr>
                <w:p>
                  <w:pPr>
                    <w:pStyle w:val="27"/>
                    <w:jc w:val="center"/>
                    <w:rPr>
                      <w:rFonts w:hint="default"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废水排放口</w:t>
                  </w:r>
                </w:p>
              </w:tc>
              <w:tc>
                <w:tcPr>
                  <w:tcW w:w="861" w:type="pct"/>
                  <w:vAlign w:val="center"/>
                </w:tcPr>
                <w:p>
                  <w:pPr>
                    <w:pStyle w:val="27"/>
                    <w:jc w:val="center"/>
                    <w:rPr>
                      <w:rFonts w:hint="default" w:ascii="Times New Roman" w:hAnsi="Times New Roman" w:eastAsia="宋体"/>
                      <w:color w:val="auto"/>
                      <w:kern w:val="2"/>
                      <w:sz w:val="21"/>
                      <w:szCs w:val="21"/>
                      <w:highlight w:val="none"/>
                    </w:rPr>
                  </w:pPr>
                  <w:r>
                    <w:rPr>
                      <w:rFonts w:hint="default" w:ascii="Times New Roman" w:hAnsi="Times New Roman" w:eastAsia="宋体"/>
                      <w:color w:val="auto"/>
                      <w:kern w:val="2"/>
                      <w:sz w:val="21"/>
                      <w:szCs w:val="21"/>
                      <w:highlight w:val="none"/>
                    </w:rPr>
                    <w:t>废气排放口</w:t>
                  </w:r>
                </w:p>
              </w:tc>
              <w:tc>
                <w:tcPr>
                  <w:tcW w:w="883" w:type="pct"/>
                  <w:vAlign w:val="center"/>
                </w:tcPr>
                <w:p>
                  <w:pPr>
                    <w:pStyle w:val="27"/>
                    <w:jc w:val="center"/>
                    <w:rPr>
                      <w:rFonts w:hint="default" w:ascii="Times New Roman" w:hAnsi="Times New Roman" w:eastAsia="宋体"/>
                      <w:color w:val="auto"/>
                      <w:kern w:val="2"/>
                      <w:sz w:val="21"/>
                      <w:szCs w:val="21"/>
                      <w:highlight w:val="none"/>
                    </w:rPr>
                  </w:pPr>
                  <w:r>
                    <w:rPr>
                      <w:rFonts w:hint="default" w:ascii="Times New Roman" w:hAnsi="Times New Roman" w:eastAsia="宋体"/>
                      <w:color w:val="auto"/>
                      <w:kern w:val="2"/>
                      <w:sz w:val="21"/>
                      <w:szCs w:val="21"/>
                      <w:highlight w:val="none"/>
                    </w:rPr>
                    <w:t>噪声排放源</w:t>
                  </w:r>
                </w:p>
              </w:tc>
              <w:tc>
                <w:tcPr>
                  <w:tcW w:w="1023" w:type="pct"/>
                  <w:vAlign w:val="center"/>
                </w:tcPr>
                <w:p>
                  <w:pPr>
                    <w:pStyle w:val="27"/>
                    <w:jc w:val="center"/>
                    <w:rPr>
                      <w:rFonts w:hint="default" w:ascii="Times New Roman" w:hAnsi="Times New Roman" w:eastAsia="宋体"/>
                      <w:color w:val="auto"/>
                      <w:kern w:val="2"/>
                      <w:sz w:val="21"/>
                      <w:szCs w:val="21"/>
                      <w:highlight w:val="none"/>
                    </w:rPr>
                  </w:pPr>
                  <w:r>
                    <w:rPr>
                      <w:rFonts w:hint="default" w:ascii="Times New Roman" w:hAnsi="Times New Roman" w:eastAsia="宋体"/>
                      <w:color w:val="auto"/>
                      <w:kern w:val="2"/>
                      <w:sz w:val="21"/>
                      <w:szCs w:val="21"/>
                      <w:highlight w:val="none"/>
                    </w:rPr>
                    <w:t>一般固体废物</w:t>
                  </w:r>
                </w:p>
              </w:tc>
              <w:tc>
                <w:tcPr>
                  <w:tcW w:w="840" w:type="pct"/>
                  <w:vAlign w:val="center"/>
                </w:tcPr>
                <w:p>
                  <w:pPr>
                    <w:pStyle w:val="27"/>
                    <w:jc w:val="center"/>
                    <w:rPr>
                      <w:rFonts w:hint="default" w:ascii="Times New Roman" w:hAnsi="Times New Roman" w:eastAsia="宋体"/>
                      <w:color w:val="auto"/>
                      <w:kern w:val="2"/>
                      <w:sz w:val="21"/>
                      <w:szCs w:val="21"/>
                      <w:highlight w:val="none"/>
                    </w:rPr>
                  </w:pPr>
                  <w:r>
                    <w:rPr>
                      <w:rFonts w:hint="default" w:ascii="Times New Roman" w:hAnsi="Times New Roman" w:eastAsia="宋体"/>
                      <w:color w:val="auto"/>
                      <w:kern w:val="2"/>
                      <w:sz w:val="21"/>
                      <w:szCs w:val="21"/>
                      <w:highlight w:val="none"/>
                    </w:rPr>
                    <w:t>危险废物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5" w:hRule="atLeast"/>
                <w:jc w:val="center"/>
              </w:trPr>
              <w:tc>
                <w:tcPr>
                  <w:tcW w:w="503" w:type="pct"/>
                  <w:vAlign w:val="center"/>
                </w:tcPr>
                <w:p>
                  <w:pPr>
                    <w:pStyle w:val="27"/>
                    <w:jc w:val="center"/>
                    <w:rPr>
                      <w:rFonts w:hint="default" w:ascii="Times New Roman" w:hAnsi="Times New Roman" w:eastAsia="宋体"/>
                      <w:color w:val="auto"/>
                      <w:kern w:val="2"/>
                      <w:sz w:val="21"/>
                      <w:szCs w:val="21"/>
                      <w:highlight w:val="none"/>
                    </w:rPr>
                  </w:pPr>
                  <w:r>
                    <w:rPr>
                      <w:rFonts w:hint="default" w:ascii="Times New Roman" w:hAnsi="Times New Roman" w:eastAsia="宋体"/>
                      <w:color w:val="auto"/>
                      <w:kern w:val="2"/>
                      <w:sz w:val="21"/>
                      <w:szCs w:val="21"/>
                      <w:highlight w:val="none"/>
                    </w:rPr>
                    <w:t>提示图形符号</w:t>
                  </w:r>
                </w:p>
              </w:tc>
              <w:tc>
                <w:tcPr>
                  <w:tcW w:w="887" w:type="pct"/>
                  <w:vAlign w:val="center"/>
                </w:tcPr>
                <w:p>
                  <w:pPr>
                    <w:pStyle w:val="27"/>
                    <w:jc w:val="center"/>
                    <w:rPr>
                      <w:rFonts w:hint="default" w:ascii="Times New Roman" w:hAnsi="Times New Roman" w:eastAsia="宋体"/>
                      <w:color w:val="auto"/>
                      <w:kern w:val="2"/>
                      <w:sz w:val="21"/>
                      <w:szCs w:val="21"/>
                      <w:highlight w:val="none"/>
                    </w:rPr>
                  </w:pPr>
                  <w:r>
                    <w:rPr>
                      <w:rFonts w:hint="default" w:ascii="Times New Roman" w:hAnsi="Times New Roman" w:eastAsia="宋体"/>
                      <w:color w:val="auto"/>
                      <w:kern w:val="2"/>
                      <w:sz w:val="21"/>
                      <w:szCs w:val="21"/>
                      <w:highlight w:val="none"/>
                    </w:rPr>
                    <w:drawing>
                      <wp:inline distT="0" distB="0" distL="114300" distR="114300">
                        <wp:extent cx="696595" cy="658495"/>
                        <wp:effectExtent l="0" t="0" r="8255" b="825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39"/>
                                <a:stretch>
                                  <a:fillRect/>
                                </a:stretch>
                              </pic:blipFill>
                              <pic:spPr>
                                <a:xfrm>
                                  <a:off x="0" y="0"/>
                                  <a:ext cx="696595" cy="658495"/>
                                </a:xfrm>
                                <a:prstGeom prst="rect">
                                  <a:avLst/>
                                </a:prstGeom>
                                <a:noFill/>
                                <a:ln>
                                  <a:noFill/>
                                </a:ln>
                              </pic:spPr>
                            </pic:pic>
                          </a:graphicData>
                        </a:graphic>
                      </wp:inline>
                    </w:drawing>
                  </w:r>
                </w:p>
              </w:tc>
              <w:tc>
                <w:tcPr>
                  <w:tcW w:w="861" w:type="pct"/>
                  <w:vAlign w:val="center"/>
                </w:tcPr>
                <w:p>
                  <w:pPr>
                    <w:pStyle w:val="27"/>
                    <w:jc w:val="center"/>
                    <w:rPr>
                      <w:rFonts w:hint="default" w:ascii="Times New Roman" w:hAnsi="Times New Roman" w:eastAsia="宋体"/>
                      <w:color w:val="auto"/>
                      <w:kern w:val="2"/>
                      <w:sz w:val="21"/>
                      <w:szCs w:val="21"/>
                      <w:highlight w:val="none"/>
                    </w:rPr>
                  </w:pPr>
                  <w:r>
                    <w:rPr>
                      <w:rFonts w:hint="default" w:ascii="Times New Roman" w:hAnsi="Times New Roman" w:eastAsia="宋体"/>
                      <w:color w:val="auto"/>
                      <w:kern w:val="2"/>
                      <w:sz w:val="21"/>
                      <w:szCs w:val="21"/>
                      <w:highlight w:val="none"/>
                    </w:rPr>
                    <w:drawing>
                      <wp:inline distT="0" distB="0" distL="114300" distR="114300">
                        <wp:extent cx="610235" cy="610235"/>
                        <wp:effectExtent l="0" t="0" r="18415" b="18415"/>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40"/>
                                <a:stretch>
                                  <a:fillRect/>
                                </a:stretch>
                              </pic:blipFill>
                              <pic:spPr>
                                <a:xfrm>
                                  <a:off x="0" y="0"/>
                                  <a:ext cx="610235" cy="610235"/>
                                </a:xfrm>
                                <a:prstGeom prst="rect">
                                  <a:avLst/>
                                </a:prstGeom>
                                <a:noFill/>
                                <a:ln>
                                  <a:noFill/>
                                </a:ln>
                              </pic:spPr>
                            </pic:pic>
                          </a:graphicData>
                        </a:graphic>
                      </wp:inline>
                    </w:drawing>
                  </w:r>
                </w:p>
              </w:tc>
              <w:tc>
                <w:tcPr>
                  <w:tcW w:w="883" w:type="pct"/>
                  <w:vAlign w:val="center"/>
                </w:tcPr>
                <w:p>
                  <w:pPr>
                    <w:pStyle w:val="27"/>
                    <w:jc w:val="center"/>
                    <w:rPr>
                      <w:rFonts w:hint="default" w:ascii="Times New Roman" w:hAnsi="Times New Roman" w:eastAsia="宋体"/>
                      <w:color w:val="auto"/>
                      <w:kern w:val="2"/>
                      <w:sz w:val="21"/>
                      <w:szCs w:val="21"/>
                      <w:highlight w:val="none"/>
                    </w:rPr>
                  </w:pPr>
                  <w:r>
                    <w:rPr>
                      <w:rFonts w:hint="default" w:ascii="Times New Roman" w:hAnsi="Times New Roman" w:eastAsia="宋体"/>
                      <w:color w:val="auto"/>
                      <w:kern w:val="2"/>
                      <w:sz w:val="21"/>
                      <w:szCs w:val="21"/>
                      <w:highlight w:val="none"/>
                    </w:rPr>
                    <w:drawing>
                      <wp:inline distT="0" distB="0" distL="114300" distR="114300">
                        <wp:extent cx="676275" cy="676275"/>
                        <wp:effectExtent l="0" t="0" r="9525" b="9525"/>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41"/>
                                <a:stretch>
                                  <a:fillRect/>
                                </a:stretch>
                              </pic:blipFill>
                              <pic:spPr>
                                <a:xfrm>
                                  <a:off x="0" y="0"/>
                                  <a:ext cx="676275" cy="676275"/>
                                </a:xfrm>
                                <a:prstGeom prst="rect">
                                  <a:avLst/>
                                </a:prstGeom>
                                <a:noFill/>
                                <a:ln>
                                  <a:noFill/>
                                </a:ln>
                              </pic:spPr>
                            </pic:pic>
                          </a:graphicData>
                        </a:graphic>
                      </wp:inline>
                    </w:drawing>
                  </w:r>
                </w:p>
              </w:tc>
              <w:tc>
                <w:tcPr>
                  <w:tcW w:w="1023" w:type="pct"/>
                  <w:vAlign w:val="center"/>
                </w:tcPr>
                <w:p>
                  <w:pPr>
                    <w:pStyle w:val="27"/>
                    <w:jc w:val="center"/>
                    <w:rPr>
                      <w:rFonts w:hint="default" w:ascii="Times New Roman" w:hAnsi="Times New Roman" w:eastAsia="宋体"/>
                      <w:color w:val="auto"/>
                      <w:kern w:val="2"/>
                      <w:sz w:val="21"/>
                      <w:szCs w:val="21"/>
                      <w:highlight w:val="none"/>
                    </w:rPr>
                  </w:pPr>
                  <w:r>
                    <w:rPr>
                      <w:rFonts w:hint="default" w:ascii="Times New Roman" w:hAnsi="Times New Roman" w:eastAsia="宋体"/>
                      <w:color w:val="auto"/>
                      <w:kern w:val="2"/>
                      <w:sz w:val="21"/>
                      <w:szCs w:val="21"/>
                      <w:highlight w:val="none"/>
                    </w:rPr>
                    <w:drawing>
                      <wp:inline distT="0" distB="0" distL="114300" distR="114300">
                        <wp:extent cx="690245" cy="681355"/>
                        <wp:effectExtent l="0" t="0" r="14605" b="4445"/>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pic:cNvPicPr>
                                  <a:picLocks noChangeAspect="1"/>
                                </pic:cNvPicPr>
                              </pic:nvPicPr>
                              <pic:blipFill>
                                <a:blip r:embed="rId42"/>
                                <a:stretch>
                                  <a:fillRect/>
                                </a:stretch>
                              </pic:blipFill>
                              <pic:spPr>
                                <a:xfrm>
                                  <a:off x="0" y="0"/>
                                  <a:ext cx="690245" cy="681355"/>
                                </a:xfrm>
                                <a:prstGeom prst="rect">
                                  <a:avLst/>
                                </a:prstGeom>
                                <a:noFill/>
                                <a:ln>
                                  <a:noFill/>
                                </a:ln>
                              </pic:spPr>
                            </pic:pic>
                          </a:graphicData>
                        </a:graphic>
                      </wp:inline>
                    </w:drawing>
                  </w:r>
                </w:p>
              </w:tc>
              <w:tc>
                <w:tcPr>
                  <w:tcW w:w="840" w:type="pct"/>
                  <w:vAlign w:val="center"/>
                </w:tcPr>
                <w:p>
                  <w:pPr>
                    <w:pStyle w:val="27"/>
                    <w:jc w:val="center"/>
                    <w:rPr>
                      <w:rFonts w:hint="default" w:ascii="Times New Roman" w:hAnsi="Times New Roman" w:eastAsia="宋体"/>
                      <w:color w:val="auto"/>
                      <w:kern w:val="2"/>
                      <w:sz w:val="21"/>
                      <w:szCs w:val="21"/>
                      <w:highlight w:val="none"/>
                    </w:rPr>
                  </w:pPr>
                  <w:r>
                    <w:rPr>
                      <w:color w:val="auto"/>
                    </w:rPr>
                    <w:drawing>
                      <wp:inline distT="0" distB="0" distL="114300" distR="114300">
                        <wp:extent cx="661035" cy="746125"/>
                        <wp:effectExtent l="0" t="0" r="5715" b="1587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43"/>
                                <a:stretch>
                                  <a:fillRect/>
                                </a:stretch>
                              </pic:blipFill>
                              <pic:spPr>
                                <a:xfrm>
                                  <a:off x="0" y="0"/>
                                  <a:ext cx="661035" cy="746125"/>
                                </a:xfrm>
                                <a:prstGeom prst="rect">
                                  <a:avLst/>
                                </a:prstGeom>
                                <a:noFill/>
                                <a:ln>
                                  <a:noFill/>
                                </a:ln>
                              </pic:spPr>
                            </pic:pic>
                          </a:graphicData>
                        </a:graphic>
                      </wp:inline>
                    </w:drawing>
                  </w:r>
                </w:p>
              </w:tc>
            </w:tr>
          </w:tbl>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ascii="Times New Roman" w:hAnsi="Times New Roman" w:eastAsia="宋体"/>
                <w:color w:val="auto"/>
                <w:kern w:val="2"/>
                <w:szCs w:val="24"/>
                <w:highlight w:val="none"/>
              </w:rPr>
              <w:t>②</w:t>
            </w:r>
            <w:r>
              <w:rPr>
                <w:rFonts w:hint="default" w:ascii="Times New Roman" w:hAnsi="Times New Roman" w:eastAsia="宋体"/>
                <w:color w:val="auto"/>
                <w:kern w:val="2"/>
                <w:szCs w:val="24"/>
                <w:highlight w:val="none"/>
              </w:rPr>
              <w:t>排污口管理</w:t>
            </w: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ascii="Times New Roman" w:hAnsi="Times New Roman" w:eastAsia="宋体"/>
                <w:color w:val="auto"/>
                <w:kern w:val="2"/>
                <w:szCs w:val="24"/>
                <w:highlight w:val="none"/>
              </w:rPr>
              <w:t>A、</w:t>
            </w:r>
            <w:r>
              <w:rPr>
                <w:rFonts w:hint="default" w:ascii="Times New Roman" w:hAnsi="Times New Roman" w:eastAsia="宋体"/>
                <w:color w:val="auto"/>
                <w:kern w:val="2"/>
                <w:szCs w:val="24"/>
                <w:highlight w:val="none"/>
              </w:rPr>
              <w:t>建设单位在各排污口处设立较明显的排污口标志牌，其上注明主要排放污染物的名称以警示周围群众。</w:t>
            </w: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ascii="Times New Roman" w:hAnsi="Times New Roman" w:eastAsia="宋体"/>
                <w:color w:val="auto"/>
                <w:kern w:val="2"/>
                <w:szCs w:val="24"/>
                <w:highlight w:val="none"/>
              </w:rPr>
              <w:t>B、</w:t>
            </w:r>
            <w:r>
              <w:rPr>
                <w:rFonts w:hint="default" w:ascii="Times New Roman" w:hAnsi="Times New Roman" w:eastAsia="宋体"/>
                <w:color w:val="auto"/>
                <w:kern w:val="2"/>
                <w:szCs w:val="24"/>
                <w:highlight w:val="none"/>
              </w:rPr>
              <w:t>建设单位将有关排污口的情况，如：排污口的性质、编号，排污口的位置；主要排放的污染物种类、数量、浓度、排放规律、排放去向；污染治理设施的运行情况等进行建档管理，并报送环保主管部门备案。</w:t>
            </w:r>
          </w:p>
          <w:p>
            <w:pPr>
              <w:spacing w:line="360" w:lineRule="auto"/>
              <w:ind w:firstLine="480" w:firstLineChars="200"/>
              <w:rPr>
                <w:color w:val="auto"/>
                <w:sz w:val="24"/>
                <w:highlight w:val="none"/>
                <w:shd w:val="clear" w:color="auto" w:fill="FFFFFF"/>
              </w:rPr>
            </w:pPr>
            <w:r>
              <w:rPr>
                <w:rFonts w:hint="eastAsia"/>
                <w:color w:val="auto"/>
                <w:sz w:val="24"/>
                <w:highlight w:val="none"/>
                <w:shd w:val="clear" w:color="auto" w:fill="FFFFFF"/>
              </w:rPr>
              <w:t>（</w:t>
            </w:r>
            <w:r>
              <w:rPr>
                <w:rFonts w:hint="eastAsia"/>
                <w:color w:val="auto"/>
                <w:sz w:val="24"/>
                <w:highlight w:val="none"/>
                <w:shd w:val="clear" w:color="auto" w:fill="FFFFFF"/>
                <w:lang w:val="en-US" w:eastAsia="zh-CN"/>
              </w:rPr>
              <w:t>3</w:t>
            </w:r>
            <w:r>
              <w:rPr>
                <w:rFonts w:hint="eastAsia"/>
                <w:color w:val="auto"/>
                <w:sz w:val="24"/>
                <w:highlight w:val="none"/>
                <w:shd w:val="clear" w:color="auto" w:fill="FFFFFF"/>
              </w:rPr>
              <w:t>）环保信息公开</w:t>
            </w: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ascii="Times New Roman" w:hAnsi="Times New Roman" w:eastAsia="宋体"/>
                <w:color w:val="auto"/>
                <w:kern w:val="2"/>
                <w:szCs w:val="24"/>
                <w:highlight w:val="none"/>
              </w:rPr>
              <w:t>根据《企业事业单位环境信息公开办法》（环境保护部令第</w:t>
            </w:r>
            <w:r>
              <w:rPr>
                <w:rFonts w:hint="default" w:ascii="Times New Roman" w:hAnsi="Times New Roman" w:eastAsia="宋体"/>
                <w:color w:val="auto"/>
                <w:kern w:val="2"/>
                <w:szCs w:val="24"/>
                <w:highlight w:val="none"/>
              </w:rPr>
              <w:t>31</w:t>
            </w:r>
            <w:r>
              <w:rPr>
                <w:rFonts w:ascii="Times New Roman" w:hAnsi="Times New Roman" w:eastAsia="宋体"/>
                <w:color w:val="auto"/>
                <w:kern w:val="2"/>
                <w:szCs w:val="24"/>
                <w:highlight w:val="none"/>
              </w:rPr>
              <w:t>号），企业事业单位应当按照强制公开和自愿公开相结合的原则，及时、如实地公开其环境信息。企业事业单位应当建立健全本单位环境信息公开制度，指定机构负责本单位环境信息公开日常工作，排污单位应当公开以下信息：</w:t>
            </w: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ascii="Times New Roman" w:hAnsi="Times New Roman" w:eastAsia="宋体"/>
                <w:color w:val="auto"/>
                <w:kern w:val="2"/>
                <w:szCs w:val="24"/>
                <w:highlight w:val="none"/>
              </w:rPr>
              <w:t>（一）基础信息，包括单位名称、统一社会信用代码、法定代表人、生产地址、联系方式，以及生产经营和管理服务的主要内容、产品及规模；</w:t>
            </w: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ascii="Times New Roman" w:hAnsi="Times New Roman" w:eastAsia="宋体"/>
                <w:color w:val="auto"/>
                <w:kern w:val="2"/>
                <w:szCs w:val="24"/>
                <w:highlight w:val="none"/>
              </w:rPr>
              <w:t>（二）排污信息，包括主要污染物及其他污染物的名称、排放方式、排放口数量和分布情况、排放浓度和总量、超标情况，以及执行的污染物排放标准、核定的排放总量；</w:t>
            </w: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ascii="Times New Roman" w:hAnsi="Times New Roman" w:eastAsia="宋体"/>
                <w:color w:val="auto"/>
                <w:kern w:val="2"/>
                <w:szCs w:val="24"/>
                <w:highlight w:val="none"/>
              </w:rPr>
              <w:t>（三）防治污染设施的建设和运行情况；</w:t>
            </w: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ascii="Times New Roman" w:hAnsi="Times New Roman" w:eastAsia="宋体"/>
                <w:color w:val="auto"/>
                <w:kern w:val="2"/>
                <w:szCs w:val="24"/>
                <w:highlight w:val="none"/>
              </w:rPr>
              <w:t>（四）建设项目环境影响评价及其他环境保护行政许可情况；</w:t>
            </w: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ascii="Times New Roman" w:hAnsi="Times New Roman" w:eastAsia="宋体"/>
                <w:color w:val="auto"/>
                <w:kern w:val="2"/>
                <w:szCs w:val="24"/>
                <w:highlight w:val="none"/>
              </w:rPr>
              <w:t>（五）其他应当公开的环境信息。</w:t>
            </w: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ascii="Times New Roman" w:hAnsi="Times New Roman" w:eastAsia="宋体"/>
                <w:color w:val="auto"/>
                <w:kern w:val="2"/>
                <w:szCs w:val="24"/>
                <w:highlight w:val="none"/>
              </w:rPr>
              <w:t>建设单位应按照上述要求公开建设项目的相关信息，采取的信息公开途径可包括：</w:t>
            </w:r>
            <w:r>
              <w:rPr>
                <w:rFonts w:hint="default" w:ascii="Times New Roman" w:hAnsi="Times New Roman" w:eastAsia="宋体"/>
                <w:color w:val="auto"/>
                <w:kern w:val="2"/>
                <w:szCs w:val="24"/>
                <w:highlight w:val="none"/>
              </w:rPr>
              <w:t>①</w:t>
            </w:r>
            <w:r>
              <w:rPr>
                <w:rFonts w:ascii="Times New Roman" w:hAnsi="Times New Roman" w:eastAsia="宋体"/>
                <w:color w:val="auto"/>
                <w:kern w:val="2"/>
                <w:szCs w:val="24"/>
                <w:highlight w:val="none"/>
              </w:rPr>
              <w:t>公告或者公开发行的信息专刊；</w:t>
            </w:r>
            <w:r>
              <w:rPr>
                <w:rFonts w:hint="default" w:ascii="Times New Roman" w:hAnsi="Times New Roman" w:eastAsia="宋体"/>
                <w:color w:val="auto"/>
                <w:kern w:val="2"/>
                <w:szCs w:val="24"/>
                <w:highlight w:val="none"/>
              </w:rPr>
              <w:t>②</w:t>
            </w:r>
            <w:r>
              <w:rPr>
                <w:rFonts w:ascii="Times New Roman" w:hAnsi="Times New Roman" w:eastAsia="宋体"/>
                <w:color w:val="auto"/>
                <w:kern w:val="2"/>
                <w:szCs w:val="24"/>
                <w:highlight w:val="none"/>
              </w:rPr>
              <w:t>广播、电视等新闻媒体；</w:t>
            </w:r>
            <w:r>
              <w:rPr>
                <w:rFonts w:hint="default" w:ascii="Times New Roman" w:hAnsi="Times New Roman" w:eastAsia="宋体"/>
                <w:color w:val="auto"/>
                <w:kern w:val="2"/>
                <w:szCs w:val="24"/>
                <w:highlight w:val="none"/>
              </w:rPr>
              <w:t>③</w:t>
            </w:r>
            <w:r>
              <w:rPr>
                <w:rFonts w:ascii="Times New Roman" w:hAnsi="Times New Roman" w:eastAsia="宋体"/>
                <w:color w:val="auto"/>
                <w:kern w:val="2"/>
                <w:szCs w:val="24"/>
                <w:highlight w:val="none"/>
              </w:rPr>
              <w:t>信息公开服务、监督热线电话；</w:t>
            </w:r>
            <w:r>
              <w:rPr>
                <w:rFonts w:hint="default" w:ascii="Times New Roman" w:hAnsi="Times New Roman" w:eastAsia="宋体"/>
                <w:color w:val="auto"/>
                <w:kern w:val="2"/>
                <w:szCs w:val="24"/>
                <w:highlight w:val="none"/>
              </w:rPr>
              <w:t>④</w:t>
            </w:r>
            <w:r>
              <w:rPr>
                <w:rFonts w:ascii="Times New Roman" w:hAnsi="Times New Roman" w:eastAsia="宋体"/>
                <w:color w:val="auto"/>
                <w:kern w:val="2"/>
                <w:szCs w:val="24"/>
                <w:highlight w:val="none"/>
              </w:rPr>
              <w:t>本单位的资料索取点、信息公开栏、信息亭、电子屏幕、电子触摸屏等场所或者设施；</w:t>
            </w:r>
            <w:r>
              <w:rPr>
                <w:rFonts w:hint="default" w:ascii="Times New Roman" w:hAnsi="Times New Roman" w:eastAsia="宋体"/>
                <w:color w:val="auto"/>
                <w:kern w:val="2"/>
                <w:szCs w:val="24"/>
                <w:highlight w:val="none"/>
              </w:rPr>
              <w:t>⑤</w:t>
            </w:r>
            <w:r>
              <w:rPr>
                <w:rFonts w:ascii="Times New Roman" w:hAnsi="Times New Roman" w:eastAsia="宋体"/>
                <w:color w:val="auto"/>
                <w:kern w:val="2"/>
                <w:szCs w:val="24"/>
                <w:highlight w:val="none"/>
              </w:rPr>
              <w:t>其他便于公众及时、准确获得信息的方式。</w:t>
            </w: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ascii="Times New Roman" w:hAnsi="Times New Roman" w:eastAsia="宋体"/>
                <w:color w:val="auto"/>
                <w:kern w:val="2"/>
                <w:szCs w:val="24"/>
                <w:highlight w:val="none"/>
              </w:rPr>
              <w:t>（</w:t>
            </w:r>
            <w:r>
              <w:rPr>
                <w:rFonts w:hint="eastAsia" w:ascii="Times New Roman" w:hAnsi="Times New Roman" w:eastAsia="宋体"/>
                <w:color w:val="auto"/>
                <w:kern w:val="2"/>
                <w:szCs w:val="24"/>
                <w:highlight w:val="none"/>
                <w:lang w:val="en-US" w:eastAsia="zh-CN"/>
              </w:rPr>
              <w:t>4</w:t>
            </w:r>
            <w:r>
              <w:rPr>
                <w:rFonts w:ascii="Times New Roman" w:hAnsi="Times New Roman" w:eastAsia="宋体"/>
                <w:color w:val="auto"/>
                <w:kern w:val="2"/>
                <w:szCs w:val="24"/>
                <w:highlight w:val="none"/>
              </w:rPr>
              <w:t>）排污许可管理</w:t>
            </w:r>
          </w:p>
          <w:p>
            <w:pPr>
              <w:pStyle w:val="27"/>
              <w:spacing w:line="360" w:lineRule="auto"/>
              <w:ind w:firstLine="480" w:firstLineChars="200"/>
              <w:jc w:val="both"/>
              <w:rPr>
                <w:rFonts w:hint="default" w:ascii="Times New Roman" w:hAnsi="Times New Roman" w:eastAsia="宋体"/>
                <w:color w:val="auto"/>
                <w:kern w:val="2"/>
                <w:szCs w:val="24"/>
                <w:highlight w:val="none"/>
              </w:rPr>
            </w:pPr>
            <w:r>
              <w:rPr>
                <w:rFonts w:hint="default" w:ascii="Times New Roman" w:hAnsi="Times New Roman" w:eastAsia="宋体"/>
                <w:color w:val="auto"/>
                <w:kern w:val="2"/>
                <w:szCs w:val="24"/>
                <w:highlight w:val="none"/>
              </w:rPr>
              <w:t>根据《固定污染源排污许可分类管理名录》，本项目为普通高等教育学校的建设，不纳入排污许可管理。</w:t>
            </w:r>
          </w:p>
          <w:p>
            <w:pPr>
              <w:pStyle w:val="27"/>
              <w:tabs>
                <w:tab w:val="left" w:pos="1554"/>
              </w:tabs>
              <w:spacing w:line="360" w:lineRule="auto"/>
              <w:ind w:firstLine="480" w:firstLineChars="200"/>
              <w:jc w:val="both"/>
              <w:rPr>
                <w:rFonts w:hint="default" w:ascii="Times New Roman" w:hAnsi="Times New Roman" w:eastAsia="宋体"/>
                <w:color w:val="auto"/>
                <w:kern w:val="2"/>
                <w:szCs w:val="24"/>
                <w:highlight w:val="none"/>
              </w:rPr>
            </w:pPr>
          </w:p>
        </w:tc>
      </w:tr>
    </w:tbl>
    <w:p>
      <w:pPr>
        <w:pStyle w:val="17"/>
        <w:jc w:val="center"/>
        <w:outlineLvl w:val="0"/>
        <w:rPr>
          <w:rFonts w:ascii="黑体" w:hAnsi="黑体" w:eastAsia="黑体"/>
          <w:snapToGrid w:val="0"/>
          <w:color w:val="auto"/>
          <w:sz w:val="30"/>
          <w:szCs w:val="30"/>
          <w:highlight w:val="none"/>
        </w:rPr>
      </w:pPr>
      <w:r>
        <w:rPr>
          <w:snapToGrid w:val="0"/>
          <w:color w:val="auto"/>
          <w:highlight w:val="none"/>
        </w:rPr>
        <w:br w:type="page"/>
      </w:r>
      <w:bookmarkStart w:id="20" w:name="_Toc17837"/>
      <w:r>
        <w:rPr>
          <w:rFonts w:hint="eastAsia" w:ascii="黑体" w:hAnsi="黑体" w:eastAsia="黑体"/>
          <w:snapToGrid w:val="0"/>
          <w:color w:val="auto"/>
          <w:sz w:val="30"/>
          <w:szCs w:val="30"/>
          <w:highlight w:val="none"/>
        </w:rPr>
        <w:t>六、结论</w:t>
      </w:r>
      <w:bookmarkEnd w:id="20"/>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360" w:lineRule="auto"/>
              <w:ind w:firstLine="480" w:firstLineChars="200"/>
              <w:rPr>
                <w:rFonts w:ascii="宋体" w:cs="宋体"/>
                <w:color w:val="auto"/>
                <w:sz w:val="24"/>
                <w:highlight w:val="none"/>
              </w:rPr>
            </w:pPr>
            <w:r>
              <w:rPr>
                <w:rFonts w:hint="eastAsia"/>
                <w:color w:val="auto"/>
                <w:sz w:val="24"/>
                <w:highlight w:val="none"/>
              </w:rPr>
              <w:t>福建师范大学旗山校区海峡柔性电子（未来科技）学院（研究院）综合楼、球差电镜实验室项目</w:t>
            </w:r>
            <w:r>
              <w:rPr>
                <w:color w:val="auto"/>
                <w:sz w:val="24"/>
                <w:highlight w:val="none"/>
              </w:rPr>
              <w:t>符合当前国家和福建省产业政策和环保要求，选址位于</w:t>
            </w:r>
            <w:r>
              <w:rPr>
                <w:rFonts w:hint="eastAsia"/>
                <w:color w:val="auto"/>
                <w:sz w:val="24"/>
                <w:highlight w:val="none"/>
              </w:rPr>
              <w:t>福州市闽侯县上街镇福建师范大学旗山校区原有红线范围</w:t>
            </w:r>
            <w:r>
              <w:rPr>
                <w:color w:val="auto"/>
                <w:sz w:val="24"/>
                <w:highlight w:val="none"/>
              </w:rPr>
              <w:t>内，与《产业结构调整指导目录</w:t>
            </w:r>
            <w:r>
              <w:rPr>
                <w:rFonts w:hint="eastAsia"/>
                <w:color w:val="auto"/>
                <w:sz w:val="24"/>
                <w:highlight w:val="none"/>
              </w:rPr>
              <w:t>（</w:t>
            </w:r>
            <w:r>
              <w:rPr>
                <w:color w:val="auto"/>
                <w:sz w:val="24"/>
                <w:highlight w:val="none"/>
              </w:rPr>
              <w:t>2019年本</w:t>
            </w:r>
            <w:r>
              <w:rPr>
                <w:rFonts w:hint="eastAsia"/>
                <w:color w:val="auto"/>
                <w:sz w:val="24"/>
                <w:highlight w:val="none"/>
              </w:rPr>
              <w:t>）</w:t>
            </w:r>
            <w:r>
              <w:rPr>
                <w:color w:val="auto"/>
                <w:sz w:val="24"/>
                <w:highlight w:val="none"/>
              </w:rPr>
              <w:t>》产业政策相协调；符合</w:t>
            </w:r>
            <w:r>
              <w:rPr>
                <w:rFonts w:hint="eastAsia"/>
                <w:color w:val="auto"/>
                <w:sz w:val="24"/>
                <w:highlight w:val="none"/>
              </w:rPr>
              <w:t>福州市“三线一单”管控要求</w:t>
            </w:r>
            <w:r>
              <w:rPr>
                <w:color w:val="auto"/>
                <w:sz w:val="24"/>
                <w:highlight w:val="none"/>
              </w:rPr>
              <w:t>。</w:t>
            </w:r>
            <w:r>
              <w:rPr>
                <w:rFonts w:hint="eastAsia"/>
                <w:color w:val="auto"/>
                <w:sz w:val="24"/>
                <w:highlight w:val="none"/>
              </w:rPr>
              <w:t>项目采用的工艺技术可行，采取的环保措施可行，各项污染物经处理后可实现达标排放，污染物正常排放不会导致区域环境质量的明显降低，区域环境质量能满足环境功能区划的要求。因此，</w:t>
            </w:r>
            <w:r>
              <w:rPr>
                <w:color w:val="auto"/>
                <w:sz w:val="24"/>
                <w:highlight w:val="none"/>
              </w:rPr>
              <w:t>在严格执行环保</w:t>
            </w:r>
            <w:r>
              <w:rPr>
                <w:rFonts w:hint="eastAsia"/>
                <w:color w:val="auto"/>
                <w:sz w:val="24"/>
                <w:highlight w:val="none"/>
              </w:rPr>
              <w:t>“</w:t>
            </w:r>
            <w:r>
              <w:rPr>
                <w:color w:val="auto"/>
                <w:sz w:val="24"/>
                <w:highlight w:val="none"/>
              </w:rPr>
              <w:t>三同时</w:t>
            </w:r>
            <w:r>
              <w:rPr>
                <w:rFonts w:hint="eastAsia"/>
                <w:color w:val="auto"/>
                <w:sz w:val="24"/>
                <w:highlight w:val="none"/>
              </w:rPr>
              <w:t>”</w:t>
            </w:r>
            <w:r>
              <w:rPr>
                <w:color w:val="auto"/>
                <w:sz w:val="24"/>
                <w:highlight w:val="none"/>
              </w:rPr>
              <w:t>制度，认真落实环评提出的各项环保措施、环境风险防范</w:t>
            </w:r>
            <w:r>
              <w:rPr>
                <w:rFonts w:hint="eastAsia"/>
                <w:color w:val="auto"/>
                <w:sz w:val="24"/>
                <w:highlight w:val="none"/>
              </w:rPr>
              <w:t>措施、</w:t>
            </w:r>
            <w:r>
              <w:rPr>
                <w:color w:val="auto"/>
                <w:sz w:val="24"/>
                <w:highlight w:val="none"/>
              </w:rPr>
              <w:t>加强环境管理</w:t>
            </w:r>
            <w:r>
              <w:rPr>
                <w:rFonts w:hint="eastAsia"/>
                <w:color w:val="auto"/>
                <w:sz w:val="24"/>
                <w:highlight w:val="none"/>
              </w:rPr>
              <w:t>的前提下</w:t>
            </w:r>
            <w:r>
              <w:rPr>
                <w:color w:val="auto"/>
                <w:sz w:val="24"/>
                <w:highlight w:val="none"/>
              </w:rPr>
              <w:t>，从环境保护角度分析，本</w:t>
            </w:r>
            <w:r>
              <w:rPr>
                <w:rFonts w:hint="eastAsia"/>
                <w:color w:val="auto"/>
                <w:sz w:val="24"/>
                <w:highlight w:val="none"/>
              </w:rPr>
              <w:t>次项目</w:t>
            </w:r>
            <w:r>
              <w:rPr>
                <w:color w:val="auto"/>
                <w:sz w:val="24"/>
                <w:highlight w:val="none"/>
              </w:rPr>
              <w:t>建设是可行的。</w:t>
            </w:r>
          </w:p>
        </w:tc>
      </w:tr>
    </w:tbl>
    <w:p>
      <w:pPr>
        <w:rPr>
          <w:rFonts w:ascii="宋体"/>
          <w:color w:val="auto"/>
          <w:highlight w:val="none"/>
        </w:rPr>
        <w:sectPr>
          <w:pgSz w:w="11906" w:h="16838"/>
          <w:pgMar w:top="1701" w:right="1531" w:bottom="1701" w:left="1531" w:header="851" w:footer="851" w:gutter="0"/>
          <w:cols w:space="720" w:num="1"/>
          <w:docGrid w:linePitch="312" w:charSpace="0"/>
        </w:sectPr>
      </w:pPr>
    </w:p>
    <w:p>
      <w:pPr>
        <w:pStyle w:val="17"/>
        <w:adjustRightInd w:val="0"/>
        <w:snapToGrid w:val="0"/>
        <w:spacing w:before="0" w:beforeAutospacing="0" w:after="0" w:afterAutospacing="0" w:line="648" w:lineRule="auto"/>
        <w:outlineLvl w:val="0"/>
        <w:rPr>
          <w:rFonts w:ascii="黑体" w:hAnsi="黑体" w:eastAsia="黑体"/>
          <w:snapToGrid w:val="0"/>
          <w:color w:val="auto"/>
          <w:sz w:val="32"/>
          <w:szCs w:val="32"/>
          <w:highlight w:val="none"/>
        </w:rPr>
      </w:pPr>
      <w:bookmarkStart w:id="21" w:name="_Toc5135"/>
      <w:r>
        <w:rPr>
          <w:rFonts w:hint="eastAsia" w:ascii="黑体" w:hAnsi="黑体" w:eastAsia="黑体"/>
          <w:snapToGrid w:val="0"/>
          <w:color w:val="auto"/>
          <w:sz w:val="32"/>
          <w:szCs w:val="32"/>
          <w:highlight w:val="none"/>
        </w:rPr>
        <w:t>附表</w:t>
      </w:r>
      <w:bookmarkEnd w:id="21"/>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方正小标宋_GBK" w:hAnsi="黑体" w:eastAsia="方正小标宋_GBK"/>
          <w:snapToGrid w:val="0"/>
          <w:color w:val="auto"/>
          <w:sz w:val="38"/>
          <w:szCs w:val="38"/>
          <w:highlight w:val="none"/>
        </w:rPr>
      </w:pPr>
      <w:bookmarkStart w:id="22" w:name="_Toc16261"/>
      <w:r>
        <w:rPr>
          <w:rFonts w:hint="eastAsia" w:ascii="方正小标宋_GBK" w:hAnsi="黑体" w:eastAsia="方正小标宋_GBK"/>
          <w:snapToGrid w:val="0"/>
          <w:color w:val="auto"/>
          <w:sz w:val="38"/>
          <w:szCs w:val="38"/>
          <w:highlight w:val="none"/>
        </w:rPr>
        <w:t>建设项目污染物排放量汇总表</w:t>
      </w:r>
      <w:bookmarkEnd w:id="22"/>
    </w:p>
    <w:tbl>
      <w:tblPr>
        <w:tblStyle w:val="1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847"/>
        <w:gridCol w:w="9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46"/>
              <w:spacing w:beforeLines="0" w:afterLines="0" w:line="240" w:lineRule="auto"/>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项目</w:t>
            </w:r>
          </w:p>
          <w:p>
            <w:pPr>
              <w:pStyle w:val="46"/>
              <w:spacing w:beforeLines="0" w:afterLines="0" w:line="240" w:lineRule="auto"/>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分类</w:t>
            </w:r>
          </w:p>
        </w:tc>
        <w:tc>
          <w:tcPr>
            <w:tcW w:w="1417" w:type="dxa"/>
            <w:tcMar>
              <w:left w:w="28" w:type="dxa"/>
              <w:right w:w="28" w:type="dxa"/>
            </w:tcMar>
            <w:vAlign w:val="center"/>
          </w:tcPr>
          <w:p>
            <w:pPr>
              <w:pStyle w:val="46"/>
              <w:spacing w:beforeLines="0" w:afterLines="0" w:line="240" w:lineRule="auto"/>
              <w:rPr>
                <w:rFonts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污染物名称</w:t>
            </w:r>
          </w:p>
        </w:tc>
        <w:tc>
          <w:tcPr>
            <w:tcW w:w="1701" w:type="dxa"/>
            <w:tcMar>
              <w:left w:w="28" w:type="dxa"/>
              <w:right w:w="28" w:type="dxa"/>
            </w:tcMar>
            <w:vAlign w:val="center"/>
          </w:tcPr>
          <w:p>
            <w:pPr>
              <w:pStyle w:val="46"/>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w:t>
            </w:r>
          </w:p>
          <w:p>
            <w:pPr>
              <w:pStyle w:val="46"/>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1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①</w:t>
            </w:r>
            <w:r>
              <w:rPr>
                <w:rFonts w:ascii="黑体" w:hAnsi="黑体" w:eastAsia="黑体"/>
                <w:snapToGrid w:val="0"/>
                <w:color w:val="auto"/>
                <w:spacing w:val="-6"/>
                <w:kern w:val="21"/>
                <w:szCs w:val="21"/>
                <w:highlight w:val="none"/>
              </w:rPr>
              <w:fldChar w:fldCharType="end"/>
            </w:r>
          </w:p>
        </w:tc>
        <w:tc>
          <w:tcPr>
            <w:tcW w:w="1276" w:type="dxa"/>
            <w:tcMar>
              <w:left w:w="28" w:type="dxa"/>
              <w:right w:w="28" w:type="dxa"/>
            </w:tcMar>
            <w:vAlign w:val="center"/>
          </w:tcPr>
          <w:p>
            <w:pPr>
              <w:pStyle w:val="46"/>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w:t>
            </w:r>
          </w:p>
          <w:p>
            <w:pPr>
              <w:pStyle w:val="46"/>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许可排放量</w:t>
            </w:r>
          </w:p>
          <w:p>
            <w:pPr>
              <w:pStyle w:val="46"/>
              <w:spacing w:beforeLines="0" w:afterLines="0"/>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2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snapToGrid w:val="0"/>
                <w:color w:val="auto"/>
                <w:spacing w:val="-6"/>
                <w:kern w:val="21"/>
                <w:szCs w:val="21"/>
                <w:highlight w:val="none"/>
              </w:rPr>
              <w:t>②</w:t>
            </w:r>
            <w:r>
              <w:rPr>
                <w:rFonts w:ascii="黑体" w:hAnsi="黑体" w:eastAsia="黑体"/>
                <w:snapToGrid w:val="0"/>
                <w:color w:val="auto"/>
                <w:spacing w:val="-6"/>
                <w:kern w:val="21"/>
                <w:szCs w:val="21"/>
                <w:highlight w:val="none"/>
              </w:rPr>
              <w:fldChar w:fldCharType="end"/>
            </w:r>
          </w:p>
        </w:tc>
        <w:tc>
          <w:tcPr>
            <w:tcW w:w="1701" w:type="dxa"/>
            <w:tcMar>
              <w:left w:w="28" w:type="dxa"/>
              <w:right w:w="28" w:type="dxa"/>
            </w:tcMar>
            <w:vAlign w:val="center"/>
          </w:tcPr>
          <w:p>
            <w:pPr>
              <w:pStyle w:val="46"/>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在建工程</w:t>
            </w:r>
          </w:p>
          <w:p>
            <w:pPr>
              <w:pStyle w:val="46"/>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3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③</w:t>
            </w:r>
            <w:r>
              <w:rPr>
                <w:rFonts w:ascii="黑体" w:hAnsi="黑体" w:eastAsia="黑体"/>
                <w:snapToGrid w:val="0"/>
                <w:color w:val="auto"/>
                <w:spacing w:val="-6"/>
                <w:kern w:val="21"/>
                <w:szCs w:val="21"/>
                <w:highlight w:val="none"/>
              </w:rPr>
              <w:fldChar w:fldCharType="end"/>
            </w:r>
          </w:p>
        </w:tc>
        <w:tc>
          <w:tcPr>
            <w:tcW w:w="1559" w:type="dxa"/>
            <w:tcMar>
              <w:left w:w="28" w:type="dxa"/>
              <w:right w:w="28" w:type="dxa"/>
            </w:tcMar>
            <w:vAlign w:val="center"/>
          </w:tcPr>
          <w:p>
            <w:pPr>
              <w:pStyle w:val="46"/>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本项目</w:t>
            </w:r>
          </w:p>
          <w:p>
            <w:pPr>
              <w:pStyle w:val="46"/>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4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④</w:t>
            </w:r>
            <w:r>
              <w:rPr>
                <w:rFonts w:ascii="黑体" w:hAnsi="黑体" w:eastAsia="黑体"/>
                <w:snapToGrid w:val="0"/>
                <w:color w:val="auto"/>
                <w:spacing w:val="-6"/>
                <w:kern w:val="21"/>
                <w:szCs w:val="21"/>
                <w:highlight w:val="none"/>
              </w:rPr>
              <w:fldChar w:fldCharType="end"/>
            </w:r>
          </w:p>
        </w:tc>
        <w:tc>
          <w:tcPr>
            <w:tcW w:w="1761" w:type="dxa"/>
            <w:tcMar>
              <w:left w:w="28" w:type="dxa"/>
              <w:right w:w="28" w:type="dxa"/>
            </w:tcMar>
            <w:vAlign w:val="center"/>
          </w:tcPr>
          <w:p>
            <w:pPr>
              <w:pStyle w:val="46"/>
              <w:spacing w:beforeLines="0" w:afterLines="0" w:line="240" w:lineRule="auto"/>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以新带老削减量</w:t>
            </w:r>
          </w:p>
          <w:p>
            <w:pPr>
              <w:pStyle w:val="46"/>
              <w:spacing w:beforeLines="0" w:afterLines="0" w:line="240" w:lineRule="auto"/>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（新建项目不填）</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5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⑤</w:t>
            </w:r>
            <w:r>
              <w:rPr>
                <w:rFonts w:ascii="黑体" w:hAnsi="黑体" w:eastAsia="黑体"/>
                <w:snapToGrid w:val="0"/>
                <w:color w:val="auto"/>
                <w:spacing w:val="-16"/>
                <w:kern w:val="21"/>
                <w:szCs w:val="21"/>
                <w:highlight w:val="none"/>
              </w:rPr>
              <w:fldChar w:fldCharType="end"/>
            </w:r>
          </w:p>
        </w:tc>
        <w:tc>
          <w:tcPr>
            <w:tcW w:w="1847" w:type="dxa"/>
            <w:tcMar>
              <w:left w:w="28" w:type="dxa"/>
              <w:right w:w="28" w:type="dxa"/>
            </w:tcMar>
            <w:vAlign w:val="center"/>
          </w:tcPr>
          <w:p>
            <w:pPr>
              <w:pStyle w:val="46"/>
              <w:spacing w:beforeLines="0" w:afterLines="0" w:line="240" w:lineRule="auto"/>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本项目建成后</w:t>
            </w:r>
          </w:p>
          <w:p>
            <w:pPr>
              <w:pStyle w:val="46"/>
              <w:spacing w:beforeLines="0" w:afterLines="0" w:line="240" w:lineRule="auto"/>
              <w:rPr>
                <w:rFonts w:ascii="黑体" w:hAnsi="黑体" w:eastAsia="黑体"/>
                <w:snapToGrid w:val="0"/>
                <w:color w:val="auto"/>
                <w:spacing w:val="-16"/>
                <w:kern w:val="21"/>
                <w:szCs w:val="21"/>
                <w:highlight w:val="none"/>
              </w:rPr>
            </w:pPr>
            <w:r>
              <w:rPr>
                <w:rFonts w:hint="eastAsia" w:ascii="黑体" w:hAnsi="黑体" w:eastAsia="黑体"/>
                <w:snapToGrid w:val="0"/>
                <w:color w:val="auto"/>
                <w:spacing w:val="-16"/>
                <w:kern w:val="21"/>
                <w:szCs w:val="21"/>
                <w:highlight w:val="none"/>
              </w:rPr>
              <w:t>全厂</w:t>
            </w:r>
            <w:r>
              <w:rPr>
                <w:rFonts w:ascii="黑体" w:hAnsi="黑体" w:eastAsia="黑体"/>
                <w:snapToGrid w:val="0"/>
                <w:color w:val="auto"/>
                <w:spacing w:val="-16"/>
                <w:kern w:val="21"/>
                <w:szCs w:val="21"/>
                <w:highlight w:val="none"/>
              </w:rPr>
              <w:t>排放量（固</w:t>
            </w:r>
            <w:r>
              <w:rPr>
                <w:rFonts w:hint="eastAsia" w:ascii="黑体" w:hAnsi="黑体" w:eastAsia="黑体"/>
                <w:snapToGrid w:val="0"/>
                <w:color w:val="auto"/>
                <w:spacing w:val="-16"/>
                <w:kern w:val="21"/>
                <w:szCs w:val="21"/>
                <w:highlight w:val="none"/>
              </w:rPr>
              <w:t>体</w:t>
            </w:r>
            <w:r>
              <w:rPr>
                <w:rFonts w:ascii="黑体" w:hAnsi="黑体" w:eastAsia="黑体"/>
                <w:snapToGrid w:val="0"/>
                <w:color w:val="auto"/>
                <w:spacing w:val="-16"/>
                <w:kern w:val="21"/>
                <w:szCs w:val="21"/>
                <w:highlight w:val="none"/>
              </w:rPr>
              <w:t>废</w:t>
            </w:r>
            <w:r>
              <w:rPr>
                <w:rFonts w:hint="eastAsia" w:ascii="黑体" w:hAnsi="黑体" w:eastAsia="黑体"/>
                <w:snapToGrid w:val="0"/>
                <w:color w:val="auto"/>
                <w:spacing w:val="-16"/>
                <w:kern w:val="21"/>
                <w:szCs w:val="21"/>
                <w:highlight w:val="none"/>
              </w:rPr>
              <w:t>物</w:t>
            </w:r>
            <w:r>
              <w:rPr>
                <w:rFonts w:ascii="黑体" w:hAnsi="黑体" w:eastAsia="黑体"/>
                <w:snapToGrid w:val="0"/>
                <w:color w:val="auto"/>
                <w:spacing w:val="-16"/>
                <w:kern w:val="21"/>
                <w:szCs w:val="21"/>
                <w:highlight w:val="none"/>
              </w:rPr>
              <w:t>产生量）</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6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⑥</w:t>
            </w:r>
            <w:r>
              <w:rPr>
                <w:rFonts w:ascii="黑体" w:hAnsi="黑体" w:eastAsia="黑体"/>
                <w:snapToGrid w:val="0"/>
                <w:color w:val="auto"/>
                <w:spacing w:val="-16"/>
                <w:kern w:val="21"/>
                <w:szCs w:val="21"/>
                <w:highlight w:val="none"/>
              </w:rPr>
              <w:fldChar w:fldCharType="end"/>
            </w:r>
          </w:p>
        </w:tc>
        <w:tc>
          <w:tcPr>
            <w:tcW w:w="938" w:type="dxa"/>
            <w:tcMar>
              <w:left w:w="28" w:type="dxa"/>
              <w:right w:w="28" w:type="dxa"/>
            </w:tcMar>
            <w:vAlign w:val="center"/>
          </w:tcPr>
          <w:p>
            <w:pPr>
              <w:pStyle w:val="46"/>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变化量</w:t>
            </w:r>
          </w:p>
          <w:p>
            <w:pPr>
              <w:pStyle w:val="46"/>
              <w:spacing w:beforeLines="0" w:afterLines="0" w:line="240" w:lineRule="auto"/>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7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⑦</w:t>
            </w:r>
            <w:r>
              <w:rPr>
                <w:rFonts w:ascii="黑体" w:hAnsi="黑体" w:eastAsia="黑体"/>
                <w:snapToGrid w:val="0"/>
                <w:color w:val="auto"/>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46"/>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废气</w:t>
            </w:r>
          </w:p>
        </w:tc>
        <w:tc>
          <w:tcPr>
            <w:tcW w:w="1417" w:type="dxa"/>
            <w:vAlign w:val="center"/>
          </w:tcPr>
          <w:p>
            <w:pPr>
              <w:pStyle w:val="46"/>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VOCs（以非甲烷总烃计）</w:t>
            </w:r>
          </w:p>
        </w:tc>
        <w:tc>
          <w:tcPr>
            <w:tcW w:w="1701" w:type="dxa"/>
            <w:vAlign w:val="center"/>
          </w:tcPr>
          <w:p>
            <w:pPr>
              <w:pStyle w:val="46"/>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c>
          <w:tcPr>
            <w:tcW w:w="1276" w:type="dxa"/>
            <w:vAlign w:val="center"/>
          </w:tcPr>
          <w:p>
            <w:pPr>
              <w:pStyle w:val="46"/>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c>
          <w:tcPr>
            <w:tcW w:w="1701" w:type="dxa"/>
            <w:vAlign w:val="center"/>
          </w:tcPr>
          <w:p>
            <w:pPr>
              <w:pStyle w:val="46"/>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c>
          <w:tcPr>
            <w:tcW w:w="1559" w:type="dxa"/>
            <w:vAlign w:val="center"/>
          </w:tcPr>
          <w:p>
            <w:pPr>
              <w:pStyle w:val="46"/>
              <w:spacing w:beforeLines="0" w:afterLines="0" w:line="240" w:lineRule="auto"/>
              <w:rPr>
                <w:rFonts w:hint="default"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rPr>
              <w:t>0.0</w:t>
            </w:r>
            <w:r>
              <w:rPr>
                <w:rFonts w:hint="eastAsia" w:ascii="Times New Roman"/>
                <w:snapToGrid w:val="0"/>
                <w:color w:val="auto"/>
                <w:kern w:val="21"/>
                <w:szCs w:val="21"/>
                <w:highlight w:val="none"/>
                <w:lang w:val="en-US" w:eastAsia="zh-CN"/>
              </w:rPr>
              <w:t>24</w:t>
            </w:r>
          </w:p>
        </w:tc>
        <w:tc>
          <w:tcPr>
            <w:tcW w:w="1761" w:type="dxa"/>
            <w:vAlign w:val="center"/>
          </w:tcPr>
          <w:p>
            <w:pPr>
              <w:pStyle w:val="46"/>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c>
          <w:tcPr>
            <w:tcW w:w="1847" w:type="dxa"/>
            <w:vAlign w:val="center"/>
          </w:tcPr>
          <w:p>
            <w:pPr>
              <w:pStyle w:val="46"/>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r>
              <w:rPr>
                <w:rFonts w:hint="eastAsia" w:ascii="Times New Roman"/>
                <w:snapToGrid w:val="0"/>
                <w:color w:val="auto"/>
                <w:kern w:val="21"/>
                <w:szCs w:val="21"/>
                <w:highlight w:val="none"/>
                <w:lang w:val="en-US" w:eastAsia="zh-CN"/>
              </w:rPr>
              <w:t>024</w:t>
            </w:r>
          </w:p>
        </w:tc>
        <w:tc>
          <w:tcPr>
            <w:tcW w:w="938" w:type="dxa"/>
            <w:vAlign w:val="center"/>
          </w:tcPr>
          <w:p>
            <w:pPr>
              <w:pStyle w:val="46"/>
              <w:spacing w:beforeLines="0" w:afterLines="0" w:line="240" w:lineRule="auto"/>
              <w:rPr>
                <w:rFonts w:hint="default"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rPr>
              <w:t>+0.0</w:t>
            </w:r>
            <w:r>
              <w:rPr>
                <w:rFonts w:hint="eastAsia" w:ascii="Times New Roman"/>
                <w:snapToGrid w:val="0"/>
                <w:color w:val="auto"/>
                <w:kern w:val="21"/>
                <w:szCs w:val="21"/>
                <w:highlight w:val="none"/>
                <w:lang w:val="en-US" w:eastAsia="zh-CN"/>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6"/>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废水</w:t>
            </w:r>
          </w:p>
        </w:tc>
        <w:tc>
          <w:tcPr>
            <w:tcW w:w="1417" w:type="dxa"/>
            <w:vAlign w:val="center"/>
          </w:tcPr>
          <w:p>
            <w:pPr>
              <w:pStyle w:val="46"/>
              <w:spacing w:beforeLines="0" w:afterLines="0" w:line="240" w:lineRule="auto"/>
              <w:rPr>
                <w:color w:val="auto"/>
                <w:szCs w:val="21"/>
                <w:highlight w:val="none"/>
              </w:rPr>
            </w:pPr>
            <w:r>
              <w:rPr>
                <w:rFonts w:ascii="Times New Roman"/>
                <w:snapToGrid w:val="0"/>
                <w:color w:val="auto"/>
                <w:kern w:val="21"/>
                <w:szCs w:val="21"/>
                <w:highlight w:val="none"/>
              </w:rPr>
              <w:t>COD</w:t>
            </w:r>
          </w:p>
        </w:tc>
        <w:tc>
          <w:tcPr>
            <w:tcW w:w="1701"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276"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701"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559" w:type="dxa"/>
            <w:vAlign w:val="center"/>
          </w:tcPr>
          <w:p>
            <w:pPr>
              <w:jc w:val="center"/>
              <w:rPr>
                <w:snapToGrid w:val="0"/>
                <w:color w:val="auto"/>
                <w:kern w:val="21"/>
                <w:szCs w:val="21"/>
                <w:highlight w:val="none"/>
              </w:rPr>
            </w:pPr>
            <w:r>
              <w:rPr>
                <w:rFonts w:hint="eastAsia"/>
                <w:snapToGrid w:val="0"/>
                <w:color w:val="auto"/>
                <w:kern w:val="21"/>
                <w:szCs w:val="21"/>
                <w:highlight w:val="none"/>
                <w:lang w:val="en-US" w:eastAsia="zh-CN"/>
              </w:rPr>
              <w:t>0.6312</w:t>
            </w:r>
          </w:p>
        </w:tc>
        <w:tc>
          <w:tcPr>
            <w:tcW w:w="1761"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847" w:type="dxa"/>
            <w:vAlign w:val="center"/>
          </w:tcPr>
          <w:p>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lang w:val="en-US" w:eastAsia="zh-CN"/>
              </w:rPr>
              <w:t>0.6312</w:t>
            </w:r>
          </w:p>
        </w:tc>
        <w:tc>
          <w:tcPr>
            <w:tcW w:w="938" w:type="dxa"/>
            <w:vAlign w:val="center"/>
          </w:tcPr>
          <w:p>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lang w:val="en-US" w:eastAsia="zh-CN"/>
              </w:rPr>
              <w:t>+0.6312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6"/>
              <w:spacing w:beforeLines="0" w:afterLines="0" w:line="240" w:lineRule="auto"/>
              <w:rPr>
                <w:rFonts w:hAnsi="宋体" w:cs="宋体"/>
                <w:snapToGrid w:val="0"/>
                <w:color w:val="auto"/>
                <w:kern w:val="21"/>
                <w:szCs w:val="21"/>
                <w:highlight w:val="none"/>
              </w:rPr>
            </w:pPr>
          </w:p>
        </w:tc>
        <w:tc>
          <w:tcPr>
            <w:tcW w:w="1417" w:type="dxa"/>
            <w:vAlign w:val="center"/>
          </w:tcPr>
          <w:p>
            <w:pPr>
              <w:pStyle w:val="46"/>
              <w:spacing w:beforeLines="0" w:afterLines="0" w:line="240" w:lineRule="auto"/>
              <w:rPr>
                <w:color w:val="auto"/>
                <w:highlight w:val="none"/>
              </w:rPr>
            </w:pPr>
            <w:r>
              <w:rPr>
                <w:rFonts w:ascii="Times New Roman"/>
                <w:snapToGrid w:val="0"/>
                <w:color w:val="auto"/>
                <w:kern w:val="21"/>
                <w:szCs w:val="21"/>
                <w:highlight w:val="none"/>
              </w:rPr>
              <w:t>BOD</w:t>
            </w:r>
            <w:r>
              <w:rPr>
                <w:rFonts w:ascii="Times New Roman"/>
                <w:snapToGrid w:val="0"/>
                <w:color w:val="auto"/>
                <w:kern w:val="21"/>
                <w:szCs w:val="21"/>
                <w:highlight w:val="none"/>
                <w:vertAlign w:val="subscript"/>
              </w:rPr>
              <w:t>5</w:t>
            </w:r>
          </w:p>
        </w:tc>
        <w:tc>
          <w:tcPr>
            <w:tcW w:w="1701"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276"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701"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559" w:type="dxa"/>
            <w:vAlign w:val="center"/>
          </w:tcPr>
          <w:p>
            <w:pPr>
              <w:jc w:val="center"/>
              <w:rPr>
                <w:snapToGrid w:val="0"/>
                <w:color w:val="auto"/>
                <w:kern w:val="21"/>
                <w:szCs w:val="21"/>
                <w:highlight w:val="none"/>
              </w:rPr>
            </w:pPr>
            <w:r>
              <w:rPr>
                <w:rFonts w:hint="eastAsia"/>
                <w:snapToGrid w:val="0"/>
                <w:color w:val="auto"/>
                <w:kern w:val="21"/>
                <w:szCs w:val="21"/>
                <w:highlight w:val="none"/>
                <w:lang w:val="en-US" w:eastAsia="zh-CN"/>
              </w:rPr>
              <w:t>0.1262</w:t>
            </w:r>
          </w:p>
        </w:tc>
        <w:tc>
          <w:tcPr>
            <w:tcW w:w="1761"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847" w:type="dxa"/>
            <w:vAlign w:val="center"/>
          </w:tcPr>
          <w:p>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lang w:val="en-US" w:eastAsia="zh-CN"/>
              </w:rPr>
              <w:t>0.1262</w:t>
            </w:r>
          </w:p>
        </w:tc>
        <w:tc>
          <w:tcPr>
            <w:tcW w:w="938" w:type="dxa"/>
            <w:vAlign w:val="center"/>
          </w:tcPr>
          <w:p>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lang w:val="en-US" w:eastAsia="zh-CN"/>
              </w:rPr>
              <w:t>+0.1262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6"/>
              <w:spacing w:beforeLines="0" w:afterLines="0" w:line="240" w:lineRule="auto"/>
              <w:rPr>
                <w:rFonts w:hAnsi="宋体" w:cs="宋体"/>
                <w:snapToGrid w:val="0"/>
                <w:color w:val="auto"/>
                <w:kern w:val="21"/>
                <w:szCs w:val="21"/>
                <w:highlight w:val="none"/>
              </w:rPr>
            </w:pPr>
          </w:p>
        </w:tc>
        <w:tc>
          <w:tcPr>
            <w:tcW w:w="1417" w:type="dxa"/>
            <w:vAlign w:val="center"/>
          </w:tcPr>
          <w:p>
            <w:pPr>
              <w:pStyle w:val="46"/>
              <w:spacing w:beforeLines="0" w:afterLines="0" w:line="240" w:lineRule="auto"/>
              <w:rPr>
                <w:color w:val="auto"/>
                <w:highlight w:val="none"/>
              </w:rPr>
            </w:pPr>
            <w:r>
              <w:rPr>
                <w:rFonts w:ascii="Times New Roman"/>
                <w:snapToGrid w:val="0"/>
                <w:color w:val="auto"/>
                <w:kern w:val="21"/>
                <w:szCs w:val="21"/>
                <w:highlight w:val="none"/>
              </w:rPr>
              <w:t>NH</w:t>
            </w:r>
            <w:r>
              <w:rPr>
                <w:rFonts w:ascii="Times New Roman"/>
                <w:snapToGrid w:val="0"/>
                <w:color w:val="auto"/>
                <w:kern w:val="21"/>
                <w:szCs w:val="21"/>
                <w:highlight w:val="none"/>
                <w:vertAlign w:val="subscript"/>
              </w:rPr>
              <w:t>3</w:t>
            </w:r>
            <w:r>
              <w:rPr>
                <w:rFonts w:ascii="Times New Roman"/>
                <w:snapToGrid w:val="0"/>
                <w:color w:val="auto"/>
                <w:kern w:val="21"/>
                <w:szCs w:val="21"/>
                <w:highlight w:val="none"/>
              </w:rPr>
              <w:t>-N</w:t>
            </w:r>
          </w:p>
        </w:tc>
        <w:tc>
          <w:tcPr>
            <w:tcW w:w="1701"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276"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701"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559" w:type="dxa"/>
            <w:vAlign w:val="center"/>
          </w:tcPr>
          <w:p>
            <w:pPr>
              <w:jc w:val="center"/>
              <w:rPr>
                <w:snapToGrid w:val="0"/>
                <w:color w:val="auto"/>
                <w:kern w:val="21"/>
                <w:szCs w:val="21"/>
                <w:highlight w:val="none"/>
              </w:rPr>
            </w:pPr>
            <w:r>
              <w:rPr>
                <w:rFonts w:hint="eastAsia"/>
                <w:snapToGrid w:val="0"/>
                <w:color w:val="auto"/>
                <w:kern w:val="21"/>
                <w:szCs w:val="21"/>
                <w:highlight w:val="none"/>
                <w:lang w:val="en-US" w:eastAsia="zh-CN"/>
              </w:rPr>
              <w:t>0.1262</w:t>
            </w:r>
          </w:p>
        </w:tc>
        <w:tc>
          <w:tcPr>
            <w:tcW w:w="1761"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847" w:type="dxa"/>
            <w:vAlign w:val="center"/>
          </w:tcPr>
          <w:p>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lang w:val="en-US" w:eastAsia="zh-CN"/>
              </w:rPr>
              <w:t>0.1262</w:t>
            </w:r>
          </w:p>
        </w:tc>
        <w:tc>
          <w:tcPr>
            <w:tcW w:w="938" w:type="dxa"/>
            <w:vAlign w:val="center"/>
          </w:tcPr>
          <w:p>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lang w:val="en-US" w:eastAsia="zh-CN"/>
              </w:rPr>
              <w:t>+0.1262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6"/>
              <w:spacing w:beforeLines="0" w:afterLines="0" w:line="240" w:lineRule="auto"/>
              <w:rPr>
                <w:rFonts w:hAnsi="宋体" w:cs="宋体"/>
                <w:snapToGrid w:val="0"/>
                <w:color w:val="auto"/>
                <w:kern w:val="21"/>
                <w:szCs w:val="21"/>
                <w:highlight w:val="none"/>
              </w:rPr>
            </w:pPr>
          </w:p>
        </w:tc>
        <w:tc>
          <w:tcPr>
            <w:tcW w:w="1417" w:type="dxa"/>
            <w:vAlign w:val="center"/>
          </w:tcPr>
          <w:p>
            <w:pPr>
              <w:pStyle w:val="46"/>
              <w:spacing w:beforeLines="0" w:afterLines="0" w:line="240" w:lineRule="auto"/>
              <w:rPr>
                <w:color w:val="auto"/>
                <w:highlight w:val="none"/>
              </w:rPr>
            </w:pPr>
            <w:r>
              <w:rPr>
                <w:rFonts w:ascii="Times New Roman"/>
                <w:snapToGrid w:val="0"/>
                <w:color w:val="auto"/>
                <w:kern w:val="21"/>
                <w:szCs w:val="21"/>
                <w:highlight w:val="none"/>
              </w:rPr>
              <w:t>SS</w:t>
            </w:r>
          </w:p>
        </w:tc>
        <w:tc>
          <w:tcPr>
            <w:tcW w:w="1701"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276"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701"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559" w:type="dxa"/>
            <w:vAlign w:val="center"/>
          </w:tcPr>
          <w:p>
            <w:pPr>
              <w:jc w:val="center"/>
              <w:rPr>
                <w:snapToGrid w:val="0"/>
                <w:color w:val="auto"/>
                <w:kern w:val="21"/>
                <w:szCs w:val="21"/>
                <w:highlight w:val="none"/>
              </w:rPr>
            </w:pPr>
            <w:r>
              <w:rPr>
                <w:rFonts w:hint="eastAsia"/>
                <w:snapToGrid w:val="0"/>
                <w:color w:val="auto"/>
                <w:kern w:val="21"/>
                <w:szCs w:val="21"/>
                <w:highlight w:val="none"/>
                <w:lang w:val="en-US" w:eastAsia="zh-CN"/>
              </w:rPr>
              <w:t>0.0631</w:t>
            </w:r>
          </w:p>
        </w:tc>
        <w:tc>
          <w:tcPr>
            <w:tcW w:w="1761"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847" w:type="dxa"/>
            <w:vAlign w:val="center"/>
          </w:tcPr>
          <w:p>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lang w:val="en-US" w:eastAsia="zh-CN"/>
              </w:rPr>
              <w:t>0.0631</w:t>
            </w:r>
          </w:p>
        </w:tc>
        <w:tc>
          <w:tcPr>
            <w:tcW w:w="938" w:type="dxa"/>
            <w:vAlign w:val="center"/>
          </w:tcPr>
          <w:p>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lang w:val="en-US" w:eastAsia="zh-CN"/>
              </w:rPr>
              <w:t>+0.0631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6"/>
              <w:spacing w:beforeLines="0" w:afterLines="0" w:line="240" w:lineRule="auto"/>
              <w:rPr>
                <w:rFonts w:hAnsi="宋体" w:cs="宋体"/>
                <w:snapToGrid w:val="0"/>
                <w:color w:val="auto"/>
                <w:kern w:val="21"/>
                <w:szCs w:val="21"/>
                <w:highlight w:val="none"/>
              </w:rPr>
            </w:pPr>
          </w:p>
        </w:tc>
        <w:tc>
          <w:tcPr>
            <w:tcW w:w="1417" w:type="dxa"/>
            <w:vAlign w:val="center"/>
          </w:tcPr>
          <w:p>
            <w:pPr>
              <w:pStyle w:val="46"/>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动植物油</w:t>
            </w:r>
          </w:p>
        </w:tc>
        <w:tc>
          <w:tcPr>
            <w:tcW w:w="1701"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276"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701"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559" w:type="dxa"/>
            <w:vAlign w:val="center"/>
          </w:tcPr>
          <w:p>
            <w:pPr>
              <w:jc w:val="center"/>
              <w:rPr>
                <w:snapToGrid w:val="0"/>
                <w:color w:val="auto"/>
                <w:kern w:val="21"/>
                <w:szCs w:val="21"/>
                <w:highlight w:val="none"/>
              </w:rPr>
            </w:pPr>
            <w:r>
              <w:rPr>
                <w:rFonts w:hint="eastAsia"/>
                <w:snapToGrid w:val="0"/>
                <w:color w:val="auto"/>
                <w:kern w:val="21"/>
                <w:szCs w:val="21"/>
                <w:highlight w:val="none"/>
                <w:lang w:val="en-US" w:eastAsia="zh-CN"/>
              </w:rPr>
              <w:t>0.0126</w:t>
            </w:r>
          </w:p>
        </w:tc>
        <w:tc>
          <w:tcPr>
            <w:tcW w:w="1761" w:type="dxa"/>
            <w:vAlign w:val="center"/>
          </w:tcPr>
          <w:p>
            <w:pPr>
              <w:jc w:val="center"/>
              <w:rPr>
                <w:snapToGrid w:val="0"/>
                <w:color w:val="auto"/>
                <w:kern w:val="21"/>
                <w:szCs w:val="21"/>
                <w:highlight w:val="none"/>
              </w:rPr>
            </w:pPr>
            <w:r>
              <w:rPr>
                <w:rFonts w:hint="eastAsia"/>
                <w:snapToGrid w:val="0"/>
                <w:color w:val="auto"/>
                <w:kern w:val="21"/>
                <w:szCs w:val="21"/>
                <w:highlight w:val="none"/>
              </w:rPr>
              <w:t>0</w:t>
            </w:r>
          </w:p>
        </w:tc>
        <w:tc>
          <w:tcPr>
            <w:tcW w:w="1847" w:type="dxa"/>
            <w:vAlign w:val="center"/>
          </w:tcPr>
          <w:p>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lang w:val="en-US" w:eastAsia="zh-CN"/>
              </w:rPr>
              <w:t>0.0126</w:t>
            </w:r>
          </w:p>
        </w:tc>
        <w:tc>
          <w:tcPr>
            <w:tcW w:w="938" w:type="dxa"/>
            <w:vAlign w:val="center"/>
          </w:tcPr>
          <w:p>
            <w:pPr>
              <w:jc w:val="center"/>
              <w:rPr>
                <w:rFonts w:ascii="Times New Roman" w:hAnsi="Times New Roman" w:eastAsia="宋体" w:cs="Times New Roman"/>
                <w:snapToGrid w:val="0"/>
                <w:color w:val="auto"/>
                <w:kern w:val="21"/>
                <w:sz w:val="21"/>
                <w:szCs w:val="21"/>
                <w:highlight w:val="none"/>
                <w:lang w:val="en-US" w:eastAsia="zh-CN" w:bidi="ar-SA"/>
              </w:rPr>
            </w:pPr>
            <w:r>
              <w:rPr>
                <w:rFonts w:hint="eastAsia"/>
                <w:snapToGrid w:val="0"/>
                <w:color w:val="auto"/>
                <w:kern w:val="21"/>
                <w:szCs w:val="21"/>
                <w:highlight w:val="none"/>
                <w:lang w:val="en-US" w:eastAsia="zh-CN"/>
              </w:rPr>
              <w:t>+0.0126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6"/>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一般工业</w:t>
            </w:r>
          </w:p>
          <w:p>
            <w:pPr>
              <w:pStyle w:val="46"/>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固体废物</w:t>
            </w:r>
          </w:p>
        </w:tc>
        <w:tc>
          <w:tcPr>
            <w:tcW w:w="1417" w:type="dxa"/>
            <w:vAlign w:val="center"/>
          </w:tcPr>
          <w:p>
            <w:pPr>
              <w:pStyle w:val="46"/>
              <w:spacing w:beforeLines="0" w:afterLines="0" w:line="240" w:lineRule="auto"/>
              <w:rPr>
                <w:rFonts w:hint="eastAsia" w:ascii="Times New Roman" w:eastAsia="宋体"/>
                <w:snapToGrid w:val="0"/>
                <w:color w:val="auto"/>
                <w:kern w:val="21"/>
                <w:szCs w:val="21"/>
                <w:highlight w:val="none"/>
                <w:lang w:eastAsia="zh-CN"/>
              </w:rPr>
            </w:pPr>
            <w:r>
              <w:rPr>
                <w:rFonts w:hint="eastAsia" w:ascii="Times New Roman"/>
                <w:snapToGrid w:val="0"/>
                <w:color w:val="auto"/>
                <w:kern w:val="21"/>
                <w:szCs w:val="21"/>
                <w:highlight w:val="none"/>
                <w:lang w:eastAsia="zh-CN"/>
              </w:rPr>
              <w:t>实验室一般固废</w:t>
            </w:r>
          </w:p>
        </w:tc>
        <w:tc>
          <w:tcPr>
            <w:tcW w:w="1701" w:type="dxa"/>
            <w:vAlign w:val="center"/>
          </w:tcPr>
          <w:p>
            <w:pPr>
              <w:pStyle w:val="46"/>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c>
          <w:tcPr>
            <w:tcW w:w="1276" w:type="dxa"/>
            <w:vAlign w:val="center"/>
          </w:tcPr>
          <w:p>
            <w:pPr>
              <w:pStyle w:val="46"/>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c>
          <w:tcPr>
            <w:tcW w:w="1701" w:type="dxa"/>
            <w:vAlign w:val="center"/>
          </w:tcPr>
          <w:p>
            <w:pPr>
              <w:pStyle w:val="46"/>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c>
          <w:tcPr>
            <w:tcW w:w="1559" w:type="dxa"/>
            <w:vAlign w:val="center"/>
          </w:tcPr>
          <w:p>
            <w:pPr>
              <w:pStyle w:val="46"/>
              <w:spacing w:beforeLines="0" w:afterLines="0" w:line="240" w:lineRule="auto"/>
              <w:rPr>
                <w:rFonts w:hint="eastAsia" w:ascii="Times New Roman" w:eastAsia="宋体"/>
                <w:snapToGrid w:val="0"/>
                <w:color w:val="auto"/>
                <w:kern w:val="21"/>
                <w:szCs w:val="21"/>
                <w:highlight w:val="none"/>
                <w:lang w:eastAsia="zh-CN"/>
              </w:rPr>
            </w:pPr>
            <w:r>
              <w:rPr>
                <w:rFonts w:hint="eastAsia" w:ascii="Times New Roman"/>
                <w:snapToGrid w:val="0"/>
                <w:color w:val="auto"/>
                <w:kern w:val="21"/>
                <w:szCs w:val="21"/>
                <w:highlight w:val="none"/>
                <w:lang w:val="en-US" w:eastAsia="zh-CN"/>
              </w:rPr>
              <w:t>7</w:t>
            </w:r>
          </w:p>
        </w:tc>
        <w:tc>
          <w:tcPr>
            <w:tcW w:w="1761" w:type="dxa"/>
            <w:vAlign w:val="center"/>
          </w:tcPr>
          <w:p>
            <w:pPr>
              <w:pStyle w:val="46"/>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c>
          <w:tcPr>
            <w:tcW w:w="1847" w:type="dxa"/>
            <w:vAlign w:val="center"/>
          </w:tcPr>
          <w:p>
            <w:pPr>
              <w:pStyle w:val="46"/>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c>
          <w:tcPr>
            <w:tcW w:w="938" w:type="dxa"/>
            <w:vAlign w:val="center"/>
          </w:tcPr>
          <w:p>
            <w:pPr>
              <w:pStyle w:val="46"/>
              <w:spacing w:beforeLines="0" w:afterLines="0" w:line="240" w:lineRule="auto"/>
              <w:rPr>
                <w:rFonts w:hint="default"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6"/>
              <w:spacing w:beforeLines="0" w:afterLines="0" w:line="240" w:lineRule="auto"/>
              <w:rPr>
                <w:rFonts w:hint="eastAsia" w:hAnsi="宋体" w:cs="宋体"/>
                <w:snapToGrid w:val="0"/>
                <w:color w:val="auto"/>
                <w:kern w:val="21"/>
                <w:szCs w:val="21"/>
                <w:highlight w:val="none"/>
              </w:rPr>
            </w:pPr>
          </w:p>
        </w:tc>
        <w:tc>
          <w:tcPr>
            <w:tcW w:w="1417" w:type="dxa"/>
            <w:vAlign w:val="center"/>
          </w:tcPr>
          <w:p>
            <w:pPr>
              <w:pStyle w:val="46"/>
              <w:spacing w:beforeLines="0" w:afterLines="0" w:line="240" w:lineRule="auto"/>
              <w:rPr>
                <w:rFonts w:hint="eastAsia" w:ascii="Times New Roman"/>
                <w:snapToGrid w:val="0"/>
                <w:color w:val="auto"/>
                <w:kern w:val="21"/>
                <w:szCs w:val="21"/>
                <w:highlight w:val="none"/>
                <w:lang w:eastAsia="zh-CN"/>
              </w:rPr>
            </w:pPr>
            <w:r>
              <w:rPr>
                <w:rFonts w:hint="eastAsia" w:ascii="Times New Roman"/>
                <w:snapToGrid w:val="0"/>
                <w:color w:val="auto"/>
                <w:kern w:val="21"/>
                <w:szCs w:val="21"/>
                <w:highlight w:val="none"/>
                <w:lang w:eastAsia="zh-CN"/>
              </w:rPr>
              <w:t>污泥</w:t>
            </w:r>
          </w:p>
        </w:tc>
        <w:tc>
          <w:tcPr>
            <w:tcW w:w="1701" w:type="dxa"/>
            <w:vAlign w:val="center"/>
          </w:tcPr>
          <w:p>
            <w:pPr>
              <w:pStyle w:val="46"/>
              <w:spacing w:beforeLines="0" w:afterLines="0" w:line="240" w:lineRule="auto"/>
              <w:rPr>
                <w:rFonts w:hint="eastAsia"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1276" w:type="dxa"/>
            <w:vAlign w:val="center"/>
          </w:tcPr>
          <w:p>
            <w:pPr>
              <w:pStyle w:val="46"/>
              <w:spacing w:beforeLines="0" w:afterLines="0" w:line="240" w:lineRule="auto"/>
              <w:rPr>
                <w:rFonts w:hint="eastAsia"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1701" w:type="dxa"/>
            <w:vAlign w:val="center"/>
          </w:tcPr>
          <w:p>
            <w:pPr>
              <w:pStyle w:val="46"/>
              <w:spacing w:beforeLines="0" w:afterLines="0" w:line="240" w:lineRule="auto"/>
              <w:rPr>
                <w:rFonts w:hint="eastAsia"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1559" w:type="dxa"/>
            <w:vAlign w:val="center"/>
          </w:tcPr>
          <w:p>
            <w:pPr>
              <w:pStyle w:val="46"/>
              <w:spacing w:beforeLines="0" w:afterLines="0" w:line="240" w:lineRule="auto"/>
              <w:rPr>
                <w:rFonts w:hint="default"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2.11</w:t>
            </w:r>
          </w:p>
        </w:tc>
        <w:tc>
          <w:tcPr>
            <w:tcW w:w="1761" w:type="dxa"/>
            <w:vAlign w:val="center"/>
          </w:tcPr>
          <w:p>
            <w:pPr>
              <w:pStyle w:val="46"/>
              <w:spacing w:beforeLines="0" w:afterLines="0" w:line="240" w:lineRule="auto"/>
              <w:rPr>
                <w:rFonts w:hint="eastAsia"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1847" w:type="dxa"/>
            <w:vAlign w:val="center"/>
          </w:tcPr>
          <w:p>
            <w:pPr>
              <w:pStyle w:val="46"/>
              <w:spacing w:beforeLines="0" w:afterLines="0" w:line="240" w:lineRule="auto"/>
              <w:rPr>
                <w:rFonts w:hint="eastAsia"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938" w:type="dxa"/>
            <w:vAlign w:val="center"/>
          </w:tcPr>
          <w:p>
            <w:pPr>
              <w:pStyle w:val="46"/>
              <w:spacing w:beforeLines="0" w:afterLines="0" w:line="240" w:lineRule="auto"/>
              <w:rPr>
                <w:rFonts w:hint="default"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+2.11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6"/>
              <w:spacing w:beforeLines="0" w:afterLines="0" w:line="240" w:lineRule="auto"/>
              <w:rPr>
                <w:rFonts w:hAnsi="宋体" w:cs="宋体"/>
                <w:snapToGrid w:val="0"/>
                <w:color w:val="auto"/>
                <w:kern w:val="21"/>
                <w:szCs w:val="21"/>
                <w:highlight w:val="none"/>
              </w:rPr>
            </w:pPr>
            <w:r>
              <w:rPr>
                <w:rFonts w:hint="eastAsia" w:hAnsi="宋体" w:cs="宋体"/>
                <w:snapToGrid w:val="0"/>
                <w:color w:val="auto"/>
                <w:kern w:val="21"/>
                <w:szCs w:val="21"/>
                <w:highlight w:val="none"/>
              </w:rPr>
              <w:t>危险废物</w:t>
            </w:r>
          </w:p>
        </w:tc>
        <w:tc>
          <w:tcPr>
            <w:tcW w:w="1417" w:type="dxa"/>
            <w:vAlign w:val="center"/>
          </w:tcPr>
          <w:p>
            <w:pPr>
              <w:pStyle w:val="46"/>
              <w:spacing w:beforeLines="0" w:afterLines="0" w:line="240" w:lineRule="auto"/>
              <w:rPr>
                <w:rFonts w:hint="eastAsia" w:ascii="Times New Roman" w:eastAsia="宋体"/>
                <w:snapToGrid w:val="0"/>
                <w:color w:val="auto"/>
                <w:kern w:val="21"/>
                <w:szCs w:val="21"/>
                <w:highlight w:val="none"/>
                <w:lang w:eastAsia="zh-CN"/>
              </w:rPr>
            </w:pPr>
            <w:r>
              <w:rPr>
                <w:rFonts w:hint="eastAsia" w:ascii="Times New Roman"/>
                <w:snapToGrid w:val="0"/>
                <w:color w:val="auto"/>
                <w:kern w:val="21"/>
                <w:szCs w:val="21"/>
                <w:highlight w:val="none"/>
                <w:lang w:eastAsia="zh-CN"/>
              </w:rPr>
              <w:t>实验室危险废物</w:t>
            </w:r>
          </w:p>
        </w:tc>
        <w:tc>
          <w:tcPr>
            <w:tcW w:w="1701" w:type="dxa"/>
            <w:vAlign w:val="center"/>
          </w:tcPr>
          <w:p>
            <w:pPr>
              <w:pStyle w:val="46"/>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c>
          <w:tcPr>
            <w:tcW w:w="1276" w:type="dxa"/>
            <w:vAlign w:val="center"/>
          </w:tcPr>
          <w:p>
            <w:pPr>
              <w:pStyle w:val="46"/>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c>
          <w:tcPr>
            <w:tcW w:w="1701" w:type="dxa"/>
            <w:vAlign w:val="center"/>
          </w:tcPr>
          <w:p>
            <w:pPr>
              <w:pStyle w:val="46"/>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c>
          <w:tcPr>
            <w:tcW w:w="1559" w:type="dxa"/>
            <w:vAlign w:val="center"/>
          </w:tcPr>
          <w:p>
            <w:pPr>
              <w:pStyle w:val="46"/>
              <w:spacing w:beforeLines="0" w:afterLines="0" w:line="240" w:lineRule="auto"/>
              <w:rPr>
                <w:rFonts w:hint="default"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1.2</w:t>
            </w:r>
          </w:p>
        </w:tc>
        <w:tc>
          <w:tcPr>
            <w:tcW w:w="1761" w:type="dxa"/>
            <w:vAlign w:val="center"/>
          </w:tcPr>
          <w:p>
            <w:pPr>
              <w:pStyle w:val="46"/>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c>
          <w:tcPr>
            <w:tcW w:w="1847" w:type="dxa"/>
            <w:vAlign w:val="center"/>
          </w:tcPr>
          <w:p>
            <w:pPr>
              <w:pStyle w:val="46"/>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0</w:t>
            </w:r>
          </w:p>
        </w:tc>
        <w:tc>
          <w:tcPr>
            <w:tcW w:w="938" w:type="dxa"/>
            <w:vAlign w:val="center"/>
          </w:tcPr>
          <w:p>
            <w:pPr>
              <w:pStyle w:val="46"/>
              <w:spacing w:beforeLines="0" w:afterLines="0" w:line="240" w:lineRule="auto"/>
              <w:rPr>
                <w:rFonts w:hint="default"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6"/>
              <w:spacing w:beforeLines="0" w:afterLines="0" w:line="240" w:lineRule="auto"/>
              <w:rPr>
                <w:rFonts w:hint="eastAsia" w:hAnsi="宋体" w:cs="宋体"/>
                <w:snapToGrid w:val="0"/>
                <w:color w:val="auto"/>
                <w:kern w:val="21"/>
                <w:szCs w:val="21"/>
                <w:highlight w:val="none"/>
              </w:rPr>
            </w:pPr>
            <w:bookmarkStart w:id="23" w:name="_Toc29631"/>
          </w:p>
        </w:tc>
        <w:tc>
          <w:tcPr>
            <w:tcW w:w="1417" w:type="dxa"/>
            <w:vAlign w:val="center"/>
          </w:tcPr>
          <w:p>
            <w:pPr>
              <w:pStyle w:val="46"/>
              <w:spacing w:beforeLines="0" w:afterLines="0" w:line="240" w:lineRule="auto"/>
              <w:rPr>
                <w:rFonts w:hint="eastAsia" w:ascii="Times New Roman"/>
                <w:snapToGrid w:val="0"/>
                <w:color w:val="auto"/>
                <w:kern w:val="21"/>
                <w:szCs w:val="21"/>
                <w:highlight w:val="none"/>
                <w:lang w:eastAsia="zh-CN"/>
              </w:rPr>
            </w:pPr>
            <w:r>
              <w:rPr>
                <w:rFonts w:hint="eastAsia" w:ascii="Times New Roman"/>
                <w:snapToGrid w:val="0"/>
                <w:color w:val="auto"/>
                <w:kern w:val="21"/>
                <w:szCs w:val="21"/>
                <w:highlight w:val="none"/>
                <w:lang w:eastAsia="zh-CN"/>
              </w:rPr>
              <w:t>废活性炭</w:t>
            </w:r>
          </w:p>
        </w:tc>
        <w:tc>
          <w:tcPr>
            <w:tcW w:w="1701" w:type="dxa"/>
            <w:vAlign w:val="center"/>
          </w:tcPr>
          <w:p>
            <w:pPr>
              <w:pStyle w:val="46"/>
              <w:spacing w:beforeLines="0" w:afterLines="0" w:line="240" w:lineRule="auto"/>
              <w:rPr>
                <w:rFonts w:hint="eastAsia"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1276" w:type="dxa"/>
            <w:vAlign w:val="center"/>
          </w:tcPr>
          <w:p>
            <w:pPr>
              <w:pStyle w:val="46"/>
              <w:spacing w:beforeLines="0" w:afterLines="0" w:line="240" w:lineRule="auto"/>
              <w:rPr>
                <w:rFonts w:hint="eastAsia"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1701" w:type="dxa"/>
            <w:vAlign w:val="center"/>
          </w:tcPr>
          <w:p>
            <w:pPr>
              <w:pStyle w:val="46"/>
              <w:spacing w:beforeLines="0" w:afterLines="0" w:line="240" w:lineRule="auto"/>
              <w:rPr>
                <w:rFonts w:hint="eastAsia"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1559" w:type="dxa"/>
            <w:vAlign w:val="center"/>
          </w:tcPr>
          <w:p>
            <w:pPr>
              <w:pStyle w:val="46"/>
              <w:spacing w:beforeLines="0" w:afterLines="0" w:line="240" w:lineRule="auto"/>
              <w:rPr>
                <w:rFonts w:hint="default"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1.1</w:t>
            </w:r>
          </w:p>
        </w:tc>
        <w:tc>
          <w:tcPr>
            <w:tcW w:w="1761" w:type="dxa"/>
            <w:vAlign w:val="center"/>
          </w:tcPr>
          <w:p>
            <w:pPr>
              <w:pStyle w:val="46"/>
              <w:spacing w:beforeLines="0" w:afterLines="0" w:line="240" w:lineRule="auto"/>
              <w:rPr>
                <w:rFonts w:hint="eastAsia"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1847" w:type="dxa"/>
            <w:vAlign w:val="center"/>
          </w:tcPr>
          <w:p>
            <w:pPr>
              <w:pStyle w:val="46"/>
              <w:spacing w:beforeLines="0" w:afterLines="0" w:line="240" w:lineRule="auto"/>
              <w:rPr>
                <w:rFonts w:hint="eastAsia" w:ascii="Times New Roman" w:eastAsia="宋体"/>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c>
          <w:tcPr>
            <w:tcW w:w="938" w:type="dxa"/>
            <w:vAlign w:val="center"/>
          </w:tcPr>
          <w:p>
            <w:pPr>
              <w:pStyle w:val="46"/>
              <w:spacing w:beforeLines="0" w:afterLines="0" w:line="240" w:lineRule="auto"/>
              <w:rPr>
                <w:rFonts w:hint="default"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+1.1</w:t>
            </w:r>
          </w:p>
        </w:tc>
      </w:tr>
    </w:tbl>
    <w:p>
      <w:pPr>
        <w:pStyle w:val="46"/>
        <w:spacing w:before="192" w:beforeLines="80" w:after="24"/>
        <w:jc w:val="left"/>
        <w:outlineLvl w:val="0"/>
        <w:rPr>
          <w:rFonts w:hAnsi="宋体"/>
          <w:snapToGrid w:val="0"/>
          <w:color w:val="auto"/>
          <w:spacing w:val="-6"/>
          <w:kern w:val="21"/>
          <w:szCs w:val="21"/>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bookmarkEnd w:id="23"/>
    </w:p>
    <w:p>
      <w:pPr>
        <w:rPr>
          <w:color w:val="auto"/>
          <w:highlight w:val="none"/>
        </w:rPr>
        <w:sectPr>
          <w:footerReference r:id="rId8" w:type="default"/>
          <w:pgSz w:w="16838" w:h="11906" w:orient="landscape"/>
          <w:pgMar w:top="1531" w:right="1701" w:bottom="1531" w:left="1701" w:header="851" w:footer="851" w:gutter="0"/>
          <w:cols w:space="720" w:num="1"/>
          <w:docGrid w:linePitch="312" w:charSpace="0"/>
        </w:sectPr>
      </w:pPr>
    </w:p>
    <w:p>
      <w:pPr>
        <w:rPr>
          <w:rFonts w:hint="eastAsia"/>
          <w:lang w:eastAsia="zh-CN"/>
        </w:rPr>
      </w:pPr>
    </w:p>
    <w:sectPr>
      <w:footerReference r:id="rId9" w:type="default"/>
      <w:pgSz w:w="11906" w:h="16838"/>
      <w:pgMar w:top="1701" w:right="1531" w:bottom="1701" w:left="1531"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panose1 w:val="020B0504020202030204"/>
    <w:charset w:val="00"/>
    <w:family w:val="swiss"/>
    <w:pitch w:val="default"/>
    <w:sig w:usb0="00000007" w:usb1="00000000" w:usb2="00000000" w:usb3="00000000" w:csb0="00000093"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fldChar w:fldCharType="begin"/>
    </w:r>
    <w:r>
      <w:rPr>
        <w:rStyle w:val="23"/>
      </w:rPr>
      <w:instrText xml:space="preserve">PAGE  </w:instrText>
    </w:r>
    <w: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p>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5Y1z8MBAACP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pORa0B4d0hYuPSTUUeoqRjOqTCadiovwp/3kvX0H2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3ljXPwwEAAI8DAAAOAAAAAAAAAAEAIAAAAB4BAABkcnMvZTJvRG9jLnhtbFBL&#10;BQYAAAAABgAGAFkBAABTBQAAAAA=&#10;">
              <v:fill on="f" focussize="0,0"/>
              <v:stroke on="f"/>
              <v:imagedata o:title=""/>
              <o:lock v:ext="edit" aspectratio="f"/>
              <v:textbox inset="0mm,0mm,0mm,0mm" style="mso-fit-shape-to-text:t;">
                <w:txbxContent>
                  <w:p>
                    <w:pPr>
                      <w:pStyle w:val="14"/>
                    </w:pPr>
                  </w:p>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65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36Z5cMBAACP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MXAPCu0PCwqWfjDpCTcVwToXRtFN5Ef68l6yn/2j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ffpnlwwEAAI8DAAAOAAAAAAAAAAEAIAAAAB4BAABkcnMvZTJvRG9jLnhtbFBL&#10;BQYAAAAABgAGAFkBAABT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65</w:t>
                    </w:r>
                    <w:r>
                      <w:fldChar w:fldCharType="end"/>
                    </w:r>
                  </w:p>
                </w:txbxContent>
              </v:textbox>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p>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g0GZ8MBAACP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FtQ5e3lDhuceLnp8fzj1/nn98J&#10;+lCgPkCNeQ8BM9Pwzg+4NrMf0Jl5Dyra/EVGBOMo7+kirxwSEfnRarlaVRgSGJsviM+en4cI6b30&#10;lmSjoRHnV2Tlx4+QxtQ5JVdz/l4bU2Zo3F8OxMwelnsfe8xWGnbDRGjn2xPy6XH0DXW46ZSYDw6V&#10;zVsyG3E2dpORa0B4e0hYuPSTUUeoqRjOqTCadiovwp/3kvX8H2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yDQZnwwEAAI8DAAAOAAAAAAAAAAEAIAAAAB4BAABkcnMvZTJvRG9jLnhtbFBL&#10;BQYAAAAABgAGAFkBAABTBQAAAAA=&#10;">
              <v:fill on="f" focussize="0,0"/>
              <v:stroke on="f"/>
              <v:imagedata o:title=""/>
              <o:lock v:ext="edit" aspectratio="f"/>
              <v:textbox inset="0mm,0mm,0mm,0mm" style="mso-fit-shape-to-text:t;">
                <w:txbxContent>
                  <w:p>
                    <w:pPr>
                      <w:pStyle w:val="14"/>
                    </w:pPr>
                  </w:p>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81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1gPb8MBAACPAwAADgAAAGRycy9lMm9Eb2MueG1srVPNjtMwEL4j8Q6W&#10;79TZSkA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dvKXHc4sTPP3+cf/05//5O&#10;0IcC9QFqzLsNmJmG937AtZn9gM7Me1DR5i8yIhhHeU8XeeWQiMiPVsvVqsKQwNh8QXx2/zxESB+k&#10;tyQbDY04vyIrP36CNKbOKbma8zfamDJD4/5zIGb2sNz72GO20rAbJkI7356QT4+jb6jDTafEfHSo&#10;bN6S2YizsZuMXAPCu0PCwqWfjDpCTcVwToXRtFN5Ef69l6z7/2j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3WA9vwwEAAI8DAAAOAAAAAAAAAAEAIAAAAB4BAABkcnMvZTJvRG9jLnhtbFBL&#10;BQYAAAAABgAGAFkBAABT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81</w:t>
                    </w:r>
                    <w:r>
                      <w:fldChar w:fldCharType="end"/>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p>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FXv/MMBAACP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k5BoQbg8JC5d+MuoINRXDORVG007lRXh8L1kP/9H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oVe/8wwEAAI8DAAAOAAAAAAAAAAEAIAAAAB4BAABkcnMvZTJvRG9jLnhtbFBL&#10;BQYAAAAABgAGAFkBAABTBQAAAAA=&#10;">
              <v:fill on="f" focussize="0,0"/>
              <v:stroke on="f"/>
              <v:imagedata o:title=""/>
              <o:lock v:ext="edit" aspectratio="f"/>
              <v:textbox inset="0mm,0mm,0mm,0mm" style="mso-fit-shape-to-text:t;">
                <w:txbxContent>
                  <w:p>
                    <w:pPr>
                      <w:pStyle w:val="14"/>
                    </w:pPr>
                  </w:p>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78</w:t>
                    </w:r>
                    <w:r>
                      <w:fldChar w:fldCharType="end"/>
                    </w:r>
                  </w:p>
                </w:txbxContent>
              </v:textbox>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p>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L1D1sIBAACP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lJY5bnPjl+7fLj1+Xn18J&#10;+lCgPkCNeQ8BM9Nw5wdcm9kP6My8BxVt/iIjgnGU93yVVw6JiPxovVqvKwwJjM0XxGePz0OE9FZ6&#10;S7LR0IjzK7Ly03tIY+qckqs5f6+NKTM07i8HYmYPy72PPWYrDfthIrT37Rn59Dj6hjrcdErMO4fK&#10;5i2ZjTgb+8nINSDcHhMWLv1k1BFqKoZzKoymncqL8Oe9ZD3+R9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C9Q9bCAQAAjwMAAA4AAAAAAAAAAQAgAAAAHgEAAGRycy9lMm9Eb2MueG1sUEsF&#10;BgAAAAAGAAYAWQEAAFIFAAAAAA==&#10;">
              <v:fill on="f" focussize="0,0"/>
              <v:stroke on="f"/>
              <v:imagedata o:title=""/>
              <o:lock v:ext="edit" aspectratio="f"/>
              <v:textbox inset="0mm,0mm,0mm,0mm" style="mso-fit-shape-to-text:t;">
                <w:txbxContent>
                  <w:p>
                    <w:pPr>
                      <w:pStyle w:val="14"/>
                    </w:pPr>
                  </w:p>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11441D"/>
    <w:multiLevelType w:val="singleLevel"/>
    <w:tmpl w:val="0A11441D"/>
    <w:lvl w:ilvl="0" w:tentative="0">
      <w:start w:val="1"/>
      <w:numFmt w:val="decimal"/>
      <w:suff w:val="nothing"/>
      <w:lvlText w:val="（%1）"/>
      <w:lvlJc w:val="left"/>
    </w:lvl>
  </w:abstractNum>
  <w:abstractNum w:abstractNumId="1">
    <w:nsid w:val="0A5D2003"/>
    <w:multiLevelType w:val="singleLevel"/>
    <w:tmpl w:val="0A5D2003"/>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ZkMTMxMjAwYjEyMGIwZGI4OTUwZjM1ZTRlOTAxMzkifQ=="/>
  </w:docVars>
  <w:rsids>
    <w:rsidRoot w:val="26B07342"/>
    <w:rsid w:val="001076E4"/>
    <w:rsid w:val="00157B87"/>
    <w:rsid w:val="001855ED"/>
    <w:rsid w:val="00264D38"/>
    <w:rsid w:val="003861CC"/>
    <w:rsid w:val="00462436"/>
    <w:rsid w:val="004B1C1E"/>
    <w:rsid w:val="004B33C1"/>
    <w:rsid w:val="00537782"/>
    <w:rsid w:val="00574183"/>
    <w:rsid w:val="00684C50"/>
    <w:rsid w:val="008C5BBD"/>
    <w:rsid w:val="00A05B69"/>
    <w:rsid w:val="00A1174C"/>
    <w:rsid w:val="00C93A7E"/>
    <w:rsid w:val="00E0388A"/>
    <w:rsid w:val="00E20BAC"/>
    <w:rsid w:val="00E61717"/>
    <w:rsid w:val="00EA3007"/>
    <w:rsid w:val="00EF41E3"/>
    <w:rsid w:val="00F21015"/>
    <w:rsid w:val="020E6B80"/>
    <w:rsid w:val="020F7AFB"/>
    <w:rsid w:val="026642F4"/>
    <w:rsid w:val="05787005"/>
    <w:rsid w:val="05832C6D"/>
    <w:rsid w:val="05D23566"/>
    <w:rsid w:val="05DD79A9"/>
    <w:rsid w:val="06701740"/>
    <w:rsid w:val="06850900"/>
    <w:rsid w:val="07126D56"/>
    <w:rsid w:val="07174842"/>
    <w:rsid w:val="075839E0"/>
    <w:rsid w:val="07997219"/>
    <w:rsid w:val="089D5ACA"/>
    <w:rsid w:val="0B184D22"/>
    <w:rsid w:val="0BDA5B13"/>
    <w:rsid w:val="0BE162F1"/>
    <w:rsid w:val="0C12623F"/>
    <w:rsid w:val="0C141F9D"/>
    <w:rsid w:val="0C20417C"/>
    <w:rsid w:val="0C220C79"/>
    <w:rsid w:val="0D710449"/>
    <w:rsid w:val="0E022D09"/>
    <w:rsid w:val="0F6658AB"/>
    <w:rsid w:val="0FCB3337"/>
    <w:rsid w:val="100C3DA3"/>
    <w:rsid w:val="102B28FF"/>
    <w:rsid w:val="10827C0B"/>
    <w:rsid w:val="10C9271B"/>
    <w:rsid w:val="10D92FEE"/>
    <w:rsid w:val="111452FF"/>
    <w:rsid w:val="11B84DF3"/>
    <w:rsid w:val="1206359A"/>
    <w:rsid w:val="12261C14"/>
    <w:rsid w:val="13256FBF"/>
    <w:rsid w:val="141A5916"/>
    <w:rsid w:val="143B3F6C"/>
    <w:rsid w:val="149D5844"/>
    <w:rsid w:val="14C31D82"/>
    <w:rsid w:val="15451810"/>
    <w:rsid w:val="156304E1"/>
    <w:rsid w:val="15B92D3F"/>
    <w:rsid w:val="16601D77"/>
    <w:rsid w:val="16A36DBB"/>
    <w:rsid w:val="17AB7911"/>
    <w:rsid w:val="19D83F41"/>
    <w:rsid w:val="1A5B62DE"/>
    <w:rsid w:val="1AB95D20"/>
    <w:rsid w:val="1B3310BF"/>
    <w:rsid w:val="1BB17569"/>
    <w:rsid w:val="1C1B3898"/>
    <w:rsid w:val="1C620FD0"/>
    <w:rsid w:val="1CBA3E08"/>
    <w:rsid w:val="1DAA5720"/>
    <w:rsid w:val="1DE23A82"/>
    <w:rsid w:val="1E715DF2"/>
    <w:rsid w:val="1E9F3B42"/>
    <w:rsid w:val="1EFB52BB"/>
    <w:rsid w:val="21132D8F"/>
    <w:rsid w:val="21BD2C7A"/>
    <w:rsid w:val="221E7A44"/>
    <w:rsid w:val="228A5FF5"/>
    <w:rsid w:val="239A40AF"/>
    <w:rsid w:val="23A15AC2"/>
    <w:rsid w:val="240510B5"/>
    <w:rsid w:val="24317AD3"/>
    <w:rsid w:val="24F27149"/>
    <w:rsid w:val="25197C97"/>
    <w:rsid w:val="255418B1"/>
    <w:rsid w:val="262E3F38"/>
    <w:rsid w:val="266F3EB9"/>
    <w:rsid w:val="26B07342"/>
    <w:rsid w:val="28600733"/>
    <w:rsid w:val="298357D5"/>
    <w:rsid w:val="2C633655"/>
    <w:rsid w:val="2C7755B8"/>
    <w:rsid w:val="2E234C64"/>
    <w:rsid w:val="2E8D0FEC"/>
    <w:rsid w:val="2EDE2C2F"/>
    <w:rsid w:val="2EFB57F2"/>
    <w:rsid w:val="2F234941"/>
    <w:rsid w:val="3076565A"/>
    <w:rsid w:val="31580271"/>
    <w:rsid w:val="325A2405"/>
    <w:rsid w:val="334F0158"/>
    <w:rsid w:val="337A6D5F"/>
    <w:rsid w:val="343A330D"/>
    <w:rsid w:val="34A00986"/>
    <w:rsid w:val="35583BA9"/>
    <w:rsid w:val="35846667"/>
    <w:rsid w:val="36AF5BB7"/>
    <w:rsid w:val="36D15B44"/>
    <w:rsid w:val="380F260F"/>
    <w:rsid w:val="387A77E0"/>
    <w:rsid w:val="38F520C5"/>
    <w:rsid w:val="3971115E"/>
    <w:rsid w:val="39EE2CBE"/>
    <w:rsid w:val="3A6B68CE"/>
    <w:rsid w:val="3A7651B1"/>
    <w:rsid w:val="3A9F19AB"/>
    <w:rsid w:val="3AD0431B"/>
    <w:rsid w:val="3D6934CA"/>
    <w:rsid w:val="3DC134C7"/>
    <w:rsid w:val="3E042153"/>
    <w:rsid w:val="3E5F0F6A"/>
    <w:rsid w:val="3E795ACD"/>
    <w:rsid w:val="3E8F7D00"/>
    <w:rsid w:val="3EE16077"/>
    <w:rsid w:val="3F2F1E2C"/>
    <w:rsid w:val="3F8D3EB1"/>
    <w:rsid w:val="400A488F"/>
    <w:rsid w:val="405F7F4A"/>
    <w:rsid w:val="413842E8"/>
    <w:rsid w:val="4233630D"/>
    <w:rsid w:val="42640EF1"/>
    <w:rsid w:val="42DA270E"/>
    <w:rsid w:val="4314005D"/>
    <w:rsid w:val="43282E66"/>
    <w:rsid w:val="43F53320"/>
    <w:rsid w:val="44215393"/>
    <w:rsid w:val="44542B42"/>
    <w:rsid w:val="4491776B"/>
    <w:rsid w:val="44CA488A"/>
    <w:rsid w:val="44F30E57"/>
    <w:rsid w:val="451B5951"/>
    <w:rsid w:val="463C1383"/>
    <w:rsid w:val="46921B1B"/>
    <w:rsid w:val="46B3138A"/>
    <w:rsid w:val="46F5393A"/>
    <w:rsid w:val="47134E97"/>
    <w:rsid w:val="475164C0"/>
    <w:rsid w:val="47E41D35"/>
    <w:rsid w:val="48A44DDF"/>
    <w:rsid w:val="48A90346"/>
    <w:rsid w:val="4A113E18"/>
    <w:rsid w:val="4A631BA6"/>
    <w:rsid w:val="4AB00DB9"/>
    <w:rsid w:val="4B0B26D1"/>
    <w:rsid w:val="4B296259"/>
    <w:rsid w:val="4B700019"/>
    <w:rsid w:val="4B9167CD"/>
    <w:rsid w:val="4BF22391"/>
    <w:rsid w:val="4D0F346A"/>
    <w:rsid w:val="4EF328F5"/>
    <w:rsid w:val="4F591CB6"/>
    <w:rsid w:val="50497E2E"/>
    <w:rsid w:val="5294454C"/>
    <w:rsid w:val="529B3361"/>
    <w:rsid w:val="529E5D1A"/>
    <w:rsid w:val="532B759A"/>
    <w:rsid w:val="535E6E9D"/>
    <w:rsid w:val="53B37BF1"/>
    <w:rsid w:val="53BE6989"/>
    <w:rsid w:val="53E00C48"/>
    <w:rsid w:val="54804797"/>
    <w:rsid w:val="549D56F8"/>
    <w:rsid w:val="553F0DF3"/>
    <w:rsid w:val="55A60D8B"/>
    <w:rsid w:val="56365D12"/>
    <w:rsid w:val="56FC2E0E"/>
    <w:rsid w:val="581E7C5F"/>
    <w:rsid w:val="58D05D57"/>
    <w:rsid w:val="59372A51"/>
    <w:rsid w:val="5B282A2C"/>
    <w:rsid w:val="5BF76B11"/>
    <w:rsid w:val="5CAC1C08"/>
    <w:rsid w:val="5D0D2F68"/>
    <w:rsid w:val="5D3A343D"/>
    <w:rsid w:val="5D7B7267"/>
    <w:rsid w:val="5E5D4588"/>
    <w:rsid w:val="5E912F6A"/>
    <w:rsid w:val="5E944E31"/>
    <w:rsid w:val="5F417595"/>
    <w:rsid w:val="5F4C3161"/>
    <w:rsid w:val="5F8551CE"/>
    <w:rsid w:val="607713BA"/>
    <w:rsid w:val="60E9469A"/>
    <w:rsid w:val="610B7004"/>
    <w:rsid w:val="61457FFC"/>
    <w:rsid w:val="62377985"/>
    <w:rsid w:val="625C5D10"/>
    <w:rsid w:val="63442A7D"/>
    <w:rsid w:val="63B03E93"/>
    <w:rsid w:val="63E63C7D"/>
    <w:rsid w:val="64464210"/>
    <w:rsid w:val="64741732"/>
    <w:rsid w:val="64F4271C"/>
    <w:rsid w:val="654B575C"/>
    <w:rsid w:val="66FE030E"/>
    <w:rsid w:val="67A707F4"/>
    <w:rsid w:val="67BB66CC"/>
    <w:rsid w:val="681E62EE"/>
    <w:rsid w:val="68B97345"/>
    <w:rsid w:val="6991097B"/>
    <w:rsid w:val="69E166DC"/>
    <w:rsid w:val="6A2248B0"/>
    <w:rsid w:val="6A470985"/>
    <w:rsid w:val="6C22042C"/>
    <w:rsid w:val="6CEB14BC"/>
    <w:rsid w:val="6D980D1A"/>
    <w:rsid w:val="6DD87A71"/>
    <w:rsid w:val="6E027188"/>
    <w:rsid w:val="6E553FFD"/>
    <w:rsid w:val="6E73498E"/>
    <w:rsid w:val="6F4143DA"/>
    <w:rsid w:val="6FEB7344"/>
    <w:rsid w:val="70144CCE"/>
    <w:rsid w:val="70666D59"/>
    <w:rsid w:val="70B96E43"/>
    <w:rsid w:val="710D5016"/>
    <w:rsid w:val="719D0C21"/>
    <w:rsid w:val="734D6965"/>
    <w:rsid w:val="734F2B2D"/>
    <w:rsid w:val="73944C37"/>
    <w:rsid w:val="742970E4"/>
    <w:rsid w:val="764E1516"/>
    <w:rsid w:val="765D0E00"/>
    <w:rsid w:val="770F45DB"/>
    <w:rsid w:val="77786406"/>
    <w:rsid w:val="77B7495F"/>
    <w:rsid w:val="789338E2"/>
    <w:rsid w:val="78D4731B"/>
    <w:rsid w:val="79A04A80"/>
    <w:rsid w:val="7AEA08E8"/>
    <w:rsid w:val="7B4730B4"/>
    <w:rsid w:val="7CAD3C56"/>
    <w:rsid w:val="7D8C3197"/>
    <w:rsid w:val="7DD97000"/>
    <w:rsid w:val="7DFF1381"/>
    <w:rsid w:val="7E537CAD"/>
    <w:rsid w:val="7FE77E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2"/>
    <w:basedOn w:val="1"/>
    <w:next w:val="1"/>
    <w:qFormat/>
    <w:uiPriority w:val="9"/>
    <w:pPr>
      <w:keepNext/>
      <w:keepLines/>
      <w:spacing w:before="260" w:after="260" w:line="416" w:lineRule="auto"/>
      <w:outlineLvl w:val="1"/>
    </w:pPr>
    <w:rPr>
      <w:rFonts w:ascii="Cambria" w:hAnsi="Cambria"/>
      <w:b/>
      <w:bCs/>
      <w:sz w:val="32"/>
      <w:szCs w:val="32"/>
    </w:rPr>
  </w:style>
  <w:style w:type="paragraph" w:styleId="7">
    <w:name w:val="heading 3"/>
    <w:basedOn w:val="1"/>
    <w:next w:val="1"/>
    <w:autoRedefine/>
    <w:qFormat/>
    <w:uiPriority w:val="9"/>
    <w:pPr>
      <w:keepNext/>
      <w:keepLines/>
      <w:spacing w:before="260" w:after="260" w:line="416" w:lineRule="auto"/>
      <w:outlineLvl w:val="2"/>
    </w:pPr>
    <w:rPr>
      <w:b/>
      <w:bCs/>
      <w:sz w:val="32"/>
      <w:szCs w:val="32"/>
    </w:rPr>
  </w:style>
  <w:style w:type="paragraph" w:styleId="8">
    <w:name w:val="heading 4"/>
    <w:basedOn w:val="1"/>
    <w:next w:val="1"/>
    <w:qFormat/>
    <w:uiPriority w:val="9"/>
    <w:pPr>
      <w:keepNext/>
      <w:keepLines/>
      <w:spacing w:before="280" w:after="290" w:line="376" w:lineRule="auto"/>
      <w:outlineLvl w:val="3"/>
    </w:pPr>
    <w:rPr>
      <w:rFonts w:ascii="Cambria" w:hAnsi="Cambria"/>
      <w:b/>
      <w:bCs/>
      <w:sz w:val="28"/>
      <w:szCs w:val="28"/>
    </w:rPr>
  </w:style>
  <w:style w:type="character" w:default="1" w:styleId="21">
    <w:name w:val="Default Paragraph Font"/>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1"/>
    <w:next w:val="3"/>
    <w:autoRedefine/>
    <w:unhideWhenUsed/>
    <w:qFormat/>
    <w:uiPriority w:val="99"/>
    <w:pPr>
      <w:ind w:firstLine="420" w:firstLineChars="200"/>
    </w:pPr>
  </w:style>
  <w:style w:type="paragraph" w:styleId="3">
    <w:name w:val="Body Text First Indent"/>
    <w:basedOn w:val="4"/>
    <w:next w:val="1"/>
    <w:autoRedefine/>
    <w:qFormat/>
    <w:uiPriority w:val="0"/>
    <w:pPr>
      <w:widowControl w:val="0"/>
      <w:tabs>
        <w:tab w:val="left" w:pos="1620"/>
        <w:tab w:val="left" w:pos="2700"/>
      </w:tabs>
      <w:spacing w:line="240" w:lineRule="exact"/>
      <w:ind w:firstLine="420" w:firstLineChars="100"/>
      <w:jc w:val="center"/>
    </w:pPr>
    <w:rPr>
      <w:kern w:val="2"/>
      <w:sz w:val="28"/>
    </w:rPr>
  </w:style>
  <w:style w:type="paragraph" w:styleId="4">
    <w:name w:val="Body Text"/>
    <w:basedOn w:val="1"/>
    <w:next w:val="5"/>
    <w:link w:val="64"/>
    <w:autoRedefine/>
    <w:qFormat/>
    <w:uiPriority w:val="0"/>
    <w:pPr>
      <w:widowControl/>
      <w:snapToGrid w:val="0"/>
      <w:spacing w:before="60" w:after="160" w:line="259" w:lineRule="auto"/>
      <w:ind w:right="113"/>
    </w:pPr>
    <w:rPr>
      <w:kern w:val="0"/>
      <w:sz w:val="18"/>
      <w:szCs w:val="20"/>
    </w:rPr>
  </w:style>
  <w:style w:type="paragraph" w:styleId="5">
    <w:name w:val="Note Heading"/>
    <w:basedOn w:val="1"/>
    <w:next w:val="1"/>
    <w:autoRedefine/>
    <w:qFormat/>
    <w:uiPriority w:val="0"/>
    <w:pPr>
      <w:widowControl/>
      <w:spacing w:line="360" w:lineRule="auto"/>
      <w:jc w:val="center"/>
    </w:pPr>
    <w:rPr>
      <w:bCs/>
      <w:snapToGrid w:val="0"/>
      <w:kern w:val="0"/>
      <w:sz w:val="24"/>
      <w:lang w:val="en-GB"/>
    </w:rPr>
  </w:style>
  <w:style w:type="paragraph" w:styleId="9">
    <w:name w:val="Normal Indent"/>
    <w:basedOn w:val="1"/>
    <w:autoRedefine/>
    <w:qFormat/>
    <w:uiPriority w:val="0"/>
    <w:pPr>
      <w:ind w:firstLine="420" w:firstLineChars="200"/>
    </w:pPr>
  </w:style>
  <w:style w:type="paragraph" w:styleId="10">
    <w:name w:val="annotation text"/>
    <w:basedOn w:val="1"/>
    <w:link w:val="66"/>
    <w:autoRedefine/>
    <w:qFormat/>
    <w:uiPriority w:val="0"/>
    <w:pPr>
      <w:jc w:val="left"/>
    </w:pPr>
  </w:style>
  <w:style w:type="paragraph" w:styleId="11">
    <w:name w:val="Body Text Indent"/>
    <w:basedOn w:val="1"/>
    <w:next w:val="2"/>
    <w:qFormat/>
    <w:uiPriority w:val="0"/>
    <w:pPr>
      <w:spacing w:after="120"/>
      <w:ind w:left="420" w:leftChars="200"/>
    </w:pPr>
    <w:rPr>
      <w:kern w:val="0"/>
      <w:sz w:val="24"/>
      <w:szCs w:val="20"/>
    </w:rPr>
  </w:style>
  <w:style w:type="paragraph" w:styleId="12">
    <w:name w:val="Plain Text"/>
    <w:basedOn w:val="1"/>
    <w:autoRedefine/>
    <w:qFormat/>
    <w:uiPriority w:val="0"/>
    <w:rPr>
      <w:rFonts w:ascii="宋体" w:hAnsi="Courier New" w:cs="Courier New"/>
      <w:szCs w:val="21"/>
    </w:rPr>
  </w:style>
  <w:style w:type="paragraph" w:styleId="13">
    <w:name w:val="Balloon Text"/>
    <w:basedOn w:val="1"/>
    <w:link w:val="68"/>
    <w:qFormat/>
    <w:uiPriority w:val="0"/>
    <w:rPr>
      <w:sz w:val="18"/>
      <w:szCs w:val="18"/>
    </w:rPr>
  </w:style>
  <w:style w:type="paragraph" w:styleId="14">
    <w:name w:val="footer"/>
    <w:basedOn w:val="1"/>
    <w:autoRedefine/>
    <w:qFormat/>
    <w:uiPriority w:val="99"/>
    <w:pPr>
      <w:tabs>
        <w:tab w:val="center" w:pos="4153"/>
        <w:tab w:val="right" w:pos="8306"/>
      </w:tabs>
      <w:snapToGrid w:val="0"/>
      <w:jc w:val="left"/>
    </w:pPr>
    <w:rPr>
      <w:kern w:val="0"/>
      <w:sz w:val="18"/>
      <w:szCs w:val="20"/>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toc 2"/>
    <w:basedOn w:val="1"/>
    <w:next w:val="1"/>
    <w:autoRedefine/>
    <w:unhideWhenUsed/>
    <w:qFormat/>
    <w:uiPriority w:val="39"/>
    <w:pPr>
      <w:ind w:left="210"/>
      <w:jc w:val="left"/>
    </w:pPr>
    <w:rPr>
      <w:rFonts w:ascii="Calibri" w:hAnsi="Calibri"/>
      <w:smallCaps/>
      <w:sz w:val="20"/>
      <w:szCs w:val="20"/>
    </w:rPr>
  </w:style>
  <w:style w:type="paragraph" w:styleId="17">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18">
    <w:name w:val="annotation subject"/>
    <w:basedOn w:val="10"/>
    <w:next w:val="10"/>
    <w:link w:val="67"/>
    <w:autoRedefine/>
    <w:qFormat/>
    <w:uiPriority w:val="0"/>
    <w:rPr>
      <w:b/>
      <w:bCs/>
    </w:rPr>
  </w:style>
  <w:style w:type="table" w:styleId="20">
    <w:name w:val="Table Grid"/>
    <w:basedOn w:val="1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autoRedefine/>
    <w:qFormat/>
    <w:uiPriority w:val="0"/>
    <w:rPr>
      <w:b/>
    </w:rPr>
  </w:style>
  <w:style w:type="character" w:styleId="23">
    <w:name w:val="page number"/>
    <w:autoRedefine/>
    <w:qFormat/>
    <w:uiPriority w:val="0"/>
  </w:style>
  <w:style w:type="character" w:styleId="24">
    <w:name w:val="Hyperlink"/>
    <w:basedOn w:val="21"/>
    <w:autoRedefine/>
    <w:qFormat/>
    <w:uiPriority w:val="0"/>
    <w:rPr>
      <w:color w:val="0000FF"/>
      <w:u w:val="single"/>
    </w:rPr>
  </w:style>
  <w:style w:type="character" w:styleId="25">
    <w:name w:val="annotation reference"/>
    <w:basedOn w:val="21"/>
    <w:autoRedefine/>
    <w:semiHidden/>
    <w:qFormat/>
    <w:uiPriority w:val="0"/>
    <w:rPr>
      <w:sz w:val="21"/>
    </w:rPr>
  </w:style>
  <w:style w:type="paragraph" w:customStyle="1" w:styleId="26">
    <w:name w:val="WPSOffice手动目录 1"/>
    <w:autoRedefine/>
    <w:qFormat/>
    <w:uiPriority w:val="0"/>
    <w:rPr>
      <w:rFonts w:ascii="Times New Roman" w:hAnsi="Times New Roman" w:eastAsia="宋体" w:cs="Times New Roman"/>
      <w:lang w:val="en-US" w:eastAsia="zh-CN" w:bidi="ar-SA"/>
    </w:rPr>
  </w:style>
  <w:style w:type="paragraph" w:customStyle="1" w:styleId="27">
    <w:name w:val="Default"/>
    <w:autoRedefine/>
    <w:unhideWhenUsed/>
    <w:qFormat/>
    <w:uiPriority w:val="99"/>
    <w:pPr>
      <w:widowControl w:val="0"/>
      <w:autoSpaceDE w:val="0"/>
      <w:autoSpaceDN w:val="0"/>
      <w:adjustRightInd w:val="0"/>
    </w:pPr>
    <w:rPr>
      <w:rFonts w:hint="eastAsia" w:ascii="Calibri" w:hAnsi="Calibri" w:eastAsia="Times New Roman" w:cs="Times New Roman"/>
      <w:color w:val="000000"/>
      <w:sz w:val="24"/>
      <w:szCs w:val="22"/>
      <w:lang w:val="en-US" w:eastAsia="zh-CN" w:bidi="ar-SA"/>
    </w:rPr>
  </w:style>
  <w:style w:type="paragraph" w:customStyle="1" w:styleId="28">
    <w:name w:val="5文章(治)"/>
    <w:basedOn w:val="1"/>
    <w:autoRedefine/>
    <w:qFormat/>
    <w:uiPriority w:val="0"/>
    <w:pPr>
      <w:adjustRightInd w:val="0"/>
      <w:snapToGrid w:val="0"/>
      <w:spacing w:line="360" w:lineRule="auto"/>
      <w:ind w:firstLine="200" w:firstLineChars="200"/>
    </w:pPr>
    <w:rPr>
      <w:snapToGrid w:val="0"/>
      <w:kern w:val="0"/>
      <w:sz w:val="24"/>
      <w:szCs w:val="21"/>
    </w:rPr>
  </w:style>
  <w:style w:type="paragraph" w:customStyle="1" w:styleId="29">
    <w:name w:val="金皇表（图）头"/>
    <w:basedOn w:val="1"/>
    <w:autoRedefine/>
    <w:qFormat/>
    <w:uiPriority w:val="0"/>
    <w:pPr>
      <w:adjustRightInd w:val="0"/>
      <w:jc w:val="center"/>
      <w:outlineLvl w:val="4"/>
    </w:pPr>
    <w:rPr>
      <w:rFonts w:eastAsia="黑体"/>
      <w:b/>
      <w:sz w:val="24"/>
      <w:szCs w:val="22"/>
    </w:rPr>
  </w:style>
  <w:style w:type="paragraph" w:customStyle="1" w:styleId="30">
    <w:name w:val="金皇-表格内文字"/>
    <w:basedOn w:val="1"/>
    <w:autoRedefine/>
    <w:qFormat/>
    <w:uiPriority w:val="0"/>
    <w:pPr>
      <w:tabs>
        <w:tab w:val="left" w:pos="0"/>
      </w:tabs>
      <w:adjustRightInd w:val="0"/>
      <w:snapToGrid w:val="0"/>
      <w:jc w:val="center"/>
    </w:pPr>
    <w:rPr>
      <w:snapToGrid w:val="0"/>
      <w:szCs w:val="21"/>
    </w:rPr>
  </w:style>
  <w:style w:type="paragraph" w:customStyle="1" w:styleId="31">
    <w:name w:val="金皇-标题3"/>
    <w:basedOn w:val="7"/>
    <w:autoRedefine/>
    <w:qFormat/>
    <w:uiPriority w:val="0"/>
    <w:pPr>
      <w:keepNext w:val="0"/>
      <w:keepLines w:val="0"/>
      <w:tabs>
        <w:tab w:val="left" w:pos="644"/>
      </w:tabs>
      <w:spacing w:before="0" w:after="0" w:line="360" w:lineRule="auto"/>
    </w:pPr>
    <w:rPr>
      <w:rFonts w:eastAsia="黑体"/>
      <w:sz w:val="28"/>
      <w:szCs w:val="30"/>
    </w:rPr>
  </w:style>
  <w:style w:type="paragraph" w:customStyle="1" w:styleId="32">
    <w:name w:val="金皇-表（图）头"/>
    <w:basedOn w:val="1"/>
    <w:link w:val="61"/>
    <w:autoRedefine/>
    <w:qFormat/>
    <w:uiPriority w:val="0"/>
    <w:pPr>
      <w:adjustRightInd w:val="0"/>
      <w:jc w:val="center"/>
      <w:outlineLvl w:val="4"/>
    </w:pPr>
    <w:rPr>
      <w:rFonts w:eastAsia="黑体"/>
      <w:b/>
      <w:sz w:val="24"/>
      <w:szCs w:val="21"/>
    </w:rPr>
  </w:style>
  <w:style w:type="paragraph" w:customStyle="1" w:styleId="33">
    <w:name w:val="7表格(治)"/>
    <w:autoRedefine/>
    <w:qFormat/>
    <w:uiPriority w:val="0"/>
    <w:pPr>
      <w:jc w:val="center"/>
    </w:pPr>
    <w:rPr>
      <w:rFonts w:ascii="Times New Roman" w:hAnsi="Times New Roman" w:eastAsia="宋体" w:cs="Times New Roman"/>
      <w:sz w:val="21"/>
      <w:szCs w:val="21"/>
      <w:lang w:val="en-US" w:eastAsia="zh-CN" w:bidi="ar-SA"/>
    </w:rPr>
  </w:style>
  <w:style w:type="paragraph" w:customStyle="1" w:styleId="34">
    <w:name w:val="样式 居中"/>
    <w:basedOn w:val="1"/>
    <w:autoRedefine/>
    <w:qFormat/>
    <w:uiPriority w:val="0"/>
    <w:pPr>
      <w:jc w:val="center"/>
    </w:pPr>
    <w:rPr>
      <w:rFonts w:cs="宋体"/>
      <w:szCs w:val="20"/>
    </w:rPr>
  </w:style>
  <w:style w:type="paragraph" w:customStyle="1" w:styleId="35">
    <w:name w:val="T正文"/>
    <w:autoRedefine/>
    <w:qFormat/>
    <w:uiPriority w:val="0"/>
    <w:pPr>
      <w:widowControl w:val="0"/>
      <w:spacing w:line="360" w:lineRule="auto"/>
      <w:ind w:firstLine="540"/>
      <w:jc w:val="both"/>
    </w:pPr>
    <w:rPr>
      <w:rFonts w:ascii="宋体" w:hAnsi="宋体" w:eastAsia="宋体" w:cs="宋体"/>
      <w:color w:val="000000"/>
      <w:sz w:val="28"/>
      <w:lang w:val="en-US" w:eastAsia="zh-CN" w:bidi="ar-SA"/>
    </w:rPr>
  </w:style>
  <w:style w:type="paragraph" w:customStyle="1" w:styleId="36">
    <w:name w:val="金皇-正文"/>
    <w:basedOn w:val="1"/>
    <w:autoRedefine/>
    <w:qFormat/>
    <w:uiPriority w:val="0"/>
    <w:pPr>
      <w:spacing w:line="360" w:lineRule="auto"/>
      <w:ind w:firstLine="200" w:firstLineChars="200"/>
    </w:pPr>
    <w:rPr>
      <w:sz w:val="24"/>
    </w:rPr>
  </w:style>
  <w:style w:type="paragraph" w:customStyle="1" w:styleId="37">
    <w:name w:val="金皇-标题4"/>
    <w:basedOn w:val="8"/>
    <w:autoRedefine/>
    <w:qFormat/>
    <w:uiPriority w:val="0"/>
    <w:pPr>
      <w:tabs>
        <w:tab w:val="left" w:pos="0"/>
        <w:tab w:val="left" w:pos="420"/>
      </w:tabs>
      <w:spacing w:before="0" w:after="0" w:line="360" w:lineRule="auto"/>
      <w:ind w:right="-105"/>
    </w:pPr>
    <w:rPr>
      <w:rFonts w:ascii="Times New Roman" w:hAnsi="Times New Roman"/>
      <w:sz w:val="24"/>
    </w:rPr>
  </w:style>
  <w:style w:type="paragraph" w:styleId="38">
    <w:name w:val="List Paragraph"/>
    <w:basedOn w:val="1"/>
    <w:autoRedefine/>
    <w:qFormat/>
    <w:uiPriority w:val="34"/>
    <w:pPr>
      <w:ind w:firstLine="420" w:firstLineChars="200"/>
    </w:pPr>
  </w:style>
  <w:style w:type="paragraph" w:customStyle="1" w:styleId="39">
    <w:name w:val="Char3"/>
    <w:basedOn w:val="1"/>
    <w:autoRedefine/>
    <w:qFormat/>
    <w:uiPriority w:val="0"/>
    <w:pPr>
      <w:spacing w:line="360" w:lineRule="auto"/>
      <w:ind w:firstLine="200" w:firstLineChars="200"/>
    </w:pPr>
    <w:rPr>
      <w:rFonts w:ascii="宋体" w:hAnsi="宋体" w:cs="宋体"/>
      <w:sz w:val="24"/>
    </w:rPr>
  </w:style>
  <w:style w:type="paragraph" w:customStyle="1" w:styleId="40">
    <w:name w:val="表格格式"/>
    <w:basedOn w:val="1"/>
    <w:autoRedefine/>
    <w:qFormat/>
    <w:uiPriority w:val="0"/>
    <w:pPr>
      <w:widowControl/>
      <w:jc w:val="center"/>
    </w:pPr>
    <w:rPr>
      <w:bCs/>
      <w:szCs w:val="21"/>
    </w:rPr>
  </w:style>
  <w:style w:type="paragraph" w:customStyle="1" w:styleId="41">
    <w:name w:val="表格(大)"/>
    <w:basedOn w:val="1"/>
    <w:autoRedefine/>
    <w:qFormat/>
    <w:uiPriority w:val="0"/>
    <w:pPr>
      <w:adjustRightInd w:val="0"/>
      <w:snapToGrid w:val="0"/>
      <w:spacing w:line="360" w:lineRule="auto"/>
      <w:jc w:val="center"/>
    </w:pPr>
    <w:rPr>
      <w:b/>
    </w:rPr>
  </w:style>
  <w:style w:type="paragraph" w:customStyle="1" w:styleId="42">
    <w:name w:val="BGZX"/>
    <w:next w:val="1"/>
    <w:autoRedefine/>
    <w:qFormat/>
    <w:uiPriority w:val="0"/>
    <w:pPr>
      <w:widowControl w:val="0"/>
      <w:adjustRightInd w:val="0"/>
      <w:snapToGrid w:val="0"/>
      <w:spacing w:line="360" w:lineRule="auto"/>
      <w:ind w:firstLine="480" w:firstLineChars="200"/>
      <w:jc w:val="both"/>
    </w:pPr>
    <w:rPr>
      <w:rFonts w:ascii="Times New Roman" w:hAnsi="Times New Roman" w:eastAsia="宋体" w:cs="Times New Roman"/>
      <w:color w:val="000000"/>
      <w:sz w:val="24"/>
      <w:szCs w:val="22"/>
      <w:lang w:val="en-GB" w:eastAsia="zh-CN" w:bidi="ar-SA"/>
    </w:rPr>
  </w:style>
  <w:style w:type="paragraph" w:customStyle="1" w:styleId="43">
    <w:name w:val="表格5号居中"/>
    <w:next w:val="1"/>
    <w:autoRedefine/>
    <w:qFormat/>
    <w:uiPriority w:val="99"/>
    <w:pPr>
      <w:widowControl w:val="0"/>
      <w:tabs>
        <w:tab w:val="right" w:pos="8640"/>
        <w:tab w:val="right" w:pos="8784"/>
      </w:tabs>
      <w:adjustRightInd w:val="0"/>
      <w:snapToGrid w:val="0"/>
      <w:jc w:val="center"/>
    </w:pPr>
    <w:rPr>
      <w:rFonts w:ascii="Times New Roman" w:hAnsi="Times New Roman" w:eastAsia="宋体" w:cs="Times New Roman"/>
      <w:iCs/>
      <w:color w:val="000000"/>
      <w:sz w:val="21"/>
      <w:szCs w:val="24"/>
      <w:lang w:val="en-US" w:eastAsia="zh-CN" w:bidi="ar-SA"/>
    </w:rPr>
  </w:style>
  <w:style w:type="paragraph" w:customStyle="1" w:styleId="44">
    <w:name w:val="表头"/>
    <w:next w:val="1"/>
    <w:autoRedefine/>
    <w:qFormat/>
    <w:uiPriority w:val="0"/>
    <w:pPr>
      <w:widowControl w:val="0"/>
      <w:suppressAutoHyphens/>
      <w:autoSpaceDE w:val="0"/>
      <w:spacing w:line="360" w:lineRule="auto"/>
      <w:jc w:val="center"/>
      <w:outlineLvl w:val="4"/>
    </w:pPr>
    <w:rPr>
      <w:rFonts w:ascii="Times New Roman" w:hAnsi="Times New Roman" w:eastAsia="宋体" w:cs="Times New Roman"/>
      <w:b/>
      <w:sz w:val="24"/>
      <w:szCs w:val="21"/>
      <w:lang w:val="en-US" w:eastAsia="zh-CN" w:bidi="ar-SA"/>
    </w:rPr>
  </w:style>
  <w:style w:type="paragraph" w:customStyle="1" w:styleId="45">
    <w:name w:val="3标题(治)"/>
    <w:basedOn w:val="7"/>
    <w:autoRedefine/>
    <w:qFormat/>
    <w:uiPriority w:val="0"/>
    <w:pPr>
      <w:tabs>
        <w:tab w:val="left" w:pos="720"/>
      </w:tabs>
      <w:adjustRightInd w:val="0"/>
      <w:snapToGrid w:val="0"/>
      <w:spacing w:before="0" w:after="0" w:line="360" w:lineRule="auto"/>
      <w:textAlignment w:val="baseline"/>
    </w:pPr>
    <w:rPr>
      <w:rFonts w:eastAsia="黑体"/>
      <w:bCs w:val="0"/>
      <w:kern w:val="0"/>
      <w:sz w:val="28"/>
      <w:szCs w:val="28"/>
      <w:lang w:val="zh-CN"/>
    </w:rPr>
  </w:style>
  <w:style w:type="paragraph" w:customStyle="1" w:styleId="46">
    <w:name w:val="表格"/>
    <w:basedOn w:val="1"/>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7">
    <w:name w:val="表格的字"/>
    <w:basedOn w:val="1"/>
    <w:autoRedefine/>
    <w:qFormat/>
    <w:uiPriority w:val="0"/>
    <w:pPr>
      <w:jc w:val="center"/>
    </w:pPr>
  </w:style>
  <w:style w:type="paragraph" w:customStyle="1" w:styleId="48">
    <w:name w:val="111正文的格式"/>
    <w:basedOn w:val="1"/>
    <w:autoRedefine/>
    <w:qFormat/>
    <w:uiPriority w:val="0"/>
    <w:pPr>
      <w:widowControl/>
      <w:adjustRightInd w:val="0"/>
      <w:snapToGrid w:val="0"/>
      <w:spacing w:line="360" w:lineRule="auto"/>
      <w:ind w:firstLine="480" w:firstLineChars="200"/>
    </w:pPr>
    <w:rPr>
      <w:color w:val="0000FF"/>
      <w:sz w:val="24"/>
    </w:rPr>
  </w:style>
  <w:style w:type="paragraph" w:customStyle="1" w:styleId="49">
    <w:name w:val="zhang正文"/>
    <w:basedOn w:val="11"/>
    <w:next w:val="1"/>
    <w:autoRedefine/>
    <w:qFormat/>
    <w:uiPriority w:val="0"/>
    <w:pPr>
      <w:autoSpaceDE w:val="0"/>
      <w:autoSpaceDN w:val="0"/>
      <w:adjustRightInd w:val="0"/>
      <w:snapToGrid w:val="0"/>
      <w:spacing w:line="500" w:lineRule="exact"/>
      <w:ind w:firstLine="539"/>
      <w:textAlignment w:val="baseline"/>
    </w:pPr>
    <w:rPr>
      <w:rFonts w:eastAsia="楷体_GB2312"/>
    </w:rPr>
  </w:style>
  <w:style w:type="paragraph" w:customStyle="1" w:styleId="50">
    <w:name w:val="样式 正文文本缩进 + 行距: 1.5 倍行距"/>
    <w:basedOn w:val="1"/>
    <w:autoRedefine/>
    <w:qFormat/>
    <w:uiPriority w:val="0"/>
    <w:pPr>
      <w:spacing w:after="120" w:line="360" w:lineRule="auto"/>
      <w:ind w:left="90" w:leftChars="32" w:firstLine="560" w:firstLineChars="200"/>
    </w:pPr>
    <w:rPr>
      <w:rFonts w:cs="宋体"/>
      <w:sz w:val="24"/>
    </w:rPr>
  </w:style>
  <w:style w:type="paragraph" w:customStyle="1" w:styleId="51">
    <w:name w:val="表格内容"/>
    <w:basedOn w:val="1"/>
    <w:next w:val="4"/>
    <w:autoRedefine/>
    <w:qFormat/>
    <w:uiPriority w:val="0"/>
    <w:pPr>
      <w:adjustRightInd w:val="0"/>
      <w:snapToGrid w:val="0"/>
      <w:jc w:val="center"/>
    </w:pPr>
    <w:rPr>
      <w:iCs/>
      <w:szCs w:val="21"/>
    </w:rPr>
  </w:style>
  <w:style w:type="paragraph" w:customStyle="1" w:styleId="52">
    <w:name w:val="4正文"/>
    <w:basedOn w:val="1"/>
    <w:autoRedefine/>
    <w:qFormat/>
    <w:uiPriority w:val="0"/>
    <w:pPr>
      <w:adjustRightInd w:val="0"/>
      <w:snapToGrid w:val="0"/>
      <w:spacing w:line="360" w:lineRule="auto"/>
      <w:ind w:firstLine="480" w:firstLineChars="200"/>
    </w:pPr>
    <w:rPr>
      <w:rFonts w:cs="宋体"/>
      <w:sz w:val="24"/>
    </w:rPr>
  </w:style>
  <w:style w:type="table" w:customStyle="1" w:styleId="53">
    <w:name w:val="Table Normal1"/>
    <w:autoRedefine/>
    <w:unhideWhenUsed/>
    <w:qFormat/>
    <w:uiPriority w:val="2"/>
    <w:pPr>
      <w:widowControl w:val="0"/>
    </w:pPr>
    <w:rPr>
      <w:sz w:val="22"/>
      <w:szCs w:val="22"/>
      <w:lang w:eastAsia="en-US"/>
    </w:rPr>
    <w:tblPr>
      <w:tblCellMar>
        <w:top w:w="0" w:type="dxa"/>
        <w:left w:w="0" w:type="dxa"/>
        <w:bottom w:w="0" w:type="dxa"/>
        <w:right w:w="0" w:type="dxa"/>
      </w:tblCellMar>
    </w:tblPr>
  </w:style>
  <w:style w:type="paragraph" w:customStyle="1" w:styleId="54">
    <w:name w:val="111正文格式111"/>
    <w:basedOn w:val="1"/>
    <w:autoRedefine/>
    <w:qFormat/>
    <w:uiPriority w:val="0"/>
    <w:pPr>
      <w:adjustRightInd w:val="0"/>
      <w:snapToGrid w:val="0"/>
      <w:spacing w:line="360" w:lineRule="auto"/>
      <w:ind w:firstLine="200" w:firstLineChars="200"/>
    </w:pPr>
    <w:rPr>
      <w:bCs/>
      <w:sz w:val="24"/>
    </w:rPr>
  </w:style>
  <w:style w:type="paragraph" w:customStyle="1" w:styleId="55">
    <w:name w:val="链接"/>
    <w:autoRedefine/>
    <w:qFormat/>
    <w:uiPriority w:val="0"/>
    <w:pPr>
      <w:widowControl w:val="0"/>
      <w:autoSpaceDE w:val="0"/>
      <w:autoSpaceDN w:val="0"/>
      <w:adjustRightInd w:val="0"/>
      <w:ind w:left="720"/>
    </w:pPr>
    <w:rPr>
      <w:rFonts w:ascii="Times New Roman" w:hAnsi="Times New Roman" w:eastAsia="宋体" w:cs="Times New Roman"/>
      <w:color w:val="0000FF"/>
      <w:sz w:val="21"/>
      <w:szCs w:val="21"/>
      <w:u w:val="single"/>
      <w:lang w:val="en-US" w:eastAsia="zh-CN" w:bidi="ar-SA"/>
    </w:rPr>
  </w:style>
  <w:style w:type="paragraph" w:customStyle="1" w:styleId="56">
    <w:name w:val="样式 黑色 行距: 最小值 26 磅"/>
    <w:basedOn w:val="1"/>
    <w:autoRedefine/>
    <w:qFormat/>
    <w:uiPriority w:val="0"/>
    <w:pPr>
      <w:ind w:firstLine="200" w:firstLineChars="200"/>
      <w:jc w:val="left"/>
    </w:pPr>
    <w:rPr>
      <w:rFonts w:ascii="Calibri" w:hAnsi="Calibri" w:eastAsia="楷体_GB2312" w:cs="宋体"/>
      <w:color w:val="000000"/>
      <w:spacing w:val="6"/>
      <w:sz w:val="28"/>
      <w:szCs w:val="20"/>
    </w:rPr>
  </w:style>
  <w:style w:type="paragraph" w:customStyle="1" w:styleId="57">
    <w:name w:val="正文(首行缩进)"/>
    <w:basedOn w:val="1"/>
    <w:autoRedefine/>
    <w:qFormat/>
    <w:uiPriority w:val="0"/>
    <w:pPr>
      <w:adjustRightInd w:val="0"/>
      <w:snapToGrid w:val="0"/>
      <w:spacing w:line="360" w:lineRule="auto"/>
      <w:ind w:firstLine="200" w:firstLineChars="200"/>
    </w:pPr>
    <w:rPr>
      <w:rFonts w:ascii="仿宋_GB2312" w:eastAsia="仿宋_GB2312"/>
      <w:color w:val="000000"/>
      <w:kern w:val="0"/>
      <w:sz w:val="28"/>
    </w:rPr>
  </w:style>
  <w:style w:type="paragraph" w:customStyle="1" w:styleId="58">
    <w:name w:val="5 正文"/>
    <w:basedOn w:val="1"/>
    <w:autoRedefine/>
    <w:qFormat/>
    <w:uiPriority w:val="0"/>
    <w:pPr>
      <w:widowControl/>
      <w:tabs>
        <w:tab w:val="left" w:pos="1980"/>
        <w:tab w:val="left" w:pos="3825"/>
        <w:tab w:val="left" w:pos="4680"/>
      </w:tabs>
      <w:ind w:firstLine="480"/>
    </w:pPr>
    <w:rPr>
      <w:rFonts w:hAnsi="宋体"/>
      <w:szCs w:val="21"/>
      <w:lang w:eastAsia="en-US" w:bidi="en-US"/>
    </w:rPr>
  </w:style>
  <w:style w:type="paragraph" w:customStyle="1" w:styleId="59">
    <w:name w:val="表格标题001"/>
    <w:basedOn w:val="1"/>
    <w:autoRedefine/>
    <w:qFormat/>
    <w:uiPriority w:val="0"/>
    <w:pPr>
      <w:spacing w:before="156" w:beforeLines="50" w:line="360" w:lineRule="auto"/>
      <w:jc w:val="center"/>
    </w:pPr>
    <w:rPr>
      <w:rFonts w:eastAsia="黑体" w:cs="宋体"/>
      <w:sz w:val="24"/>
    </w:rPr>
  </w:style>
  <w:style w:type="paragraph" w:customStyle="1" w:styleId="60">
    <w:name w:val="文本内容"/>
    <w:autoRedefine/>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character" w:customStyle="1" w:styleId="61">
    <w:name w:val="金皇-表（图）头 Char"/>
    <w:link w:val="32"/>
    <w:autoRedefine/>
    <w:qFormat/>
    <w:uiPriority w:val="0"/>
    <w:rPr>
      <w:rFonts w:ascii="Times New Roman" w:hAnsi="Times New Roman" w:eastAsia="黑体"/>
      <w:b/>
      <w:sz w:val="24"/>
      <w:szCs w:val="21"/>
      <w:lang w:eastAsia="zh-CN"/>
    </w:rPr>
  </w:style>
  <w:style w:type="character" w:customStyle="1" w:styleId="62">
    <w:name w:val="表格内容 Char1"/>
    <w:autoRedefine/>
    <w:qFormat/>
    <w:uiPriority w:val="0"/>
    <w:rPr>
      <w:rFonts w:ascii="宋体" w:hAnsi="宋体" w:eastAsia="宋体"/>
      <w:kern w:val="0"/>
      <w:sz w:val="21"/>
    </w:rPr>
  </w:style>
  <w:style w:type="paragraph" w:customStyle="1" w:styleId="63">
    <w:name w:val="表格文字"/>
    <w:basedOn w:val="1"/>
    <w:autoRedefine/>
    <w:qFormat/>
    <w:uiPriority w:val="0"/>
    <w:pPr>
      <w:adjustRightInd w:val="0"/>
      <w:snapToGrid w:val="0"/>
      <w:spacing w:line="260" w:lineRule="exact"/>
      <w:jc w:val="center"/>
    </w:pPr>
    <w:rPr>
      <w:szCs w:val="20"/>
    </w:rPr>
  </w:style>
  <w:style w:type="character" w:customStyle="1" w:styleId="64">
    <w:name w:val="正文文本 Char"/>
    <w:basedOn w:val="21"/>
    <w:link w:val="4"/>
    <w:autoRedefine/>
    <w:qFormat/>
    <w:uiPriority w:val="0"/>
    <w:rPr>
      <w:kern w:val="2"/>
      <w:sz w:val="21"/>
    </w:rPr>
  </w:style>
  <w:style w:type="paragraph" w:customStyle="1" w:styleId="65">
    <w:name w:val="修订1"/>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66">
    <w:name w:val="批注文字 Char"/>
    <w:basedOn w:val="21"/>
    <w:link w:val="10"/>
    <w:autoRedefine/>
    <w:qFormat/>
    <w:uiPriority w:val="0"/>
    <w:rPr>
      <w:kern w:val="2"/>
      <w:sz w:val="21"/>
      <w:szCs w:val="24"/>
    </w:rPr>
  </w:style>
  <w:style w:type="character" w:customStyle="1" w:styleId="67">
    <w:name w:val="批注主题 Char"/>
    <w:basedOn w:val="66"/>
    <w:link w:val="18"/>
    <w:autoRedefine/>
    <w:qFormat/>
    <w:uiPriority w:val="0"/>
    <w:rPr>
      <w:b/>
      <w:bCs/>
      <w:kern w:val="2"/>
      <w:sz w:val="21"/>
      <w:szCs w:val="24"/>
    </w:rPr>
  </w:style>
  <w:style w:type="character" w:customStyle="1" w:styleId="68">
    <w:name w:val="批注框文本 Char"/>
    <w:basedOn w:val="21"/>
    <w:link w:val="13"/>
    <w:autoRedefine/>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footer" Target="footer1.xml"/><Relationship Id="rId39" Type="http://schemas.openxmlformats.org/officeDocument/2006/relationships/image" Target="media/image23.jpe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jpeg"/><Relationship Id="rId34" Type="http://schemas.openxmlformats.org/officeDocument/2006/relationships/image" Target="media/image18.png"/><Relationship Id="rId33" Type="http://schemas.openxmlformats.org/officeDocument/2006/relationships/image" Target="media/image17.emf"/><Relationship Id="rId32" Type="http://schemas.openxmlformats.org/officeDocument/2006/relationships/oleObject" Target="embeddings/oleObject6.bin"/><Relationship Id="rId31" Type="http://schemas.openxmlformats.org/officeDocument/2006/relationships/image" Target="media/image16.emf"/><Relationship Id="rId30" Type="http://schemas.openxmlformats.org/officeDocument/2006/relationships/oleObject" Target="embeddings/oleObject5.bin"/><Relationship Id="rId3" Type="http://schemas.openxmlformats.org/officeDocument/2006/relationships/header" Target="header1.xml"/><Relationship Id="rId29" Type="http://schemas.openxmlformats.org/officeDocument/2006/relationships/image" Target="media/image15.emf"/><Relationship Id="rId28" Type="http://schemas.openxmlformats.org/officeDocument/2006/relationships/oleObject" Target="embeddings/oleObject4.bin"/><Relationship Id="rId27" Type="http://schemas.openxmlformats.org/officeDocument/2006/relationships/image" Target="media/image14.emf"/><Relationship Id="rId26" Type="http://schemas.openxmlformats.org/officeDocument/2006/relationships/oleObject" Target="embeddings/oleObject3.bin"/><Relationship Id="rId25" Type="http://schemas.openxmlformats.org/officeDocument/2006/relationships/image" Target="media/image13.emf"/><Relationship Id="rId24" Type="http://schemas.openxmlformats.org/officeDocument/2006/relationships/oleObject" Target="embeddings/oleObject2.bin"/><Relationship Id="rId23" Type="http://schemas.openxmlformats.org/officeDocument/2006/relationships/image" Target="media/image12.emf"/><Relationship Id="rId22" Type="http://schemas.openxmlformats.org/officeDocument/2006/relationships/oleObject" Target="embeddings/oleObject1.bin"/><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131</Pages>
  <Words>36297</Words>
  <Characters>42239</Characters>
  <Lines>357</Lines>
  <Paragraphs>100</Paragraphs>
  <TotalTime>1</TotalTime>
  <ScaleCrop>false</ScaleCrop>
  <LinksUpToDate>false</LinksUpToDate>
  <CharactersWithSpaces>42649</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2022-05-23T10:37:00Z</dcterms:created>
  <dc:creator>消逝的青春</dc:creator>
  <cp:lastModifiedBy></cp:lastModifiedBy>
  <cp:lastPrinted>2023-03-02T01:48:00Z</cp:lastPrinted>
  <dcterms:modified xsi:type="dcterms:W3CDTF">2024-03-14T07:41:42Z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AB8D4AE4C57E47D2BD8A644604CDE45E_13</vt:lpwstr>
  </property>
</Properties>
</file>