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B4D8363">
      <w:pPr>
        <w:rPr>
          <w:rFonts w:eastAsia="仿宋_GB2312" w:cs="仿宋_GB2312" w:asciiTheme="minorHAnsi" w:hAnsiTheme="minorHAnsi"/>
          <w:sz w:val="36"/>
          <w:szCs w:val="36"/>
        </w:rPr>
      </w:pPr>
    </w:p>
    <w:p w14:paraId="47B6511B">
      <w:pPr>
        <w:rPr>
          <w:rFonts w:ascii="仿宋_GB2312" w:hAnsi="仿宋_GB2312" w:eastAsia="仿宋_GB2312" w:cs="仿宋_GB2312"/>
          <w:sz w:val="36"/>
          <w:szCs w:val="36"/>
        </w:rPr>
      </w:pPr>
    </w:p>
    <w:p w14:paraId="38525CC4">
      <w:pPr>
        <w:rPr>
          <w:rFonts w:ascii="仿宋_GB2312" w:hAnsi="仿宋_GB2312" w:eastAsia="仿宋_GB2312" w:cs="仿宋_GB2312"/>
          <w:sz w:val="36"/>
          <w:szCs w:val="36"/>
        </w:rPr>
      </w:pPr>
    </w:p>
    <w:p w14:paraId="4ABD8A84">
      <w:pPr>
        <w:rPr>
          <w:rFonts w:ascii="仿宋_GB2312" w:hAnsi="仿宋_GB2312" w:eastAsia="仿宋_GB2312" w:cs="仿宋_GB2312"/>
          <w:sz w:val="36"/>
          <w:szCs w:val="36"/>
        </w:rPr>
      </w:pPr>
    </w:p>
    <w:p w14:paraId="6477D673">
      <w:pPr>
        <w:rPr>
          <w:rFonts w:ascii="仿宋_GB2312" w:hAnsi="仿宋_GB2312" w:eastAsia="仿宋_GB2312" w:cs="仿宋_GB2312"/>
          <w:sz w:val="36"/>
          <w:szCs w:val="36"/>
        </w:rPr>
      </w:pPr>
    </w:p>
    <w:p w14:paraId="646AD437">
      <w:pPr>
        <w:adjustRightInd w:val="0"/>
        <w:snapToGrid w:val="0"/>
        <w:jc w:val="center"/>
        <w:outlineLvl w:val="9"/>
        <w:rPr>
          <w:rFonts w:ascii="方正小标宋_GBK" w:eastAsia="方正小标宋_GBK"/>
          <w:bCs/>
          <w:sz w:val="72"/>
          <w:szCs w:val="72"/>
        </w:rPr>
      </w:pPr>
      <w:bookmarkStart w:id="0" w:name="_Toc157420305"/>
      <w:bookmarkStart w:id="1" w:name="_Toc156761737"/>
      <w:bookmarkStart w:id="2" w:name="_Toc156760325"/>
      <w:bookmarkStart w:id="3" w:name="_Toc160740661"/>
      <w:r>
        <w:rPr>
          <w:rFonts w:hint="eastAsia" w:ascii="方正小标宋_GBK" w:eastAsia="方正小标宋_GBK"/>
          <w:bCs/>
          <w:sz w:val="72"/>
          <w:szCs w:val="72"/>
        </w:rPr>
        <w:t>建设项目环境影响报告表</w:t>
      </w:r>
      <w:bookmarkEnd w:id="0"/>
      <w:bookmarkEnd w:id="1"/>
      <w:bookmarkEnd w:id="2"/>
      <w:bookmarkEnd w:id="3"/>
    </w:p>
    <w:p w14:paraId="715C2508">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（污染影响类）</w:t>
      </w:r>
    </w:p>
    <w:p w14:paraId="7705A90D">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w:t>
      </w:r>
      <w:r>
        <w:rPr>
          <w:rFonts w:hint="eastAsia" w:ascii="楷体_GB2312" w:eastAsia="楷体_GB2312"/>
          <w:bCs/>
          <w:sz w:val="48"/>
          <w:szCs w:val="48"/>
          <w:lang w:val="en-US" w:eastAsia="zh-CN"/>
        </w:rPr>
        <w:t>公示</w:t>
      </w:r>
      <w:r>
        <w:rPr>
          <w:rFonts w:hint="eastAsia" w:ascii="楷体_GB2312" w:eastAsia="楷体_GB2312"/>
          <w:bCs/>
          <w:sz w:val="48"/>
          <w:szCs w:val="48"/>
        </w:rPr>
        <w:t>稿）</w:t>
      </w:r>
    </w:p>
    <w:p w14:paraId="2F334F62">
      <w:pPr>
        <w:jc w:val="center"/>
        <w:rPr>
          <w:rFonts w:eastAsia="仿宋"/>
          <w:sz w:val="52"/>
          <w:szCs w:val="52"/>
        </w:rPr>
      </w:pPr>
    </w:p>
    <w:p w14:paraId="5E793F96">
      <w:pPr>
        <w:ind w:firstLine="1040"/>
        <w:rPr>
          <w:rFonts w:eastAsia="仿宋"/>
          <w:sz w:val="44"/>
          <w:szCs w:val="44"/>
        </w:rPr>
      </w:pPr>
    </w:p>
    <w:p w14:paraId="6C89474A">
      <w:pPr>
        <w:ind w:firstLine="1040"/>
        <w:rPr>
          <w:rFonts w:eastAsia="仿宋"/>
          <w:sz w:val="44"/>
          <w:szCs w:val="44"/>
        </w:rPr>
      </w:pPr>
    </w:p>
    <w:p w14:paraId="6980CE01">
      <w:pPr>
        <w:ind w:firstLine="1040"/>
        <w:rPr>
          <w:rFonts w:eastAsia="仿宋"/>
          <w:sz w:val="44"/>
          <w:szCs w:val="44"/>
        </w:rPr>
      </w:pPr>
    </w:p>
    <w:p w14:paraId="0D6BDA67">
      <w:pPr>
        <w:ind w:firstLine="1040"/>
        <w:rPr>
          <w:rFonts w:eastAsia="仿宋"/>
          <w:sz w:val="44"/>
          <w:szCs w:val="44"/>
        </w:rPr>
      </w:pPr>
    </w:p>
    <w:p w14:paraId="7DA65351">
      <w:pPr>
        <w:adjustRightInd w:val="0"/>
        <w:snapToGrid w:val="0"/>
        <w:spacing w:line="288" w:lineRule="auto"/>
        <w:rPr>
          <w:rFonts w:ascii="仿宋_GB2312" w:eastAsia="仿宋_GB2312"/>
          <w:sz w:val="36"/>
          <w:szCs w:val="36"/>
          <w:u w:val="single"/>
        </w:rPr>
      </w:pPr>
      <w:r>
        <w:rPr>
          <w:rFonts w:hint="eastAsia" w:ascii="仿宋_GB2312" w:eastAsia="仿宋_GB2312"/>
          <w:sz w:val="36"/>
          <w:szCs w:val="36"/>
        </w:rPr>
        <w:t>项目名称：</w:t>
      </w:r>
      <w:r>
        <w:rPr>
          <w:rFonts w:hint="eastAsia" w:ascii="仿宋_GB2312" w:eastAsia="仿宋_GB2312"/>
          <w:sz w:val="36"/>
          <w:szCs w:val="36"/>
          <w:u w:val="single"/>
        </w:rPr>
        <w:t>福州</w:t>
      </w:r>
      <w:r>
        <w:rPr>
          <w:rFonts w:hint="eastAsia" w:ascii="仿宋_GB2312" w:eastAsia="仿宋_GB2312"/>
          <w:sz w:val="36"/>
          <w:szCs w:val="36"/>
          <w:u w:val="single"/>
          <w:lang w:val="en-US" w:eastAsia="zh-CN"/>
        </w:rPr>
        <w:t>杰</w:t>
      </w:r>
      <w:r>
        <w:rPr>
          <w:rFonts w:hint="eastAsia" w:ascii="仿宋_GB2312" w:eastAsia="仿宋_GB2312"/>
          <w:sz w:val="36"/>
          <w:szCs w:val="36"/>
          <w:u w:val="single"/>
        </w:rPr>
        <w:t>仕日用品有限公司</w:t>
      </w:r>
      <w:r>
        <w:rPr>
          <w:rFonts w:hint="eastAsia" w:ascii="仿宋_GB2312" w:eastAsia="仿宋_GB2312"/>
          <w:sz w:val="36"/>
          <w:szCs w:val="36"/>
          <w:u w:val="single"/>
          <w:lang w:val="en-US" w:eastAsia="zh-CN"/>
        </w:rPr>
        <w:t>闽侯</w:t>
      </w:r>
      <w:r>
        <w:rPr>
          <w:rFonts w:hint="eastAsia" w:ascii="仿宋_GB2312" w:eastAsia="仿宋_GB2312"/>
          <w:sz w:val="36"/>
          <w:szCs w:val="36"/>
          <w:u w:val="single"/>
        </w:rPr>
        <w:t>分公司年产</w:t>
      </w:r>
      <w:r>
        <w:rPr>
          <w:rFonts w:hint="eastAsia" w:ascii="仿宋_GB2312" w:eastAsia="仿宋_GB2312"/>
          <w:color w:val="auto"/>
          <w:sz w:val="36"/>
          <w:szCs w:val="36"/>
          <w:u w:val="single"/>
          <w:lang w:val="en-US" w:eastAsia="zh-CN"/>
        </w:rPr>
        <w:t>车载</w:t>
      </w:r>
      <w:r>
        <w:rPr>
          <w:rFonts w:hint="eastAsia" w:ascii="仿宋_GB2312" w:eastAsia="仿宋_GB2312"/>
          <w:sz w:val="36"/>
          <w:szCs w:val="36"/>
          <w:u w:val="single"/>
          <w:lang w:eastAsia="zh-CN"/>
        </w:rPr>
        <w:t>塑料</w:t>
      </w:r>
      <w:r>
        <w:rPr>
          <w:rFonts w:hint="eastAsia" w:ascii="仿宋_GB2312" w:eastAsia="仿宋_GB2312"/>
          <w:sz w:val="36"/>
          <w:szCs w:val="36"/>
          <w:u w:val="single"/>
        </w:rPr>
        <w:t>垃圾</w:t>
      </w:r>
      <w:r>
        <w:rPr>
          <w:rFonts w:hint="eastAsia" w:ascii="仿宋_GB2312" w:eastAsia="仿宋_GB2312"/>
          <w:sz w:val="36"/>
          <w:szCs w:val="36"/>
          <w:u w:val="single"/>
          <w:lang w:val="en-US" w:eastAsia="zh-CN"/>
        </w:rPr>
        <w:t>袋</w:t>
      </w:r>
      <w:r>
        <w:rPr>
          <w:rFonts w:hint="eastAsia" w:ascii="仿宋_GB2312" w:eastAsia="仿宋_GB2312"/>
          <w:sz w:val="36"/>
          <w:szCs w:val="36"/>
          <w:u w:val="single"/>
        </w:rPr>
        <w:t>8万卷</w:t>
      </w:r>
      <w:r>
        <w:rPr>
          <w:rFonts w:hint="eastAsia" w:ascii="仿宋_GB2312" w:eastAsia="仿宋_GB2312"/>
          <w:sz w:val="36"/>
          <w:szCs w:val="36"/>
          <w:u w:val="single"/>
          <w:lang w:eastAsia="zh-CN"/>
        </w:rPr>
        <w:t>、</w:t>
      </w:r>
      <w:r>
        <w:rPr>
          <w:rFonts w:hint="eastAsia" w:ascii="仿宋_GB2312" w:eastAsia="仿宋_GB2312"/>
          <w:sz w:val="36"/>
          <w:szCs w:val="36"/>
          <w:u w:val="single"/>
        </w:rPr>
        <w:t>保鲜</w:t>
      </w:r>
      <w:r>
        <w:rPr>
          <w:rFonts w:hint="eastAsia" w:ascii="仿宋_GB2312" w:eastAsia="仿宋_GB2312"/>
          <w:sz w:val="36"/>
          <w:szCs w:val="36"/>
          <w:u w:val="single"/>
          <w:lang w:val="en-US" w:eastAsia="zh-CN"/>
        </w:rPr>
        <w:t>袋</w:t>
      </w:r>
      <w:r>
        <w:rPr>
          <w:rFonts w:hint="eastAsia" w:ascii="仿宋_GB2312" w:eastAsia="仿宋_GB2312"/>
          <w:sz w:val="36"/>
          <w:szCs w:val="36"/>
          <w:u w:val="single"/>
        </w:rPr>
        <w:t xml:space="preserve">12万条建设项目 </w:t>
      </w:r>
      <w:r>
        <w:rPr>
          <w:rFonts w:ascii="仿宋_GB2312" w:eastAsia="仿宋_GB2312"/>
          <w:sz w:val="36"/>
          <w:szCs w:val="36"/>
          <w:u w:val="single"/>
        </w:rPr>
        <w:t xml:space="preserve">     </w:t>
      </w:r>
    </w:p>
    <w:p w14:paraId="70D74994">
      <w:pPr>
        <w:adjustRightInd w:val="0"/>
        <w:snapToGrid w:val="0"/>
        <w:spacing w:line="288" w:lineRule="auto"/>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rPr>
        <w:t>福州</w:t>
      </w:r>
      <w:r>
        <w:rPr>
          <w:rFonts w:hint="eastAsia" w:ascii="仿宋_GB2312" w:eastAsia="仿宋_GB2312"/>
          <w:sz w:val="36"/>
          <w:szCs w:val="36"/>
          <w:u w:val="single"/>
          <w:lang w:val="en-US" w:eastAsia="zh-CN"/>
        </w:rPr>
        <w:t>杰</w:t>
      </w:r>
      <w:r>
        <w:rPr>
          <w:rFonts w:hint="eastAsia" w:ascii="仿宋_GB2312" w:eastAsia="仿宋_GB2312"/>
          <w:sz w:val="36"/>
          <w:szCs w:val="36"/>
          <w:u w:val="single"/>
        </w:rPr>
        <w:t>仕日用品有限公司</w:t>
      </w:r>
      <w:r>
        <w:rPr>
          <w:rFonts w:hint="eastAsia" w:ascii="仿宋_GB2312" w:eastAsia="仿宋_GB2312"/>
          <w:sz w:val="36"/>
          <w:szCs w:val="36"/>
          <w:u w:val="single"/>
          <w:lang w:val="en-US" w:eastAsia="zh-CN"/>
        </w:rPr>
        <w:t>闽侯</w:t>
      </w:r>
      <w:r>
        <w:rPr>
          <w:rFonts w:hint="eastAsia" w:ascii="仿宋_GB2312" w:eastAsia="仿宋_GB2312"/>
          <w:sz w:val="36"/>
          <w:szCs w:val="36"/>
          <w:u w:val="single"/>
        </w:rPr>
        <w:t xml:space="preserve">分公司    </w:t>
      </w:r>
    </w:p>
    <w:p w14:paraId="0E2E960D">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ascii="仿宋_GB2312" w:eastAsia="仿宋_GB2312"/>
          <w:sz w:val="36"/>
          <w:szCs w:val="36"/>
          <w:u w:val="single"/>
        </w:rPr>
        <w:t xml:space="preserve">   2025</w:t>
      </w:r>
      <w:r>
        <w:rPr>
          <w:rFonts w:hint="eastAsia" w:ascii="仿宋_GB2312" w:eastAsia="仿宋_GB2312"/>
          <w:sz w:val="36"/>
          <w:szCs w:val="36"/>
          <w:u w:val="single"/>
        </w:rPr>
        <w:t>年</w:t>
      </w:r>
      <w:r>
        <w:rPr>
          <w:rFonts w:hint="eastAsia" w:ascii="仿宋_GB2312" w:eastAsia="仿宋_GB2312"/>
          <w:sz w:val="36"/>
          <w:szCs w:val="36"/>
          <w:u w:val="single"/>
          <w:lang w:val="en-US" w:eastAsia="zh-CN"/>
        </w:rPr>
        <w:t>8</w:t>
      </w:r>
      <w:r>
        <w:rPr>
          <w:rFonts w:hint="eastAsia" w:ascii="仿宋_GB2312" w:eastAsia="仿宋_GB2312"/>
          <w:sz w:val="36"/>
          <w:szCs w:val="36"/>
          <w:u w:val="single"/>
        </w:rPr>
        <w:t>月</w:t>
      </w:r>
      <w:r>
        <w:rPr>
          <w:rFonts w:ascii="仿宋_GB2312" w:eastAsia="仿宋_GB2312"/>
          <w:sz w:val="36"/>
          <w:szCs w:val="36"/>
          <w:u w:val="single"/>
        </w:rPr>
        <w:t xml:space="preserve">     </w:t>
      </w:r>
      <w:r>
        <w:rPr>
          <w:rFonts w:hint="eastAsia" w:ascii="仿宋_GB2312" w:eastAsia="仿宋_GB2312"/>
          <w:sz w:val="36"/>
          <w:szCs w:val="36"/>
          <w:u w:val="single"/>
        </w:rPr>
        <w:t xml:space="preserve"> </w:t>
      </w:r>
    </w:p>
    <w:p w14:paraId="2C3F17C3">
      <w:pPr>
        <w:adjustRightInd w:val="0"/>
        <w:snapToGrid w:val="0"/>
        <w:spacing w:line="288" w:lineRule="auto"/>
        <w:ind w:firstLine="1040"/>
        <w:rPr>
          <w:rFonts w:ascii="仿宋_GB2312" w:eastAsia="仿宋_GB2312"/>
          <w:sz w:val="36"/>
          <w:szCs w:val="36"/>
          <w:u w:val="single"/>
        </w:rPr>
      </w:pPr>
      <w:bookmarkStart w:id="4" w:name="_Hlk57884087"/>
    </w:p>
    <w:p w14:paraId="0B7F5FAC">
      <w:pPr>
        <w:adjustRightInd w:val="0"/>
        <w:snapToGrid w:val="0"/>
        <w:spacing w:line="288" w:lineRule="auto"/>
        <w:ind w:firstLine="1040"/>
        <w:rPr>
          <w:rFonts w:ascii="仿宋_GB2312" w:eastAsia="仿宋_GB2312"/>
          <w:sz w:val="36"/>
          <w:szCs w:val="36"/>
        </w:rPr>
      </w:pPr>
    </w:p>
    <w:bookmarkEnd w:id="4"/>
    <w:p w14:paraId="174F27F4">
      <w:pPr>
        <w:jc w:val="center"/>
        <w:rPr>
          <w:rFonts w:hint="eastAsia" w:ascii="楷体_GB2312" w:eastAsia="楷体_GB2312"/>
          <w:color w:val="000000" w:themeColor="text1"/>
          <w:sz w:val="36"/>
          <w:szCs w:val="36"/>
          <w:highlight w:val="none"/>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楷体_GB2312" w:eastAsia="楷体_GB2312"/>
          <w:sz w:val="36"/>
          <w:szCs w:val="36"/>
        </w:rPr>
        <w:t>中华人民共和国生态环境部制</w:t>
      </w:r>
    </w:p>
    <w:sdt>
      <w:sdtPr>
        <w:rPr>
          <w:rFonts w:ascii="Times New Roman" w:hAnsi="Times New Roman" w:eastAsia="宋体" w:cs="Times New Roman"/>
          <w:color w:val="000000" w:themeColor="text1"/>
          <w:kern w:val="2"/>
          <w:sz w:val="28"/>
          <w:szCs w:val="36"/>
          <w:highlight w:val="none"/>
          <w:lang w:val="zh-CN"/>
          <w14:textFill>
            <w14:solidFill>
              <w14:schemeClr w14:val="tx1"/>
            </w14:solidFill>
          </w14:textFill>
        </w:rPr>
        <w:id w:val="-834525711"/>
        <w:docPartObj>
          <w:docPartGallery w:val="Table of Contents"/>
          <w:docPartUnique/>
        </w:docPartObj>
      </w:sdtPr>
      <w:sdtEndPr>
        <w:rPr>
          <w:rFonts w:ascii="Times New Roman" w:hAnsi="Times New Roman" w:eastAsia="宋体" w:cs="Times New Roman"/>
          <w:b/>
          <w:bCs/>
          <w:color w:val="000000" w:themeColor="text1"/>
          <w:kern w:val="2"/>
          <w:sz w:val="21"/>
          <w:szCs w:val="24"/>
          <w:highlight w:val="none"/>
          <w:lang w:val="zh-CN"/>
          <w14:textFill>
            <w14:solidFill>
              <w14:schemeClr w14:val="tx1"/>
            </w14:solidFill>
          </w14:textFill>
        </w:rPr>
      </w:sdtEndPr>
      <w:sdtContent>
        <w:p w14:paraId="00292560">
          <w:pPr>
            <w:spacing w:line="360" w:lineRule="auto"/>
            <w:jc w:val="center"/>
            <w:rPr>
              <w:rFonts w:ascii="Times New Roman" w:hAnsi="Times New Roman" w:eastAsia="宋体" w:cs="Times New Roman"/>
              <w:b/>
              <w:bCs/>
              <w:color w:val="000000" w:themeColor="text1"/>
              <w:kern w:val="2"/>
              <w:sz w:val="21"/>
              <w:szCs w:val="24"/>
              <w:highlight w:val="none"/>
              <w:lang w:val="zh-CN" w:eastAsia="zh-CN" w:bidi="ar-SA"/>
              <w14:textFill>
                <w14:solidFill>
                  <w14:schemeClr w14:val="tx1"/>
                </w14:solidFill>
              </w14:textFill>
            </w:rPr>
          </w:pPr>
          <w:bookmarkStart w:id="27" w:name="_GoBack"/>
          <w:bookmarkEnd w:id="27"/>
          <w:r>
            <w:rPr>
              <w:rFonts w:ascii="黑体" w:hAnsi="黑体" w:eastAsia="黑体"/>
              <w:color w:val="000000" w:themeColor="text1"/>
              <w:sz w:val="28"/>
              <w:szCs w:val="36"/>
              <w:highlight w:val="none"/>
              <w:lang w:val="zh-CN"/>
              <w14:textFill>
                <w14:solidFill>
                  <w14:schemeClr w14:val="tx1"/>
                </w14:solidFill>
              </w14:textFill>
            </w:rPr>
            <w:t>目</w:t>
          </w:r>
          <w:r>
            <w:rPr>
              <w:rFonts w:hint="eastAsia" w:ascii="黑体" w:hAnsi="黑体" w:eastAsia="黑体"/>
              <w:color w:val="000000" w:themeColor="text1"/>
              <w:sz w:val="28"/>
              <w:szCs w:val="36"/>
              <w:highlight w:val="none"/>
              <w:lang w:val="zh-CN"/>
              <w14:textFill>
                <w14:solidFill>
                  <w14:schemeClr w14:val="tx1"/>
                </w14:solidFill>
              </w14:textFill>
            </w:rPr>
            <w:t xml:space="preserve"> </w:t>
          </w:r>
          <w:r>
            <w:rPr>
              <w:rFonts w:ascii="黑体" w:hAnsi="黑体" w:eastAsia="黑体"/>
              <w:color w:val="000000" w:themeColor="text1"/>
              <w:sz w:val="28"/>
              <w:szCs w:val="36"/>
              <w:highlight w:val="none"/>
              <w:lang w:val="zh-CN"/>
              <w14:textFill>
                <w14:solidFill>
                  <w14:schemeClr w14:val="tx1"/>
                </w14:solidFill>
              </w14:textFill>
            </w:rPr>
            <w:t xml:space="preserve"> 录</w:t>
          </w:r>
          <w:r>
            <w:rPr>
              <w:b/>
              <w:bCs/>
              <w:color w:val="000000" w:themeColor="text1"/>
              <w:highlight w:val="none"/>
              <w:lang w:val="zh-CN"/>
              <w14:textFill>
                <w14:solidFill>
                  <w14:schemeClr w14:val="tx1"/>
                </w14:solidFill>
              </w14:textFill>
            </w:rPr>
            <w:fldChar w:fldCharType="begin"/>
          </w:r>
          <w:r>
            <w:rPr>
              <w:b/>
              <w:bCs/>
              <w:color w:val="000000" w:themeColor="text1"/>
              <w:highlight w:val="none"/>
              <w:lang w:val="zh-CN"/>
              <w14:textFill>
                <w14:solidFill>
                  <w14:schemeClr w14:val="tx1"/>
                </w14:solidFill>
              </w14:textFill>
            </w:rPr>
            <w:instrText xml:space="preserve"> TOC \o "1-2" \h \z \u </w:instrText>
          </w:r>
          <w:r>
            <w:rPr>
              <w:b/>
              <w:bCs/>
              <w:color w:val="000000" w:themeColor="text1"/>
              <w:highlight w:val="none"/>
              <w:lang w:val="zh-CN"/>
              <w14:textFill>
                <w14:solidFill>
                  <w14:schemeClr w14:val="tx1"/>
                </w14:solidFill>
              </w14:textFill>
            </w:rPr>
            <w:fldChar w:fldCharType="separate"/>
          </w:r>
        </w:p>
        <w:p w14:paraId="11F90337">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_Toc11641 </w:instrText>
          </w:r>
          <w:r>
            <w:rPr>
              <w:bCs/>
              <w:highlight w:val="none"/>
              <w:lang w:val="zh-CN"/>
            </w:rPr>
            <w:fldChar w:fldCharType="separate"/>
          </w:r>
          <w:r>
            <w:rPr>
              <w:rFonts w:hint="eastAsia" w:ascii="黑体" w:hAnsi="黑体" w:eastAsia="黑体"/>
              <w:snapToGrid w:val="0"/>
              <w:szCs w:val="30"/>
              <w:highlight w:val="none"/>
            </w:rPr>
            <w:t>一、建设项目基本情况</w:t>
          </w:r>
          <w:r>
            <w:tab/>
          </w:r>
          <w:r>
            <w:fldChar w:fldCharType="begin"/>
          </w:r>
          <w:r>
            <w:instrText xml:space="preserve"> PAGEREF _Toc11641 \h </w:instrText>
          </w:r>
          <w:r>
            <w:fldChar w:fldCharType="separate"/>
          </w:r>
          <w:r>
            <w:t>1</w:t>
          </w:r>
          <w:r>
            <w:fldChar w:fldCharType="end"/>
          </w:r>
          <w:r>
            <w:rPr>
              <w:bCs/>
              <w:color w:val="000000" w:themeColor="text1"/>
              <w:highlight w:val="none"/>
              <w:lang w:val="zh-CN"/>
              <w14:textFill>
                <w14:solidFill>
                  <w14:schemeClr w14:val="tx1"/>
                </w14:solidFill>
              </w14:textFill>
            </w:rPr>
            <w:fldChar w:fldCharType="end"/>
          </w:r>
        </w:p>
        <w:p w14:paraId="0581496B">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_Toc31585 </w:instrText>
          </w:r>
          <w:r>
            <w:rPr>
              <w:bCs/>
              <w:highlight w:val="none"/>
              <w:lang w:val="zh-CN"/>
            </w:rPr>
            <w:fldChar w:fldCharType="separate"/>
          </w:r>
          <w:r>
            <w:rPr>
              <w:rFonts w:hint="eastAsia" w:ascii="黑体" w:hAnsi="黑体" w:eastAsia="黑体"/>
              <w:snapToGrid w:val="0"/>
              <w:szCs w:val="30"/>
              <w:highlight w:val="none"/>
            </w:rPr>
            <w:t>二、建设项目工程分析</w:t>
          </w:r>
          <w:r>
            <w:tab/>
          </w:r>
          <w:r>
            <w:fldChar w:fldCharType="begin"/>
          </w:r>
          <w:r>
            <w:instrText xml:space="preserve"> PAGEREF _Toc31585 \h </w:instrText>
          </w:r>
          <w:r>
            <w:fldChar w:fldCharType="separate"/>
          </w:r>
          <w:r>
            <w:t>18</w:t>
          </w:r>
          <w:r>
            <w:fldChar w:fldCharType="end"/>
          </w:r>
          <w:r>
            <w:rPr>
              <w:bCs/>
              <w:color w:val="000000" w:themeColor="text1"/>
              <w:highlight w:val="none"/>
              <w:lang w:val="zh-CN"/>
              <w14:textFill>
                <w14:solidFill>
                  <w14:schemeClr w14:val="tx1"/>
                </w14:solidFill>
              </w14:textFill>
            </w:rPr>
            <w:fldChar w:fldCharType="end"/>
          </w:r>
        </w:p>
        <w:p w14:paraId="4CA7636C">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_Toc12764 </w:instrText>
          </w:r>
          <w:r>
            <w:rPr>
              <w:bCs/>
              <w:highlight w:val="none"/>
              <w:lang w:val="zh-CN"/>
            </w:rPr>
            <w:fldChar w:fldCharType="separate"/>
          </w:r>
          <w:r>
            <w:rPr>
              <w:rFonts w:hint="eastAsia" w:ascii="黑体" w:hAnsi="黑体" w:eastAsia="黑体"/>
              <w:snapToGrid w:val="0"/>
              <w:szCs w:val="30"/>
              <w:highlight w:val="none"/>
            </w:rPr>
            <w:t>三、区域环境质量现状、环境保护目标及评价标准</w:t>
          </w:r>
          <w:r>
            <w:tab/>
          </w:r>
          <w:r>
            <w:fldChar w:fldCharType="begin"/>
          </w:r>
          <w:r>
            <w:instrText xml:space="preserve"> PAGEREF _Toc12764 \h </w:instrText>
          </w:r>
          <w:r>
            <w:fldChar w:fldCharType="separate"/>
          </w:r>
          <w:r>
            <w:t>31</w:t>
          </w:r>
          <w:r>
            <w:fldChar w:fldCharType="end"/>
          </w:r>
          <w:r>
            <w:rPr>
              <w:bCs/>
              <w:color w:val="000000" w:themeColor="text1"/>
              <w:highlight w:val="none"/>
              <w:lang w:val="zh-CN"/>
              <w14:textFill>
                <w14:solidFill>
                  <w14:schemeClr w14:val="tx1"/>
                </w14:solidFill>
              </w14:textFill>
            </w:rPr>
            <w:fldChar w:fldCharType="end"/>
          </w:r>
        </w:p>
        <w:p w14:paraId="46774748">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_Toc22147 </w:instrText>
          </w:r>
          <w:r>
            <w:rPr>
              <w:bCs/>
              <w:highlight w:val="none"/>
              <w:lang w:val="zh-CN"/>
            </w:rPr>
            <w:fldChar w:fldCharType="separate"/>
          </w:r>
          <w:r>
            <w:rPr>
              <w:rFonts w:hint="eastAsia" w:ascii="黑体" w:hAnsi="黑体" w:eastAsia="黑体"/>
              <w:snapToGrid w:val="0"/>
              <w:szCs w:val="30"/>
              <w:highlight w:val="none"/>
            </w:rPr>
            <w:t>四、主要环境影响和保护措施</w:t>
          </w:r>
          <w:r>
            <w:tab/>
          </w:r>
          <w:r>
            <w:fldChar w:fldCharType="begin"/>
          </w:r>
          <w:r>
            <w:instrText xml:space="preserve"> PAGEREF _Toc22147 \h </w:instrText>
          </w:r>
          <w:r>
            <w:fldChar w:fldCharType="separate"/>
          </w:r>
          <w:r>
            <w:t>45</w:t>
          </w:r>
          <w:r>
            <w:fldChar w:fldCharType="end"/>
          </w:r>
          <w:r>
            <w:rPr>
              <w:bCs/>
              <w:color w:val="000000" w:themeColor="text1"/>
              <w:highlight w:val="none"/>
              <w:lang w:val="zh-CN"/>
              <w14:textFill>
                <w14:solidFill>
                  <w14:schemeClr w14:val="tx1"/>
                </w14:solidFill>
              </w14:textFill>
            </w:rPr>
            <w:fldChar w:fldCharType="end"/>
          </w:r>
        </w:p>
        <w:p w14:paraId="22317E5A">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_Toc22069 </w:instrText>
          </w:r>
          <w:r>
            <w:rPr>
              <w:bCs/>
              <w:highlight w:val="none"/>
              <w:lang w:val="zh-CN"/>
            </w:rPr>
            <w:fldChar w:fldCharType="separate"/>
          </w:r>
          <w:r>
            <w:rPr>
              <w:rFonts w:hint="eastAsia" w:ascii="黑体" w:hAnsi="黑体" w:eastAsia="黑体"/>
              <w:snapToGrid w:val="0"/>
              <w:szCs w:val="30"/>
              <w:highlight w:val="none"/>
            </w:rPr>
            <w:t>五、环境保护措施监督检查清单</w:t>
          </w:r>
          <w:r>
            <w:tab/>
          </w:r>
          <w:r>
            <w:fldChar w:fldCharType="begin"/>
          </w:r>
          <w:r>
            <w:instrText xml:space="preserve"> PAGEREF _Toc22069 \h </w:instrText>
          </w:r>
          <w:r>
            <w:fldChar w:fldCharType="separate"/>
          </w:r>
          <w:r>
            <w:t>68</w:t>
          </w:r>
          <w:r>
            <w:fldChar w:fldCharType="end"/>
          </w:r>
          <w:r>
            <w:rPr>
              <w:bCs/>
              <w:color w:val="000000" w:themeColor="text1"/>
              <w:highlight w:val="none"/>
              <w:lang w:val="zh-CN"/>
              <w14:textFill>
                <w14:solidFill>
                  <w14:schemeClr w14:val="tx1"/>
                </w14:solidFill>
              </w14:textFill>
            </w:rPr>
            <w:fldChar w:fldCharType="end"/>
          </w:r>
        </w:p>
        <w:p w14:paraId="7CF642FD">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_Toc31838 </w:instrText>
          </w:r>
          <w:r>
            <w:rPr>
              <w:bCs/>
              <w:highlight w:val="none"/>
              <w:lang w:val="zh-CN"/>
            </w:rPr>
            <w:fldChar w:fldCharType="separate"/>
          </w:r>
          <w:r>
            <w:rPr>
              <w:rFonts w:hint="eastAsia" w:ascii="黑体" w:hAnsi="黑体" w:eastAsia="黑体"/>
              <w:snapToGrid w:val="0"/>
              <w:szCs w:val="30"/>
              <w:highlight w:val="none"/>
            </w:rPr>
            <w:t>六、结论</w:t>
          </w:r>
          <w:r>
            <w:tab/>
          </w:r>
          <w:r>
            <w:fldChar w:fldCharType="begin"/>
          </w:r>
          <w:r>
            <w:instrText xml:space="preserve"> PAGEREF _Toc31838 \h </w:instrText>
          </w:r>
          <w:r>
            <w:fldChar w:fldCharType="separate"/>
          </w:r>
          <w:r>
            <w:t>72</w:t>
          </w:r>
          <w:r>
            <w:fldChar w:fldCharType="end"/>
          </w:r>
          <w:r>
            <w:rPr>
              <w:bCs/>
              <w:color w:val="000000" w:themeColor="text1"/>
              <w:highlight w:val="none"/>
              <w:lang w:val="zh-CN"/>
              <w14:textFill>
                <w14:solidFill>
                  <w14:schemeClr w14:val="tx1"/>
                </w14:solidFill>
              </w14:textFill>
            </w:rPr>
            <w:fldChar w:fldCharType="end"/>
          </w:r>
        </w:p>
        <w:p w14:paraId="2B0D53B1">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_Toc3990 </w:instrText>
          </w:r>
          <w:r>
            <w:rPr>
              <w:bCs/>
              <w:highlight w:val="none"/>
              <w:lang w:val="zh-CN"/>
            </w:rPr>
            <w:fldChar w:fldCharType="separate"/>
          </w:r>
          <w:r>
            <w:rPr>
              <w:rFonts w:hint="eastAsia" w:ascii="黑体" w:hAnsi="黑体" w:eastAsia="黑体"/>
              <w:snapToGrid w:val="0"/>
              <w:szCs w:val="32"/>
              <w:highlight w:val="none"/>
            </w:rPr>
            <w:t>附表2</w:t>
          </w:r>
          <w:r>
            <w:tab/>
          </w:r>
          <w:r>
            <w:fldChar w:fldCharType="begin"/>
          </w:r>
          <w:r>
            <w:instrText xml:space="preserve"> PAGEREF _Toc3990 \h </w:instrText>
          </w:r>
          <w:r>
            <w:fldChar w:fldCharType="separate"/>
          </w:r>
          <w:r>
            <w:t>73</w:t>
          </w:r>
          <w:r>
            <w:fldChar w:fldCharType="end"/>
          </w:r>
          <w:r>
            <w:rPr>
              <w:bCs/>
              <w:color w:val="000000" w:themeColor="text1"/>
              <w:highlight w:val="none"/>
              <w:lang w:val="zh-CN"/>
              <w14:textFill>
                <w14:solidFill>
                  <w14:schemeClr w14:val="tx1"/>
                </w14:solidFill>
              </w14:textFill>
            </w:rPr>
            <w:fldChar w:fldCharType="end"/>
          </w:r>
        </w:p>
        <w:p w14:paraId="795F4A36">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_Toc9347 </w:instrText>
          </w:r>
          <w:r>
            <w:rPr>
              <w:bCs/>
              <w:highlight w:val="none"/>
              <w:lang w:val="zh-CN"/>
            </w:rPr>
            <w:fldChar w:fldCharType="separate"/>
          </w:r>
          <w:r>
            <w:rPr>
              <w:rFonts w:hint="eastAsia" w:ascii="方正小标宋_GBK" w:hAnsi="黑体" w:eastAsia="方正小标宋_GBK"/>
              <w:snapToGrid w:val="0"/>
              <w:szCs w:val="38"/>
              <w:highlight w:val="none"/>
            </w:rPr>
            <w:t>建设项目污染物排放量汇总表</w:t>
          </w:r>
          <w:r>
            <w:tab/>
          </w:r>
          <w:r>
            <w:fldChar w:fldCharType="begin"/>
          </w:r>
          <w:r>
            <w:instrText xml:space="preserve"> PAGEREF _Toc9347 \h </w:instrText>
          </w:r>
          <w:r>
            <w:fldChar w:fldCharType="separate"/>
          </w:r>
          <w:r>
            <w:t>73</w:t>
          </w:r>
          <w:r>
            <w:fldChar w:fldCharType="end"/>
          </w:r>
          <w:r>
            <w:rPr>
              <w:bCs/>
              <w:color w:val="000000" w:themeColor="text1"/>
              <w:highlight w:val="none"/>
              <w:lang w:val="zh-CN"/>
              <w14:textFill>
                <w14:solidFill>
                  <w14:schemeClr w14:val="tx1"/>
                </w14:solidFill>
              </w14:textFill>
            </w:rPr>
            <w:fldChar w:fldCharType="end"/>
          </w:r>
        </w:p>
        <w:p w14:paraId="6CE4C31B">
          <w:pPr>
            <w:pStyle w:val="21"/>
            <w:tabs>
              <w:tab w:val="right" w:leader="dot" w:pos="8844"/>
            </w:tabs>
          </w:pPr>
          <w:r>
            <w:rPr>
              <w:bCs/>
              <w:color w:val="000000" w:themeColor="text1"/>
              <w:highlight w:val="none"/>
              <w:lang w:val="zh-CN"/>
              <w14:textFill>
                <w14:solidFill>
                  <w14:schemeClr w14:val="tx1"/>
                </w14:solidFill>
              </w14:textFill>
            </w:rPr>
            <w:fldChar w:fldCharType="begin"/>
          </w:r>
          <w:r>
            <w:rPr>
              <w:bCs/>
              <w:highlight w:val="none"/>
              <w:lang w:val="zh-CN"/>
            </w:rPr>
            <w:instrText xml:space="preserve"> HYPERLINK \l _Toc6896 </w:instrText>
          </w:r>
          <w:r>
            <w:rPr>
              <w:bCs/>
              <w:highlight w:val="none"/>
              <w:lang w:val="zh-CN"/>
            </w:rPr>
            <w:fldChar w:fldCharType="separate"/>
          </w:r>
          <w:r>
            <w:rPr>
              <w:rFonts w:hint="eastAsia" w:ascii="黑体" w:hAnsi="黑体" w:eastAsia="黑体"/>
              <w:snapToGrid w:val="0"/>
              <w:szCs w:val="32"/>
              <w:highlight w:val="none"/>
            </w:rPr>
            <w:t>附图</w:t>
          </w:r>
          <w:r>
            <w:tab/>
          </w:r>
          <w:r>
            <w:fldChar w:fldCharType="begin"/>
          </w:r>
          <w:r>
            <w:instrText xml:space="preserve"> PAGEREF _Toc6896 \h </w:instrText>
          </w:r>
          <w:r>
            <w:fldChar w:fldCharType="separate"/>
          </w:r>
          <w:r>
            <w:t>75</w:t>
          </w:r>
          <w:r>
            <w:fldChar w:fldCharType="end"/>
          </w:r>
          <w:r>
            <w:rPr>
              <w:bCs/>
              <w:color w:val="000000" w:themeColor="text1"/>
              <w:highlight w:val="none"/>
              <w:lang w:val="zh-CN"/>
              <w14:textFill>
                <w14:solidFill>
                  <w14:schemeClr w14:val="tx1"/>
                </w14:solidFill>
              </w14:textFill>
            </w:rPr>
            <w:fldChar w:fldCharType="end"/>
          </w:r>
        </w:p>
        <w:p w14:paraId="524DBCDC">
          <w:pPr>
            <w:pStyle w:val="93"/>
            <w:spacing w:line="360" w:lineRule="auto"/>
            <w:jc w:val="center"/>
            <w:rPr>
              <w:color w:val="000000" w:themeColor="text1"/>
              <w:highlight w:val="none"/>
              <w14:textFill>
                <w14:solidFill>
                  <w14:schemeClr w14:val="tx1"/>
                </w14:solidFill>
              </w14:textFill>
            </w:rPr>
          </w:pPr>
          <w:r>
            <w:rPr>
              <w:b/>
              <w:bCs/>
              <w:color w:val="000000" w:themeColor="text1"/>
              <w:highlight w:val="none"/>
              <w:lang w:val="zh-CN"/>
              <w14:textFill>
                <w14:solidFill>
                  <w14:schemeClr w14:val="tx1"/>
                </w14:solidFill>
              </w14:textFill>
            </w:rPr>
            <w:fldChar w:fldCharType="end"/>
          </w:r>
        </w:p>
      </w:sdtContent>
    </w:sdt>
    <w:p w14:paraId="66798FAE">
      <w:pPr>
        <w:pStyle w:val="26"/>
        <w:jc w:val="center"/>
        <w:outlineLvl w:val="0"/>
        <w:rPr>
          <w:rFonts w:ascii="黑体" w:hAnsi="黑体" w:eastAsia="黑体"/>
          <w:snapToGrid w:val="0"/>
          <w:color w:val="000000" w:themeColor="text1"/>
          <w:sz w:val="30"/>
          <w:szCs w:val="30"/>
          <w:highlight w:val="none"/>
          <w14:textFill>
            <w14:solidFill>
              <w14:schemeClr w14:val="tx1"/>
            </w14:solidFill>
          </w14:textFill>
        </w:rPr>
        <w:sectPr>
          <w:headerReference r:id="rId5" w:type="default"/>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4305BA15">
      <w:pPr>
        <w:pStyle w:val="26"/>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5" w:name="_Toc11641"/>
      <w:r>
        <w:rPr>
          <w:rFonts w:hint="eastAsia" w:ascii="黑体" w:hAnsi="黑体" w:eastAsia="黑体"/>
          <w:snapToGrid w:val="0"/>
          <w:color w:val="000000" w:themeColor="text1"/>
          <w:sz w:val="30"/>
          <w:szCs w:val="30"/>
          <w:highlight w:val="none"/>
          <w14:textFill>
            <w14:solidFill>
              <w14:schemeClr w14:val="tx1"/>
            </w14:solidFill>
          </w14:textFill>
        </w:rPr>
        <w:t>一、建设项目基本情况</w:t>
      </w:r>
      <w:bookmarkEnd w:id="5"/>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722"/>
        <w:gridCol w:w="282"/>
        <w:gridCol w:w="3009"/>
        <w:gridCol w:w="2209"/>
        <w:gridCol w:w="2648"/>
      </w:tblGrid>
      <w:tr w14:paraId="0F9FC1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4" w:type="dxa"/>
            <w:gridSpan w:val="2"/>
            <w:tcMar>
              <w:top w:w="16" w:type="dxa"/>
              <w:left w:w="16" w:type="dxa"/>
              <w:right w:w="16" w:type="dxa"/>
            </w:tcMar>
            <w:vAlign w:val="center"/>
          </w:tcPr>
          <w:p w14:paraId="4DC089C0">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建设项目名称</w:t>
            </w:r>
          </w:p>
        </w:tc>
        <w:tc>
          <w:tcPr>
            <w:tcW w:w="7866" w:type="dxa"/>
            <w:gridSpan w:val="3"/>
            <w:vAlign w:val="center"/>
          </w:tcPr>
          <w:p w14:paraId="6E716795">
            <w:pPr>
              <w:adjustRightInd w:val="0"/>
              <w:snapToGrid w:val="0"/>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福州杰仕日用品有限公司闽侯分公司年产</w:t>
            </w:r>
            <w:r>
              <w:rPr>
                <w:rFonts w:hint="eastAsia"/>
                <w:color w:val="000000" w:themeColor="text1"/>
                <w:szCs w:val="21"/>
                <w:highlight w:val="none"/>
                <w:lang w:val="en-US" w:eastAsia="zh-CN"/>
                <w14:textFill>
                  <w14:solidFill>
                    <w14:schemeClr w14:val="tx1"/>
                  </w14:solidFill>
                </w14:textFill>
              </w:rPr>
              <w:t>车载</w:t>
            </w:r>
            <w:r>
              <w:rPr>
                <w:rFonts w:hint="eastAsia"/>
                <w:color w:val="000000" w:themeColor="text1"/>
                <w:szCs w:val="21"/>
                <w:highlight w:val="none"/>
                <w:lang w:eastAsia="zh-CN"/>
                <w14:textFill>
                  <w14:solidFill>
                    <w14:schemeClr w14:val="tx1"/>
                  </w14:solidFill>
                </w14:textFill>
              </w:rPr>
              <w:t>塑料垃圾袋8万卷、保鲜袋12万条建设项目</w:t>
            </w:r>
          </w:p>
        </w:tc>
      </w:tr>
      <w:tr w14:paraId="566EA9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4" w:type="dxa"/>
            <w:gridSpan w:val="2"/>
            <w:tcMar>
              <w:top w:w="16" w:type="dxa"/>
              <w:left w:w="16" w:type="dxa"/>
              <w:right w:w="16" w:type="dxa"/>
            </w:tcMar>
            <w:vAlign w:val="center"/>
          </w:tcPr>
          <w:p w14:paraId="7EC98E35">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项目代码</w:t>
            </w:r>
          </w:p>
        </w:tc>
        <w:tc>
          <w:tcPr>
            <w:tcW w:w="7866" w:type="dxa"/>
            <w:gridSpan w:val="3"/>
            <w:vAlign w:val="center"/>
          </w:tcPr>
          <w:p w14:paraId="12ED7297">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2504-350121-04-01-628984</w:t>
            </w:r>
          </w:p>
        </w:tc>
      </w:tr>
      <w:tr w14:paraId="017D56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4" w:type="dxa"/>
            <w:gridSpan w:val="2"/>
            <w:tcMar>
              <w:top w:w="16" w:type="dxa"/>
              <w:left w:w="16" w:type="dxa"/>
              <w:right w:w="16" w:type="dxa"/>
            </w:tcMar>
            <w:vAlign w:val="center"/>
          </w:tcPr>
          <w:p w14:paraId="6E6FCD33">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建设单位联系人</w:t>
            </w:r>
          </w:p>
        </w:tc>
        <w:tc>
          <w:tcPr>
            <w:tcW w:w="3009" w:type="dxa"/>
            <w:vAlign w:val="center"/>
          </w:tcPr>
          <w:p w14:paraId="522013B0">
            <w:pPr>
              <w:adjustRightInd w:val="0"/>
              <w:snapToGrid w:val="0"/>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黄</w:t>
            </w:r>
            <w:r>
              <w:rPr>
                <w:rFonts w:hint="eastAsia"/>
                <w:color w:val="000000" w:themeColor="text1"/>
                <w:szCs w:val="21"/>
                <w:highlight w:val="none"/>
                <w:lang w:val="en-US" w:eastAsia="zh-CN"/>
                <w14:textFill>
                  <w14:solidFill>
                    <w14:schemeClr w14:val="tx1"/>
                  </w14:solidFill>
                </w14:textFill>
              </w:rPr>
              <w:t>××</w:t>
            </w:r>
          </w:p>
        </w:tc>
        <w:tc>
          <w:tcPr>
            <w:tcW w:w="2209" w:type="dxa"/>
            <w:vAlign w:val="center"/>
          </w:tcPr>
          <w:p w14:paraId="33A03203">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联系方式</w:t>
            </w:r>
          </w:p>
        </w:tc>
        <w:tc>
          <w:tcPr>
            <w:tcW w:w="2648" w:type="dxa"/>
            <w:vAlign w:val="center"/>
          </w:tcPr>
          <w:p w14:paraId="23AB6639">
            <w:pPr>
              <w:adjustRightInd w:val="0"/>
              <w:snapToGrid w:val="0"/>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r>
      <w:tr w14:paraId="1ACE99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4" w:type="dxa"/>
            <w:gridSpan w:val="2"/>
            <w:tcMar>
              <w:top w:w="16" w:type="dxa"/>
              <w:left w:w="16" w:type="dxa"/>
              <w:right w:w="16" w:type="dxa"/>
            </w:tcMar>
            <w:vAlign w:val="center"/>
          </w:tcPr>
          <w:p w14:paraId="407E6620">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建设地点</w:t>
            </w:r>
          </w:p>
        </w:tc>
        <w:tc>
          <w:tcPr>
            <w:tcW w:w="7866" w:type="dxa"/>
            <w:gridSpan w:val="3"/>
            <w:vAlign w:val="center"/>
          </w:tcPr>
          <w:p w14:paraId="78E10374">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u w:val="single"/>
                <w14:textFill>
                  <w14:solidFill>
                    <w14:schemeClr w14:val="tx1"/>
                  </w14:solidFill>
                </w14:textFill>
              </w:rPr>
              <w:t xml:space="preserve"> 福建 </w:t>
            </w:r>
            <w:r>
              <w:rPr>
                <w:color w:val="000000" w:themeColor="text1"/>
                <w:szCs w:val="21"/>
                <w:highlight w:val="none"/>
                <w14:textFill>
                  <w14:solidFill>
                    <w14:schemeClr w14:val="tx1"/>
                  </w14:solidFill>
                </w14:textFill>
              </w:rPr>
              <w:t>省（自治区）</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lang w:val="en-US" w:eastAsia="zh-CN"/>
                <w14:textFill>
                  <w14:solidFill>
                    <w14:schemeClr w14:val="tx1"/>
                  </w14:solidFill>
                </w14:textFill>
              </w:rPr>
              <w:t>福州</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市</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lang w:val="en-US" w:eastAsia="zh-CN"/>
                <w14:textFill>
                  <w14:solidFill>
                    <w14:schemeClr w14:val="tx1"/>
                  </w14:solidFill>
                </w14:textFill>
              </w:rPr>
              <w:t>闽侯</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县（区）</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lang w:eastAsia="zh-CN"/>
                <w14:textFill>
                  <w14:solidFill>
                    <w14:schemeClr w14:val="tx1"/>
                  </w14:solidFill>
                </w14:textFill>
              </w:rPr>
              <w:t>祥谦镇</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乡（街道）</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14:textFill>
                  <w14:solidFill>
                    <w14:schemeClr w14:val="tx1"/>
                  </w14:solidFill>
                </w14:textFill>
              </w:rPr>
              <w:t>辅翼村、卜洲村福建西诚电子工业园第三座</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（具体地址）</w:t>
            </w:r>
          </w:p>
        </w:tc>
      </w:tr>
      <w:tr w14:paraId="5BA8AE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4" w:type="dxa"/>
            <w:gridSpan w:val="2"/>
            <w:tcMar>
              <w:top w:w="16" w:type="dxa"/>
              <w:left w:w="16" w:type="dxa"/>
              <w:right w:w="16" w:type="dxa"/>
            </w:tcMar>
            <w:vAlign w:val="center"/>
          </w:tcPr>
          <w:p w14:paraId="02D75B6C">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地理坐标</w:t>
            </w:r>
          </w:p>
        </w:tc>
        <w:tc>
          <w:tcPr>
            <w:tcW w:w="7866" w:type="dxa"/>
            <w:gridSpan w:val="3"/>
            <w:vAlign w:val="center"/>
          </w:tcPr>
          <w:p w14:paraId="1ADAEC51">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r>
              <w:rPr>
                <w:rFonts w:hint="eastAsia"/>
                <w:color w:val="000000" w:themeColor="text1"/>
                <w:szCs w:val="21"/>
                <w:highlight w:val="none"/>
                <w:u w:val="single"/>
                <w14:textFill>
                  <w14:solidFill>
                    <w14:schemeClr w14:val="tx1"/>
                  </w14:solidFill>
                </w14:textFill>
              </w:rPr>
              <w:t xml:space="preserve"> </w:t>
            </w:r>
            <w:r>
              <w:rPr>
                <w:color w:val="000000" w:themeColor="text1"/>
                <w:szCs w:val="21"/>
                <w:highlight w:val="none"/>
                <w:u w:val="single"/>
                <w14:textFill>
                  <w14:solidFill>
                    <w14:schemeClr w14:val="tx1"/>
                  </w14:solidFill>
                </w14:textFill>
              </w:rPr>
              <w:t xml:space="preserve">119 </w:t>
            </w:r>
            <w:r>
              <w:rPr>
                <w:color w:val="000000" w:themeColor="text1"/>
                <w:szCs w:val="21"/>
                <w:highlight w:val="none"/>
                <w14:textFill>
                  <w14:solidFill>
                    <w14:schemeClr w14:val="tx1"/>
                  </w14:solidFill>
                </w14:textFill>
              </w:rPr>
              <w:t>度</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lang w:val="en-US" w:eastAsia="zh-CN"/>
                <w14:textFill>
                  <w14:solidFill>
                    <w14:schemeClr w14:val="tx1"/>
                  </w14:solidFill>
                </w14:textFill>
              </w:rPr>
              <w:t>20</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分</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lang w:val="en-US" w:eastAsia="zh-CN"/>
                <w14:textFill>
                  <w14:solidFill>
                    <w14:schemeClr w14:val="tx1"/>
                  </w14:solidFill>
                </w14:textFill>
              </w:rPr>
              <w:t>44.540</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秒，</w:t>
            </w:r>
            <w:r>
              <w:rPr>
                <w:color w:val="000000" w:themeColor="text1"/>
                <w:szCs w:val="21"/>
                <w:highlight w:val="none"/>
                <w:u w:val="single"/>
                <w14:textFill>
                  <w14:solidFill>
                    <w14:schemeClr w14:val="tx1"/>
                  </w14:solidFill>
                </w14:textFill>
              </w:rPr>
              <w:t xml:space="preserve"> 2</w:t>
            </w:r>
            <w:r>
              <w:rPr>
                <w:rFonts w:hint="eastAsia"/>
                <w:color w:val="000000" w:themeColor="text1"/>
                <w:szCs w:val="21"/>
                <w:highlight w:val="none"/>
                <w:u w:val="single"/>
                <w:lang w:val="en-US" w:eastAsia="zh-CN"/>
                <w14:textFill>
                  <w14:solidFill>
                    <w14:schemeClr w14:val="tx1"/>
                  </w14:solidFill>
                </w14:textFill>
              </w:rPr>
              <w:t>5</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度</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lang w:val="en-US" w:eastAsia="zh-CN"/>
                <w14:textFill>
                  <w14:solidFill>
                    <w14:schemeClr w14:val="tx1"/>
                  </w14:solidFill>
                </w14:textFill>
              </w:rPr>
              <w:t>54</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分</w:t>
            </w:r>
            <w:r>
              <w:rPr>
                <w:color w:val="000000" w:themeColor="text1"/>
                <w:szCs w:val="21"/>
                <w:highlight w:val="none"/>
                <w:u w:val="single"/>
                <w14:textFill>
                  <w14:solidFill>
                    <w14:schemeClr w14:val="tx1"/>
                  </w14:solidFill>
                </w14:textFill>
              </w:rPr>
              <w:t xml:space="preserve"> </w:t>
            </w:r>
            <w:r>
              <w:rPr>
                <w:rFonts w:hint="eastAsia"/>
                <w:color w:val="000000" w:themeColor="text1"/>
                <w:szCs w:val="21"/>
                <w:highlight w:val="none"/>
                <w:u w:val="single"/>
                <w:lang w:val="en-US" w:eastAsia="zh-CN"/>
                <w14:textFill>
                  <w14:solidFill>
                    <w14:schemeClr w14:val="tx1"/>
                  </w14:solidFill>
                </w14:textFill>
              </w:rPr>
              <w:t>15.750</w:t>
            </w:r>
            <w:r>
              <w:rPr>
                <w:color w:val="000000" w:themeColor="text1"/>
                <w:szCs w:val="21"/>
                <w:highlight w:val="none"/>
                <w:u w:val="single"/>
                <w14:textFill>
                  <w14:solidFill>
                    <w14:schemeClr w14:val="tx1"/>
                  </w14:solidFill>
                </w14:textFill>
              </w:rPr>
              <w:t xml:space="preserve"> </w:t>
            </w:r>
            <w:r>
              <w:rPr>
                <w:color w:val="000000" w:themeColor="text1"/>
                <w:szCs w:val="21"/>
                <w:highlight w:val="none"/>
                <w14:textFill>
                  <w14:solidFill>
                    <w14:schemeClr w14:val="tx1"/>
                  </w14:solidFill>
                </w14:textFill>
              </w:rPr>
              <w:t>秒）</w:t>
            </w:r>
          </w:p>
        </w:tc>
      </w:tr>
      <w:tr w14:paraId="6656F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004" w:type="dxa"/>
            <w:gridSpan w:val="2"/>
            <w:tcMar>
              <w:top w:w="16" w:type="dxa"/>
              <w:left w:w="16" w:type="dxa"/>
              <w:right w:w="16" w:type="dxa"/>
            </w:tcMar>
            <w:vAlign w:val="center"/>
          </w:tcPr>
          <w:p w14:paraId="712C01A5">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国民经济</w:t>
            </w:r>
          </w:p>
          <w:p w14:paraId="40480DDA">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行业类别</w:t>
            </w:r>
          </w:p>
        </w:tc>
        <w:tc>
          <w:tcPr>
            <w:tcW w:w="3009" w:type="dxa"/>
            <w:vAlign w:val="center"/>
          </w:tcPr>
          <w:p w14:paraId="2748483A">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C</w:t>
            </w:r>
            <w:r>
              <w:rPr>
                <w:rFonts w:hint="eastAsia"/>
                <w:color w:val="000000" w:themeColor="text1"/>
                <w:szCs w:val="21"/>
                <w:highlight w:val="none"/>
                <w:lang w:val="en-US" w:eastAsia="zh-CN"/>
                <w14:textFill>
                  <w14:solidFill>
                    <w14:schemeClr w14:val="tx1"/>
                  </w14:solidFill>
                </w14:textFill>
              </w:rPr>
              <w:t>2923塑料丝、绳及编织品制造</w:t>
            </w:r>
          </w:p>
        </w:tc>
        <w:tc>
          <w:tcPr>
            <w:tcW w:w="2209" w:type="dxa"/>
            <w:vAlign w:val="center"/>
          </w:tcPr>
          <w:p w14:paraId="1B079F5B">
            <w:pPr>
              <w:adjustRightInd w:val="0"/>
              <w:snapToGrid w:val="0"/>
              <w:jc w:val="center"/>
              <w:rPr>
                <w:color w:val="000000" w:themeColor="text1"/>
                <w:szCs w:val="21"/>
                <w:highlight w:val="none"/>
                <w14:textFill>
                  <w14:solidFill>
                    <w14:schemeClr w14:val="tx1"/>
                  </w14:solidFill>
                </w14:textFill>
              </w:rPr>
            </w:pPr>
            <w:bookmarkStart w:id="6" w:name="_Hlk49843745"/>
            <w:r>
              <w:rPr>
                <w:color w:val="000000" w:themeColor="text1"/>
                <w:szCs w:val="21"/>
                <w:highlight w:val="none"/>
                <w14:textFill>
                  <w14:solidFill>
                    <w14:schemeClr w14:val="tx1"/>
                  </w14:solidFill>
                </w14:textFill>
              </w:rPr>
              <w:t>建设项目</w:t>
            </w:r>
          </w:p>
          <w:p w14:paraId="0E792813">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行业类别</w:t>
            </w:r>
            <w:bookmarkEnd w:id="6"/>
          </w:p>
        </w:tc>
        <w:tc>
          <w:tcPr>
            <w:tcW w:w="2648" w:type="dxa"/>
            <w:vAlign w:val="center"/>
          </w:tcPr>
          <w:p w14:paraId="5903155A">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二十六、橡胶和塑料制品业29-53塑料制品业292</w:t>
            </w:r>
          </w:p>
        </w:tc>
      </w:tr>
      <w:tr w14:paraId="4B9AD5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04" w:type="dxa"/>
            <w:gridSpan w:val="2"/>
            <w:tcMar>
              <w:top w:w="16" w:type="dxa"/>
              <w:left w:w="16" w:type="dxa"/>
              <w:right w:w="16" w:type="dxa"/>
            </w:tcMar>
            <w:vAlign w:val="center"/>
          </w:tcPr>
          <w:p w14:paraId="323D8A9D">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建设性质</w:t>
            </w:r>
          </w:p>
        </w:tc>
        <w:tc>
          <w:tcPr>
            <w:tcW w:w="3009" w:type="dxa"/>
            <w:vAlign w:val="center"/>
          </w:tcPr>
          <w:p w14:paraId="7DFB7C21">
            <w:pPr>
              <w:jc w:val="left"/>
              <w:rPr>
                <w:color w:val="000000" w:themeColor="text1"/>
                <w:szCs w:val="21"/>
                <w:highlight w:val="none"/>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14:textFill>
                  <w14:solidFill>
                    <w14:schemeClr w14:val="tx1"/>
                  </w14:solidFill>
                </w14:textFill>
              </w:rPr>
              <w:t>新建（迁建）</w:t>
            </w:r>
          </w:p>
          <w:p w14:paraId="33D5E8B0">
            <w:pPr>
              <w:jc w:val="left"/>
              <w:rPr>
                <w:color w:val="000000" w:themeColor="text1"/>
                <w:szCs w:val="21"/>
                <w:highlight w:val="none"/>
                <w14:textFill>
                  <w14:solidFill>
                    <w14:schemeClr w14:val="tx1"/>
                  </w14:solidFill>
                </w14:textFill>
              </w:rPr>
            </w:pPr>
            <w:r>
              <w:rPr>
                <w:rFonts w:ascii="Wingdings 2" w:hAnsi="Wingdings 2"/>
                <w:color w:val="000000" w:themeColor="text1"/>
                <w:szCs w:val="21"/>
                <w:highlight w:val="none"/>
                <w14:textFill>
                  <w14:solidFill>
                    <w14:schemeClr w14:val="tx1"/>
                  </w14:solidFill>
                </w14:textFill>
              </w:rPr>
              <w:sym w:font="Wingdings 2" w:char="00A3"/>
            </w:r>
            <w:r>
              <w:rPr>
                <w:color w:val="000000" w:themeColor="text1"/>
                <w:szCs w:val="21"/>
                <w:highlight w:val="none"/>
                <w14:textFill>
                  <w14:solidFill>
                    <w14:schemeClr w14:val="tx1"/>
                  </w14:solidFill>
                </w14:textFill>
              </w:rPr>
              <w:t>改建</w:t>
            </w:r>
          </w:p>
          <w:p w14:paraId="304C7497">
            <w:pPr>
              <w:jc w:val="left"/>
              <w:rPr>
                <w:color w:val="000000" w:themeColor="text1"/>
                <w:szCs w:val="21"/>
                <w:highlight w:val="none"/>
                <w14:textFill>
                  <w14:solidFill>
                    <w14:schemeClr w14:val="tx1"/>
                  </w14:solidFill>
                </w14:textFill>
              </w:rPr>
            </w:pPr>
            <w:r>
              <w:rPr>
                <w:rFonts w:ascii="Wingdings 2" w:hAnsi="Wingdings 2"/>
                <w:color w:val="000000" w:themeColor="text1"/>
                <w:szCs w:val="21"/>
                <w:highlight w:val="none"/>
                <w14:textFill>
                  <w14:solidFill>
                    <w14:schemeClr w14:val="tx1"/>
                  </w14:solidFill>
                </w14:textFill>
              </w:rPr>
              <w:sym w:font="Wingdings 2" w:char="00A3"/>
            </w:r>
            <w:r>
              <w:rPr>
                <w:color w:val="000000" w:themeColor="text1"/>
                <w:szCs w:val="21"/>
                <w:highlight w:val="none"/>
                <w14:textFill>
                  <w14:solidFill>
                    <w14:schemeClr w14:val="tx1"/>
                  </w14:solidFill>
                </w14:textFill>
              </w:rPr>
              <w:t>扩建</w:t>
            </w:r>
          </w:p>
          <w:p w14:paraId="002197BB">
            <w:pPr>
              <w:jc w:val="left"/>
              <w:rPr>
                <w:color w:val="000000" w:themeColor="text1"/>
                <w:szCs w:val="21"/>
                <w:highlight w:val="none"/>
                <w14:textFill>
                  <w14:solidFill>
                    <w14:schemeClr w14:val="tx1"/>
                  </w14:solidFill>
                </w14:textFill>
              </w:rPr>
            </w:pPr>
            <w:r>
              <w:rPr>
                <w:rFonts w:ascii="Wingdings 2" w:hAnsi="Wingdings 2"/>
                <w:color w:val="000000" w:themeColor="text1"/>
                <w:szCs w:val="21"/>
                <w:highlight w:val="none"/>
                <w14:textFill>
                  <w14:solidFill>
                    <w14:schemeClr w14:val="tx1"/>
                  </w14:solidFill>
                </w14:textFill>
              </w:rPr>
              <w:sym w:font="Wingdings 2" w:char="00A3"/>
            </w:r>
            <w:r>
              <w:rPr>
                <w:color w:val="000000" w:themeColor="text1"/>
                <w:szCs w:val="21"/>
                <w:highlight w:val="none"/>
                <w14:textFill>
                  <w14:solidFill>
                    <w14:schemeClr w14:val="tx1"/>
                  </w14:solidFill>
                </w14:textFill>
              </w:rPr>
              <w:t>技术改造</w:t>
            </w:r>
          </w:p>
        </w:tc>
        <w:tc>
          <w:tcPr>
            <w:tcW w:w="2209" w:type="dxa"/>
            <w:vAlign w:val="center"/>
          </w:tcPr>
          <w:p w14:paraId="23C6905E">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建设项目</w:t>
            </w:r>
          </w:p>
          <w:p w14:paraId="139D18CE">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申报情形</w:t>
            </w:r>
          </w:p>
        </w:tc>
        <w:tc>
          <w:tcPr>
            <w:tcW w:w="2648" w:type="dxa"/>
            <w:vAlign w:val="center"/>
          </w:tcPr>
          <w:p w14:paraId="0CCD509C">
            <w:pPr>
              <w:jc w:val="left"/>
              <w:rPr>
                <w:color w:val="000000" w:themeColor="text1"/>
                <w:szCs w:val="21"/>
                <w:highlight w:val="none"/>
                <w14:textFill>
                  <w14:solidFill>
                    <w14:schemeClr w14:val="tx1"/>
                  </w14:solidFill>
                </w14:textFill>
              </w:rPr>
            </w:pPr>
            <w:r>
              <w:rPr>
                <w:rFonts w:ascii="Wingdings 2" w:hAnsi="Wingdings 2"/>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 xml:space="preserve">首次申报项目             </w:t>
            </w:r>
          </w:p>
          <w:p w14:paraId="3B9A25DF">
            <w:pPr>
              <w:jc w:val="left"/>
              <w:rPr>
                <w:color w:val="000000" w:themeColor="text1"/>
                <w:szCs w:val="21"/>
                <w:highlight w:val="none"/>
                <w14:textFill>
                  <w14:solidFill>
                    <w14:schemeClr w14:val="tx1"/>
                  </w14:solidFill>
                </w14:textFill>
              </w:rPr>
            </w:pPr>
            <w:r>
              <w:rPr>
                <w:rFonts w:ascii="Wingdings 2" w:hAnsi="Wingdings 2"/>
                <w:color w:val="000000" w:themeColor="text1"/>
                <w:szCs w:val="21"/>
                <w:highlight w:val="none"/>
                <w14:textFill>
                  <w14:solidFill>
                    <w14:schemeClr w14:val="tx1"/>
                  </w14:solidFill>
                </w14:textFill>
              </w:rPr>
              <w:sym w:font="Wingdings 2" w:char="00A3"/>
            </w:r>
            <w:r>
              <w:rPr>
                <w:color w:val="000000" w:themeColor="text1"/>
                <w:szCs w:val="21"/>
                <w:highlight w:val="none"/>
                <w14:textFill>
                  <w14:solidFill>
                    <w14:schemeClr w14:val="tx1"/>
                  </w14:solidFill>
                </w14:textFill>
              </w:rPr>
              <w:t>不予批准后再次申报项目</w:t>
            </w:r>
          </w:p>
          <w:p w14:paraId="23ABB481">
            <w:pPr>
              <w:jc w:val="left"/>
              <w:rPr>
                <w:color w:val="000000" w:themeColor="text1"/>
                <w:szCs w:val="21"/>
                <w:highlight w:val="none"/>
                <w14:textFill>
                  <w14:solidFill>
                    <w14:schemeClr w14:val="tx1"/>
                  </w14:solidFill>
                </w14:textFill>
              </w:rPr>
            </w:pPr>
            <w:r>
              <w:rPr>
                <w:rFonts w:ascii="Wingdings 2" w:hAnsi="Wingdings 2"/>
                <w:color w:val="000000" w:themeColor="text1"/>
                <w:szCs w:val="21"/>
                <w:highlight w:val="none"/>
                <w14:textFill>
                  <w14:solidFill>
                    <w14:schemeClr w14:val="tx1"/>
                  </w14:solidFill>
                </w14:textFill>
              </w:rPr>
              <w:sym w:font="Wingdings 2" w:char="00A3"/>
            </w:r>
            <w:r>
              <w:rPr>
                <w:color w:val="000000" w:themeColor="text1"/>
                <w:szCs w:val="21"/>
                <w:highlight w:val="none"/>
                <w14:textFill>
                  <w14:solidFill>
                    <w14:schemeClr w14:val="tx1"/>
                  </w14:solidFill>
                </w14:textFill>
              </w:rPr>
              <w:t xml:space="preserve">超五年重新审核项目     </w:t>
            </w:r>
          </w:p>
          <w:p w14:paraId="0D388033">
            <w:pPr>
              <w:jc w:val="left"/>
              <w:rPr>
                <w:color w:val="000000" w:themeColor="text1"/>
                <w:szCs w:val="21"/>
                <w:highlight w:val="none"/>
                <w14:textFill>
                  <w14:solidFill>
                    <w14:schemeClr w14:val="tx1"/>
                  </w14:solidFill>
                </w14:textFill>
              </w:rPr>
            </w:pPr>
            <w:r>
              <w:rPr>
                <w:rFonts w:ascii="Wingdings 2" w:hAnsi="Wingdings 2"/>
                <w:color w:val="000000" w:themeColor="text1"/>
                <w:szCs w:val="21"/>
                <w:highlight w:val="none"/>
                <w14:textFill>
                  <w14:solidFill>
                    <w14:schemeClr w14:val="tx1"/>
                  </w14:solidFill>
                </w14:textFill>
              </w:rPr>
              <w:sym w:font="Wingdings 2" w:char="00A3"/>
            </w:r>
            <w:r>
              <w:rPr>
                <w:color w:val="000000" w:themeColor="text1"/>
                <w:szCs w:val="21"/>
                <w:highlight w:val="none"/>
                <w14:textFill>
                  <w14:solidFill>
                    <w14:schemeClr w14:val="tx1"/>
                  </w14:solidFill>
                </w14:textFill>
              </w:rPr>
              <w:t>重大变动重新报批项目</w:t>
            </w:r>
          </w:p>
        </w:tc>
      </w:tr>
      <w:tr w14:paraId="45592F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04" w:type="dxa"/>
            <w:gridSpan w:val="2"/>
            <w:tcMar>
              <w:top w:w="16" w:type="dxa"/>
              <w:left w:w="16" w:type="dxa"/>
              <w:right w:w="16" w:type="dxa"/>
            </w:tcMar>
            <w:vAlign w:val="center"/>
          </w:tcPr>
          <w:p w14:paraId="0DEA7536">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项目审批（核准/</w:t>
            </w:r>
          </w:p>
          <w:p w14:paraId="769F5708">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备案）部门（选填）</w:t>
            </w:r>
          </w:p>
        </w:tc>
        <w:tc>
          <w:tcPr>
            <w:tcW w:w="3009" w:type="dxa"/>
            <w:vAlign w:val="center"/>
          </w:tcPr>
          <w:p w14:paraId="59DAB382">
            <w:pPr>
              <w:adjustRightInd w:val="0"/>
              <w:snapToGrid w:val="0"/>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闽侯县发改局</w:t>
            </w:r>
          </w:p>
        </w:tc>
        <w:tc>
          <w:tcPr>
            <w:tcW w:w="2209" w:type="dxa"/>
            <w:vAlign w:val="center"/>
          </w:tcPr>
          <w:p w14:paraId="362567C1">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项目审批（核准/</w:t>
            </w:r>
          </w:p>
          <w:p w14:paraId="540A35AC">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备案）文号（选填）</w:t>
            </w:r>
          </w:p>
        </w:tc>
        <w:tc>
          <w:tcPr>
            <w:tcW w:w="2648" w:type="dxa"/>
            <w:vAlign w:val="center"/>
          </w:tcPr>
          <w:p w14:paraId="26B9EA2B">
            <w:pPr>
              <w:adjustRightInd w:val="0"/>
              <w:snapToGrid w:val="0"/>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闽发改备〔2025〕A080146号</w:t>
            </w:r>
          </w:p>
        </w:tc>
      </w:tr>
      <w:tr w14:paraId="6ABFEB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6" w:hRule="atLeast"/>
          <w:jc w:val="center"/>
        </w:trPr>
        <w:tc>
          <w:tcPr>
            <w:tcW w:w="1004" w:type="dxa"/>
            <w:gridSpan w:val="2"/>
            <w:tcMar>
              <w:top w:w="16" w:type="dxa"/>
              <w:left w:w="16" w:type="dxa"/>
              <w:right w:w="16" w:type="dxa"/>
            </w:tcMar>
            <w:vAlign w:val="center"/>
          </w:tcPr>
          <w:p w14:paraId="09828D25">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总投资（万元）</w:t>
            </w:r>
          </w:p>
        </w:tc>
        <w:tc>
          <w:tcPr>
            <w:tcW w:w="3009" w:type="dxa"/>
            <w:vAlign w:val="center"/>
          </w:tcPr>
          <w:p w14:paraId="706D7225">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2209" w:type="dxa"/>
            <w:tcMar>
              <w:top w:w="16" w:type="dxa"/>
              <w:left w:w="16" w:type="dxa"/>
              <w:right w:w="16" w:type="dxa"/>
            </w:tcMar>
            <w:vAlign w:val="center"/>
          </w:tcPr>
          <w:p w14:paraId="31C0EE01">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环保投资（万元）</w:t>
            </w:r>
          </w:p>
        </w:tc>
        <w:tc>
          <w:tcPr>
            <w:tcW w:w="2648" w:type="dxa"/>
            <w:vAlign w:val="center"/>
          </w:tcPr>
          <w:p w14:paraId="517759E1">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r>
      <w:tr w14:paraId="4CE818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4" w:type="dxa"/>
            <w:gridSpan w:val="2"/>
            <w:tcMar>
              <w:top w:w="16" w:type="dxa"/>
              <w:left w:w="16" w:type="dxa"/>
              <w:right w:w="16" w:type="dxa"/>
            </w:tcMar>
            <w:vAlign w:val="center"/>
          </w:tcPr>
          <w:p w14:paraId="5FB86508">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环保投资占比（%）</w:t>
            </w:r>
          </w:p>
        </w:tc>
        <w:tc>
          <w:tcPr>
            <w:tcW w:w="3009" w:type="dxa"/>
            <w:vAlign w:val="center"/>
          </w:tcPr>
          <w:p w14:paraId="4008BDF8">
            <w:pPr>
              <w:adjustRightInd w:val="0"/>
              <w:snapToGrid w:val="0"/>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2209" w:type="dxa"/>
            <w:tcMar>
              <w:top w:w="16" w:type="dxa"/>
              <w:left w:w="16" w:type="dxa"/>
              <w:right w:w="16" w:type="dxa"/>
            </w:tcMar>
            <w:vAlign w:val="center"/>
          </w:tcPr>
          <w:p w14:paraId="2A6CB9AC">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施工工期</w:t>
            </w:r>
          </w:p>
        </w:tc>
        <w:tc>
          <w:tcPr>
            <w:tcW w:w="2648" w:type="dxa"/>
            <w:vAlign w:val="center"/>
          </w:tcPr>
          <w:p w14:paraId="281BC883">
            <w:pPr>
              <w:adjustRightInd w:val="0"/>
              <w:snapToGrid w:val="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w:t>
            </w:r>
            <w:r>
              <w:rPr>
                <w:rFonts w:hint="eastAsia"/>
                <w:color w:val="000000" w:themeColor="text1"/>
                <w:szCs w:val="21"/>
                <w:highlight w:val="none"/>
                <w14:textFill>
                  <w14:solidFill>
                    <w14:schemeClr w14:val="tx1"/>
                  </w14:solidFill>
                </w14:textFill>
              </w:rPr>
              <w:t>个月</w:t>
            </w:r>
          </w:p>
        </w:tc>
      </w:tr>
      <w:tr w14:paraId="1AF84D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04" w:type="dxa"/>
            <w:gridSpan w:val="2"/>
            <w:tcMar>
              <w:top w:w="16" w:type="dxa"/>
              <w:left w:w="16" w:type="dxa"/>
              <w:right w:w="16" w:type="dxa"/>
            </w:tcMar>
            <w:vAlign w:val="center"/>
          </w:tcPr>
          <w:p w14:paraId="7F1196BC">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是否开工建设</w:t>
            </w:r>
          </w:p>
        </w:tc>
        <w:tc>
          <w:tcPr>
            <w:tcW w:w="3009" w:type="dxa"/>
            <w:vAlign w:val="center"/>
          </w:tcPr>
          <w:p w14:paraId="60D0AB8C">
            <w:pPr>
              <w:adjustRightInd w:val="0"/>
              <w:snapToGrid w:val="0"/>
              <w:rPr>
                <w:color w:val="000000" w:themeColor="text1"/>
                <w:szCs w:val="21"/>
                <w:highlight w:val="none"/>
                <w14:textFill>
                  <w14:solidFill>
                    <w14:schemeClr w14:val="tx1"/>
                  </w14:solidFill>
                </w14:textFill>
              </w:rPr>
            </w:pPr>
            <w:r>
              <w:rPr>
                <w:rFonts w:ascii="Wingdings 2" w:hAnsi="Wingdings 2"/>
                <w:color w:val="000000" w:themeColor="text1"/>
                <w:szCs w:val="21"/>
                <w:highlight w:val="none"/>
                <w14:textFill>
                  <w14:solidFill>
                    <w14:schemeClr w14:val="tx1"/>
                  </w14:solidFill>
                </w14:textFill>
              </w:rPr>
              <w:sym w:font="Wingdings 2" w:char="0052"/>
            </w:r>
            <w:r>
              <w:rPr>
                <w:color w:val="000000" w:themeColor="text1"/>
                <w:szCs w:val="21"/>
                <w:highlight w:val="none"/>
                <w14:textFill>
                  <w14:solidFill>
                    <w14:schemeClr w14:val="tx1"/>
                  </w14:solidFill>
                </w14:textFill>
              </w:rPr>
              <w:t>否</w:t>
            </w:r>
          </w:p>
          <w:p w14:paraId="40520070">
            <w:pPr>
              <w:adjustRightInd w:val="0"/>
              <w:snapToGrid w:val="0"/>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sym w:font="Wingdings 2" w:char="00A3"/>
            </w:r>
            <w:r>
              <w:rPr>
                <w:color w:val="000000" w:themeColor="text1"/>
                <w:szCs w:val="21"/>
                <w:highlight w:val="none"/>
                <w14:textFill>
                  <w14:solidFill>
                    <w14:schemeClr w14:val="tx1"/>
                  </w14:solidFill>
                </w14:textFill>
              </w:rPr>
              <w:t>是：</w:t>
            </w:r>
            <w:r>
              <w:rPr>
                <w:color w:val="000000" w:themeColor="text1"/>
                <w:szCs w:val="21"/>
                <w:highlight w:val="none"/>
                <w:u w:val="single"/>
                <w14:textFill>
                  <w14:solidFill>
                    <w14:schemeClr w14:val="tx1"/>
                  </w14:solidFill>
                </w14:textFill>
              </w:rPr>
              <w:t xml:space="preserve">           </w:t>
            </w:r>
          </w:p>
        </w:tc>
        <w:tc>
          <w:tcPr>
            <w:tcW w:w="2209" w:type="dxa"/>
            <w:tcMar>
              <w:top w:w="16" w:type="dxa"/>
              <w:left w:w="16" w:type="dxa"/>
              <w:right w:w="16" w:type="dxa"/>
            </w:tcMar>
            <w:vAlign w:val="center"/>
          </w:tcPr>
          <w:p w14:paraId="24E795B7">
            <w:pPr>
              <w:adjustRightInd w:val="0"/>
              <w:snapToGrid w:val="0"/>
              <w:jc w:val="center"/>
              <w:rPr>
                <w:color w:val="000000" w:themeColor="text1"/>
                <w:spacing w:val="-6"/>
                <w:szCs w:val="21"/>
                <w:highlight w:val="none"/>
                <w14:textFill>
                  <w14:solidFill>
                    <w14:schemeClr w14:val="tx1"/>
                  </w14:solidFill>
                </w14:textFill>
              </w:rPr>
            </w:pPr>
            <w:r>
              <w:rPr>
                <w:color w:val="000000" w:themeColor="text1"/>
                <w:spacing w:val="-6"/>
                <w:szCs w:val="21"/>
                <w:highlight w:val="none"/>
                <w14:textFill>
                  <w14:solidFill>
                    <w14:schemeClr w14:val="tx1"/>
                  </w14:solidFill>
                </w14:textFill>
              </w:rPr>
              <w:t>用地（用海）</w:t>
            </w:r>
          </w:p>
          <w:p w14:paraId="63675CD4">
            <w:pPr>
              <w:adjustRightInd w:val="0"/>
              <w:snapToGrid w:val="0"/>
              <w:jc w:val="center"/>
              <w:rPr>
                <w:color w:val="000000" w:themeColor="text1"/>
                <w:szCs w:val="21"/>
                <w:highlight w:val="none"/>
                <w14:textFill>
                  <w14:solidFill>
                    <w14:schemeClr w14:val="tx1"/>
                  </w14:solidFill>
                </w14:textFill>
              </w:rPr>
            </w:pPr>
            <w:r>
              <w:rPr>
                <w:color w:val="000000" w:themeColor="text1"/>
                <w:spacing w:val="-6"/>
                <w:szCs w:val="21"/>
                <w:highlight w:val="none"/>
                <w14:textFill>
                  <w14:solidFill>
                    <w14:schemeClr w14:val="tx1"/>
                  </w14:solidFill>
                </w14:textFill>
              </w:rPr>
              <w:t>面积（m</w:t>
            </w:r>
            <w:r>
              <w:rPr>
                <w:color w:val="000000" w:themeColor="text1"/>
                <w:spacing w:val="-6"/>
                <w:szCs w:val="21"/>
                <w:highlight w:val="none"/>
                <w:vertAlign w:val="superscript"/>
                <w14:textFill>
                  <w14:solidFill>
                    <w14:schemeClr w14:val="tx1"/>
                  </w14:solidFill>
                </w14:textFill>
              </w:rPr>
              <w:t>2</w:t>
            </w:r>
            <w:r>
              <w:rPr>
                <w:color w:val="000000" w:themeColor="text1"/>
                <w:spacing w:val="-6"/>
                <w:szCs w:val="21"/>
                <w:highlight w:val="none"/>
                <w14:textFill>
                  <w14:solidFill>
                    <w14:schemeClr w14:val="tx1"/>
                  </w14:solidFill>
                </w14:textFill>
              </w:rPr>
              <w:t>）</w:t>
            </w:r>
          </w:p>
        </w:tc>
        <w:tc>
          <w:tcPr>
            <w:tcW w:w="2648" w:type="dxa"/>
            <w:vAlign w:val="center"/>
          </w:tcPr>
          <w:p w14:paraId="0F611892">
            <w:pPr>
              <w:adjustRightInd w:val="0"/>
              <w:snapToGrid w:val="0"/>
              <w:jc w:val="center"/>
              <w:rPr>
                <w:color w:val="000000" w:themeColor="text1"/>
                <w:szCs w:val="21"/>
                <w:highlight w:val="none"/>
                <w14:textFill>
                  <w14:solidFill>
                    <w14:schemeClr w14:val="tx1"/>
                  </w14:solidFill>
                </w14:textFill>
              </w:rPr>
            </w:pPr>
            <w:r>
              <w:rPr>
                <w:rFonts w:hint="eastAsia"/>
                <w:bCs/>
                <w:color w:val="000000" w:themeColor="text1"/>
                <w:kern w:val="0"/>
                <w:sz w:val="21"/>
                <w:szCs w:val="21"/>
                <w:highlight w:val="none"/>
                <w:lang w:val="en-US" w:eastAsia="zh-CN"/>
                <w14:textFill>
                  <w14:solidFill>
                    <w14:schemeClr w14:val="tx1"/>
                  </w14:solidFill>
                </w14:textFill>
              </w:rPr>
              <w:t>租用</w:t>
            </w:r>
            <w:r>
              <w:rPr>
                <w:bCs/>
                <w:color w:val="000000" w:themeColor="text1"/>
                <w:kern w:val="0"/>
                <w:sz w:val="21"/>
                <w:szCs w:val="21"/>
                <w:highlight w:val="none"/>
                <w14:textFill>
                  <w14:solidFill>
                    <w14:schemeClr w14:val="tx1"/>
                  </w14:solidFill>
                </w14:textFill>
              </w:rPr>
              <w:t>面积</w:t>
            </w:r>
            <w:r>
              <w:rPr>
                <w:rFonts w:hint="eastAsia"/>
                <w:bCs/>
                <w:color w:val="000000" w:themeColor="text1"/>
                <w:kern w:val="0"/>
                <w:sz w:val="21"/>
                <w:szCs w:val="21"/>
                <w:highlight w:val="none"/>
                <w:lang w:val="en-US" w:eastAsia="zh-CN"/>
                <w14:textFill>
                  <w14:solidFill>
                    <w14:schemeClr w14:val="tx1"/>
                  </w14:solidFill>
                </w14:textFill>
              </w:rPr>
              <w:t>约1300</w:t>
            </w:r>
            <w:r>
              <w:rPr>
                <w:bCs/>
                <w:color w:val="000000" w:themeColor="text1"/>
                <w:kern w:val="0"/>
                <w:sz w:val="21"/>
                <w:szCs w:val="21"/>
                <w:highlight w:val="none"/>
                <w14:textFill>
                  <w14:solidFill>
                    <w14:schemeClr w14:val="tx1"/>
                  </w14:solidFill>
                </w14:textFill>
              </w:rPr>
              <w:t>m</w:t>
            </w:r>
            <w:r>
              <w:rPr>
                <w:bCs/>
                <w:color w:val="000000" w:themeColor="text1"/>
                <w:kern w:val="0"/>
                <w:sz w:val="21"/>
                <w:szCs w:val="21"/>
                <w:highlight w:val="none"/>
                <w:vertAlign w:val="superscript"/>
                <w14:textFill>
                  <w14:solidFill>
                    <w14:schemeClr w14:val="tx1"/>
                  </w14:solidFill>
                </w14:textFill>
              </w:rPr>
              <w:t>2</w:t>
            </w:r>
          </w:p>
        </w:tc>
      </w:tr>
      <w:tr w14:paraId="0C52AA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29" w:hRule="atLeast"/>
          <w:jc w:val="center"/>
        </w:trPr>
        <w:tc>
          <w:tcPr>
            <w:tcW w:w="722" w:type="dxa"/>
            <w:vAlign w:val="center"/>
          </w:tcPr>
          <w:p w14:paraId="42C473D1">
            <w:pPr>
              <w:autoSpaceDE w:val="0"/>
              <w:autoSpaceDN w:val="0"/>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专项评价设置情况</w:t>
            </w:r>
          </w:p>
        </w:tc>
        <w:tc>
          <w:tcPr>
            <w:tcW w:w="8148" w:type="dxa"/>
            <w:gridSpan w:val="4"/>
            <w:vAlign w:val="center"/>
          </w:tcPr>
          <w:p w14:paraId="059BDEFD">
            <w:pPr>
              <w:autoSpaceDE w:val="0"/>
              <w:autoSpaceDN w:val="0"/>
              <w:adjustRightInd w:val="0"/>
              <w:snapToGrid w:val="0"/>
              <w:spacing w:before="120" w:beforeLines="50" w:line="360" w:lineRule="auto"/>
              <w:jc w:val="center"/>
              <w:rPr>
                <w:b/>
                <w:color w:val="000000" w:themeColor="text1"/>
                <w:kern w:val="0"/>
                <w:sz w:val="24"/>
                <w:szCs w:val="24"/>
                <w:highlight w:val="none"/>
                <w14:textFill>
                  <w14:solidFill>
                    <w14:schemeClr w14:val="tx1"/>
                  </w14:solidFill>
                </w14:textFill>
              </w:rPr>
            </w:pPr>
            <w:r>
              <w:rPr>
                <w:b/>
                <w:color w:val="000000" w:themeColor="text1"/>
                <w:kern w:val="0"/>
                <w:sz w:val="24"/>
                <w:szCs w:val="24"/>
                <w:highlight w:val="none"/>
                <w14:textFill>
                  <w14:solidFill>
                    <w14:schemeClr w14:val="tx1"/>
                  </w14:solidFill>
                </w14:textFill>
              </w:rPr>
              <w:t>表</w:t>
            </w:r>
            <w:r>
              <w:rPr>
                <w:rFonts w:hint="eastAsia"/>
                <w:b/>
                <w:color w:val="000000" w:themeColor="text1"/>
                <w:kern w:val="0"/>
                <w:sz w:val="24"/>
                <w:szCs w:val="24"/>
                <w:highlight w:val="none"/>
                <w14:textFill>
                  <w14:solidFill>
                    <w14:schemeClr w14:val="tx1"/>
                  </w14:solidFill>
                </w14:textFill>
              </w:rPr>
              <w:t xml:space="preserve"> </w:t>
            </w:r>
            <w:r>
              <w:rPr>
                <w:b/>
                <w:color w:val="000000" w:themeColor="text1"/>
                <w:kern w:val="0"/>
                <w:sz w:val="24"/>
                <w:szCs w:val="24"/>
                <w:highlight w:val="none"/>
                <w14:textFill>
                  <w14:solidFill>
                    <w14:schemeClr w14:val="tx1"/>
                  </w14:solidFill>
                </w14:textFill>
              </w:rPr>
              <w:t xml:space="preserve">1-1  </w:t>
            </w:r>
            <w:r>
              <w:rPr>
                <w:rFonts w:hint="eastAsia"/>
                <w:b/>
                <w:color w:val="000000" w:themeColor="text1"/>
                <w:kern w:val="0"/>
                <w:sz w:val="24"/>
                <w:szCs w:val="24"/>
                <w:highlight w:val="none"/>
                <w14:textFill>
                  <w14:solidFill>
                    <w14:schemeClr w14:val="tx1"/>
                  </w14:solidFill>
                </w14:textFill>
              </w:rPr>
              <w:t>专项评价设置原则及本项目情况</w:t>
            </w:r>
          </w:p>
          <w:tbl>
            <w:tblPr>
              <w:tblStyle w:val="30"/>
              <w:tblW w:w="7880"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76"/>
              <w:gridCol w:w="2686"/>
              <w:gridCol w:w="2359"/>
              <w:gridCol w:w="1559"/>
            </w:tblGrid>
            <w:tr w14:paraId="30C6A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 w:hRule="atLeast"/>
              </w:trPr>
              <w:tc>
                <w:tcPr>
                  <w:tcW w:w="810" w:type="pct"/>
                  <w:shd w:val="clear" w:color="auto" w:fill="auto"/>
                  <w:vAlign w:val="center"/>
                </w:tcPr>
                <w:p w14:paraId="47C63D04">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专项评价类别</w:t>
                  </w:r>
                </w:p>
              </w:tc>
              <w:tc>
                <w:tcPr>
                  <w:tcW w:w="1704" w:type="pct"/>
                  <w:shd w:val="clear" w:color="auto" w:fill="auto"/>
                  <w:vAlign w:val="center"/>
                </w:tcPr>
                <w:p w14:paraId="1B1FA9A2">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设置原则</w:t>
                  </w:r>
                </w:p>
              </w:tc>
              <w:tc>
                <w:tcPr>
                  <w:tcW w:w="1497" w:type="pct"/>
                  <w:shd w:val="clear" w:color="auto" w:fill="auto"/>
                  <w:vAlign w:val="center"/>
                </w:tcPr>
                <w:p w14:paraId="28BB63E6">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本项目情况</w:t>
                  </w:r>
                </w:p>
              </w:tc>
              <w:tc>
                <w:tcPr>
                  <w:tcW w:w="989" w:type="pct"/>
                  <w:shd w:val="clear" w:color="auto" w:fill="auto"/>
                  <w:vAlign w:val="center"/>
                </w:tcPr>
                <w:p w14:paraId="37F4434D">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8"/>
                      <w:highlight w:val="none"/>
                      <w:lang w:eastAsia="zh-CN"/>
                      <w14:textFill>
                        <w14:solidFill>
                          <w14:schemeClr w14:val="tx1"/>
                        </w14:solidFill>
                      </w14:textFill>
                    </w:rPr>
                    <w:t>专项评价设置情况</w:t>
                  </w:r>
                </w:p>
              </w:tc>
            </w:tr>
            <w:tr w14:paraId="04761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trPr>
              <w:tc>
                <w:tcPr>
                  <w:tcW w:w="810" w:type="pct"/>
                  <w:shd w:val="clear" w:color="auto" w:fill="auto"/>
                  <w:vAlign w:val="center"/>
                </w:tcPr>
                <w:p w14:paraId="4FBAD49C">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大气</w:t>
                  </w:r>
                </w:p>
              </w:tc>
              <w:tc>
                <w:tcPr>
                  <w:tcW w:w="1704" w:type="pct"/>
                  <w:shd w:val="clear" w:color="auto" w:fill="auto"/>
                  <w:vAlign w:val="center"/>
                </w:tcPr>
                <w:p w14:paraId="4D7B3FC9">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排放废气含有毒有害污染物</w:t>
                  </w:r>
                  <w:r>
                    <w:rPr>
                      <w:rFonts w:ascii="Times New Roman" w:hAnsi="Times New Roman" w:cs="Times New Roman"/>
                      <w:color w:val="000000" w:themeColor="text1"/>
                      <w:kern w:val="2"/>
                      <w:sz w:val="21"/>
                      <w:szCs w:val="28"/>
                      <w:highlight w:val="none"/>
                      <w:vertAlign w:val="superscript"/>
                      <w:lang w:eastAsia="zh-CN"/>
                      <w14:textFill>
                        <w14:solidFill>
                          <w14:schemeClr w14:val="tx1"/>
                        </w14:solidFill>
                      </w14:textFill>
                    </w:rPr>
                    <w:t>1</w:t>
                  </w:r>
                  <w:r>
                    <w:rPr>
                      <w:rFonts w:ascii="Times New Roman" w:hAnsi="Times New Roman" w:cs="Times New Roman"/>
                      <w:color w:val="000000" w:themeColor="text1"/>
                      <w:kern w:val="2"/>
                      <w:sz w:val="21"/>
                      <w:szCs w:val="28"/>
                      <w:highlight w:val="none"/>
                      <w:lang w:eastAsia="zh-CN"/>
                      <w14:textFill>
                        <w14:solidFill>
                          <w14:schemeClr w14:val="tx1"/>
                        </w14:solidFill>
                      </w14:textFill>
                    </w:rPr>
                    <w:t>、二噁英、苯并[a]芘、氰化物、氯气且厂界外500米范围内有环境空气保护目标</w:t>
                  </w:r>
                  <w:r>
                    <w:rPr>
                      <w:rFonts w:ascii="Times New Roman" w:hAnsi="Times New Roman" w:cs="Times New Roman"/>
                      <w:color w:val="000000" w:themeColor="text1"/>
                      <w:kern w:val="2"/>
                      <w:sz w:val="21"/>
                      <w:szCs w:val="28"/>
                      <w:highlight w:val="none"/>
                      <w:vertAlign w:val="superscript"/>
                      <w:lang w:eastAsia="zh-CN"/>
                      <w14:textFill>
                        <w14:solidFill>
                          <w14:schemeClr w14:val="tx1"/>
                        </w14:solidFill>
                      </w14:textFill>
                    </w:rPr>
                    <w:t>2</w:t>
                  </w:r>
                  <w:r>
                    <w:rPr>
                      <w:rFonts w:ascii="Times New Roman" w:hAnsi="Times New Roman" w:cs="Times New Roman"/>
                      <w:color w:val="000000" w:themeColor="text1"/>
                      <w:kern w:val="2"/>
                      <w:sz w:val="21"/>
                      <w:szCs w:val="28"/>
                      <w:highlight w:val="none"/>
                      <w:lang w:eastAsia="zh-CN"/>
                      <w14:textFill>
                        <w14:solidFill>
                          <w14:schemeClr w14:val="tx1"/>
                        </w14:solidFill>
                      </w14:textFill>
                    </w:rPr>
                    <w:t>的建设项目</w:t>
                  </w:r>
                </w:p>
              </w:tc>
              <w:tc>
                <w:tcPr>
                  <w:tcW w:w="1497" w:type="pct"/>
                  <w:shd w:val="clear" w:color="auto" w:fill="auto"/>
                  <w:vAlign w:val="center"/>
                </w:tcPr>
                <w:p w14:paraId="0C4AD711">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项目不涉及，因此</w:t>
                  </w:r>
                  <w:r>
                    <w:rPr>
                      <w:rFonts w:hint="eastAsia" w:ascii="Times New Roman" w:hAnsi="Times New Roman" w:cs="Times New Roman"/>
                      <w:color w:val="000000" w:themeColor="text1"/>
                      <w:kern w:val="2"/>
                      <w:sz w:val="21"/>
                      <w:szCs w:val="28"/>
                      <w:highlight w:val="none"/>
                      <w:lang w:val="en-US" w:eastAsia="zh-CN"/>
                      <w14:textFill>
                        <w14:solidFill>
                          <w14:schemeClr w14:val="tx1"/>
                        </w14:solidFill>
                      </w14:textFill>
                    </w:rPr>
                    <w:t>不需要</w:t>
                  </w:r>
                  <w:r>
                    <w:rPr>
                      <w:rFonts w:ascii="Times New Roman" w:hAnsi="Times New Roman" w:cs="Times New Roman"/>
                      <w:color w:val="000000" w:themeColor="text1"/>
                      <w:kern w:val="2"/>
                      <w:sz w:val="21"/>
                      <w:szCs w:val="28"/>
                      <w:highlight w:val="none"/>
                      <w:lang w:eastAsia="zh-CN"/>
                      <w14:textFill>
                        <w14:solidFill>
                          <w14:schemeClr w14:val="tx1"/>
                        </w14:solidFill>
                      </w14:textFill>
                    </w:rPr>
                    <w:t>开展大气专项评价。</w:t>
                  </w:r>
                </w:p>
              </w:tc>
              <w:tc>
                <w:tcPr>
                  <w:tcW w:w="989" w:type="pct"/>
                  <w:shd w:val="clear" w:color="auto" w:fill="auto"/>
                  <w:vAlign w:val="center"/>
                </w:tcPr>
                <w:p w14:paraId="2E2960DF">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8"/>
                      <w:highlight w:val="none"/>
                      <w:lang w:eastAsia="zh-CN"/>
                      <w14:textFill>
                        <w14:solidFill>
                          <w14:schemeClr w14:val="tx1"/>
                        </w14:solidFill>
                      </w14:textFill>
                    </w:rPr>
                    <w:t>无</w:t>
                  </w:r>
                </w:p>
              </w:tc>
            </w:tr>
            <w:tr w14:paraId="5C01D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0" w:hRule="atLeast"/>
              </w:trPr>
              <w:tc>
                <w:tcPr>
                  <w:tcW w:w="810" w:type="pct"/>
                  <w:shd w:val="clear" w:color="auto" w:fill="auto"/>
                  <w:vAlign w:val="center"/>
                </w:tcPr>
                <w:p w14:paraId="42A759EC">
                  <w:pPr>
                    <w:pStyle w:val="36"/>
                    <w:autoSpaceDE/>
                    <w:autoSpaceDN/>
                    <w:spacing w:before="0"/>
                    <w:ind w:left="0"/>
                    <w:jc w:val="center"/>
                    <w:rPr>
                      <w:rFonts w:ascii="Times New Roman" w:hAnsi="Times New Roman" w:cs="Times New Roman"/>
                      <w:color w:val="000000" w:themeColor="text1"/>
                      <w:kern w:val="2"/>
                      <w:sz w:val="21"/>
                      <w:szCs w:val="28"/>
                      <w:highlight w:val="none"/>
                      <w14:textFill>
                        <w14:solidFill>
                          <w14:schemeClr w14:val="tx1"/>
                        </w14:solidFill>
                      </w14:textFill>
                    </w:rPr>
                  </w:pPr>
                  <w:r>
                    <w:rPr>
                      <w:rFonts w:ascii="Times New Roman" w:hAnsi="Times New Roman" w:cs="Times New Roman"/>
                      <w:color w:val="000000" w:themeColor="text1"/>
                      <w:kern w:val="2"/>
                      <w:sz w:val="21"/>
                      <w:szCs w:val="28"/>
                      <w:highlight w:val="none"/>
                      <w14:textFill>
                        <w14:solidFill>
                          <w14:schemeClr w14:val="tx1"/>
                        </w14:solidFill>
                      </w14:textFill>
                    </w:rPr>
                    <w:t>地表水</w:t>
                  </w:r>
                </w:p>
              </w:tc>
              <w:tc>
                <w:tcPr>
                  <w:tcW w:w="1704" w:type="pct"/>
                  <w:shd w:val="clear" w:color="auto" w:fill="auto"/>
                  <w:vAlign w:val="center"/>
                </w:tcPr>
                <w:p w14:paraId="293179B1">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新增工业废水直排建设项目（槽罐车外送污水处理厂的除外）；新增废水直排的污水集中处理厂</w:t>
                  </w:r>
                </w:p>
              </w:tc>
              <w:tc>
                <w:tcPr>
                  <w:tcW w:w="1497" w:type="pct"/>
                  <w:shd w:val="clear" w:color="auto" w:fill="auto"/>
                  <w:vAlign w:val="center"/>
                </w:tcPr>
                <w:p w14:paraId="6A1655A9">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项目无新增废水直排，</w:t>
                  </w:r>
                  <w:r>
                    <w:rPr>
                      <w:rFonts w:hint="eastAsia" w:ascii="Times New Roman" w:hAnsi="Times New Roman" w:cs="Times New Roman"/>
                      <w:color w:val="000000" w:themeColor="text1"/>
                      <w:kern w:val="2"/>
                      <w:sz w:val="21"/>
                      <w:szCs w:val="28"/>
                      <w:highlight w:val="none"/>
                      <w:lang w:val="en-US" w:eastAsia="zh-CN"/>
                      <w14:textFill>
                        <w14:solidFill>
                          <w14:schemeClr w14:val="tx1"/>
                        </w14:solidFill>
                      </w14:textFill>
                    </w:rPr>
                    <w:t>不需要</w:t>
                  </w:r>
                  <w:r>
                    <w:rPr>
                      <w:rFonts w:ascii="Times New Roman" w:hAnsi="Times New Roman" w:cs="Times New Roman"/>
                      <w:color w:val="000000" w:themeColor="text1"/>
                      <w:kern w:val="2"/>
                      <w:sz w:val="21"/>
                      <w:szCs w:val="28"/>
                      <w:highlight w:val="none"/>
                      <w:lang w:eastAsia="zh-CN"/>
                      <w14:textFill>
                        <w14:solidFill>
                          <w14:schemeClr w14:val="tx1"/>
                        </w14:solidFill>
                      </w14:textFill>
                    </w:rPr>
                    <w:t>开展地表水专项评价。</w:t>
                  </w:r>
                </w:p>
              </w:tc>
              <w:tc>
                <w:tcPr>
                  <w:tcW w:w="989" w:type="pct"/>
                  <w:shd w:val="clear" w:color="auto" w:fill="auto"/>
                  <w:vAlign w:val="center"/>
                </w:tcPr>
                <w:p w14:paraId="75E136D7">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8"/>
                      <w:highlight w:val="none"/>
                      <w:lang w:eastAsia="zh-CN"/>
                      <w14:textFill>
                        <w14:solidFill>
                          <w14:schemeClr w14:val="tx1"/>
                        </w14:solidFill>
                      </w14:textFill>
                    </w:rPr>
                    <w:t>无</w:t>
                  </w:r>
                </w:p>
              </w:tc>
            </w:tr>
            <w:tr w14:paraId="557BD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7" w:hRule="atLeast"/>
              </w:trPr>
              <w:tc>
                <w:tcPr>
                  <w:tcW w:w="810" w:type="pct"/>
                  <w:shd w:val="clear" w:color="auto" w:fill="auto"/>
                  <w:vAlign w:val="center"/>
                </w:tcPr>
                <w:p w14:paraId="4EE336B9">
                  <w:pPr>
                    <w:pStyle w:val="36"/>
                    <w:autoSpaceDE/>
                    <w:autoSpaceDN/>
                    <w:spacing w:before="0"/>
                    <w:ind w:left="0"/>
                    <w:jc w:val="center"/>
                    <w:rPr>
                      <w:rFonts w:ascii="Times New Roman" w:hAnsi="Times New Roman" w:cs="Times New Roman"/>
                      <w:color w:val="000000" w:themeColor="text1"/>
                      <w:kern w:val="2"/>
                      <w:sz w:val="21"/>
                      <w:szCs w:val="28"/>
                      <w:highlight w:val="none"/>
                      <w14:textFill>
                        <w14:solidFill>
                          <w14:schemeClr w14:val="tx1"/>
                        </w14:solidFill>
                      </w14:textFill>
                    </w:rPr>
                  </w:pPr>
                  <w:r>
                    <w:rPr>
                      <w:rFonts w:ascii="Times New Roman" w:hAnsi="Times New Roman" w:cs="Times New Roman"/>
                      <w:color w:val="000000" w:themeColor="text1"/>
                      <w:kern w:val="2"/>
                      <w:sz w:val="21"/>
                      <w:szCs w:val="28"/>
                      <w:highlight w:val="none"/>
                      <w14:textFill>
                        <w14:solidFill>
                          <w14:schemeClr w14:val="tx1"/>
                        </w14:solidFill>
                      </w14:textFill>
                    </w:rPr>
                    <w:t>环境风险</w:t>
                  </w:r>
                </w:p>
              </w:tc>
              <w:tc>
                <w:tcPr>
                  <w:tcW w:w="1704" w:type="pct"/>
                  <w:shd w:val="clear" w:color="auto" w:fill="auto"/>
                  <w:vAlign w:val="center"/>
                </w:tcPr>
                <w:p w14:paraId="7DB730AB">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有毒有害和易燃易爆危险物质存储量超过临界量</w:t>
                  </w:r>
                  <w:r>
                    <w:rPr>
                      <w:rFonts w:ascii="Times New Roman" w:hAnsi="Times New Roman" w:cs="Times New Roman"/>
                      <w:color w:val="000000" w:themeColor="text1"/>
                      <w:kern w:val="2"/>
                      <w:sz w:val="21"/>
                      <w:szCs w:val="28"/>
                      <w:highlight w:val="none"/>
                      <w:vertAlign w:val="superscript"/>
                      <w:lang w:eastAsia="zh-CN"/>
                      <w14:textFill>
                        <w14:solidFill>
                          <w14:schemeClr w14:val="tx1"/>
                        </w14:solidFill>
                      </w14:textFill>
                    </w:rPr>
                    <w:t>3</w:t>
                  </w:r>
                  <w:r>
                    <w:rPr>
                      <w:rFonts w:ascii="Times New Roman" w:hAnsi="Times New Roman" w:cs="Times New Roman"/>
                      <w:color w:val="000000" w:themeColor="text1"/>
                      <w:kern w:val="2"/>
                      <w:sz w:val="21"/>
                      <w:szCs w:val="28"/>
                      <w:highlight w:val="none"/>
                      <w:lang w:eastAsia="zh-CN"/>
                      <w14:textFill>
                        <w14:solidFill>
                          <w14:schemeClr w14:val="tx1"/>
                        </w14:solidFill>
                      </w14:textFill>
                    </w:rPr>
                    <w:t>的建设项目</w:t>
                  </w:r>
                </w:p>
              </w:tc>
              <w:tc>
                <w:tcPr>
                  <w:tcW w:w="1497" w:type="pct"/>
                  <w:shd w:val="clear" w:color="auto" w:fill="auto"/>
                  <w:vAlign w:val="center"/>
                </w:tcPr>
                <w:p w14:paraId="77D30BAD">
                  <w:pPr>
                    <w:pStyle w:val="36"/>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8"/>
                      <w:highlight w:val="none"/>
                      <w:lang w:val="en-US" w:eastAsia="zh-CN"/>
                      <w14:textFill>
                        <w14:solidFill>
                          <w14:schemeClr w14:val="tx1"/>
                        </w14:solidFill>
                      </w14:textFill>
                    </w:rPr>
                    <w:t>项目不涉及有毒有害和易燃易爆危险物质存储量超过临界量的情况，</w:t>
                  </w:r>
                  <w:r>
                    <w:rPr>
                      <w:rFonts w:hint="eastAsia" w:ascii="Times New Roman" w:hAnsi="Times New Roman" w:cs="Times New Roman"/>
                      <w:color w:val="000000" w:themeColor="text1"/>
                      <w:kern w:val="2"/>
                      <w:sz w:val="21"/>
                      <w:szCs w:val="28"/>
                      <w:highlight w:val="none"/>
                      <w:lang w:eastAsia="zh-CN"/>
                      <w14:textFill>
                        <w14:solidFill>
                          <w14:schemeClr w14:val="tx1"/>
                        </w14:solidFill>
                      </w14:textFill>
                    </w:rPr>
                    <w:t>因此</w:t>
                  </w:r>
                  <w:r>
                    <w:rPr>
                      <w:rFonts w:hint="eastAsia" w:ascii="Times New Roman" w:hAnsi="Times New Roman" w:cs="Times New Roman"/>
                      <w:color w:val="000000" w:themeColor="text1"/>
                      <w:kern w:val="2"/>
                      <w:sz w:val="21"/>
                      <w:szCs w:val="28"/>
                      <w:highlight w:val="none"/>
                      <w:lang w:val="en-US" w:eastAsia="zh-CN"/>
                      <w14:textFill>
                        <w14:solidFill>
                          <w14:schemeClr w14:val="tx1"/>
                        </w14:solidFill>
                      </w14:textFill>
                    </w:rPr>
                    <w:t>不需要开展</w:t>
                  </w:r>
                  <w:r>
                    <w:rPr>
                      <w:rFonts w:hint="eastAsia" w:ascii="Times New Roman" w:hAnsi="Times New Roman" w:cs="Times New Roman"/>
                      <w:color w:val="000000" w:themeColor="text1"/>
                      <w:kern w:val="2"/>
                      <w:sz w:val="21"/>
                      <w:szCs w:val="28"/>
                      <w:highlight w:val="none"/>
                      <w:lang w:eastAsia="zh-CN"/>
                      <w14:textFill>
                        <w14:solidFill>
                          <w14:schemeClr w14:val="tx1"/>
                        </w14:solidFill>
                      </w14:textFill>
                    </w:rPr>
                    <w:t>环境风险专项评价</w:t>
                  </w:r>
                  <w:r>
                    <w:rPr>
                      <w:rFonts w:ascii="Times New Roman" w:hAnsi="Times New Roman" w:cs="Times New Roman"/>
                      <w:color w:val="000000" w:themeColor="text1"/>
                      <w:kern w:val="2"/>
                      <w:sz w:val="21"/>
                      <w:szCs w:val="28"/>
                      <w:highlight w:val="none"/>
                      <w:lang w:eastAsia="zh-CN"/>
                      <w14:textFill>
                        <w14:solidFill>
                          <w14:schemeClr w14:val="tx1"/>
                        </w14:solidFill>
                      </w14:textFill>
                    </w:rPr>
                    <w:t>。</w:t>
                  </w:r>
                </w:p>
              </w:tc>
              <w:tc>
                <w:tcPr>
                  <w:tcW w:w="989" w:type="pct"/>
                  <w:shd w:val="clear" w:color="auto" w:fill="auto"/>
                  <w:vAlign w:val="center"/>
                </w:tcPr>
                <w:p w14:paraId="7673D9EA">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8"/>
                      <w:highlight w:val="none"/>
                      <w:lang w:val="en-US" w:eastAsia="zh-CN"/>
                      <w14:textFill>
                        <w14:solidFill>
                          <w14:schemeClr w14:val="tx1"/>
                        </w14:solidFill>
                      </w14:textFill>
                    </w:rPr>
                    <w:t>无</w:t>
                  </w:r>
                </w:p>
              </w:tc>
            </w:tr>
            <w:tr w14:paraId="611A1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2" w:hRule="atLeast"/>
              </w:trPr>
              <w:tc>
                <w:tcPr>
                  <w:tcW w:w="810" w:type="pct"/>
                  <w:shd w:val="clear" w:color="auto" w:fill="auto"/>
                  <w:vAlign w:val="center"/>
                </w:tcPr>
                <w:p w14:paraId="0C44427D">
                  <w:pPr>
                    <w:pStyle w:val="36"/>
                    <w:autoSpaceDE/>
                    <w:autoSpaceDN/>
                    <w:spacing w:before="0"/>
                    <w:ind w:left="0"/>
                    <w:jc w:val="center"/>
                    <w:rPr>
                      <w:rFonts w:ascii="Times New Roman" w:hAnsi="Times New Roman" w:cs="Times New Roman"/>
                      <w:color w:val="000000" w:themeColor="text1"/>
                      <w:kern w:val="2"/>
                      <w:sz w:val="21"/>
                      <w:szCs w:val="28"/>
                      <w:highlight w:val="none"/>
                      <w14:textFill>
                        <w14:solidFill>
                          <w14:schemeClr w14:val="tx1"/>
                        </w14:solidFill>
                      </w14:textFill>
                    </w:rPr>
                  </w:pPr>
                  <w:r>
                    <w:rPr>
                      <w:rFonts w:ascii="Times New Roman" w:hAnsi="Times New Roman" w:cs="Times New Roman"/>
                      <w:color w:val="000000" w:themeColor="text1"/>
                      <w:kern w:val="2"/>
                      <w:sz w:val="21"/>
                      <w:szCs w:val="28"/>
                      <w:highlight w:val="none"/>
                      <w14:textFill>
                        <w14:solidFill>
                          <w14:schemeClr w14:val="tx1"/>
                        </w14:solidFill>
                      </w14:textFill>
                    </w:rPr>
                    <w:t>生态</w:t>
                  </w:r>
                </w:p>
              </w:tc>
              <w:tc>
                <w:tcPr>
                  <w:tcW w:w="1704" w:type="pct"/>
                  <w:shd w:val="clear" w:color="auto" w:fill="auto"/>
                  <w:vAlign w:val="center"/>
                </w:tcPr>
                <w:p w14:paraId="31B7788C">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取水口下游500米范围内有重要水生生物的自然产卵场、索饵场、越冬场和洄游通道的新增河道取水的污染类建设项目</w:t>
                  </w:r>
                </w:p>
              </w:tc>
              <w:tc>
                <w:tcPr>
                  <w:tcW w:w="1497" w:type="pct"/>
                  <w:shd w:val="clear" w:color="auto" w:fill="auto"/>
                  <w:vAlign w:val="center"/>
                </w:tcPr>
                <w:p w14:paraId="6698631B">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项目不涉及，因此无需开展生态专项评价。</w:t>
                  </w:r>
                </w:p>
              </w:tc>
              <w:tc>
                <w:tcPr>
                  <w:tcW w:w="989" w:type="pct"/>
                  <w:shd w:val="clear" w:color="auto" w:fill="auto"/>
                  <w:vAlign w:val="center"/>
                </w:tcPr>
                <w:p w14:paraId="7F1EF140">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8"/>
                      <w:highlight w:val="none"/>
                      <w:lang w:eastAsia="zh-CN"/>
                      <w14:textFill>
                        <w14:solidFill>
                          <w14:schemeClr w14:val="tx1"/>
                        </w14:solidFill>
                      </w14:textFill>
                    </w:rPr>
                    <w:t>无</w:t>
                  </w:r>
                </w:p>
              </w:tc>
            </w:tr>
            <w:tr w14:paraId="5146B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 w:hRule="atLeast"/>
              </w:trPr>
              <w:tc>
                <w:tcPr>
                  <w:tcW w:w="810" w:type="pct"/>
                  <w:shd w:val="clear" w:color="auto" w:fill="auto"/>
                  <w:vAlign w:val="center"/>
                </w:tcPr>
                <w:p w14:paraId="41741938">
                  <w:pPr>
                    <w:pStyle w:val="36"/>
                    <w:autoSpaceDE/>
                    <w:autoSpaceDN/>
                    <w:spacing w:before="0"/>
                    <w:ind w:left="0"/>
                    <w:jc w:val="center"/>
                    <w:rPr>
                      <w:rFonts w:ascii="Times New Roman" w:hAnsi="Times New Roman" w:cs="Times New Roman"/>
                      <w:color w:val="000000" w:themeColor="text1"/>
                      <w:kern w:val="2"/>
                      <w:sz w:val="21"/>
                      <w:szCs w:val="28"/>
                      <w:highlight w:val="none"/>
                      <w14:textFill>
                        <w14:solidFill>
                          <w14:schemeClr w14:val="tx1"/>
                        </w14:solidFill>
                      </w14:textFill>
                    </w:rPr>
                  </w:pPr>
                  <w:r>
                    <w:rPr>
                      <w:rFonts w:ascii="Times New Roman" w:hAnsi="Times New Roman" w:cs="Times New Roman"/>
                      <w:color w:val="000000" w:themeColor="text1"/>
                      <w:kern w:val="2"/>
                      <w:sz w:val="21"/>
                      <w:szCs w:val="28"/>
                      <w:highlight w:val="none"/>
                      <w14:textFill>
                        <w14:solidFill>
                          <w14:schemeClr w14:val="tx1"/>
                        </w14:solidFill>
                      </w14:textFill>
                    </w:rPr>
                    <w:t>海洋</w:t>
                  </w:r>
                </w:p>
              </w:tc>
              <w:tc>
                <w:tcPr>
                  <w:tcW w:w="1704" w:type="pct"/>
                  <w:shd w:val="clear" w:color="auto" w:fill="auto"/>
                  <w:vAlign w:val="center"/>
                </w:tcPr>
                <w:p w14:paraId="1DF8427A">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直接向海排放污染物的海洋工程建设项目</w:t>
                  </w:r>
                </w:p>
              </w:tc>
              <w:tc>
                <w:tcPr>
                  <w:tcW w:w="1497" w:type="pct"/>
                  <w:shd w:val="clear" w:color="auto" w:fill="auto"/>
                  <w:vAlign w:val="center"/>
                </w:tcPr>
                <w:p w14:paraId="581B0096">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8"/>
                      <w:highlight w:val="none"/>
                      <w:lang w:eastAsia="zh-CN"/>
                      <w14:textFill>
                        <w14:solidFill>
                          <w14:schemeClr w14:val="tx1"/>
                        </w14:solidFill>
                      </w14:textFill>
                    </w:rPr>
                    <w:t>项目不属于海洋工程建设项目</w:t>
                  </w:r>
                </w:p>
              </w:tc>
              <w:tc>
                <w:tcPr>
                  <w:tcW w:w="989" w:type="pct"/>
                  <w:shd w:val="clear" w:color="auto" w:fill="auto"/>
                  <w:vAlign w:val="center"/>
                </w:tcPr>
                <w:p w14:paraId="1EF25229">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8"/>
                      <w:highlight w:val="none"/>
                      <w:lang w:eastAsia="zh-CN"/>
                      <w14:textFill>
                        <w14:solidFill>
                          <w14:schemeClr w14:val="tx1"/>
                        </w14:solidFill>
                      </w14:textFill>
                    </w:rPr>
                    <w:t>无</w:t>
                  </w:r>
                </w:p>
              </w:tc>
            </w:tr>
            <w:tr w14:paraId="30D19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 w:hRule="atLeast"/>
              </w:trPr>
              <w:tc>
                <w:tcPr>
                  <w:tcW w:w="810" w:type="pct"/>
                  <w:shd w:val="clear" w:color="auto" w:fill="auto"/>
                  <w:vAlign w:val="center"/>
                </w:tcPr>
                <w:p w14:paraId="20CC85C9">
                  <w:pPr>
                    <w:pStyle w:val="63"/>
                    <w:autoSpaceDE/>
                    <w:autoSpaceDN/>
                    <w:adjustRightInd/>
                    <w:jc w:val="center"/>
                    <w:rPr>
                      <w:rFonts w:ascii="Times New Roman" w:cs="Times New Roman"/>
                      <w:color w:val="000000" w:themeColor="text1"/>
                      <w:kern w:val="2"/>
                      <w:sz w:val="21"/>
                      <w:szCs w:val="24"/>
                      <w:highlight w:val="none"/>
                      <w14:textFill>
                        <w14:solidFill>
                          <w14:schemeClr w14:val="tx1"/>
                        </w14:solidFill>
                      </w14:textFill>
                    </w:rPr>
                  </w:pPr>
                  <w:r>
                    <w:rPr>
                      <w:rFonts w:ascii="Times New Roman" w:cs="Times New Roman"/>
                      <w:color w:val="000000" w:themeColor="text1"/>
                      <w:kern w:val="2"/>
                      <w:sz w:val="21"/>
                      <w:szCs w:val="24"/>
                      <w:highlight w:val="none"/>
                      <w14:textFill>
                        <w14:solidFill>
                          <w14:schemeClr w14:val="tx1"/>
                        </w14:solidFill>
                      </w14:textFill>
                    </w:rPr>
                    <w:t>声环境、土壤</w:t>
                  </w:r>
                </w:p>
              </w:tc>
              <w:tc>
                <w:tcPr>
                  <w:tcW w:w="1704" w:type="pct"/>
                  <w:shd w:val="clear" w:color="auto" w:fill="auto"/>
                  <w:vAlign w:val="center"/>
                </w:tcPr>
                <w:p w14:paraId="61353361">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4"/>
                      <w:highlight w:val="none"/>
                      <w:lang w:eastAsia="zh-CN"/>
                      <w14:textFill>
                        <w14:solidFill>
                          <w14:schemeClr w14:val="tx1"/>
                        </w14:solidFill>
                      </w14:textFill>
                    </w:rPr>
                    <w:t>不开展专项评价</w:t>
                  </w:r>
                </w:p>
              </w:tc>
              <w:tc>
                <w:tcPr>
                  <w:tcW w:w="1497" w:type="pct"/>
                  <w:shd w:val="clear" w:color="auto" w:fill="auto"/>
                  <w:vAlign w:val="center"/>
                </w:tcPr>
                <w:p w14:paraId="5100F564">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4"/>
                      <w:highlight w:val="none"/>
                      <w:lang w:eastAsia="zh-CN"/>
                      <w14:textFill>
                        <w14:solidFill>
                          <w14:schemeClr w14:val="tx1"/>
                        </w14:solidFill>
                      </w14:textFill>
                    </w:rPr>
                    <w:t>/</w:t>
                  </w:r>
                </w:p>
              </w:tc>
              <w:tc>
                <w:tcPr>
                  <w:tcW w:w="989" w:type="pct"/>
                  <w:shd w:val="clear" w:color="auto" w:fill="auto"/>
                  <w:vAlign w:val="center"/>
                </w:tcPr>
                <w:p w14:paraId="2CD2DF69">
                  <w:pPr>
                    <w:pStyle w:val="36"/>
                    <w:autoSpaceDE/>
                    <w:autoSpaceDN/>
                    <w:spacing w:before="0"/>
                    <w:ind w:left="0"/>
                    <w:jc w:val="center"/>
                    <w:rPr>
                      <w:rFonts w:ascii="Times New Roman" w:hAnsi="Times New Roman" w:cs="Times New Roman"/>
                      <w:color w:val="000000" w:themeColor="text1"/>
                      <w:kern w:val="2"/>
                      <w:sz w:val="21"/>
                      <w:szCs w:val="24"/>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4"/>
                      <w:highlight w:val="none"/>
                      <w:lang w:eastAsia="zh-CN"/>
                      <w14:textFill>
                        <w14:solidFill>
                          <w14:schemeClr w14:val="tx1"/>
                        </w14:solidFill>
                      </w14:textFill>
                    </w:rPr>
                    <w:t>无</w:t>
                  </w:r>
                </w:p>
              </w:tc>
            </w:tr>
            <w:tr w14:paraId="280B6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trPr>
              <w:tc>
                <w:tcPr>
                  <w:tcW w:w="810" w:type="pct"/>
                  <w:shd w:val="clear" w:color="auto" w:fill="auto"/>
                  <w:vAlign w:val="center"/>
                </w:tcPr>
                <w:p w14:paraId="7290BC9B">
                  <w:pPr>
                    <w:pStyle w:val="36"/>
                    <w:autoSpaceDE/>
                    <w:autoSpaceDN/>
                    <w:spacing w:before="0"/>
                    <w:ind w:left="0"/>
                    <w:jc w:val="center"/>
                    <w:rPr>
                      <w:rFonts w:ascii="Times New Roman" w:hAnsi="Times New Roman" w:cs="Times New Roman"/>
                      <w:color w:val="000000" w:themeColor="text1"/>
                      <w:kern w:val="2"/>
                      <w:sz w:val="21"/>
                      <w:szCs w:val="28"/>
                      <w:highlight w:val="none"/>
                      <w:lang w:eastAsia="zh-CN"/>
                      <w14:textFill>
                        <w14:solidFill>
                          <w14:schemeClr w14:val="tx1"/>
                        </w14:solidFill>
                      </w14:textFill>
                    </w:rPr>
                  </w:pPr>
                  <w:r>
                    <w:rPr>
                      <w:rFonts w:ascii="Times New Roman" w:hAnsi="Times New Roman" w:cs="Times New Roman"/>
                      <w:color w:val="000000" w:themeColor="text1"/>
                      <w:kern w:val="2"/>
                      <w:sz w:val="21"/>
                      <w:szCs w:val="24"/>
                      <w:highlight w:val="none"/>
                      <w:lang w:eastAsia="zh-CN"/>
                      <w14:textFill>
                        <w14:solidFill>
                          <w14:schemeClr w14:val="tx1"/>
                        </w14:solidFill>
                      </w14:textFill>
                    </w:rPr>
                    <w:t>地下水</w:t>
                  </w:r>
                </w:p>
              </w:tc>
              <w:tc>
                <w:tcPr>
                  <w:tcW w:w="1704" w:type="pct"/>
                  <w:shd w:val="clear" w:color="auto" w:fill="auto"/>
                  <w:vAlign w:val="center"/>
                </w:tcPr>
                <w:p w14:paraId="35A07DBF">
                  <w:pPr>
                    <w:pStyle w:val="63"/>
                    <w:autoSpaceDE/>
                    <w:autoSpaceDN/>
                    <w:adjustRightInd/>
                    <w:jc w:val="center"/>
                    <w:rPr>
                      <w:rFonts w:ascii="Times New Roman" w:cs="Times New Roman"/>
                      <w:color w:val="000000" w:themeColor="text1"/>
                      <w:kern w:val="2"/>
                      <w:sz w:val="21"/>
                      <w:szCs w:val="24"/>
                      <w:highlight w:val="none"/>
                      <w14:textFill>
                        <w14:solidFill>
                          <w14:schemeClr w14:val="tx1"/>
                        </w14:solidFill>
                      </w14:textFill>
                    </w:rPr>
                  </w:pPr>
                  <w:r>
                    <w:rPr>
                      <w:rFonts w:ascii="Times New Roman" w:cs="Times New Roman"/>
                      <w:color w:val="000000" w:themeColor="text1"/>
                      <w:kern w:val="2"/>
                      <w:sz w:val="21"/>
                      <w:szCs w:val="24"/>
                      <w:highlight w:val="none"/>
                      <w14:textFill>
                        <w14:solidFill>
                          <w14:schemeClr w14:val="tx1"/>
                        </w14:solidFill>
                      </w14:textFill>
                    </w:rPr>
                    <w:t>地下水原则上不开展专项评价，涉及集中式饮用水水源和热水、矿泉水、温泉等特殊地下水资源保护区的开展专项评价工作。</w:t>
                  </w:r>
                </w:p>
              </w:tc>
              <w:tc>
                <w:tcPr>
                  <w:tcW w:w="1497" w:type="pct"/>
                  <w:shd w:val="clear" w:color="auto" w:fill="auto"/>
                  <w:vAlign w:val="center"/>
                </w:tcPr>
                <w:p w14:paraId="6904D08A">
                  <w:pPr>
                    <w:pStyle w:val="63"/>
                    <w:autoSpaceDE/>
                    <w:autoSpaceDN/>
                    <w:adjustRightInd/>
                    <w:jc w:val="center"/>
                    <w:rPr>
                      <w:rFonts w:ascii="Times New Roman" w:cs="Times New Roman"/>
                      <w:color w:val="000000" w:themeColor="text1"/>
                      <w:kern w:val="2"/>
                      <w:sz w:val="21"/>
                      <w:szCs w:val="24"/>
                      <w:highlight w:val="none"/>
                      <w14:textFill>
                        <w14:solidFill>
                          <w14:schemeClr w14:val="tx1"/>
                        </w14:solidFill>
                      </w14:textFill>
                    </w:rPr>
                  </w:pPr>
                  <w:r>
                    <w:rPr>
                      <w:rFonts w:ascii="Times New Roman" w:cs="Times New Roman"/>
                      <w:color w:val="000000" w:themeColor="text1"/>
                      <w:kern w:val="2"/>
                      <w:sz w:val="21"/>
                      <w:szCs w:val="24"/>
                      <w:highlight w:val="none"/>
                      <w14:textFill>
                        <w14:solidFill>
                          <w14:schemeClr w14:val="tx1"/>
                        </w14:solidFill>
                      </w14:textFill>
                    </w:rPr>
                    <w:t>项目不涉及地下水敏感区</w:t>
                  </w:r>
                </w:p>
              </w:tc>
              <w:tc>
                <w:tcPr>
                  <w:tcW w:w="989" w:type="pct"/>
                  <w:shd w:val="clear" w:color="auto" w:fill="auto"/>
                  <w:vAlign w:val="center"/>
                </w:tcPr>
                <w:p w14:paraId="78C13B43">
                  <w:pPr>
                    <w:pStyle w:val="63"/>
                    <w:autoSpaceDE/>
                    <w:autoSpaceDN/>
                    <w:adjustRightInd/>
                    <w:jc w:val="center"/>
                    <w:rPr>
                      <w:rFonts w:ascii="Times New Roman" w:cs="Times New Roman"/>
                      <w:color w:val="000000" w:themeColor="text1"/>
                      <w:kern w:val="2"/>
                      <w:sz w:val="21"/>
                      <w:szCs w:val="24"/>
                      <w:highlight w:val="none"/>
                      <w14:textFill>
                        <w14:solidFill>
                          <w14:schemeClr w14:val="tx1"/>
                        </w14:solidFill>
                      </w14:textFill>
                    </w:rPr>
                  </w:pPr>
                  <w:r>
                    <w:rPr>
                      <w:rFonts w:hint="eastAsia" w:ascii="Times New Roman" w:cs="Times New Roman"/>
                      <w:color w:val="000000" w:themeColor="text1"/>
                      <w:kern w:val="2"/>
                      <w:sz w:val="21"/>
                      <w:szCs w:val="24"/>
                      <w:highlight w:val="none"/>
                      <w14:textFill>
                        <w14:solidFill>
                          <w14:schemeClr w14:val="tx1"/>
                        </w14:solidFill>
                      </w14:textFill>
                    </w:rPr>
                    <w:t>无</w:t>
                  </w:r>
                </w:p>
              </w:tc>
            </w:tr>
          </w:tbl>
          <w:p w14:paraId="577706F4">
            <w:pPr>
              <w:autoSpaceDE w:val="0"/>
              <w:autoSpaceDN w:val="0"/>
              <w:adjustRightInd w:val="0"/>
              <w:snapToGrid w:val="0"/>
              <w:spacing w:before="120" w:beforeLines="50" w:line="360" w:lineRule="auto"/>
              <w:rPr>
                <w:color w:val="000000" w:themeColor="text1"/>
                <w:kern w:val="0"/>
                <w:sz w:val="18"/>
                <w:szCs w:val="21"/>
                <w:highlight w:val="none"/>
                <w14:textFill>
                  <w14:solidFill>
                    <w14:schemeClr w14:val="tx1"/>
                  </w14:solidFill>
                </w14:textFill>
              </w:rPr>
            </w:pPr>
            <w:r>
              <w:rPr>
                <w:rFonts w:hint="eastAsia"/>
                <w:color w:val="000000" w:themeColor="text1"/>
                <w:kern w:val="0"/>
                <w:sz w:val="21"/>
                <w:szCs w:val="24"/>
                <w:highlight w:val="none"/>
                <w14:textFill>
                  <w14:solidFill>
                    <w14:schemeClr w14:val="tx1"/>
                  </w14:solidFill>
                </w14:textFill>
              </w:rPr>
              <w:t>注：1.废气中有毒有害污染物指纳入《有毒有害大气污染物名录》的污染物（不包括无排放标准的污染物）排放标准的污染物）。2.环境空气保护目标指自然保护区、风景名胜区、居住区、文化区和农村地区中人群较集中的区域。3.临界量及其计算方法可参考《建设项目环境风险评价技术导则》（HJ 169）附录B、附录C。</w:t>
            </w:r>
          </w:p>
        </w:tc>
      </w:tr>
      <w:tr w14:paraId="16457A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5" w:hRule="atLeast"/>
          <w:jc w:val="center"/>
        </w:trPr>
        <w:tc>
          <w:tcPr>
            <w:tcW w:w="722" w:type="dxa"/>
            <w:vAlign w:val="center"/>
          </w:tcPr>
          <w:p w14:paraId="5A70B8AB">
            <w:pPr>
              <w:autoSpaceDE w:val="0"/>
              <w:autoSpaceDN w:val="0"/>
              <w:adjustRightInd w:val="0"/>
              <w:snapToGrid w:val="0"/>
              <w:jc w:val="center"/>
              <w:rPr>
                <w:color w:val="000000" w:themeColor="text1"/>
                <w:kern w:val="0"/>
                <w:szCs w:val="21"/>
                <w:highlight w:val="none"/>
                <w14:textFill>
                  <w14:solidFill>
                    <w14:schemeClr w14:val="tx1"/>
                  </w14:solidFill>
                </w14:textFill>
              </w:rPr>
            </w:pPr>
            <w:r>
              <w:rPr>
                <w:color w:val="000000" w:themeColor="text1"/>
                <w:szCs w:val="21"/>
                <w:highlight w:val="none"/>
                <w14:textFill>
                  <w14:solidFill>
                    <w14:schemeClr w14:val="tx1"/>
                  </w14:solidFill>
                </w14:textFill>
              </w:rPr>
              <w:t>规划情况</w:t>
            </w:r>
          </w:p>
        </w:tc>
        <w:tc>
          <w:tcPr>
            <w:tcW w:w="8148" w:type="dxa"/>
            <w:gridSpan w:val="4"/>
            <w:vAlign w:val="center"/>
          </w:tcPr>
          <w:p w14:paraId="3A2D35E9">
            <w:pPr>
              <w:autoSpaceDE w:val="0"/>
              <w:autoSpaceDN w:val="0"/>
              <w:adjustRightInd w:val="0"/>
              <w:snapToGrid w:val="0"/>
              <w:spacing w:line="360" w:lineRule="auto"/>
              <w:rPr>
                <w:rFonts w:hint="eastAsia"/>
                <w:b w:val="0"/>
                <w:bCs/>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（1）规划名称：</w:t>
            </w:r>
            <w:r>
              <w:rPr>
                <w:rFonts w:hint="eastAsia"/>
                <w:b w:val="0"/>
                <w:bCs/>
                <w:color w:val="000000" w:themeColor="text1"/>
                <w:kern w:val="0"/>
                <w:sz w:val="24"/>
                <w:szCs w:val="24"/>
                <w:highlight w:val="none"/>
                <w14:textFill>
                  <w14:solidFill>
                    <w14:schemeClr w14:val="tx1"/>
                  </w14:solidFill>
                </w14:textFill>
              </w:rPr>
              <w:t>《福州市国土空间总体规划（2021-2035年）》</w:t>
            </w:r>
          </w:p>
          <w:p w14:paraId="25CB0C06">
            <w:pPr>
              <w:autoSpaceDE w:val="0"/>
              <w:autoSpaceDN w:val="0"/>
              <w:adjustRightInd w:val="0"/>
              <w:snapToGrid w:val="0"/>
              <w:spacing w:line="360" w:lineRule="auto"/>
              <w:rPr>
                <w:rFonts w:hint="eastAsia"/>
                <w:b w:val="0"/>
                <w:bCs/>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审批机关：</w:t>
            </w:r>
            <w:r>
              <w:rPr>
                <w:rFonts w:hint="eastAsia"/>
                <w:b w:val="0"/>
                <w:bCs/>
                <w:color w:val="000000" w:themeColor="text1"/>
                <w:kern w:val="0"/>
                <w:sz w:val="24"/>
                <w:szCs w:val="24"/>
                <w:highlight w:val="none"/>
                <w14:textFill>
                  <w14:solidFill>
                    <w14:schemeClr w14:val="tx1"/>
                  </w14:solidFill>
                </w14:textFill>
              </w:rPr>
              <w:t>国务院</w:t>
            </w:r>
          </w:p>
          <w:p w14:paraId="608106E2">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审批文件名称及文号：</w:t>
            </w:r>
            <w:r>
              <w:rPr>
                <w:rFonts w:hint="eastAsia"/>
                <w:b w:val="0"/>
                <w:bCs/>
                <w:color w:val="000000" w:themeColor="text1"/>
                <w:kern w:val="0"/>
                <w:sz w:val="24"/>
                <w:szCs w:val="24"/>
                <w:highlight w:val="none"/>
                <w14:textFill>
                  <w14:solidFill>
                    <w14:schemeClr w14:val="tx1"/>
                  </w14:solidFill>
                </w14:textFill>
              </w:rPr>
              <w:t>国务院关于《福州市国土空间总体规划（2021-2035年）》的批复（国函[2024]185号）</w:t>
            </w:r>
          </w:p>
          <w:p w14:paraId="0CBB84EE">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lang w:eastAsia="zh-CN"/>
                <w14:textFill>
                  <w14:solidFill>
                    <w14:schemeClr w14:val="tx1"/>
                  </w14:solidFill>
                </w14:textFill>
              </w:rPr>
              <w:t>（</w:t>
            </w:r>
            <w:r>
              <w:rPr>
                <w:rFonts w:hint="eastAsia"/>
                <w:b/>
                <w:color w:val="000000" w:themeColor="text1"/>
                <w:kern w:val="0"/>
                <w:sz w:val="24"/>
                <w:szCs w:val="24"/>
                <w:highlight w:val="none"/>
                <w:lang w:val="en-US" w:eastAsia="zh-CN"/>
                <w14:textFill>
                  <w14:solidFill>
                    <w14:schemeClr w14:val="tx1"/>
                  </w14:solidFill>
                </w14:textFill>
              </w:rPr>
              <w:t>2</w:t>
            </w:r>
            <w:r>
              <w:rPr>
                <w:rFonts w:hint="eastAsia"/>
                <w:b/>
                <w:color w:val="000000" w:themeColor="text1"/>
                <w:kern w:val="0"/>
                <w:sz w:val="24"/>
                <w:szCs w:val="24"/>
                <w:highlight w:val="none"/>
                <w:lang w:eastAsia="zh-CN"/>
                <w14:textFill>
                  <w14:solidFill>
                    <w14:schemeClr w14:val="tx1"/>
                  </w14:solidFill>
                </w14:textFill>
              </w:rPr>
              <w:t>）</w:t>
            </w:r>
            <w:r>
              <w:rPr>
                <w:rFonts w:hint="eastAsia"/>
                <w:b/>
                <w:color w:val="000000" w:themeColor="text1"/>
                <w:kern w:val="0"/>
                <w:sz w:val="24"/>
                <w:szCs w:val="24"/>
                <w:highlight w:val="none"/>
                <w14:textFill>
                  <w14:solidFill>
                    <w14:schemeClr w14:val="tx1"/>
                  </w14:solidFill>
                </w14:textFill>
              </w:rPr>
              <w:t>规划名称：</w:t>
            </w:r>
            <w:r>
              <w:rPr>
                <w:rFonts w:hint="eastAsia"/>
                <w:b w:val="0"/>
                <w:bCs/>
                <w:color w:val="000000" w:themeColor="text1"/>
                <w:kern w:val="0"/>
                <w:sz w:val="24"/>
                <w:szCs w:val="24"/>
                <w:highlight w:val="none"/>
                <w14:textFill>
                  <w14:solidFill>
                    <w14:schemeClr w14:val="tx1"/>
                  </w14:solidFill>
                </w14:textFill>
              </w:rPr>
              <w:t>《闽侯县青口镇总体规划(2010-2030)》</w:t>
            </w:r>
          </w:p>
          <w:p w14:paraId="3F991E18">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审批机关：</w:t>
            </w:r>
            <w:r>
              <w:rPr>
                <w:rFonts w:hint="eastAsia"/>
                <w:b w:val="0"/>
                <w:bCs/>
                <w:color w:val="000000" w:themeColor="text1"/>
                <w:kern w:val="0"/>
                <w:sz w:val="24"/>
                <w:szCs w:val="24"/>
                <w:highlight w:val="none"/>
                <w14:textFill>
                  <w14:solidFill>
                    <w14:schemeClr w14:val="tx1"/>
                  </w14:solidFill>
                </w14:textFill>
              </w:rPr>
              <w:t>福州市人民政府</w:t>
            </w:r>
          </w:p>
          <w:p w14:paraId="17EA6586">
            <w:pPr>
              <w:autoSpaceDE w:val="0"/>
              <w:autoSpaceDN w:val="0"/>
              <w:adjustRightInd w:val="0"/>
              <w:snapToGrid w:val="0"/>
              <w:spacing w:line="360" w:lineRule="auto"/>
              <w:rPr>
                <w:rFonts w:hint="eastAsia"/>
                <w:b w:val="0"/>
                <w:bCs/>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审批文件名称及文号：</w:t>
            </w:r>
            <w:r>
              <w:rPr>
                <w:rFonts w:hint="eastAsia"/>
                <w:b w:val="0"/>
                <w:bCs/>
                <w:color w:val="000000" w:themeColor="text1"/>
                <w:kern w:val="0"/>
                <w:sz w:val="24"/>
                <w:szCs w:val="24"/>
                <w:highlight w:val="none"/>
                <w14:textFill>
                  <w14:solidFill>
                    <w14:schemeClr w14:val="tx1"/>
                  </w14:solidFill>
                </w14:textFill>
              </w:rPr>
              <w:t>《福州市人民政府关于闽侯县青口镇总体规划(2010-2030)的批复》(榕政综[2010]197号)</w:t>
            </w:r>
          </w:p>
          <w:p w14:paraId="39365AA0">
            <w:pPr>
              <w:autoSpaceDE w:val="0"/>
              <w:autoSpaceDN w:val="0"/>
              <w:adjustRightInd w:val="0"/>
              <w:snapToGrid w:val="0"/>
              <w:spacing w:line="360" w:lineRule="auto"/>
              <w:rPr>
                <w:rFonts w:hint="eastAsia"/>
                <w:b w:val="0"/>
                <w:bCs/>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lang w:eastAsia="zh-CN"/>
                <w14:textFill>
                  <w14:solidFill>
                    <w14:schemeClr w14:val="tx1"/>
                  </w14:solidFill>
                </w14:textFill>
              </w:rPr>
              <w:t>（</w:t>
            </w:r>
            <w:r>
              <w:rPr>
                <w:rFonts w:hint="eastAsia"/>
                <w:b/>
                <w:color w:val="000000" w:themeColor="text1"/>
                <w:kern w:val="0"/>
                <w:sz w:val="24"/>
                <w:szCs w:val="24"/>
                <w:highlight w:val="none"/>
                <w:lang w:val="en-US" w:eastAsia="zh-CN"/>
                <w14:textFill>
                  <w14:solidFill>
                    <w14:schemeClr w14:val="tx1"/>
                  </w14:solidFill>
                </w14:textFill>
              </w:rPr>
              <w:t>3</w:t>
            </w:r>
            <w:r>
              <w:rPr>
                <w:rFonts w:hint="eastAsia"/>
                <w:b/>
                <w:color w:val="000000" w:themeColor="text1"/>
                <w:kern w:val="0"/>
                <w:sz w:val="24"/>
                <w:szCs w:val="24"/>
                <w:highlight w:val="none"/>
                <w:lang w:eastAsia="zh-CN"/>
                <w14:textFill>
                  <w14:solidFill>
                    <w14:schemeClr w14:val="tx1"/>
                  </w14:solidFill>
                </w14:textFill>
              </w:rPr>
              <w:t>）</w:t>
            </w:r>
            <w:r>
              <w:rPr>
                <w:rFonts w:hint="eastAsia"/>
                <w:b/>
                <w:color w:val="000000" w:themeColor="text1"/>
                <w:kern w:val="0"/>
                <w:sz w:val="24"/>
                <w:szCs w:val="24"/>
                <w:highlight w:val="none"/>
                <w14:textFill>
                  <w14:solidFill>
                    <w14:schemeClr w14:val="tx1"/>
                  </w14:solidFill>
                </w14:textFill>
              </w:rPr>
              <w:t>规划名称：</w:t>
            </w:r>
            <w:r>
              <w:rPr>
                <w:rFonts w:hint="eastAsia"/>
                <w:b w:val="0"/>
                <w:bCs/>
                <w:color w:val="000000" w:themeColor="text1"/>
                <w:kern w:val="0"/>
                <w:sz w:val="24"/>
                <w:szCs w:val="24"/>
                <w:highlight w:val="none"/>
                <w14:textFill>
                  <w14:solidFill>
                    <w14:schemeClr w14:val="tx1"/>
                  </w14:solidFill>
                </w14:textFill>
              </w:rPr>
              <w:t>《青口汽车城控制性详细规划》</w:t>
            </w:r>
          </w:p>
          <w:p w14:paraId="4040E0CB">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审批机关：</w:t>
            </w:r>
            <w:r>
              <w:rPr>
                <w:rFonts w:hint="eastAsia"/>
                <w:b w:val="0"/>
                <w:bCs/>
                <w:color w:val="000000" w:themeColor="text1"/>
                <w:kern w:val="0"/>
                <w:sz w:val="24"/>
                <w:szCs w:val="24"/>
                <w:highlight w:val="none"/>
                <w:lang w:val="en-US" w:eastAsia="zh-CN"/>
                <w14:textFill>
                  <w14:solidFill>
                    <w14:schemeClr w14:val="tx1"/>
                  </w14:solidFill>
                </w14:textFill>
              </w:rPr>
              <w:t>闽侯</w:t>
            </w:r>
            <w:r>
              <w:rPr>
                <w:rFonts w:hint="eastAsia"/>
                <w:b w:val="0"/>
                <w:bCs/>
                <w:color w:val="000000" w:themeColor="text1"/>
                <w:kern w:val="0"/>
                <w:sz w:val="24"/>
                <w:szCs w:val="24"/>
                <w:highlight w:val="none"/>
                <w14:textFill>
                  <w14:solidFill>
                    <w14:schemeClr w14:val="tx1"/>
                  </w14:solidFill>
                </w14:textFill>
              </w:rPr>
              <w:t>县</w:t>
            </w:r>
            <w:r>
              <w:rPr>
                <w:rFonts w:hint="eastAsia"/>
                <w:b w:val="0"/>
                <w:bCs/>
                <w:color w:val="000000" w:themeColor="text1"/>
                <w:kern w:val="0"/>
                <w:sz w:val="24"/>
                <w:szCs w:val="24"/>
                <w:highlight w:val="none"/>
                <w:lang w:val="en-US" w:eastAsia="zh-CN"/>
                <w14:textFill>
                  <w14:solidFill>
                    <w14:schemeClr w14:val="tx1"/>
                  </w14:solidFill>
                </w14:textFill>
              </w:rPr>
              <w:t>自然</w:t>
            </w:r>
            <w:r>
              <w:rPr>
                <w:rFonts w:hint="eastAsia"/>
                <w:b w:val="0"/>
                <w:bCs/>
                <w:color w:val="000000" w:themeColor="text1"/>
                <w:kern w:val="0"/>
                <w:sz w:val="24"/>
                <w:szCs w:val="24"/>
                <w:highlight w:val="none"/>
                <w14:textFill>
                  <w14:solidFill>
                    <w14:schemeClr w14:val="tx1"/>
                  </w14:solidFill>
                </w14:textFill>
              </w:rPr>
              <w:t>资源和规划局</w:t>
            </w:r>
          </w:p>
          <w:p w14:paraId="6C775639">
            <w:pPr>
              <w:autoSpaceDE w:val="0"/>
              <w:autoSpaceDN w:val="0"/>
              <w:adjustRightInd w:val="0"/>
              <w:snapToGrid w:val="0"/>
              <w:spacing w:line="360" w:lineRule="auto"/>
              <w:rPr>
                <w:rFonts w:hint="eastAsia"/>
                <w:b w:val="0"/>
                <w:bCs/>
                <w:color w:val="000000" w:themeColor="text1"/>
                <w:kern w:val="0"/>
                <w:szCs w:val="21"/>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审批文件名称及文号：</w:t>
            </w:r>
            <w:r>
              <w:rPr>
                <w:rFonts w:hint="eastAsia"/>
                <w:b w:val="0"/>
                <w:bCs/>
                <w:color w:val="000000" w:themeColor="text1"/>
                <w:kern w:val="0"/>
                <w:sz w:val="24"/>
                <w:szCs w:val="24"/>
                <w:highlight w:val="none"/>
                <w14:textFill>
                  <w14:solidFill>
                    <w14:schemeClr w14:val="tx1"/>
                  </w14:solidFill>
                </w14:textFill>
              </w:rPr>
              <w:t>侯自然综[2021]288号</w:t>
            </w:r>
          </w:p>
        </w:tc>
      </w:tr>
      <w:tr w14:paraId="4EDF3D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1" w:hRule="atLeast"/>
          <w:jc w:val="center"/>
        </w:trPr>
        <w:tc>
          <w:tcPr>
            <w:tcW w:w="722" w:type="dxa"/>
            <w:vAlign w:val="center"/>
          </w:tcPr>
          <w:p w14:paraId="028AC21A">
            <w:pPr>
              <w:adjustRightInd w:val="0"/>
              <w:snapToGrid w:val="0"/>
              <w:jc w:val="center"/>
              <w:rPr>
                <w:color w:val="000000" w:themeColor="text1"/>
                <w:kern w:val="0"/>
                <w:szCs w:val="21"/>
                <w:highlight w:val="none"/>
                <w14:textFill>
                  <w14:solidFill>
                    <w14:schemeClr w14:val="tx1"/>
                  </w14:solidFill>
                </w14:textFill>
              </w:rPr>
            </w:pPr>
            <w:r>
              <w:rPr>
                <w:color w:val="000000" w:themeColor="text1"/>
                <w:szCs w:val="21"/>
                <w:highlight w:val="none"/>
                <w14:textFill>
                  <w14:solidFill>
                    <w14:schemeClr w14:val="tx1"/>
                  </w14:solidFill>
                </w14:textFill>
              </w:rPr>
              <w:t>规划环境影响评价情况</w:t>
            </w:r>
          </w:p>
        </w:tc>
        <w:tc>
          <w:tcPr>
            <w:tcW w:w="8148" w:type="dxa"/>
            <w:gridSpan w:val="4"/>
            <w:vAlign w:val="center"/>
          </w:tcPr>
          <w:p w14:paraId="0B2EF9E5">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（1）规划环评名称:</w:t>
            </w:r>
            <w:r>
              <w:rPr>
                <w:rFonts w:hint="eastAsia"/>
                <w:b w:val="0"/>
                <w:bCs/>
                <w:color w:val="000000" w:themeColor="text1"/>
                <w:kern w:val="0"/>
                <w:sz w:val="24"/>
                <w:szCs w:val="24"/>
                <w:highlight w:val="none"/>
                <w14:textFill>
                  <w14:solidFill>
                    <w14:schemeClr w14:val="tx1"/>
                  </w14:solidFill>
                </w14:textFill>
              </w:rPr>
              <w:t>《福州青口投资区环境影响报告书》</w:t>
            </w:r>
          </w:p>
          <w:p w14:paraId="539A233F">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审批机关:</w:t>
            </w:r>
            <w:r>
              <w:rPr>
                <w:rFonts w:hint="eastAsia"/>
                <w:b w:val="0"/>
                <w:bCs/>
                <w:color w:val="000000" w:themeColor="text1"/>
                <w:kern w:val="0"/>
                <w:sz w:val="24"/>
                <w:szCs w:val="24"/>
                <w:highlight w:val="none"/>
                <w14:textFill>
                  <w14:solidFill>
                    <w14:schemeClr w14:val="tx1"/>
                  </w14:solidFill>
                </w14:textFill>
              </w:rPr>
              <w:t>福州市环境保护局</w:t>
            </w:r>
          </w:p>
          <w:p w14:paraId="7A73E318">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审批文件名称及文号:</w:t>
            </w:r>
            <w:r>
              <w:rPr>
                <w:rFonts w:hint="eastAsia"/>
                <w:b w:val="0"/>
                <w:bCs/>
                <w:color w:val="000000" w:themeColor="text1"/>
                <w:kern w:val="0"/>
                <w:sz w:val="24"/>
                <w:szCs w:val="24"/>
                <w:highlight w:val="none"/>
                <w14:textFill>
                  <w14:solidFill>
                    <w14:schemeClr w14:val="tx1"/>
                  </w14:solidFill>
                </w14:textFill>
              </w:rPr>
              <w:t>《福州市环境保护局关于福州青口投资区环境影响报告书审批意见的函》榕环保函[2004]39号</w:t>
            </w:r>
          </w:p>
          <w:p w14:paraId="70246AD4">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w:t>
            </w:r>
            <w:r>
              <w:rPr>
                <w:rFonts w:hint="eastAsia"/>
                <w:b/>
                <w:color w:val="000000" w:themeColor="text1"/>
                <w:kern w:val="0"/>
                <w:sz w:val="24"/>
                <w:szCs w:val="24"/>
                <w:highlight w:val="none"/>
                <w:lang w:val="en-US" w:eastAsia="zh-CN"/>
                <w14:textFill>
                  <w14:solidFill>
                    <w14:schemeClr w14:val="tx1"/>
                  </w14:solidFill>
                </w14:textFill>
              </w:rPr>
              <w:t>2</w:t>
            </w:r>
            <w:r>
              <w:rPr>
                <w:rFonts w:hint="eastAsia"/>
                <w:b/>
                <w:color w:val="000000" w:themeColor="text1"/>
                <w:kern w:val="0"/>
                <w:sz w:val="24"/>
                <w:szCs w:val="24"/>
                <w:highlight w:val="none"/>
                <w14:textFill>
                  <w14:solidFill>
                    <w14:schemeClr w14:val="tx1"/>
                  </w14:solidFill>
                </w14:textFill>
              </w:rPr>
              <w:t>）规划环评名称:</w:t>
            </w:r>
            <w:r>
              <w:rPr>
                <w:rFonts w:hint="eastAsia"/>
                <w:b w:val="0"/>
                <w:bCs/>
                <w:color w:val="000000" w:themeColor="text1"/>
                <w:kern w:val="0"/>
                <w:sz w:val="24"/>
                <w:szCs w:val="24"/>
                <w:highlight w:val="none"/>
                <w14:textFill>
                  <w14:solidFill>
                    <w14:schemeClr w14:val="tx1"/>
                  </w14:solidFill>
                </w14:textFill>
              </w:rPr>
              <w:t>《福州青口投资区环境影响跟踪评价报告</w:t>
            </w:r>
            <w:r>
              <w:rPr>
                <w:rFonts w:hint="eastAsia"/>
                <w:b w:val="0"/>
                <w:bCs/>
                <w:color w:val="000000" w:themeColor="text1"/>
                <w:kern w:val="0"/>
                <w:sz w:val="24"/>
                <w:szCs w:val="24"/>
                <w:highlight w:val="none"/>
                <w:lang w:val="en-US" w:eastAsia="zh-CN"/>
                <w14:textFill>
                  <w14:solidFill>
                    <w14:schemeClr w14:val="tx1"/>
                  </w14:solidFill>
                </w14:textFill>
              </w:rPr>
              <w:t>书</w:t>
            </w:r>
            <w:r>
              <w:rPr>
                <w:rFonts w:hint="eastAsia"/>
                <w:b w:val="0"/>
                <w:bCs/>
                <w:color w:val="000000" w:themeColor="text1"/>
                <w:kern w:val="0"/>
                <w:sz w:val="24"/>
                <w:szCs w:val="24"/>
                <w:highlight w:val="none"/>
                <w14:textFill>
                  <w14:solidFill>
                    <w14:schemeClr w14:val="tx1"/>
                  </w14:solidFill>
                </w14:textFill>
              </w:rPr>
              <w:t>》</w:t>
            </w:r>
          </w:p>
          <w:p w14:paraId="080C3402">
            <w:pPr>
              <w:autoSpaceDE w:val="0"/>
              <w:autoSpaceDN w:val="0"/>
              <w:adjustRightInd w:val="0"/>
              <w:snapToGrid w:val="0"/>
              <w:spacing w:line="360" w:lineRule="auto"/>
              <w:rPr>
                <w:rFonts w:hint="eastAsia"/>
                <w:b/>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审批机关:</w:t>
            </w:r>
            <w:r>
              <w:rPr>
                <w:rFonts w:hint="eastAsia"/>
                <w:b w:val="0"/>
                <w:bCs/>
                <w:color w:val="000000" w:themeColor="text1"/>
                <w:kern w:val="0"/>
                <w:sz w:val="24"/>
                <w:szCs w:val="24"/>
                <w:highlight w:val="none"/>
                <w14:textFill>
                  <w14:solidFill>
                    <w14:schemeClr w14:val="tx1"/>
                  </w14:solidFill>
                </w14:textFill>
              </w:rPr>
              <w:t>福州市环境保护局</w:t>
            </w:r>
          </w:p>
          <w:p w14:paraId="097CA98A">
            <w:pPr>
              <w:autoSpaceDE w:val="0"/>
              <w:autoSpaceDN w:val="0"/>
              <w:adjustRightInd w:val="0"/>
              <w:snapToGrid w:val="0"/>
              <w:spacing w:line="360" w:lineRule="auto"/>
              <w:rPr>
                <w:rFonts w:hint="eastAsia"/>
                <w:b w:val="0"/>
                <w:bCs/>
                <w:color w:val="000000" w:themeColor="text1"/>
                <w:kern w:val="0"/>
                <w:sz w:val="24"/>
                <w:szCs w:val="24"/>
                <w:highlight w:val="none"/>
                <w14:textFill>
                  <w14:solidFill>
                    <w14:schemeClr w14:val="tx1"/>
                  </w14:solidFill>
                </w14:textFill>
              </w:rPr>
            </w:pPr>
            <w:r>
              <w:rPr>
                <w:rFonts w:hint="eastAsia"/>
                <w:b/>
                <w:color w:val="000000" w:themeColor="text1"/>
                <w:kern w:val="0"/>
                <w:sz w:val="24"/>
                <w:szCs w:val="24"/>
                <w:highlight w:val="none"/>
                <w14:textFill>
                  <w14:solidFill>
                    <w14:schemeClr w14:val="tx1"/>
                  </w14:solidFill>
                </w14:textFill>
              </w:rPr>
              <w:t>审批文件名称及文号:</w:t>
            </w:r>
            <w:r>
              <w:rPr>
                <w:rFonts w:hint="eastAsia"/>
                <w:b w:val="0"/>
                <w:bCs/>
                <w:color w:val="000000" w:themeColor="text1"/>
                <w:kern w:val="0"/>
                <w:sz w:val="24"/>
                <w:szCs w:val="24"/>
                <w:highlight w:val="none"/>
                <w14:textFill>
                  <w14:solidFill>
                    <w14:schemeClr w14:val="tx1"/>
                  </w14:solidFill>
                </w14:textFill>
              </w:rPr>
              <w:t>《福州市环境保护局关于福州青口投资区环境影响跟踪评价报告书审查工作有关意见的复函》榕环保函[2016]40号</w:t>
            </w:r>
          </w:p>
        </w:tc>
      </w:tr>
      <w:tr w14:paraId="5B5A67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722" w:type="dxa"/>
            <w:vAlign w:val="center"/>
          </w:tcPr>
          <w:p w14:paraId="65375D4A">
            <w:pPr>
              <w:autoSpaceDE w:val="0"/>
              <w:autoSpaceDN w:val="0"/>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规划及规划环境影响评价符合性分析</w:t>
            </w:r>
          </w:p>
        </w:tc>
        <w:tc>
          <w:tcPr>
            <w:tcW w:w="8148" w:type="dxa"/>
            <w:gridSpan w:val="4"/>
            <w:vAlign w:val="center"/>
          </w:tcPr>
          <w:p w14:paraId="1802DA18">
            <w:pPr>
              <w:pStyle w:val="37"/>
              <w:rPr>
                <w:rFonts w:hint="eastAsia"/>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1.1</w:t>
            </w:r>
            <w:r>
              <w:rPr>
                <w:rFonts w:hint="eastAsia"/>
                <w:color w:val="000000" w:themeColor="text1"/>
                <w:sz w:val="24"/>
                <w:szCs w:val="21"/>
                <w:highlight w:val="none"/>
                <w14:textFill>
                  <w14:solidFill>
                    <w14:schemeClr w14:val="tx1"/>
                  </w14:solidFill>
                </w14:textFill>
              </w:rPr>
              <w:t>与规划符合性分析</w:t>
            </w:r>
          </w:p>
          <w:p w14:paraId="38D69DCD">
            <w:pPr>
              <w:pStyle w:val="97"/>
              <w:ind w:firstLine="0" w:firstLineChars="0"/>
              <w:rPr>
                <w:rFonts w:ascii="Times New Roman" w:hAnsi="Times New Roman"/>
                <w:b/>
                <w:color w:val="000000" w:themeColor="text1"/>
                <w:szCs w:val="24"/>
                <w:highlight w:val="none"/>
                <w14:textFill>
                  <w14:solidFill>
                    <w14:schemeClr w14:val="tx1"/>
                  </w14:solidFill>
                </w14:textFill>
              </w:rPr>
            </w:pPr>
            <w:r>
              <w:rPr>
                <w:rFonts w:ascii="Times New Roman" w:hAnsi="Times New Roman"/>
                <w:b/>
                <w:color w:val="000000" w:themeColor="text1"/>
                <w:szCs w:val="24"/>
                <w:highlight w:val="none"/>
                <w14:textFill>
                  <w14:solidFill>
                    <w14:schemeClr w14:val="tx1"/>
                  </w14:solidFill>
                </w14:textFill>
              </w:rPr>
              <w:t>1.1.</w:t>
            </w:r>
            <w:r>
              <w:rPr>
                <w:rFonts w:hint="eastAsia" w:ascii="Times New Roman" w:hAnsi="Times New Roman"/>
                <w:b/>
                <w:color w:val="000000" w:themeColor="text1"/>
                <w:szCs w:val="24"/>
                <w:highlight w:val="none"/>
                <w14:textFill>
                  <w14:solidFill>
                    <w14:schemeClr w14:val="tx1"/>
                  </w14:solidFill>
                </w14:textFill>
              </w:rPr>
              <w:t>1</w:t>
            </w:r>
            <w:r>
              <w:rPr>
                <w:rFonts w:ascii="Times New Roman" w:hAnsi="Times New Roman"/>
                <w:b/>
                <w:color w:val="000000" w:themeColor="text1"/>
                <w:szCs w:val="24"/>
                <w:highlight w:val="none"/>
                <w14:textFill>
                  <w14:solidFill>
                    <w14:schemeClr w14:val="tx1"/>
                  </w14:solidFill>
                </w14:textFill>
              </w:rPr>
              <w:t>与《福州市国土空间总体规划（2021-2035年）》</w:t>
            </w:r>
            <w:r>
              <w:rPr>
                <w:rFonts w:hint="eastAsia" w:ascii="Times New Roman" w:hAnsi="Times New Roman"/>
                <w:b/>
                <w:color w:val="000000" w:themeColor="text1"/>
                <w:szCs w:val="24"/>
                <w:highlight w:val="none"/>
                <w:lang w:eastAsia="zh-CN"/>
                <w14:textFill>
                  <w14:solidFill>
                    <w14:schemeClr w14:val="tx1"/>
                  </w14:solidFill>
                </w14:textFill>
              </w:rPr>
              <w:t>《闽侯县国土空间总体规划（2021-2035年）》</w:t>
            </w:r>
            <w:r>
              <w:rPr>
                <w:rFonts w:hint="eastAsia" w:ascii="Times New Roman" w:hAnsi="Times New Roman"/>
                <w:b/>
                <w:color w:val="000000" w:themeColor="text1"/>
                <w:szCs w:val="24"/>
                <w:highlight w:val="none"/>
                <w:lang w:val="en-US" w:eastAsia="zh-CN"/>
                <w14:textFill>
                  <w14:solidFill>
                    <w14:schemeClr w14:val="tx1"/>
                  </w14:solidFill>
                </w14:textFill>
              </w:rPr>
              <w:t>的</w:t>
            </w:r>
            <w:r>
              <w:rPr>
                <w:rFonts w:ascii="Times New Roman" w:hAnsi="Times New Roman"/>
                <w:b/>
                <w:color w:val="000000" w:themeColor="text1"/>
                <w:szCs w:val="24"/>
                <w:highlight w:val="none"/>
                <w14:textFill>
                  <w14:solidFill>
                    <w14:schemeClr w14:val="tx1"/>
                  </w14:solidFill>
                </w14:textFill>
              </w:rPr>
              <w:t>符合性分析</w:t>
            </w:r>
          </w:p>
          <w:p w14:paraId="581DF449">
            <w:pPr>
              <w:pStyle w:val="97"/>
              <w:ind w:firstLine="480"/>
              <w:rPr>
                <w:rFonts w:hint="eastAsia" w:ascii="Times New Roman" w:hAnsi="Times New Roman" w:eastAsia="宋体"/>
                <w:color w:val="000000" w:themeColor="text1"/>
                <w:szCs w:val="24"/>
                <w:highlight w:val="none"/>
                <w:lang w:eastAsia="zh-CN"/>
                <w14:textFill>
                  <w14:solidFill>
                    <w14:schemeClr w14:val="tx1"/>
                  </w14:solidFill>
                </w14:textFill>
              </w:rPr>
            </w:pPr>
            <w:r>
              <w:rPr>
                <w:rFonts w:ascii="Times New Roman" w:hAnsi="Times New Roman"/>
                <w:color w:val="000000" w:themeColor="text1"/>
                <w:szCs w:val="24"/>
                <w:highlight w:val="none"/>
                <w14:textFill>
                  <w14:solidFill>
                    <w14:schemeClr w14:val="tx1"/>
                  </w14:solidFill>
                </w14:textFill>
              </w:rPr>
              <w:t>《福州市国土空间总体规划</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2021-2035年</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w:t>
            </w:r>
            <w:r>
              <w:rPr>
                <w:rFonts w:hint="eastAsia" w:ascii="Times New Roman" w:hAnsi="Times New Roman"/>
                <w:color w:val="000000" w:themeColor="text1"/>
                <w:szCs w:val="24"/>
                <w:highlight w:val="none"/>
                <w:lang w:val="en-US" w:eastAsia="zh-CN"/>
                <w14:textFill>
                  <w14:solidFill>
                    <w14:schemeClr w14:val="tx1"/>
                  </w14:solidFill>
                </w14:textFill>
              </w:rPr>
              <w:t>相关</w:t>
            </w:r>
            <w:r>
              <w:rPr>
                <w:rFonts w:ascii="Times New Roman" w:hAnsi="Times New Roman"/>
                <w:color w:val="000000" w:themeColor="text1"/>
                <w:szCs w:val="24"/>
                <w:highlight w:val="none"/>
                <w14:textFill>
                  <w14:solidFill>
                    <w14:schemeClr w14:val="tx1"/>
                  </w14:solidFill>
                </w14:textFill>
              </w:rPr>
              <w:t>内容</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推进福州主城与滨海新城一体化发展，引导中心城区空间格局从单中心向多中心、组团式、网络化转变，打造</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一环两带两轴、双核两心七组团</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的空间结构。</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一环</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为环城山体公园带，</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两带</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为闽江城市活力景观带、乌龙江生态景观带，</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两轴</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为传统城市发展轴、新兴东进发展轴</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双核</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为福州主城核心区、滨海新城核心区，</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两心</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为三江口副中心、科学城副中心，</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七组团</w:t>
            </w:r>
            <w:r>
              <w:rPr>
                <w:rFonts w:hint="eastAsia" w:ascii="Times New Roman" w:hAnsi="Times New Roman"/>
                <w:color w:val="000000" w:themeColor="text1"/>
                <w:szCs w:val="24"/>
                <w:highlight w:val="none"/>
                <w14:textFill>
                  <w14:solidFill>
                    <w14:schemeClr w14:val="tx1"/>
                  </w14:solidFill>
                </w14:textFill>
              </w:rPr>
              <w:t>”</w:t>
            </w:r>
            <w:r>
              <w:rPr>
                <w:rFonts w:ascii="Times New Roman" w:hAnsi="Times New Roman"/>
                <w:color w:val="000000" w:themeColor="text1"/>
                <w:szCs w:val="24"/>
                <w:highlight w:val="none"/>
                <w14:textFill>
                  <w14:solidFill>
                    <w14:schemeClr w14:val="tx1"/>
                  </w14:solidFill>
                </w14:textFill>
              </w:rPr>
              <w:t>为福州主城外围的荆溪组团、旗山山前组团、</w:t>
            </w:r>
            <w:r>
              <w:rPr>
                <w:rFonts w:ascii="Times New Roman" w:hAnsi="Times New Roman"/>
                <w:color w:val="000000" w:themeColor="text1"/>
                <w:szCs w:val="24"/>
                <w:highlight w:val="none"/>
                <w:u w:val="single"/>
                <w14:textFill>
                  <w14:solidFill>
                    <w14:schemeClr w14:val="tx1"/>
                  </w14:solidFill>
                </w14:textFill>
              </w:rPr>
              <w:t>青口组团</w:t>
            </w:r>
            <w:r>
              <w:rPr>
                <w:rFonts w:ascii="Times New Roman" w:hAnsi="Times New Roman"/>
                <w:color w:val="000000" w:themeColor="text1"/>
                <w:szCs w:val="24"/>
                <w:highlight w:val="none"/>
                <w14:textFill>
                  <w14:solidFill>
                    <w14:schemeClr w14:val="tx1"/>
                  </w14:solidFill>
                </w14:textFill>
              </w:rPr>
              <w:t>、吴航组团、闽江口组团、航空城组团和松下港城组团</w:t>
            </w:r>
            <w:r>
              <w:rPr>
                <w:rFonts w:hint="eastAsia" w:ascii="Times New Roman" w:hAnsi="Times New Roman"/>
                <w:color w:val="000000" w:themeColor="text1"/>
                <w:szCs w:val="24"/>
                <w:highlight w:val="none"/>
                <w14:textFill>
                  <w14:solidFill>
                    <w14:schemeClr w14:val="tx1"/>
                  </w14:solidFill>
                </w14:textFill>
              </w:rPr>
              <w:t>。</w:t>
            </w:r>
            <w:r>
              <w:rPr>
                <w:rFonts w:hint="eastAsia" w:ascii="Times New Roman" w:hAnsi="Times New Roman"/>
                <w:color w:val="000000" w:themeColor="text1"/>
                <w:szCs w:val="24"/>
                <w:highlight w:val="none"/>
                <w:u w:val="single"/>
                <w14:textFill>
                  <w14:solidFill>
                    <w14:schemeClr w14:val="tx1"/>
                  </w14:solidFill>
                </w14:textFill>
              </w:rPr>
              <w:t>青口组团，依托现有汽车产业基础</w:t>
            </w:r>
            <w:r>
              <w:rPr>
                <w:rFonts w:hint="eastAsia" w:ascii="Times New Roman" w:hAnsi="Times New Roman"/>
                <w:color w:val="000000" w:themeColor="text1"/>
                <w:szCs w:val="24"/>
                <w:highlight w:val="none"/>
                <w14:textFill>
                  <w14:solidFill>
                    <w14:schemeClr w14:val="tx1"/>
                  </w14:solidFill>
                </w14:textFill>
              </w:rPr>
              <w:t>，打造现代装备制造产业集群，完善物流、信息、金融、商务办公等生产服务功能，支撑福州“南下”发展</w:t>
            </w:r>
            <w:r>
              <w:rPr>
                <w:rFonts w:hint="eastAsia" w:ascii="Times New Roman" w:hAnsi="Times New Roman"/>
                <w:color w:val="000000" w:themeColor="text1"/>
                <w:szCs w:val="24"/>
                <w:highlight w:val="none"/>
                <w:lang w:eastAsia="zh-CN"/>
                <w14:textFill>
                  <w14:solidFill>
                    <w14:schemeClr w14:val="tx1"/>
                  </w14:solidFill>
                </w14:textFill>
              </w:rPr>
              <w:t>。</w:t>
            </w:r>
          </w:p>
          <w:p w14:paraId="46EE7698">
            <w:pPr>
              <w:pStyle w:val="97"/>
              <w:ind w:firstLine="480"/>
              <w:rPr>
                <w:rFonts w:hint="eastAsia" w:ascii="Times New Roman" w:hAnsi="Times New Roman"/>
                <w:color w:val="000000" w:themeColor="text1"/>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《闽侯县国土空间总体规划（2021-2035年）》</w:t>
            </w:r>
            <w:r>
              <w:rPr>
                <w:rFonts w:hint="eastAsia" w:ascii="Times New Roman" w:hAnsi="Times New Roman"/>
                <w:color w:val="000000" w:themeColor="text1"/>
                <w:szCs w:val="24"/>
                <w:highlight w:val="none"/>
                <w:lang w:val="en-US" w:eastAsia="zh-CN"/>
                <w14:textFill>
                  <w14:solidFill>
                    <w14:schemeClr w14:val="tx1"/>
                  </w14:solidFill>
                </w14:textFill>
              </w:rPr>
              <w:t>相关</w:t>
            </w:r>
            <w:r>
              <w:rPr>
                <w:rFonts w:ascii="Times New Roman" w:hAnsi="Times New Roman"/>
                <w:color w:val="000000" w:themeColor="text1"/>
                <w:szCs w:val="24"/>
                <w:highlight w:val="none"/>
                <w14:textFill>
                  <w14:solidFill>
                    <w14:schemeClr w14:val="tx1"/>
                  </w14:solidFill>
                </w14:textFill>
              </w:rPr>
              <w:t>内容</w:t>
            </w:r>
            <w:r>
              <w:rPr>
                <w:rFonts w:hint="eastAsia" w:ascii="Times New Roman" w:hAnsi="Times New Roman"/>
                <w:color w:val="000000" w:themeColor="text1"/>
                <w:szCs w:val="24"/>
                <w:highlight w:val="none"/>
                <w14:textFill>
                  <w14:solidFill>
                    <w14:schemeClr w14:val="tx1"/>
                  </w14:solidFill>
                </w14:textFill>
              </w:rPr>
              <w:t>：顺应福州“东进南下、沿江向海”城市发展方向，拉开城市发展框架，引导城市“多中心、组团式、网络化”发展，构建“一轴、两心、四区、多点”的中心城区空间结构</w:t>
            </w:r>
            <w:r>
              <w:rPr>
                <w:rFonts w:hint="eastAsia" w:ascii="Times New Roman" w:hAnsi="Times New Roman"/>
                <w:color w:val="000000" w:themeColor="text1"/>
                <w:szCs w:val="24"/>
                <w:highlight w:val="none"/>
                <w:lang w:eastAsia="zh-CN"/>
                <w14:textFill>
                  <w14:solidFill>
                    <w14:schemeClr w14:val="tx1"/>
                  </w14:solidFill>
                </w14:textFill>
              </w:rPr>
              <w:t>。多点</w:t>
            </w:r>
            <w:r>
              <w:rPr>
                <w:rFonts w:hint="eastAsia" w:ascii="Times New Roman" w:hAnsi="Times New Roman"/>
                <w:color w:val="000000" w:themeColor="text1"/>
                <w:szCs w:val="24"/>
                <w:highlight w:val="none"/>
                <w:lang w:val="en-US" w:eastAsia="zh-CN"/>
                <w14:textFill>
                  <w14:solidFill>
                    <w14:schemeClr w14:val="tx1"/>
                  </w14:solidFill>
                </w14:textFill>
              </w:rPr>
              <w:t>包括</w:t>
            </w:r>
            <w:r>
              <w:rPr>
                <w:rFonts w:hint="eastAsia" w:ascii="Times New Roman" w:hAnsi="Times New Roman"/>
                <w:color w:val="000000" w:themeColor="text1"/>
                <w:szCs w:val="24"/>
                <w:highlight w:val="none"/>
                <w:lang w:eastAsia="zh-CN"/>
                <w14:textFill>
                  <w14:solidFill>
                    <w14:schemeClr w14:val="tx1"/>
                  </w14:solidFill>
                </w14:textFill>
              </w:rPr>
              <w:t>荆溪软件园、旗山智谷、南通智造园、</w:t>
            </w:r>
            <w:r>
              <w:rPr>
                <w:rFonts w:hint="eastAsia" w:ascii="Times New Roman" w:hAnsi="Times New Roman"/>
                <w:color w:val="000000" w:themeColor="text1"/>
                <w:szCs w:val="24"/>
                <w:highlight w:val="none"/>
                <w:u w:val="single"/>
                <w:lang w:eastAsia="zh-CN"/>
                <w14:textFill>
                  <w14:solidFill>
                    <w14:schemeClr w14:val="tx1"/>
                  </w14:solidFill>
                </w14:textFill>
              </w:rPr>
              <w:t>青口汽车城</w:t>
            </w:r>
            <w:r>
              <w:rPr>
                <w:rFonts w:hint="eastAsia" w:ascii="Times New Roman" w:hAnsi="Times New Roman"/>
                <w:color w:val="000000" w:themeColor="text1"/>
                <w:szCs w:val="24"/>
                <w:highlight w:val="none"/>
                <w:lang w:eastAsia="zh-CN"/>
                <w14:textFill>
                  <w14:solidFill>
                    <w14:schemeClr w14:val="tx1"/>
                  </w14:solidFill>
                </w14:textFill>
              </w:rPr>
              <w:t>等13个产业片区。</w:t>
            </w:r>
          </w:p>
          <w:p w14:paraId="6DD0F78F">
            <w:pPr>
              <w:pStyle w:val="97"/>
              <w:ind w:firstLine="480"/>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本项目位于</w:t>
            </w:r>
            <w:r>
              <w:rPr>
                <w:rFonts w:hint="eastAsia" w:ascii="Times New Roman" w:hAnsi="Times New Roman" w:cs="Times New Roman"/>
                <w:color w:val="000000" w:themeColor="text1"/>
                <w:szCs w:val="24"/>
                <w:highlight w:val="none"/>
                <w:lang w:val="en-US" w:eastAsia="zh-CN"/>
                <w14:textFill>
                  <w14:solidFill>
                    <w14:schemeClr w14:val="tx1"/>
                  </w14:solidFill>
                </w14:textFill>
              </w:rPr>
              <w:t>国土</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空间规划中的青口组团</w:t>
            </w:r>
            <w:r>
              <w:rPr>
                <w:rFonts w:hint="eastAsia" w:ascii="Times New Roman" w:hAnsi="Times New Roman" w:cs="Times New Roman"/>
                <w:color w:val="000000" w:themeColor="text1"/>
                <w:szCs w:val="24"/>
                <w:highlight w:val="none"/>
                <w:lang w:val="en-US" w:eastAsia="zh-CN"/>
                <w14:textFill>
                  <w14:solidFill>
                    <w14:schemeClr w14:val="tx1"/>
                  </w14:solidFill>
                </w14:textFill>
              </w:rPr>
              <w:t>、青口汽车城</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。项目主要从事</w:t>
            </w:r>
            <w:r>
              <w:rPr>
                <w:rFonts w:hint="eastAsia" w:cs="Times New Roman"/>
                <w:color w:val="000000" w:themeColor="text1"/>
                <w:kern w:val="0"/>
                <w:sz w:val="24"/>
                <w:szCs w:val="21"/>
                <w:highlight w:val="none"/>
                <w:lang w:val="en-US" w:eastAsia="zh-CN"/>
                <w14:textFill>
                  <w14:solidFill>
                    <w14:schemeClr w14:val="tx1"/>
                  </w14:solidFill>
                </w14:textFill>
              </w:rPr>
              <w:t>车载塑料袋生产，为汽车配套生产制造项目</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1"/>
                <w:highlight w:val="none"/>
                <w:lang w:val="en-US" w:eastAsia="zh-CN"/>
                <w14:textFill>
                  <w14:solidFill>
                    <w14:schemeClr w14:val="tx1"/>
                  </w14:solidFill>
                </w14:textFill>
              </w:rPr>
              <w:t>经</w:t>
            </w:r>
            <w:r>
              <w:rPr>
                <w:rFonts w:hint="default" w:ascii="Times New Roman" w:hAnsi="Times New Roman" w:cs="Times New Roman"/>
                <w:color w:val="000000" w:themeColor="text1"/>
                <w:sz w:val="24"/>
                <w:szCs w:val="21"/>
                <w:highlight w:val="none"/>
                <w14:textFill>
                  <w14:solidFill>
                    <w14:schemeClr w14:val="tx1"/>
                  </w14:solidFill>
                </w14:textFill>
              </w:rPr>
              <w:t>对照国土空间规划中的“三区三线”</w:t>
            </w:r>
            <w:r>
              <w:rPr>
                <w:rFonts w:hint="eastAsia" w:ascii="Times New Roman" w:hAnsi="Times New Roman" w:cs="Times New Roman"/>
                <w:color w:val="000000" w:themeColor="text1"/>
                <w:sz w:val="24"/>
                <w:szCs w:val="21"/>
                <w:highlight w:val="none"/>
                <w:lang w:eastAsia="zh-CN"/>
                <w14:textFill>
                  <w14:solidFill>
                    <w14:schemeClr w14:val="tx1"/>
                  </w14:solidFill>
                </w14:textFill>
              </w:rPr>
              <w:t>（</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位置关系详见附图4</w:t>
            </w:r>
            <w:r>
              <w:rPr>
                <w:rFonts w:hint="eastAsia" w:ascii="Times New Roman" w:hAnsi="Times New Roman" w:cs="Times New Roman"/>
                <w:color w:val="000000" w:themeColor="text1"/>
                <w:sz w:val="24"/>
                <w:szCs w:val="21"/>
                <w:highlight w:val="none"/>
                <w:lang w:eastAsia="zh-CN"/>
                <w14:textFill>
                  <w14:solidFill>
                    <w14:schemeClr w14:val="tx1"/>
                  </w14:solidFill>
                </w14:textFill>
              </w:rPr>
              <w:t>）</w:t>
            </w:r>
            <w:r>
              <w:rPr>
                <w:rFonts w:hint="default" w:ascii="Times New Roman" w:hAnsi="Times New Roman" w:cs="Times New Roman"/>
                <w:color w:val="000000" w:themeColor="text1"/>
                <w:sz w:val="24"/>
                <w:szCs w:val="21"/>
                <w:highlight w:val="none"/>
                <w14:textFill>
                  <w14:solidFill>
                    <w14:schemeClr w14:val="tx1"/>
                  </w14:solidFill>
                </w14:textFill>
              </w:rPr>
              <w:t>，本项目用地不占用永久基本农田、生态保护红线</w:t>
            </w:r>
            <w:r>
              <w:rPr>
                <w:rFonts w:hint="default" w:ascii="Times New Roman" w:hAnsi="Times New Roman" w:cs="Times New Roman"/>
                <w:color w:val="000000" w:themeColor="text1"/>
                <w:sz w:val="24"/>
                <w:szCs w:val="21"/>
                <w:highlight w:val="none"/>
                <w:lang w:eastAsia="zh-CN"/>
                <w14:textFill>
                  <w14:solidFill>
                    <w14:schemeClr w14:val="tx1"/>
                  </w14:solidFill>
                </w14:textFill>
              </w:rPr>
              <w:t>，</w:t>
            </w:r>
            <w:r>
              <w:rPr>
                <w:rFonts w:hint="default" w:ascii="Times New Roman" w:hAnsi="Times New Roman" w:cs="Times New Roman"/>
                <w:color w:val="000000" w:themeColor="text1"/>
                <w:sz w:val="24"/>
                <w:szCs w:val="21"/>
                <w:highlight w:val="none"/>
                <w:lang w:val="en-US" w:eastAsia="zh-CN"/>
                <w14:textFill>
                  <w14:solidFill>
                    <w14:schemeClr w14:val="tx1"/>
                  </w14:solidFill>
                </w14:textFill>
              </w:rPr>
              <w:t>位于</w:t>
            </w:r>
            <w:r>
              <w:rPr>
                <w:rFonts w:hint="default" w:ascii="Times New Roman" w:hAnsi="Times New Roman" w:cs="Times New Roman"/>
                <w:color w:val="000000" w:themeColor="text1"/>
                <w:sz w:val="24"/>
                <w:szCs w:val="21"/>
                <w:highlight w:val="none"/>
                <w14:textFill>
                  <w14:solidFill>
                    <w14:schemeClr w14:val="tx1"/>
                  </w14:solidFill>
                </w14:textFill>
              </w:rPr>
              <w:t>城镇开发边界</w:t>
            </w:r>
            <w:r>
              <w:rPr>
                <w:rFonts w:hint="default" w:ascii="Times New Roman" w:hAnsi="Times New Roman" w:cs="Times New Roman"/>
                <w:color w:val="000000" w:themeColor="text1"/>
                <w:sz w:val="24"/>
                <w:szCs w:val="21"/>
                <w:highlight w:val="none"/>
                <w:lang w:val="en-US" w:eastAsia="zh-CN"/>
                <w14:textFill>
                  <w14:solidFill>
                    <w14:schemeClr w14:val="tx1"/>
                  </w14:solidFill>
                </w14:textFill>
              </w:rPr>
              <w:t>范围内</w:t>
            </w:r>
            <w:r>
              <w:rPr>
                <w:rFonts w:hint="default" w:ascii="Times New Roman" w:hAnsi="Times New Roman" w:cs="Times New Roman"/>
                <w:color w:val="000000" w:themeColor="text1"/>
                <w:sz w:val="24"/>
                <w:szCs w:val="21"/>
                <w:highlight w:val="none"/>
                <w:lang w:eastAsia="zh-CN"/>
                <w14:textFill>
                  <w14:solidFill>
                    <w14:schemeClr w14:val="tx1"/>
                  </w14:solidFill>
                </w14:textFill>
              </w:rPr>
              <w:t>。</w:t>
            </w:r>
            <w:r>
              <w:rPr>
                <w:rFonts w:hint="default" w:ascii="Times New Roman" w:hAnsi="Times New Roman" w:cs="Times New Roman"/>
                <w:color w:val="000000" w:themeColor="text1"/>
                <w:sz w:val="24"/>
                <w:szCs w:val="21"/>
                <w:highlight w:val="none"/>
                <w14:textFill>
                  <w14:solidFill>
                    <w14:schemeClr w14:val="tx1"/>
                  </w14:solidFill>
                </w14:textFill>
              </w:rPr>
              <w:t>综上，本项目建设</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符合</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《福州市国土空间总体规划（2021-2035年）》</w:t>
            </w:r>
            <w:r>
              <w:rPr>
                <w:rFonts w:hint="default" w:ascii="Times New Roman" w:hAnsi="Times New Roman" w:cs="Times New Roman"/>
                <w:color w:val="000000" w:themeColor="text1"/>
                <w:sz w:val="24"/>
                <w:szCs w:val="21"/>
                <w:highlight w:val="none"/>
                <w14:textFill>
                  <w14:solidFill>
                    <w14:schemeClr w14:val="tx1"/>
                  </w14:solidFill>
                </w14:textFill>
              </w:rPr>
              <w:t>《</w:t>
            </w:r>
            <w:r>
              <w:rPr>
                <w:rFonts w:hint="default" w:ascii="Times New Roman" w:hAnsi="Times New Roman" w:cs="Times New Roman"/>
                <w:color w:val="000000" w:themeColor="text1"/>
                <w:sz w:val="24"/>
                <w:szCs w:val="21"/>
                <w:highlight w:val="none"/>
                <w:lang w:eastAsia="zh-CN"/>
                <w14:textFill>
                  <w14:solidFill>
                    <w14:schemeClr w14:val="tx1"/>
                  </w14:solidFill>
                </w14:textFill>
              </w:rPr>
              <w:t>闽侯县</w:t>
            </w:r>
            <w:r>
              <w:rPr>
                <w:rFonts w:hint="default" w:ascii="Times New Roman" w:hAnsi="Times New Roman" w:cs="Times New Roman"/>
                <w:color w:val="000000" w:themeColor="text1"/>
                <w:sz w:val="24"/>
                <w:szCs w:val="21"/>
                <w:highlight w:val="none"/>
                <w14:textFill>
                  <w14:solidFill>
                    <w14:schemeClr w14:val="tx1"/>
                  </w14:solidFill>
                </w14:textFill>
              </w:rPr>
              <w:t>国土空间总体规划（2021-2035年）》</w:t>
            </w:r>
            <w:r>
              <w:rPr>
                <w:rFonts w:hint="eastAsia" w:ascii="Times New Roman" w:hAnsi="Times New Roman" w:cs="Times New Roman"/>
                <w:color w:val="000000" w:themeColor="text1"/>
                <w:sz w:val="24"/>
                <w:szCs w:val="21"/>
                <w:highlight w:val="none"/>
                <w:lang w:val="en-US" w:eastAsia="zh-CN"/>
                <w14:textFill>
                  <w14:solidFill>
                    <w14:schemeClr w14:val="tx1"/>
                  </w14:solidFill>
                </w14:textFill>
              </w:rPr>
              <w:t>的要求</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w:t>
            </w:r>
          </w:p>
          <w:p w14:paraId="193FE967">
            <w:pPr>
              <w:autoSpaceDE w:val="0"/>
              <w:autoSpaceDN w:val="0"/>
              <w:adjustRightInd w:val="0"/>
              <w:spacing w:line="360" w:lineRule="auto"/>
              <w:jc w:val="left"/>
              <w:rPr>
                <w:rFonts w:hint="default" w:ascii="Times New Roman" w:hAnsi="Times New Roman" w:cs="Times New Roman"/>
                <w:color w:val="000000" w:themeColor="text1"/>
                <w:kern w:val="0"/>
                <w:sz w:val="24"/>
                <w:szCs w:val="21"/>
                <w:highlight w:val="none"/>
                <w14:textFill>
                  <w14:solidFill>
                    <w14:schemeClr w14:val="tx1"/>
                  </w14:solidFill>
                </w14:textFill>
              </w:rPr>
            </w:pPr>
            <w:r>
              <w:rPr>
                <w:rFonts w:hint="default" w:ascii="Times New Roman" w:hAnsi="Times New Roman" w:cs="Times New Roman"/>
                <w:b/>
                <w:bCs/>
                <w:color w:val="000000" w:themeColor="text1"/>
                <w:kern w:val="0"/>
                <w:sz w:val="24"/>
                <w:szCs w:val="21"/>
                <w:highlight w:val="none"/>
                <w14:textFill>
                  <w14:solidFill>
                    <w14:schemeClr w14:val="tx1"/>
                  </w14:solidFill>
                </w14:textFill>
              </w:rPr>
              <w:t>1.1.</w:t>
            </w:r>
            <w:r>
              <w:rPr>
                <w:rFonts w:hint="eastAsia" w:cs="Times New Roman"/>
                <w:b/>
                <w:bCs/>
                <w:color w:val="000000" w:themeColor="text1"/>
                <w:kern w:val="0"/>
                <w:sz w:val="24"/>
                <w:szCs w:val="21"/>
                <w:highlight w:val="none"/>
                <w:lang w:val="en-US" w:eastAsia="zh-CN"/>
                <w14:textFill>
                  <w14:solidFill>
                    <w14:schemeClr w14:val="tx1"/>
                  </w14:solidFill>
                </w14:textFill>
              </w:rPr>
              <w:t>2</w:t>
            </w:r>
            <w:r>
              <w:rPr>
                <w:rFonts w:hint="default" w:ascii="Times New Roman" w:hAnsi="Times New Roman" w:cs="Times New Roman"/>
                <w:b/>
                <w:bCs/>
                <w:color w:val="000000" w:themeColor="text1"/>
                <w:kern w:val="0"/>
                <w:sz w:val="24"/>
                <w:szCs w:val="21"/>
                <w:highlight w:val="none"/>
                <w14:textFill>
                  <w14:solidFill>
                    <w14:schemeClr w14:val="tx1"/>
                  </w14:solidFill>
                </w14:textFill>
              </w:rPr>
              <w:t xml:space="preserve"> 与《闽侯县青口镇总体规划(2010-2030)》符合性分析</w:t>
            </w:r>
          </w:p>
          <w:p w14:paraId="17D1B259">
            <w:pPr>
              <w:autoSpaceDE w:val="0"/>
              <w:autoSpaceDN w:val="0"/>
              <w:adjustRightInd w:val="0"/>
              <w:spacing w:line="360" w:lineRule="auto"/>
              <w:ind w:firstLine="480" w:firstLineChars="200"/>
              <w:jc w:val="both"/>
              <w:rPr>
                <w:rFonts w:hint="eastAsia" w:ascii="宋体" w:hAnsi="宋体" w:eastAsia="宋体" w:cs="宋体"/>
                <w:color w:val="000000" w:themeColor="text1"/>
                <w:kern w:val="0"/>
                <w:sz w:val="24"/>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根据《闽侯县青口镇总体规划》</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福州中心城区汽车城分区规划青口片</w:t>
            </w:r>
            <w:r>
              <w:rPr>
                <w:rFonts w:hint="default" w:ascii="Times New Roman" w:hAnsi="Times New Roman" w:eastAsia="宋体" w:cs="Times New Roman"/>
                <w:color w:val="000000" w:themeColor="text1"/>
                <w:kern w:val="0"/>
                <w:sz w:val="24"/>
                <w:szCs w:val="21"/>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kern w:val="0"/>
                <w:sz w:val="24"/>
                <w:szCs w:val="21"/>
                <w:highlight w:val="none"/>
                <w14:textFill>
                  <w14:solidFill>
                    <w14:schemeClr w14:val="tx1"/>
                  </w14:solidFill>
                </w14:textFill>
              </w:rPr>
              <w:t>2010-2030)</w:t>
            </w:r>
            <w:r>
              <w:rPr>
                <w:rFonts w:hint="default" w:ascii="Times New Roman" w:hAnsi="Times New Roman" w:eastAsia="宋体" w:cs="Times New Roman"/>
                <w:color w:val="000000" w:themeColor="text1"/>
                <w:kern w:val="0"/>
                <w:sz w:val="24"/>
                <w:szCs w:val="21"/>
                <w:highlight w:val="none"/>
                <w:lang w:eastAsia="zh-CN"/>
                <w14:textFill>
                  <w14:solidFill>
                    <w14:schemeClr w14:val="tx1"/>
                  </w14:solidFill>
                </w14:textFill>
              </w:rPr>
              <w:t>，</w:t>
            </w:r>
            <w:r>
              <w:rPr>
                <w:rFonts w:hint="eastAsia" w:ascii="宋体" w:hAnsi="宋体" w:eastAsia="宋体" w:cs="宋体"/>
                <w:color w:val="000000" w:themeColor="text1"/>
                <w:kern w:val="0"/>
                <w:sz w:val="24"/>
                <w:szCs w:val="21"/>
                <w:highlight w:val="none"/>
                <w14:textFill>
                  <w14:solidFill>
                    <w14:schemeClr w14:val="tx1"/>
                  </w14:solidFill>
                </w14:textFill>
              </w:rPr>
              <w:t>“青口汽车城园区功能定位为汽车整车生产园区、零部件生产区、总成配套产业园区、精细化工、再生材料产业区、新兴物流园区、汽车服务贸易区、综合性汽车销售展示服务区、汽车产业研发教育区、汽车配套产业区、综合配套产业区和休闲旅游度假区等多个组团”</w:t>
            </w:r>
            <w:r>
              <w:rPr>
                <w:rFonts w:hint="eastAsia" w:ascii="宋体" w:hAnsi="宋体" w:eastAsia="宋体" w:cs="宋体"/>
                <w:color w:val="000000" w:themeColor="text1"/>
                <w:kern w:val="0"/>
                <w:sz w:val="24"/>
                <w:szCs w:val="21"/>
                <w:highlight w:val="none"/>
                <w:lang w:eastAsia="zh-CN"/>
                <w14:textFill>
                  <w14:solidFill>
                    <w14:schemeClr w14:val="tx1"/>
                  </w14:solidFill>
                </w14:textFill>
              </w:rPr>
              <w:t>；</w:t>
            </w:r>
            <w:r>
              <w:rPr>
                <w:rFonts w:hint="eastAsia" w:ascii="宋体" w:hAnsi="宋体" w:eastAsia="宋体" w:cs="宋体"/>
                <w:color w:val="000000" w:themeColor="text1"/>
                <w:kern w:val="0"/>
                <w:sz w:val="24"/>
                <w:szCs w:val="21"/>
                <w:highlight w:val="none"/>
                <w14:textFill>
                  <w14:solidFill>
                    <w14:schemeClr w14:val="tx1"/>
                  </w14:solidFill>
                </w14:textFill>
              </w:rPr>
              <w:t>“土地功能定位为二类工业用地”</w:t>
            </w:r>
            <w:r>
              <w:rPr>
                <w:rFonts w:hint="eastAsia" w:ascii="宋体" w:hAnsi="宋体" w:eastAsia="宋体" w:cs="宋体"/>
                <w:color w:val="000000" w:themeColor="text1"/>
                <w:kern w:val="0"/>
                <w:sz w:val="24"/>
                <w:szCs w:val="21"/>
                <w:highlight w:val="none"/>
                <w:lang w:eastAsia="zh-CN"/>
                <w14:textFill>
                  <w14:solidFill>
                    <w14:schemeClr w14:val="tx1"/>
                  </w14:solidFill>
                </w14:textFill>
              </w:rPr>
              <w:t>；</w:t>
            </w:r>
            <w:r>
              <w:rPr>
                <w:rFonts w:hint="eastAsia" w:ascii="宋体" w:hAnsi="宋体" w:eastAsia="宋体" w:cs="宋体"/>
                <w:color w:val="000000" w:themeColor="text1"/>
                <w:kern w:val="0"/>
                <w:sz w:val="24"/>
                <w:szCs w:val="21"/>
                <w:highlight w:val="none"/>
                <w14:textFill>
                  <w14:solidFill>
                    <w14:schemeClr w14:val="tx1"/>
                  </w14:solidFill>
                </w14:textFill>
              </w:rPr>
              <w:t>“零部件产业区位于中心绿轴西侧、整车生产区南部及东西台组团。联合形成汽车零部件产业集群的规模发展”</w:t>
            </w:r>
            <w:r>
              <w:rPr>
                <w:rFonts w:hint="eastAsia" w:ascii="宋体" w:hAnsi="宋体" w:eastAsia="宋体" w:cs="宋体"/>
                <w:color w:val="000000" w:themeColor="text1"/>
                <w:kern w:val="0"/>
                <w:sz w:val="24"/>
                <w:szCs w:val="21"/>
                <w:highlight w:val="none"/>
                <w:lang w:eastAsia="zh-CN"/>
                <w14:textFill>
                  <w14:solidFill>
                    <w14:schemeClr w14:val="tx1"/>
                  </w14:solidFill>
                </w14:textFill>
              </w:rPr>
              <w:t>。</w:t>
            </w:r>
          </w:p>
          <w:p w14:paraId="53723FDC">
            <w:pPr>
              <w:autoSpaceDE w:val="0"/>
              <w:autoSpaceDN w:val="0"/>
              <w:adjustRightInd w:val="0"/>
              <w:spacing w:line="360" w:lineRule="auto"/>
              <w:ind w:firstLine="480" w:firstLineChars="200"/>
              <w:jc w:val="both"/>
              <w:rPr>
                <w:rFonts w:hint="default" w:ascii="Times New Roman" w:hAnsi="Times New Roman" w:cs="Times New Roman"/>
                <w:color w:val="000000" w:themeColor="text1"/>
                <w:kern w:val="0"/>
                <w:sz w:val="24"/>
                <w:szCs w:val="21"/>
                <w:highlight w:val="none"/>
                <w14:textFill>
                  <w14:solidFill>
                    <w14:schemeClr w14:val="tx1"/>
                  </w14:solidFill>
                </w14:textFill>
              </w:rPr>
            </w:pPr>
            <w:r>
              <w:rPr>
                <w:rFonts w:hint="default" w:ascii="Times New Roman" w:hAnsi="Times New Roman" w:cs="Times New Roman"/>
                <w:color w:val="000000" w:themeColor="text1"/>
                <w:kern w:val="0"/>
                <w:sz w:val="24"/>
                <w:szCs w:val="21"/>
                <w:highlight w:val="none"/>
                <w14:textFill>
                  <w14:solidFill>
                    <w14:schemeClr w14:val="tx1"/>
                  </w14:solidFill>
                </w14:textFill>
              </w:rPr>
              <w:t>本项目</w:t>
            </w:r>
            <w:r>
              <w:rPr>
                <w:rFonts w:hint="eastAsia" w:ascii="Times New Roman" w:hAnsi="Times New Roman" w:cs="Times New Roman"/>
                <w:color w:val="000000" w:themeColor="text1"/>
                <w:kern w:val="0"/>
                <w:sz w:val="24"/>
                <w:szCs w:val="21"/>
                <w:highlight w:val="none"/>
                <w:lang w:val="en-US" w:eastAsia="zh-CN"/>
                <w14:textFill>
                  <w14:solidFill>
                    <w14:schemeClr w14:val="tx1"/>
                  </w14:solidFill>
                </w14:textFill>
              </w:rPr>
              <w:t>位于</w:t>
            </w:r>
            <w:r>
              <w:rPr>
                <w:rFonts w:hint="default" w:ascii="Times New Roman" w:hAnsi="Times New Roman" w:cs="Times New Roman"/>
                <w:color w:val="000000" w:themeColor="text1"/>
                <w:kern w:val="0"/>
                <w:sz w:val="24"/>
                <w:szCs w:val="21"/>
                <w:highlight w:val="none"/>
                <w14:textFill>
                  <w14:solidFill>
                    <w14:schemeClr w14:val="tx1"/>
                  </w14:solidFill>
                </w14:textFill>
              </w:rPr>
              <w:t>青口汽车城园区</w:t>
            </w:r>
            <w:r>
              <w:rPr>
                <w:rFonts w:hint="eastAsia" w:cs="Times New Roman"/>
                <w:color w:val="000000" w:themeColor="text1"/>
                <w:kern w:val="0"/>
                <w:sz w:val="24"/>
                <w:szCs w:val="21"/>
                <w:highlight w:val="none"/>
                <w:lang w:eastAsia="zh-CN"/>
                <w14:textFill>
                  <w14:solidFill>
                    <w14:schemeClr w14:val="tx1"/>
                  </w14:solidFill>
                </w14:textFill>
              </w:rPr>
              <w:t>，</w:t>
            </w:r>
            <w:r>
              <w:rPr>
                <w:rFonts w:hint="eastAsia" w:cs="Times New Roman"/>
                <w:color w:val="000000" w:themeColor="text1"/>
                <w:kern w:val="0"/>
                <w:sz w:val="24"/>
                <w:szCs w:val="21"/>
                <w:highlight w:val="none"/>
                <w:lang w:val="en-US" w:eastAsia="zh-CN"/>
                <w14:textFill>
                  <w14:solidFill>
                    <w14:schemeClr w14:val="tx1"/>
                  </w14:solidFill>
                </w14:textFill>
              </w:rPr>
              <w:t>生产的是车载塑料袋，为汽车配套生产制造项目，选址符合《闽侯县青口镇总体规划》(福州中心城区汽车城分区规划青口片区)(2010-2030)。</w:t>
            </w:r>
          </w:p>
          <w:p w14:paraId="38B0F6FC">
            <w:pPr>
              <w:autoSpaceDE w:val="0"/>
              <w:autoSpaceDN w:val="0"/>
              <w:adjustRightInd w:val="0"/>
              <w:spacing w:line="360" w:lineRule="auto"/>
              <w:jc w:val="left"/>
              <w:rPr>
                <w:rFonts w:hint="eastAsia" w:ascii="Times New Roman" w:hAnsi="Times New Roman" w:cs="Times New Roman"/>
                <w:b/>
                <w:bCs/>
                <w:color w:val="000000" w:themeColor="text1"/>
                <w:kern w:val="0"/>
                <w:sz w:val="24"/>
                <w:szCs w:val="21"/>
                <w:highlight w:val="none"/>
                <w14:textFill>
                  <w14:solidFill>
                    <w14:schemeClr w14:val="tx1"/>
                  </w14:solidFill>
                </w14:textFill>
              </w:rPr>
            </w:pPr>
            <w:r>
              <w:rPr>
                <w:rFonts w:hint="eastAsia" w:ascii="Times New Roman" w:hAnsi="Times New Roman" w:cs="Times New Roman"/>
                <w:b/>
                <w:bCs/>
                <w:color w:val="000000" w:themeColor="text1"/>
                <w:kern w:val="0"/>
                <w:sz w:val="24"/>
                <w:szCs w:val="21"/>
                <w:highlight w:val="none"/>
                <w14:textFill>
                  <w14:solidFill>
                    <w14:schemeClr w14:val="tx1"/>
                  </w14:solidFill>
                </w14:textFill>
              </w:rPr>
              <w:t>1.1.</w:t>
            </w:r>
            <w:r>
              <w:rPr>
                <w:rFonts w:hint="eastAsia" w:cs="Times New Roman"/>
                <w:b/>
                <w:bCs/>
                <w:color w:val="000000" w:themeColor="text1"/>
                <w:kern w:val="0"/>
                <w:sz w:val="24"/>
                <w:szCs w:val="21"/>
                <w:highlight w:val="none"/>
                <w:lang w:val="en-US" w:eastAsia="zh-CN"/>
                <w14:textFill>
                  <w14:solidFill>
                    <w14:schemeClr w14:val="tx1"/>
                  </w14:solidFill>
                </w14:textFill>
              </w:rPr>
              <w:t>3</w:t>
            </w:r>
            <w:r>
              <w:rPr>
                <w:rFonts w:hint="eastAsia" w:ascii="Times New Roman" w:hAnsi="Times New Roman" w:cs="Times New Roman"/>
                <w:b/>
                <w:bCs/>
                <w:color w:val="000000" w:themeColor="text1"/>
                <w:kern w:val="0"/>
                <w:sz w:val="24"/>
                <w:szCs w:val="21"/>
                <w:highlight w:val="none"/>
                <w14:textFill>
                  <w14:solidFill>
                    <w14:schemeClr w14:val="tx1"/>
                  </w14:solidFill>
                </w14:textFill>
              </w:rPr>
              <w:t>与《青口汽车城控制性详细规划》符合性分析</w:t>
            </w:r>
          </w:p>
          <w:p w14:paraId="1773C125">
            <w:pPr>
              <w:autoSpaceDE w:val="0"/>
              <w:autoSpaceDN w:val="0"/>
              <w:adjustRightInd w:val="0"/>
              <w:spacing w:line="360" w:lineRule="auto"/>
              <w:ind w:firstLine="480" w:firstLineChars="200"/>
              <w:jc w:val="left"/>
              <w:rPr>
                <w:rFonts w:hint="eastAsia" w:ascii="宋体" w:cs="宋体"/>
                <w:color w:val="000000" w:themeColor="text1"/>
                <w:kern w:val="0"/>
                <w:sz w:val="24"/>
                <w:szCs w:val="21"/>
                <w:highlight w:val="none"/>
                <w14:textFill>
                  <w14:solidFill>
                    <w14:schemeClr w14:val="tx1"/>
                  </w14:solidFill>
                </w14:textFill>
              </w:rPr>
            </w:pPr>
            <w:r>
              <w:rPr>
                <w:rFonts w:hint="eastAsia" w:ascii="宋体" w:cs="宋体"/>
                <w:color w:val="000000" w:themeColor="text1"/>
                <w:kern w:val="0"/>
                <w:sz w:val="24"/>
                <w:szCs w:val="21"/>
                <w:highlight w:val="none"/>
                <w14:textFill>
                  <w14:solidFill>
                    <w14:schemeClr w14:val="tx1"/>
                  </w14:solidFill>
                </w14:textFill>
              </w:rPr>
              <w:t>根据《青口汽车城控制性详细规划》的相关内容，青口汽车城发展定位为中国东南部，以汽车产业为主导的现代化、综合性汽车新城。</w:t>
            </w:r>
          </w:p>
          <w:p w14:paraId="253DF5AD">
            <w:pPr>
              <w:autoSpaceDE w:val="0"/>
              <w:autoSpaceDN w:val="0"/>
              <w:adjustRightInd w:val="0"/>
              <w:spacing w:line="360" w:lineRule="auto"/>
              <w:ind w:firstLine="480" w:firstLineChars="200"/>
              <w:jc w:val="left"/>
              <w:rPr>
                <w:rFonts w:hint="eastAsia" w:ascii="宋体" w:cs="宋体"/>
                <w:color w:val="000000" w:themeColor="text1"/>
                <w:kern w:val="0"/>
                <w:sz w:val="24"/>
                <w:szCs w:val="21"/>
                <w:highlight w:val="none"/>
                <w14:textFill>
                  <w14:solidFill>
                    <w14:schemeClr w14:val="tx1"/>
                  </w14:solidFill>
                </w14:textFill>
              </w:rPr>
            </w:pPr>
            <w:r>
              <w:rPr>
                <w:rFonts w:hint="eastAsia" w:ascii="宋体" w:cs="宋体"/>
                <w:color w:val="000000" w:themeColor="text1"/>
                <w:kern w:val="0"/>
                <w:sz w:val="24"/>
                <w:szCs w:val="21"/>
                <w:highlight w:val="none"/>
                <w14:textFill>
                  <w14:solidFill>
                    <w14:schemeClr w14:val="tx1"/>
                  </w14:solidFill>
                </w14:textFill>
              </w:rPr>
              <w:t>规划形成“一心、三廊道、四组团”的规划结构，其中，汽车核心产业组团:依托现有汽车产业，发展以整车制造组装产业为主，零配件生产为辅的汽车制造组装中心产业区。内部少量与汽车产业无关的以及村办企业逐渐搬迁整合升级为与汽车相关产业。提升中心工业区产能。以千家山及周边居住用地为配套服务中心。</w:t>
            </w:r>
          </w:p>
          <w:p w14:paraId="40758803">
            <w:pPr>
              <w:autoSpaceDE w:val="0"/>
              <w:autoSpaceDN w:val="0"/>
              <w:adjustRightInd w:val="0"/>
              <w:spacing w:line="360" w:lineRule="auto"/>
              <w:ind w:firstLine="480" w:firstLineChars="200"/>
              <w:jc w:val="left"/>
              <w:rPr>
                <w:rFonts w:ascii="宋体" w:cs="宋体"/>
                <w:color w:val="000000" w:themeColor="text1"/>
                <w:kern w:val="0"/>
                <w:sz w:val="24"/>
                <w:szCs w:val="21"/>
                <w:highlight w:val="none"/>
                <w14:textFill>
                  <w14:solidFill>
                    <w14:schemeClr w14:val="tx1"/>
                  </w14:solidFill>
                </w14:textFill>
              </w:rPr>
            </w:pPr>
            <w:r>
              <w:rPr>
                <w:rFonts w:hint="eastAsia" w:ascii="宋体" w:cs="宋体"/>
                <w:color w:val="000000" w:themeColor="text1"/>
                <w:kern w:val="0"/>
                <w:sz w:val="24"/>
                <w:szCs w:val="21"/>
                <w:highlight w:val="none"/>
                <w14:textFill>
                  <w14:solidFill>
                    <w14:schemeClr w14:val="tx1"/>
                  </w14:solidFill>
                </w14:textFill>
              </w:rPr>
              <w:t>本</w:t>
            </w:r>
            <w:r>
              <w:rPr>
                <w:rFonts w:hint="eastAsia" w:ascii="宋体" w:cs="宋体"/>
                <w:color w:val="000000" w:themeColor="text1"/>
                <w:kern w:val="0"/>
                <w:sz w:val="24"/>
                <w:szCs w:val="21"/>
                <w:highlight w:val="none"/>
                <w:lang w:eastAsia="zh-CN"/>
                <w14:textFill>
                  <w14:solidFill>
                    <w14:schemeClr w14:val="tx1"/>
                  </w14:solidFill>
                </w14:textFill>
              </w:rPr>
              <w:t>项目</w:t>
            </w:r>
            <w:r>
              <w:rPr>
                <w:rFonts w:hint="eastAsia" w:ascii="Times New Roman" w:hAnsi="Times New Roman" w:cs="Times New Roman"/>
                <w:color w:val="000000" w:themeColor="text1"/>
                <w:kern w:val="0"/>
                <w:sz w:val="24"/>
                <w:szCs w:val="21"/>
                <w:highlight w:val="none"/>
                <w:lang w:val="en-US" w:eastAsia="zh-CN"/>
                <w14:textFill>
                  <w14:solidFill>
                    <w14:schemeClr w14:val="tx1"/>
                  </w14:solidFill>
                </w14:textFill>
              </w:rPr>
              <w:t>位于</w:t>
            </w:r>
            <w:r>
              <w:rPr>
                <w:rFonts w:hint="eastAsia" w:ascii="宋体" w:cs="宋体"/>
                <w:color w:val="000000" w:themeColor="text1"/>
                <w:kern w:val="0"/>
                <w:sz w:val="24"/>
                <w:szCs w:val="21"/>
                <w:highlight w:val="none"/>
                <w14:textFill>
                  <w14:solidFill>
                    <w14:schemeClr w14:val="tx1"/>
                  </w14:solidFill>
                </w14:textFill>
              </w:rPr>
              <w:t>青口汽车城汽车核心产业组团内</w:t>
            </w:r>
            <w:r>
              <w:rPr>
                <w:rFonts w:hint="eastAsia"/>
                <w:color w:val="000000" w:themeColor="text1"/>
                <w:sz w:val="24"/>
                <w:szCs w:val="32"/>
                <w:highlight w:val="none"/>
                <w:lang w:eastAsia="zh-CN"/>
                <w14:textFill>
                  <w14:solidFill>
                    <w14:schemeClr w14:val="tx1"/>
                  </w14:solidFill>
                </w14:textFill>
              </w:rPr>
              <w:t>（</w:t>
            </w:r>
            <w:r>
              <w:rPr>
                <w:rFonts w:hint="eastAsia"/>
                <w:color w:val="000000" w:themeColor="text1"/>
                <w:sz w:val="24"/>
                <w:szCs w:val="32"/>
                <w:highlight w:val="none"/>
                <w:lang w:val="en-US" w:eastAsia="zh-CN"/>
                <w14:textFill>
                  <w14:solidFill>
                    <w14:schemeClr w14:val="tx1"/>
                  </w14:solidFill>
                </w14:textFill>
              </w:rPr>
              <w:t>附图2</w:t>
            </w:r>
            <w:r>
              <w:rPr>
                <w:rFonts w:hint="eastAsia"/>
                <w:color w:val="000000" w:themeColor="text1"/>
                <w:sz w:val="24"/>
                <w:szCs w:val="32"/>
                <w:highlight w:val="none"/>
                <w:lang w:eastAsia="zh-CN"/>
                <w14:textFill>
                  <w14:solidFill>
                    <w14:schemeClr w14:val="tx1"/>
                  </w14:solidFill>
                </w14:textFill>
              </w:rPr>
              <w:t>）</w:t>
            </w:r>
            <w:r>
              <w:rPr>
                <w:rFonts w:hint="eastAsia" w:cs="Times New Roman"/>
                <w:color w:val="000000" w:themeColor="text1"/>
                <w:kern w:val="0"/>
                <w:sz w:val="24"/>
                <w:szCs w:val="21"/>
                <w:highlight w:val="none"/>
                <w:lang w:eastAsia="zh-CN"/>
                <w14:textFill>
                  <w14:solidFill>
                    <w14:schemeClr w14:val="tx1"/>
                  </w14:solidFill>
                </w14:textFill>
              </w:rPr>
              <w:t>，</w:t>
            </w:r>
            <w:r>
              <w:rPr>
                <w:rFonts w:hint="eastAsia" w:cs="Times New Roman"/>
                <w:color w:val="000000" w:themeColor="text1"/>
                <w:kern w:val="0"/>
                <w:sz w:val="24"/>
                <w:szCs w:val="21"/>
                <w:highlight w:val="none"/>
                <w:lang w:val="en-US" w:eastAsia="zh-CN"/>
                <w14:textFill>
                  <w14:solidFill>
                    <w14:schemeClr w14:val="tx1"/>
                  </w14:solidFill>
                </w14:textFill>
              </w:rPr>
              <w:t>生产的是车载塑料袋，为汽车配套生产制造项目，</w:t>
            </w:r>
            <w:r>
              <w:rPr>
                <w:rFonts w:hint="eastAsia" w:ascii="宋体" w:cs="宋体"/>
                <w:color w:val="000000" w:themeColor="text1"/>
                <w:kern w:val="0"/>
                <w:sz w:val="24"/>
                <w:szCs w:val="21"/>
                <w:highlight w:val="none"/>
                <w14:textFill>
                  <w14:solidFill>
                    <w14:schemeClr w14:val="tx1"/>
                  </w14:solidFill>
                </w14:textFill>
              </w:rPr>
              <w:t>符合《青口汽车城控制性详细规划》的相关要求。</w:t>
            </w:r>
          </w:p>
          <w:p w14:paraId="77EFA4E4">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1.2</w:t>
            </w:r>
            <w:r>
              <w:rPr>
                <w:rFonts w:hint="eastAsia"/>
                <w:color w:val="000000" w:themeColor="text1"/>
                <w:sz w:val="24"/>
                <w:szCs w:val="21"/>
                <w:highlight w:val="none"/>
                <w14:textFill>
                  <w14:solidFill>
                    <w14:schemeClr w14:val="tx1"/>
                  </w14:solidFill>
                </w14:textFill>
              </w:rPr>
              <w:t>与规划环评符合性分析</w:t>
            </w:r>
          </w:p>
          <w:p w14:paraId="159BB85D">
            <w:pPr>
              <w:autoSpaceDE w:val="0"/>
              <w:autoSpaceDN w:val="0"/>
              <w:adjustRightInd w:val="0"/>
              <w:spacing w:line="360" w:lineRule="auto"/>
              <w:ind w:firstLine="480" w:firstLineChars="200"/>
              <w:jc w:val="left"/>
              <w:rPr>
                <w:rFonts w:hint="eastAsia" w:ascii="宋体" w:eastAsia="宋体" w:cs="宋体"/>
                <w:color w:val="000000" w:themeColor="text1"/>
                <w:kern w:val="0"/>
                <w:sz w:val="24"/>
                <w:szCs w:val="21"/>
                <w:highlight w:val="none"/>
                <w:lang w:eastAsia="zh-CN"/>
                <w14:textFill>
                  <w14:solidFill>
                    <w14:schemeClr w14:val="tx1"/>
                  </w14:solidFill>
                </w14:textFill>
              </w:rPr>
            </w:pPr>
            <w:r>
              <w:rPr>
                <w:rFonts w:hint="eastAsia" w:ascii="宋体" w:cs="宋体"/>
                <w:color w:val="000000" w:themeColor="text1"/>
                <w:kern w:val="0"/>
                <w:sz w:val="24"/>
                <w:szCs w:val="21"/>
                <w:highlight w:val="none"/>
                <w14:textFill>
                  <w14:solidFill>
                    <w14:schemeClr w14:val="tx1"/>
                  </w14:solidFill>
                </w14:textFill>
              </w:rPr>
              <w:t>根据《福州青口投资区环境影响报告书》及审查意见要求:“同意按照福州市青口投资区建设领导小组办公室提出的福州青口投资区环境质量标准、污染物排放标准和主要污染物排放总量控制要求。请福州市青口投资区建设领导小组办公室加强对投资区的环境监管力度，严格控制入区项目”</w:t>
            </w:r>
            <w:r>
              <w:rPr>
                <w:rFonts w:hint="eastAsia" w:ascii="宋体" w:cs="宋体"/>
                <w:color w:val="000000" w:themeColor="text1"/>
                <w:kern w:val="0"/>
                <w:sz w:val="24"/>
                <w:szCs w:val="21"/>
                <w:highlight w:val="none"/>
                <w:lang w:eastAsia="zh-CN"/>
                <w14:textFill>
                  <w14:solidFill>
                    <w14:schemeClr w14:val="tx1"/>
                  </w14:solidFill>
                </w14:textFill>
              </w:rPr>
              <w:t>。</w:t>
            </w:r>
          </w:p>
          <w:p w14:paraId="551DE2BF">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szCs w:val="21"/>
                <w:highlight w:val="none"/>
                <w14:textFill>
                  <w14:solidFill>
                    <w14:schemeClr w14:val="tx1"/>
                  </w14:solidFill>
                </w14:textFill>
              </w:rPr>
            </w:pPr>
            <w:r>
              <w:rPr>
                <w:rFonts w:hint="default" w:ascii="Times New Roman" w:hAnsi="Times New Roman" w:cs="Times New Roman"/>
                <w:color w:val="000000" w:themeColor="text1"/>
                <w:kern w:val="0"/>
                <w:sz w:val="24"/>
                <w:szCs w:val="21"/>
                <w:highlight w:val="none"/>
                <w14:textFill>
                  <w14:solidFill>
                    <w14:schemeClr w14:val="tx1"/>
                  </w14:solidFill>
                </w14:textFill>
              </w:rPr>
              <w:t>根据规划环评及跟踪规划环评中产业政策要求</w:t>
            </w:r>
            <w:r>
              <w:rPr>
                <w:rFonts w:hint="eastAsia" w:ascii="Times New Roman" w:hAnsi="Times New Roman" w:cs="Times New Roman"/>
                <w:color w:val="000000" w:themeColor="text1"/>
                <w:kern w:val="0"/>
                <w:sz w:val="24"/>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1"/>
                <w:highlight w:val="none"/>
                <w14:textFill>
                  <w14:solidFill>
                    <w14:schemeClr w14:val="tx1"/>
                  </w14:solidFill>
                </w14:textFill>
              </w:rPr>
              <w:t>禁止在规划区及其上游汇水区域内新建畜禽养殖项目，现有的畜禽养殖项目应在规划中期内全部搬迁取缔。对于电子、食品、轻工、石材、建材(主要指的是粉磨站管桩制造)等现有行业应限制其生产规模和用地规模的进一步扩大，规划区内限制新建此类项目，鼓励与汽车工业、汽车零配件加工等机械加工行业相关的产业进入规划区，鼓励发展循环经济</w:t>
            </w:r>
            <w:r>
              <w:rPr>
                <w:rFonts w:hint="eastAsia" w:ascii="Times New Roman" w:hAnsi="Times New Roman" w:cs="Times New Roman"/>
                <w:color w:val="000000" w:themeColor="text1"/>
                <w:kern w:val="0"/>
                <w:sz w:val="24"/>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1"/>
                <w:highlight w:val="none"/>
                <w14:textFill>
                  <w14:solidFill>
                    <w14:schemeClr w14:val="tx1"/>
                  </w14:solidFill>
                </w14:textFill>
              </w:rPr>
              <w:t>。</w:t>
            </w:r>
          </w:p>
          <w:p w14:paraId="3019ED7A">
            <w:pPr>
              <w:autoSpaceDE w:val="0"/>
              <w:autoSpaceDN w:val="0"/>
              <w:adjustRightInd w:val="0"/>
              <w:spacing w:line="360" w:lineRule="auto"/>
              <w:ind w:firstLine="480" w:firstLineChars="200"/>
              <w:jc w:val="left"/>
              <w:rPr>
                <w:rFonts w:hint="default" w:ascii="Times New Roman" w:hAnsi="Times New Roman" w:cs="Times New Roman"/>
                <w:color w:val="000000" w:themeColor="text1"/>
                <w:kern w:val="0"/>
                <w:sz w:val="24"/>
                <w:szCs w:val="21"/>
                <w:highlight w:val="none"/>
                <w14:textFill>
                  <w14:solidFill>
                    <w14:schemeClr w14:val="tx1"/>
                  </w14:solidFill>
                </w14:textFill>
              </w:rPr>
            </w:pPr>
            <w:r>
              <w:rPr>
                <w:rFonts w:hint="eastAsia" w:ascii="Times New Roman" w:hAnsi="Times New Roman" w:cs="Times New Roman"/>
                <w:b w:val="0"/>
                <w:bCs w:val="0"/>
                <w:color w:val="000000" w:themeColor="text1"/>
                <w:kern w:val="0"/>
                <w:sz w:val="24"/>
                <w:szCs w:val="21"/>
                <w:highlight w:val="none"/>
                <w14:textFill>
                  <w14:solidFill>
                    <w14:schemeClr w14:val="tx1"/>
                  </w14:solidFill>
                </w14:textFill>
              </w:rPr>
              <w:t>根据《福州青口投资区环境影响跟踪评价报告》中青口投资区范围边界可知，本项目所在区域位于青口投资区范围内</w:t>
            </w:r>
            <w:r>
              <w:rPr>
                <w:rFonts w:hint="eastAsia" w:cs="Times New Roman"/>
                <w:b w:val="0"/>
                <w:bCs w:val="0"/>
                <w:color w:val="000000" w:themeColor="text1"/>
                <w:kern w:val="0"/>
                <w:sz w:val="24"/>
                <w:szCs w:val="21"/>
                <w:highlight w:val="none"/>
                <w:lang w:eastAsia="zh-CN"/>
                <w14:textFill>
                  <w14:solidFill>
                    <w14:schemeClr w14:val="tx1"/>
                  </w14:solidFill>
                </w14:textFill>
              </w:rPr>
              <w:t>（</w:t>
            </w:r>
            <w:r>
              <w:rPr>
                <w:rFonts w:hint="eastAsia"/>
                <w:color w:val="000000" w:themeColor="text1"/>
                <w:sz w:val="24"/>
                <w:szCs w:val="32"/>
                <w:highlight w:val="none"/>
                <w:lang w:val="en-US" w:eastAsia="zh-CN"/>
                <w14:textFill>
                  <w14:solidFill>
                    <w14:schemeClr w14:val="tx1"/>
                  </w14:solidFill>
                </w14:textFill>
              </w:rPr>
              <w:t>附图3</w:t>
            </w:r>
            <w:r>
              <w:rPr>
                <w:rFonts w:hint="eastAsia" w:cs="Times New Roman"/>
                <w:b w:val="0"/>
                <w:bCs w:val="0"/>
                <w:color w:val="000000" w:themeColor="text1"/>
                <w:kern w:val="0"/>
                <w:sz w:val="24"/>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1"/>
                <w:highlight w:val="none"/>
                <w14:textFill>
                  <w14:solidFill>
                    <w14:schemeClr w14:val="tx1"/>
                  </w14:solidFill>
                </w14:textFill>
              </w:rPr>
              <w:t>本项目与规划环评、跟踪规划环评及审查意见的符合性详见表</w:t>
            </w:r>
            <w:r>
              <w:rPr>
                <w:rFonts w:hint="default" w:ascii="Times New Roman" w:hAnsi="Times New Roman" w:cs="Times New Roman"/>
                <w:color w:val="000000" w:themeColor="text1"/>
                <w:kern w:val="0"/>
                <w:sz w:val="24"/>
                <w:szCs w:val="21"/>
                <w:highlight w:val="none"/>
                <w:lang w:val="en-US" w:eastAsia="zh-CN"/>
                <w14:textFill>
                  <w14:solidFill>
                    <w14:schemeClr w14:val="tx1"/>
                  </w14:solidFill>
                </w14:textFill>
              </w:rPr>
              <w:t>1-2，</w:t>
            </w:r>
            <w:r>
              <w:rPr>
                <w:rFonts w:hint="default" w:ascii="Times New Roman" w:hAnsi="Times New Roman" w:cs="Times New Roman"/>
                <w:color w:val="000000" w:themeColor="text1"/>
                <w:kern w:val="0"/>
                <w:sz w:val="24"/>
                <w:szCs w:val="21"/>
                <w:highlight w:val="none"/>
                <w14:textFill>
                  <w14:solidFill>
                    <w14:schemeClr w14:val="tx1"/>
                  </w14:solidFill>
                </w14:textFill>
              </w:rPr>
              <w:t>本项目主要从事</w:t>
            </w:r>
            <w:r>
              <w:rPr>
                <w:rFonts w:hint="default" w:ascii="Times New Roman" w:hAnsi="Times New Roman" w:cs="Times New Roman"/>
                <w:color w:val="000000" w:themeColor="text1"/>
                <w:kern w:val="0"/>
                <w:sz w:val="24"/>
                <w:szCs w:val="21"/>
                <w:highlight w:val="none"/>
                <w:lang w:val="en-US" w:eastAsia="zh-CN"/>
                <w14:textFill>
                  <w14:solidFill>
                    <w14:schemeClr w14:val="tx1"/>
                  </w14:solidFill>
                </w14:textFill>
              </w:rPr>
              <w:t>车载塑料袋</w:t>
            </w:r>
            <w:r>
              <w:rPr>
                <w:rFonts w:hint="eastAsia" w:ascii="Times New Roman" w:hAnsi="Times New Roman" w:cs="Times New Roman"/>
                <w:color w:val="000000" w:themeColor="text1"/>
                <w:kern w:val="0"/>
                <w:sz w:val="24"/>
                <w:szCs w:val="21"/>
                <w:highlight w:val="none"/>
                <w:lang w:val="en-US" w:eastAsia="zh-CN"/>
                <w14:textFill>
                  <w14:solidFill>
                    <w14:schemeClr w14:val="tx1"/>
                  </w14:solidFill>
                </w14:textFill>
              </w:rPr>
              <w:t>生产</w:t>
            </w:r>
            <w:r>
              <w:rPr>
                <w:rFonts w:hint="default" w:ascii="Times New Roman" w:hAnsi="Times New Roman" w:cs="Times New Roman"/>
                <w:color w:val="000000" w:themeColor="text1"/>
                <w:kern w:val="0"/>
                <w:sz w:val="24"/>
                <w:szCs w:val="21"/>
                <w:highlight w:val="none"/>
                <w14:textFill>
                  <w14:solidFill>
                    <w14:schemeClr w14:val="tx1"/>
                  </w14:solidFill>
                </w14:textFill>
              </w:rPr>
              <w:t>，</w:t>
            </w:r>
            <w:r>
              <w:rPr>
                <w:rFonts w:hint="eastAsia" w:cs="Times New Roman"/>
                <w:color w:val="000000" w:themeColor="text1"/>
                <w:kern w:val="0"/>
                <w:sz w:val="24"/>
                <w:szCs w:val="21"/>
                <w:highlight w:val="none"/>
                <w:lang w:val="en-US" w:eastAsia="zh-CN"/>
                <w14:textFill>
                  <w14:solidFill>
                    <w14:schemeClr w14:val="tx1"/>
                  </w14:solidFill>
                </w14:textFill>
              </w:rPr>
              <w:t>为汽车配套生产制造项目，</w:t>
            </w:r>
            <w:r>
              <w:rPr>
                <w:rFonts w:hint="default" w:ascii="Times New Roman" w:hAnsi="Times New Roman" w:cs="Times New Roman"/>
                <w:color w:val="000000" w:themeColor="text1"/>
                <w:kern w:val="0"/>
                <w:sz w:val="24"/>
                <w:szCs w:val="21"/>
                <w:highlight w:val="none"/>
                <w14:textFill>
                  <w14:solidFill>
                    <w14:schemeClr w14:val="tx1"/>
                  </w14:solidFill>
                </w14:textFill>
              </w:rPr>
              <w:t>本项目与《福州青口投资区环境影响报告书》及审查意见、跟踪规划环评</w:t>
            </w:r>
            <w:r>
              <w:rPr>
                <w:rFonts w:hint="eastAsia" w:ascii="Times New Roman" w:hAnsi="Times New Roman" w:cs="Times New Roman"/>
                <w:color w:val="000000" w:themeColor="text1"/>
                <w:kern w:val="0"/>
                <w:sz w:val="24"/>
                <w:szCs w:val="21"/>
                <w:highlight w:val="none"/>
                <w:lang w:val="en-US" w:eastAsia="zh-CN"/>
                <w14:textFill>
                  <w14:solidFill>
                    <w14:schemeClr w14:val="tx1"/>
                  </w14:solidFill>
                </w14:textFill>
              </w:rPr>
              <w:t>中的要求</w:t>
            </w:r>
            <w:r>
              <w:rPr>
                <w:rFonts w:hint="default" w:ascii="Times New Roman" w:hAnsi="Times New Roman" w:cs="Times New Roman"/>
                <w:color w:val="000000" w:themeColor="text1"/>
                <w:kern w:val="0"/>
                <w:sz w:val="24"/>
                <w:szCs w:val="21"/>
                <w:highlight w:val="none"/>
                <w14:textFill>
                  <w14:solidFill>
                    <w14:schemeClr w14:val="tx1"/>
                  </w14:solidFill>
                </w14:textFill>
              </w:rPr>
              <w:t>是相符合的。</w:t>
            </w:r>
          </w:p>
          <w:p w14:paraId="23A36602">
            <w:pPr>
              <w:autoSpaceDE w:val="0"/>
              <w:autoSpaceDN w:val="0"/>
              <w:adjustRightInd w:val="0"/>
              <w:spacing w:line="360" w:lineRule="auto"/>
              <w:jc w:val="center"/>
              <w:rPr>
                <w:rFonts w:hint="eastAsia"/>
                <w:b/>
                <w:color w:val="000000" w:themeColor="text1"/>
                <w:kern w:val="0"/>
                <w:sz w:val="24"/>
                <w:szCs w:val="21"/>
                <w:highlight w:val="none"/>
                <w14:textFill>
                  <w14:solidFill>
                    <w14:schemeClr w14:val="tx1"/>
                  </w14:solidFill>
                </w14:textFill>
              </w:rPr>
            </w:pPr>
            <w:r>
              <w:rPr>
                <w:rFonts w:hint="eastAsia"/>
                <w:b/>
                <w:color w:val="000000" w:themeColor="text1"/>
                <w:kern w:val="0"/>
                <w:sz w:val="24"/>
                <w:szCs w:val="21"/>
                <w:highlight w:val="none"/>
                <w14:textFill>
                  <w14:solidFill>
                    <w14:schemeClr w14:val="tx1"/>
                  </w14:solidFill>
                </w14:textFill>
              </w:rPr>
              <w:t>表 1</w:t>
            </w:r>
            <w:r>
              <w:rPr>
                <w:b/>
                <w:color w:val="000000" w:themeColor="text1"/>
                <w:kern w:val="0"/>
                <w:sz w:val="24"/>
                <w:szCs w:val="21"/>
                <w:highlight w:val="none"/>
                <w14:textFill>
                  <w14:solidFill>
                    <w14:schemeClr w14:val="tx1"/>
                  </w14:solidFill>
                </w14:textFill>
              </w:rPr>
              <w:t xml:space="preserve">-2 </w:t>
            </w:r>
            <w:r>
              <w:rPr>
                <w:rFonts w:hint="eastAsia"/>
                <w:b/>
                <w:color w:val="000000" w:themeColor="text1"/>
                <w:kern w:val="0"/>
                <w:sz w:val="24"/>
                <w:szCs w:val="21"/>
                <w:highlight w:val="none"/>
                <w14:textFill>
                  <w14:solidFill>
                    <w14:schemeClr w14:val="tx1"/>
                  </w14:solidFill>
                </w14:textFill>
              </w:rPr>
              <w:t>项目与规划环评及审查意见符合性分析</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49"/>
              <w:gridCol w:w="4885"/>
              <w:gridCol w:w="1380"/>
              <w:gridCol w:w="908"/>
            </w:tblGrid>
            <w:tr w14:paraId="4B699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72" w:type="pct"/>
                  <w:shd w:val="clear" w:color="auto" w:fill="auto"/>
                  <w:vAlign w:val="center"/>
                </w:tcPr>
                <w:p w14:paraId="0D81871D">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类别</w:t>
                  </w:r>
                </w:p>
              </w:tc>
              <w:tc>
                <w:tcPr>
                  <w:tcW w:w="3083" w:type="pct"/>
                  <w:shd w:val="clear" w:color="auto" w:fill="auto"/>
                  <w:vAlign w:val="center"/>
                </w:tcPr>
                <w:p w14:paraId="1AE57063">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规划环评产业规划及规划审查</w:t>
                  </w:r>
                  <w:r>
                    <w:rPr>
                      <w:rFonts w:hint="eastAsia"/>
                      <w:color w:val="000000" w:themeColor="text1"/>
                      <w:sz w:val="21"/>
                      <w:szCs w:val="21"/>
                      <w:highlight w:val="none"/>
                      <w:lang w:val="en-US" w:eastAsia="zh-CN"/>
                      <w14:textFill>
                        <w14:solidFill>
                          <w14:schemeClr w14:val="tx1"/>
                        </w14:solidFill>
                      </w14:textFill>
                    </w:rPr>
                    <w:t>要求</w:t>
                  </w:r>
                </w:p>
              </w:tc>
              <w:tc>
                <w:tcPr>
                  <w:tcW w:w="870" w:type="pct"/>
                  <w:shd w:val="clear" w:color="auto" w:fill="auto"/>
                  <w:vAlign w:val="center"/>
                </w:tcPr>
                <w:p w14:paraId="210858D0">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项目情况</w:t>
                  </w:r>
                </w:p>
              </w:tc>
              <w:tc>
                <w:tcPr>
                  <w:tcW w:w="573" w:type="pct"/>
                  <w:shd w:val="clear" w:color="auto" w:fill="auto"/>
                  <w:vAlign w:val="center"/>
                </w:tcPr>
                <w:p w14:paraId="30EE7A56">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符合性</w:t>
                  </w:r>
                </w:p>
              </w:tc>
            </w:tr>
            <w:tr w14:paraId="223EC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72" w:type="pct"/>
                  <w:vMerge w:val="restart"/>
                  <w:shd w:val="clear" w:color="auto" w:fill="auto"/>
                  <w:vAlign w:val="center"/>
                </w:tcPr>
                <w:p w14:paraId="5D84C073">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产业政策要求</w:t>
                  </w:r>
                </w:p>
              </w:tc>
              <w:tc>
                <w:tcPr>
                  <w:tcW w:w="3083" w:type="pct"/>
                  <w:shd w:val="clear" w:color="auto" w:fill="auto"/>
                  <w:vAlign w:val="center"/>
                </w:tcPr>
                <w:p w14:paraId="5FAF976E">
                  <w:pP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禁止在规划区及其上游汇水区域内新建畜禽养殖项目，现有的畜禽养殖项目应在规划中期内全部搬迁取缔。对于电子、食品、轻工、石材、建材(主要指的是粉磨站管桩制造)等现有行业应限制其生产规模和用地规模的进一步扩大，规划区内限制新建此类项目，鼓励与汽车工业、汽车零配件加工等机械加工行业相关的产业进入规划区，鼓励发展循环经济。</w:t>
                  </w:r>
                </w:p>
              </w:tc>
              <w:tc>
                <w:tcPr>
                  <w:tcW w:w="870" w:type="pct"/>
                  <w:vMerge w:val="restart"/>
                  <w:shd w:val="clear" w:color="auto" w:fill="auto"/>
                  <w:vAlign w:val="center"/>
                </w:tcPr>
                <w:p w14:paraId="4BB051A4">
                  <w:pPr>
                    <w:rPr>
                      <w:rFonts w:hint="eastAsia" w:eastAsia="宋体"/>
                      <w:color w:val="000000" w:themeColor="text1"/>
                      <w:sz w:val="21"/>
                      <w:szCs w:val="21"/>
                      <w:highlight w:val="none"/>
                      <w:lang w:eastAsia="zh-CN"/>
                      <w14:textFill>
                        <w14:solidFill>
                          <w14:schemeClr w14:val="tx1"/>
                        </w14:solidFill>
                      </w14:textFill>
                    </w:rPr>
                  </w:pPr>
                  <w:r>
                    <w:rPr>
                      <w:rFonts w:hint="default"/>
                      <w:color w:val="000000" w:themeColor="text1"/>
                      <w:sz w:val="21"/>
                      <w:szCs w:val="21"/>
                      <w:highlight w:val="none"/>
                      <w14:textFill>
                        <w14:solidFill>
                          <w14:schemeClr w14:val="tx1"/>
                        </w14:solidFill>
                      </w14:textFill>
                    </w:rPr>
                    <w:t>本项目主要从事</w:t>
                  </w:r>
                  <w:r>
                    <w:rPr>
                      <w:rFonts w:hint="default"/>
                      <w:color w:val="000000" w:themeColor="text1"/>
                      <w:sz w:val="21"/>
                      <w:szCs w:val="21"/>
                      <w:highlight w:val="none"/>
                      <w:lang w:val="en-US" w:eastAsia="zh-CN"/>
                      <w14:textFill>
                        <w14:solidFill>
                          <w14:schemeClr w14:val="tx1"/>
                        </w14:solidFill>
                      </w14:textFill>
                    </w:rPr>
                    <w:t>车载塑料袋</w:t>
                  </w:r>
                  <w:r>
                    <w:rPr>
                      <w:rFonts w:hint="eastAsia"/>
                      <w:color w:val="000000" w:themeColor="text1"/>
                      <w:sz w:val="21"/>
                      <w:szCs w:val="21"/>
                      <w:highlight w:val="none"/>
                      <w:lang w:val="en-US" w:eastAsia="zh-CN"/>
                      <w14:textFill>
                        <w14:solidFill>
                          <w14:schemeClr w14:val="tx1"/>
                        </w14:solidFill>
                      </w14:textFill>
                    </w:rPr>
                    <w:t>生产</w:t>
                  </w:r>
                  <w:r>
                    <w:rPr>
                      <w:rFonts w:hint="default"/>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为汽车配套生产制造项目，符合要求</w:t>
                  </w:r>
                  <w:r>
                    <w:rPr>
                      <w:rFonts w:hint="eastAsia"/>
                      <w:color w:val="000000" w:themeColor="text1"/>
                      <w:sz w:val="21"/>
                      <w:szCs w:val="21"/>
                      <w:highlight w:val="none"/>
                      <w:lang w:eastAsia="zh-CN"/>
                      <w14:textFill>
                        <w14:solidFill>
                          <w14:schemeClr w14:val="tx1"/>
                        </w14:solidFill>
                      </w14:textFill>
                    </w:rPr>
                    <w:t>。</w:t>
                  </w:r>
                </w:p>
              </w:tc>
              <w:tc>
                <w:tcPr>
                  <w:tcW w:w="573" w:type="pct"/>
                  <w:vMerge w:val="restart"/>
                  <w:shd w:val="clear" w:color="auto" w:fill="auto"/>
                  <w:vAlign w:val="center"/>
                </w:tcPr>
                <w:p w14:paraId="2F182A06">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符合</w:t>
                  </w:r>
                </w:p>
              </w:tc>
            </w:tr>
            <w:tr w14:paraId="3E602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72" w:type="pct"/>
                  <w:vMerge w:val="continue"/>
                  <w:shd w:val="clear" w:color="auto" w:fill="auto"/>
                  <w:vAlign w:val="center"/>
                </w:tcPr>
                <w:p w14:paraId="296E4D3A">
                  <w:pPr>
                    <w:jc w:val="center"/>
                    <w:rPr>
                      <w:rFonts w:hint="default" w:eastAsia="宋体"/>
                      <w:color w:val="000000" w:themeColor="text1"/>
                      <w:sz w:val="21"/>
                      <w:szCs w:val="21"/>
                      <w:highlight w:val="none"/>
                      <w:lang w:val="en-US" w:eastAsia="zh-CN"/>
                      <w14:textFill>
                        <w14:solidFill>
                          <w14:schemeClr w14:val="tx1"/>
                        </w14:solidFill>
                      </w14:textFill>
                    </w:rPr>
                  </w:pPr>
                </w:p>
              </w:tc>
              <w:tc>
                <w:tcPr>
                  <w:tcW w:w="3083" w:type="pct"/>
                  <w:shd w:val="clear" w:color="auto" w:fill="auto"/>
                  <w:vAlign w:val="center"/>
                </w:tcPr>
                <w:p w14:paraId="753F311C">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限制引入</w:t>
                  </w:r>
                  <w:r>
                    <w:rPr>
                      <w:rFonts w:hint="eastAsia"/>
                      <w:color w:val="000000" w:themeColor="text1"/>
                      <w:sz w:val="21"/>
                      <w:szCs w:val="21"/>
                      <w:highlight w:val="none"/>
                      <w:lang w:eastAsia="zh-CN"/>
                      <w14:textFill>
                        <w14:solidFill>
                          <w14:schemeClr w14:val="tx1"/>
                        </w14:solidFill>
                      </w14:textFill>
                    </w:rPr>
                    <w:t>：</w:t>
                  </w:r>
                </w:p>
                <w:p w14:paraId="1BC5E383">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r>
                    <w:rPr>
                      <w:rFonts w:hint="eastAsia"/>
                      <w:color w:val="000000" w:themeColor="text1"/>
                      <w:sz w:val="21"/>
                      <w:szCs w:val="21"/>
                      <w:highlight w:val="none"/>
                      <w14:textFill>
                        <w14:solidFill>
                          <w14:schemeClr w14:val="tx1"/>
                        </w14:solidFill>
                      </w14:textFill>
                    </w:rPr>
                    <w:t>钢铁、冶金等大气污染严重行业</w:t>
                  </w:r>
                  <w:r>
                    <w:rPr>
                      <w:rFonts w:hint="eastAsia"/>
                      <w:color w:val="000000" w:themeColor="text1"/>
                      <w:sz w:val="21"/>
                      <w:szCs w:val="21"/>
                      <w:highlight w:val="none"/>
                      <w:lang w:eastAsia="zh-CN"/>
                      <w14:textFill>
                        <w14:solidFill>
                          <w14:schemeClr w14:val="tx1"/>
                        </w14:solidFill>
                      </w14:textFill>
                    </w:rPr>
                    <w:t>；</w:t>
                  </w:r>
                </w:p>
                <w:p w14:paraId="160ADBDB">
                  <w:pP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r>
                    <w:rPr>
                      <w:rFonts w:hint="eastAsia"/>
                      <w:color w:val="000000" w:themeColor="text1"/>
                      <w:sz w:val="21"/>
                      <w:szCs w:val="21"/>
                      <w:highlight w:val="none"/>
                      <w14:textFill>
                        <w14:solidFill>
                          <w14:schemeClr w14:val="tx1"/>
                        </w14:solidFill>
                      </w14:textFill>
                    </w:rPr>
                    <w:t>屠宰及肉类、蛋类加工;</w:t>
                  </w:r>
                </w:p>
                <w:p w14:paraId="719848CE">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r>
                    <w:rPr>
                      <w:rFonts w:hint="eastAsia"/>
                      <w:color w:val="000000" w:themeColor="text1"/>
                      <w:sz w:val="21"/>
                      <w:szCs w:val="21"/>
                      <w:highlight w:val="none"/>
                      <w14:textFill>
                        <w14:solidFill>
                          <w14:schemeClr w14:val="tx1"/>
                        </w14:solidFill>
                      </w14:textFill>
                    </w:rPr>
                    <w:t>味精、柠檬酸、氨基酸制造，淀粉，淀粉糖等制品</w:t>
                  </w:r>
                  <w:r>
                    <w:rPr>
                      <w:rFonts w:hint="eastAsia"/>
                      <w:color w:val="000000" w:themeColor="text1"/>
                      <w:sz w:val="21"/>
                      <w:szCs w:val="21"/>
                      <w:highlight w:val="none"/>
                      <w:lang w:eastAsia="zh-CN"/>
                      <w14:textFill>
                        <w14:solidFill>
                          <w14:schemeClr w14:val="tx1"/>
                        </w14:solidFill>
                      </w14:textFill>
                    </w:rPr>
                    <w:t>；</w:t>
                  </w:r>
                </w:p>
                <w:p w14:paraId="213F9D1F">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r>
                    <w:rPr>
                      <w:rFonts w:hint="eastAsia"/>
                      <w:color w:val="000000" w:themeColor="text1"/>
                      <w:sz w:val="21"/>
                      <w:szCs w:val="21"/>
                      <w:highlight w:val="none"/>
                      <w14:textFill>
                        <w14:solidFill>
                          <w14:schemeClr w14:val="tx1"/>
                        </w14:solidFill>
                      </w14:textFill>
                    </w:rPr>
                    <w:t>含洗毛、染整、脱胶工段的纺织项目</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14:textFill>
                        <w14:solidFill>
                          <w14:schemeClr w14:val="tx1"/>
                        </w14:solidFill>
                      </w14:textFill>
                    </w:rPr>
                    <w:t>有蚕蛹废水、精炼废水等的丝绸项目</w:t>
                  </w:r>
                  <w:r>
                    <w:rPr>
                      <w:rFonts w:hint="eastAsia"/>
                      <w:color w:val="000000" w:themeColor="text1"/>
                      <w:sz w:val="21"/>
                      <w:szCs w:val="21"/>
                      <w:highlight w:val="none"/>
                      <w:lang w:eastAsia="zh-CN"/>
                      <w14:textFill>
                        <w14:solidFill>
                          <w14:schemeClr w14:val="tx1"/>
                        </w14:solidFill>
                      </w14:textFill>
                    </w:rPr>
                    <w:t>；</w:t>
                  </w:r>
                </w:p>
                <w:p w14:paraId="44E37103">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r>
                    <w:rPr>
                      <w:rFonts w:hint="eastAsia"/>
                      <w:color w:val="000000" w:themeColor="text1"/>
                      <w:sz w:val="21"/>
                      <w:szCs w:val="21"/>
                      <w:highlight w:val="none"/>
                      <w14:textFill>
                        <w14:solidFill>
                          <w14:schemeClr w14:val="tx1"/>
                        </w14:solidFill>
                      </w14:textFill>
                    </w:rPr>
                    <w:t>制革，毛皮鞣制</w:t>
                  </w:r>
                  <w:r>
                    <w:rPr>
                      <w:rFonts w:hint="eastAsia"/>
                      <w:color w:val="000000" w:themeColor="text1"/>
                      <w:sz w:val="21"/>
                      <w:szCs w:val="21"/>
                      <w:highlight w:val="none"/>
                      <w:lang w:eastAsia="zh-CN"/>
                      <w14:textFill>
                        <w14:solidFill>
                          <w14:schemeClr w14:val="tx1"/>
                        </w14:solidFill>
                      </w14:textFill>
                    </w:rPr>
                    <w:t>；</w:t>
                  </w:r>
                </w:p>
                <w:p w14:paraId="35D83F3F">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w:t>
                  </w:r>
                  <w:r>
                    <w:rPr>
                      <w:rFonts w:hint="eastAsia"/>
                      <w:color w:val="000000" w:themeColor="text1"/>
                      <w:sz w:val="21"/>
                      <w:szCs w:val="21"/>
                      <w:highlight w:val="none"/>
                      <w14:textFill>
                        <w14:solidFill>
                          <w14:schemeClr w14:val="tx1"/>
                        </w14:solidFill>
                      </w14:textFill>
                    </w:rPr>
                    <w:t>纸浆制造，造纸(含废纸造纸)</w:t>
                  </w:r>
                  <w:r>
                    <w:rPr>
                      <w:rFonts w:hint="eastAsia"/>
                      <w:color w:val="000000" w:themeColor="text1"/>
                      <w:sz w:val="21"/>
                      <w:szCs w:val="21"/>
                      <w:highlight w:val="none"/>
                      <w:lang w:eastAsia="zh-CN"/>
                      <w14:textFill>
                        <w14:solidFill>
                          <w14:schemeClr w14:val="tx1"/>
                        </w14:solidFill>
                      </w14:textFill>
                    </w:rPr>
                    <w:t>；</w:t>
                  </w:r>
                </w:p>
                <w:p w14:paraId="07655829">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w:t>
                  </w:r>
                  <w:r>
                    <w:rPr>
                      <w:rFonts w:hint="eastAsia"/>
                      <w:color w:val="000000" w:themeColor="text1"/>
                      <w:sz w:val="21"/>
                      <w:szCs w:val="21"/>
                      <w:highlight w:val="none"/>
                      <w14:textFill>
                        <w14:solidFill>
                          <w14:schemeClr w14:val="tx1"/>
                        </w14:solidFill>
                      </w14:textFill>
                    </w:rPr>
                    <w:t>基本化学原料制造，化学肥料制造，化学农药制造，化学染料制造，合成染料制造，助剂及其它有机产品制造，有机化工原料及中间体制造，合成材料制造，合成树脂及其它高分子材料制造，专用化学品制造，生物化工，感光材料制造，磁性记录材料制造，日用化学品制造等</w:t>
                  </w:r>
                  <w:r>
                    <w:rPr>
                      <w:rFonts w:hint="eastAsia"/>
                      <w:color w:val="000000" w:themeColor="text1"/>
                      <w:sz w:val="21"/>
                      <w:szCs w:val="21"/>
                      <w:highlight w:val="none"/>
                      <w:lang w:eastAsia="zh-CN"/>
                      <w14:textFill>
                        <w14:solidFill>
                          <w14:schemeClr w14:val="tx1"/>
                        </w14:solidFill>
                      </w14:textFill>
                    </w:rPr>
                    <w:t>；</w:t>
                  </w:r>
                </w:p>
                <w:p w14:paraId="5ED05B60">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w:t>
                  </w:r>
                  <w:r>
                    <w:rPr>
                      <w:rFonts w:hint="eastAsia"/>
                      <w:color w:val="000000" w:themeColor="text1"/>
                      <w:sz w:val="21"/>
                      <w:szCs w:val="21"/>
                      <w:highlight w:val="none"/>
                      <w14:textFill>
                        <w14:solidFill>
                          <w14:schemeClr w14:val="tx1"/>
                        </w14:solidFill>
                      </w14:textFill>
                    </w:rPr>
                    <w:t>化学药品制造，生物制品</w:t>
                  </w:r>
                  <w:r>
                    <w:rPr>
                      <w:rFonts w:hint="eastAsia"/>
                      <w:color w:val="000000" w:themeColor="text1"/>
                      <w:sz w:val="21"/>
                      <w:szCs w:val="21"/>
                      <w:highlight w:val="none"/>
                      <w:lang w:eastAsia="zh-CN"/>
                      <w14:textFill>
                        <w14:solidFill>
                          <w14:schemeClr w14:val="tx1"/>
                        </w14:solidFill>
                      </w14:textFill>
                    </w:rPr>
                    <w:t>；</w:t>
                  </w:r>
                </w:p>
                <w:p w14:paraId="5784737E">
                  <w:pP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w:t>
                  </w:r>
                  <w:r>
                    <w:rPr>
                      <w:rFonts w:hint="eastAsia"/>
                      <w:color w:val="000000" w:themeColor="text1"/>
                      <w:sz w:val="21"/>
                      <w:szCs w:val="21"/>
                      <w:highlight w:val="none"/>
                      <w14:textFill>
                        <w14:solidFill>
                          <w14:schemeClr w14:val="tx1"/>
                        </w14:solidFill>
                      </w14:textFill>
                    </w:rPr>
                    <w:t>化学纤维制造</w:t>
                  </w:r>
                  <w:r>
                    <w:rPr>
                      <w:rFonts w:hint="eastAsia"/>
                      <w:color w:val="000000" w:themeColor="text1"/>
                      <w:sz w:val="21"/>
                      <w:szCs w:val="21"/>
                      <w:highlight w:val="none"/>
                      <w:lang w:eastAsia="zh-CN"/>
                      <w14:textFill>
                        <w14:solidFill>
                          <w14:schemeClr w14:val="tx1"/>
                        </w14:solidFill>
                      </w14:textFill>
                    </w:rPr>
                    <w:t>；</w:t>
                  </w:r>
                </w:p>
                <w:p w14:paraId="055A871C">
                  <w:pP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10.规模化畜禽养殖</w:t>
                  </w:r>
                </w:p>
                <w:p w14:paraId="55048E75">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w:t>
                  </w:r>
                  <w:r>
                    <w:rPr>
                      <w:rFonts w:hint="eastAsia"/>
                      <w:color w:val="000000" w:themeColor="text1"/>
                      <w:sz w:val="21"/>
                      <w:szCs w:val="21"/>
                      <w:highlight w:val="none"/>
                      <w14:textFill>
                        <w14:solidFill>
                          <w14:schemeClr w14:val="tx1"/>
                        </w14:solidFill>
                      </w14:textFill>
                    </w:rPr>
                    <w:t>电镀(区域内允许建设一个规模化的电镀中心，并要求采用清洁生产工艺)。</w:t>
                  </w:r>
                </w:p>
              </w:tc>
              <w:tc>
                <w:tcPr>
                  <w:tcW w:w="870" w:type="pct"/>
                  <w:vMerge w:val="continue"/>
                  <w:shd w:val="clear" w:color="auto" w:fill="auto"/>
                  <w:vAlign w:val="center"/>
                </w:tcPr>
                <w:p w14:paraId="2ACC35F8">
                  <w:pPr>
                    <w:rPr>
                      <w:rFonts w:hint="eastAsia" w:eastAsia="宋体"/>
                      <w:color w:val="000000" w:themeColor="text1"/>
                      <w:sz w:val="21"/>
                      <w:szCs w:val="21"/>
                      <w:highlight w:val="none"/>
                      <w:lang w:eastAsia="zh-CN"/>
                      <w14:textFill>
                        <w14:solidFill>
                          <w14:schemeClr w14:val="tx1"/>
                        </w14:solidFill>
                      </w14:textFill>
                    </w:rPr>
                  </w:pPr>
                </w:p>
              </w:tc>
              <w:tc>
                <w:tcPr>
                  <w:tcW w:w="573" w:type="pct"/>
                  <w:vMerge w:val="continue"/>
                  <w:shd w:val="clear" w:color="auto" w:fill="auto"/>
                  <w:vAlign w:val="center"/>
                </w:tcPr>
                <w:p w14:paraId="62F61FCD">
                  <w:pPr>
                    <w:jc w:val="center"/>
                    <w:rPr>
                      <w:rFonts w:hint="eastAsia" w:eastAsia="宋体"/>
                      <w:color w:val="000000" w:themeColor="text1"/>
                      <w:sz w:val="21"/>
                      <w:szCs w:val="21"/>
                      <w:highlight w:val="none"/>
                      <w:lang w:val="en-US" w:eastAsia="zh-CN"/>
                      <w14:textFill>
                        <w14:solidFill>
                          <w14:schemeClr w14:val="tx1"/>
                        </w14:solidFill>
                      </w14:textFill>
                    </w:rPr>
                  </w:pPr>
                </w:p>
              </w:tc>
            </w:tr>
            <w:tr w14:paraId="1CB3E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72" w:type="pct"/>
                  <w:vMerge w:val="continue"/>
                  <w:shd w:val="clear" w:color="auto" w:fill="auto"/>
                  <w:vAlign w:val="center"/>
                </w:tcPr>
                <w:p w14:paraId="6953FF34">
                  <w:pPr>
                    <w:jc w:val="center"/>
                    <w:rPr>
                      <w:color w:val="000000" w:themeColor="text1"/>
                      <w:sz w:val="21"/>
                      <w:szCs w:val="21"/>
                      <w:highlight w:val="none"/>
                      <w14:textFill>
                        <w14:solidFill>
                          <w14:schemeClr w14:val="tx1"/>
                        </w14:solidFill>
                      </w14:textFill>
                    </w:rPr>
                  </w:pPr>
                </w:p>
              </w:tc>
              <w:tc>
                <w:tcPr>
                  <w:tcW w:w="3083" w:type="pct"/>
                  <w:shd w:val="clear" w:color="auto" w:fill="auto"/>
                  <w:vAlign w:val="center"/>
                </w:tcPr>
                <w:p w14:paraId="733127BA">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鼓励与汽车工业、汽车零配件加工等机械加工行业相关的产业进入规划区。</w:t>
                  </w:r>
                </w:p>
              </w:tc>
              <w:tc>
                <w:tcPr>
                  <w:tcW w:w="870" w:type="pct"/>
                  <w:vMerge w:val="continue"/>
                  <w:shd w:val="clear" w:color="auto" w:fill="auto"/>
                  <w:vAlign w:val="center"/>
                </w:tcPr>
                <w:p w14:paraId="0DCB8C68">
                  <w:pPr>
                    <w:rPr>
                      <w:color w:val="000000" w:themeColor="text1"/>
                      <w:sz w:val="21"/>
                      <w:szCs w:val="21"/>
                      <w:highlight w:val="none"/>
                      <w14:textFill>
                        <w14:solidFill>
                          <w14:schemeClr w14:val="tx1"/>
                        </w14:solidFill>
                      </w14:textFill>
                    </w:rPr>
                  </w:pPr>
                </w:p>
              </w:tc>
              <w:tc>
                <w:tcPr>
                  <w:tcW w:w="573" w:type="pct"/>
                  <w:vMerge w:val="continue"/>
                  <w:shd w:val="clear" w:color="auto" w:fill="auto"/>
                  <w:vAlign w:val="center"/>
                </w:tcPr>
                <w:p w14:paraId="77EF08F8">
                  <w:pPr>
                    <w:jc w:val="center"/>
                    <w:rPr>
                      <w:color w:val="000000" w:themeColor="text1"/>
                      <w:sz w:val="21"/>
                      <w:szCs w:val="21"/>
                      <w:highlight w:val="none"/>
                      <w14:textFill>
                        <w14:solidFill>
                          <w14:schemeClr w14:val="tx1"/>
                        </w14:solidFill>
                      </w14:textFill>
                    </w:rPr>
                  </w:pPr>
                </w:p>
              </w:tc>
            </w:tr>
            <w:tr w14:paraId="1F40D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72" w:type="pct"/>
                  <w:shd w:val="clear" w:color="auto" w:fill="auto"/>
                  <w:vAlign w:val="center"/>
                </w:tcPr>
                <w:p w14:paraId="12B924EF">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清洁生产要求</w:t>
                  </w:r>
                </w:p>
              </w:tc>
              <w:tc>
                <w:tcPr>
                  <w:tcW w:w="3083" w:type="pct"/>
                  <w:shd w:val="clear" w:color="auto" w:fill="auto"/>
                  <w:vAlign w:val="center"/>
                </w:tcPr>
                <w:p w14:paraId="31BEF6F8">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福州青口投资区按照《清洁生产促进法》和“高效率、高标准、高起点建设”的要求，本着“清洁生产，源头控制”的原则，在引进企业的控制上，要求入区企业必须生产工艺是国内外先进水平的，能耗、水耗和污染物产生量是同行业中前沿水平的，废物利用和处置是符合循环经济理念的。</w:t>
                  </w:r>
                </w:p>
              </w:tc>
              <w:tc>
                <w:tcPr>
                  <w:tcW w:w="870" w:type="pct"/>
                  <w:shd w:val="clear" w:color="auto" w:fill="auto"/>
                  <w:vAlign w:val="center"/>
                </w:tcPr>
                <w:p w14:paraId="5C1FA83F">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企业清洁生产满足国内先进水平的要求。</w:t>
                  </w:r>
                </w:p>
              </w:tc>
              <w:tc>
                <w:tcPr>
                  <w:tcW w:w="573" w:type="pct"/>
                  <w:shd w:val="clear" w:color="auto" w:fill="auto"/>
                  <w:vAlign w:val="center"/>
                </w:tcPr>
                <w:p w14:paraId="34B27205">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符合</w:t>
                  </w:r>
                </w:p>
              </w:tc>
            </w:tr>
            <w:tr w14:paraId="01559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72" w:type="pct"/>
                  <w:shd w:val="clear" w:color="auto" w:fill="auto"/>
                  <w:vAlign w:val="center"/>
                </w:tcPr>
                <w:p w14:paraId="5D369FB0">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能源要求</w:t>
                  </w:r>
                </w:p>
              </w:tc>
              <w:tc>
                <w:tcPr>
                  <w:tcW w:w="3083" w:type="pct"/>
                  <w:shd w:val="clear" w:color="auto" w:fill="auto"/>
                  <w:vAlign w:val="center"/>
                </w:tcPr>
                <w:p w14:paraId="43CEE3EA">
                  <w:pP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发展清洁能源，规划区内严格禁止燃煤锅炉上马，逐步限制燃油锅炉，鼓励以</w:t>
                  </w:r>
                  <w:r>
                    <w:rPr>
                      <w:rFonts w:hint="eastAsia"/>
                      <w:color w:val="000000" w:themeColor="text1"/>
                      <w:sz w:val="21"/>
                      <w:szCs w:val="21"/>
                      <w:highlight w:val="none"/>
                      <w:lang w:val="en-US" w:eastAsia="zh-CN"/>
                      <w14:textFill>
                        <w14:solidFill>
                          <w14:schemeClr w14:val="tx1"/>
                        </w14:solidFill>
                      </w14:textFill>
                    </w:rPr>
                    <w:t>LNG</w:t>
                  </w:r>
                  <w:r>
                    <w:rPr>
                      <w:rFonts w:hint="eastAsia"/>
                      <w:color w:val="000000" w:themeColor="text1"/>
                      <w:sz w:val="21"/>
                      <w:szCs w:val="21"/>
                      <w:highlight w:val="none"/>
                      <w14:textFill>
                        <w14:solidFill>
                          <w14:schemeClr w14:val="tx1"/>
                        </w14:solidFill>
                      </w14:textFill>
                    </w:rPr>
                    <w:t>或电能替代其它能源。</w:t>
                  </w:r>
                </w:p>
              </w:tc>
              <w:tc>
                <w:tcPr>
                  <w:tcW w:w="870" w:type="pct"/>
                  <w:shd w:val="clear" w:color="auto" w:fill="auto"/>
                  <w:vAlign w:val="center"/>
                </w:tcPr>
                <w:p w14:paraId="43FD723A">
                  <w:pP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本项目能源主要为电能。</w:t>
                  </w:r>
                </w:p>
              </w:tc>
              <w:tc>
                <w:tcPr>
                  <w:tcW w:w="573" w:type="pct"/>
                  <w:shd w:val="clear" w:color="auto" w:fill="auto"/>
                  <w:vAlign w:val="center"/>
                </w:tcPr>
                <w:p w14:paraId="649434CF">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符合</w:t>
                  </w:r>
                </w:p>
              </w:tc>
            </w:tr>
          </w:tbl>
          <w:p w14:paraId="684F727F">
            <w:pPr>
              <w:autoSpaceDE w:val="0"/>
              <w:autoSpaceDN w:val="0"/>
              <w:adjustRightInd w:val="0"/>
              <w:spacing w:line="360" w:lineRule="auto"/>
              <w:jc w:val="center"/>
              <w:rPr>
                <w:rFonts w:hint="eastAsia"/>
                <w:b/>
                <w:color w:val="000000" w:themeColor="text1"/>
                <w:kern w:val="0"/>
                <w:sz w:val="24"/>
                <w:szCs w:val="21"/>
                <w:highlight w:val="none"/>
                <w14:textFill>
                  <w14:solidFill>
                    <w14:schemeClr w14:val="tx1"/>
                  </w14:solidFill>
                </w14:textFill>
              </w:rPr>
            </w:pPr>
          </w:p>
          <w:p w14:paraId="5AC5FB5A">
            <w:pPr>
              <w:autoSpaceDE w:val="0"/>
              <w:autoSpaceDN w:val="0"/>
              <w:adjustRightInd w:val="0"/>
              <w:spacing w:line="360" w:lineRule="auto"/>
              <w:jc w:val="left"/>
              <w:rPr>
                <w:rFonts w:ascii="宋体" w:cs="宋体"/>
                <w:color w:val="000000" w:themeColor="text1"/>
                <w:kern w:val="0"/>
                <w:sz w:val="18"/>
                <w:szCs w:val="18"/>
                <w:highlight w:val="none"/>
                <w14:textFill>
                  <w14:solidFill>
                    <w14:schemeClr w14:val="tx1"/>
                  </w14:solidFill>
                </w14:textFill>
              </w:rPr>
            </w:pPr>
          </w:p>
        </w:tc>
      </w:tr>
      <w:tr w14:paraId="0A46FD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722" w:type="dxa"/>
            <w:vAlign w:val="center"/>
          </w:tcPr>
          <w:p w14:paraId="323A214F">
            <w:pPr>
              <w:autoSpaceDE w:val="0"/>
              <w:autoSpaceDN w:val="0"/>
              <w:adjustRightInd w:val="0"/>
              <w:snapToGrid w:val="0"/>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其他符合性分析</w:t>
            </w:r>
          </w:p>
        </w:tc>
        <w:tc>
          <w:tcPr>
            <w:tcW w:w="8148" w:type="dxa"/>
            <w:gridSpan w:val="4"/>
            <w:vAlign w:val="center"/>
          </w:tcPr>
          <w:p w14:paraId="117903DA">
            <w:pPr>
              <w:pStyle w:val="37"/>
              <w:rPr>
                <w:color w:val="000000" w:themeColor="text1"/>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1.3与产业政策符合性分析</w:t>
            </w:r>
          </w:p>
          <w:p w14:paraId="0CA673CA">
            <w:pPr>
              <w:spacing w:line="360" w:lineRule="auto"/>
              <w:ind w:firstLine="480" w:firstLineChars="200"/>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1、与产业结构调整指导目录的符合性分析</w:t>
            </w:r>
          </w:p>
          <w:p w14:paraId="74C6D515">
            <w:pPr>
              <w:spacing w:line="360" w:lineRule="auto"/>
              <w:ind w:firstLine="480" w:firstLineChars="200"/>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本项目</w:t>
            </w:r>
            <w:r>
              <w:rPr>
                <w:rFonts w:hint="eastAsia"/>
                <w:color w:val="000000" w:themeColor="text1"/>
                <w:sz w:val="24"/>
                <w:szCs w:val="24"/>
                <w:highlight w:val="none"/>
                <w:lang w:val="en-US" w:eastAsia="zh-CN"/>
                <w14:textFill>
                  <w14:solidFill>
                    <w14:schemeClr w14:val="tx1"/>
                  </w14:solidFill>
                </w14:textFill>
              </w:rPr>
              <w:t>从事</w:t>
            </w:r>
            <w:r>
              <w:rPr>
                <w:rFonts w:hint="eastAsia" w:cs="Times New Roman"/>
                <w:color w:val="000000" w:themeColor="text1"/>
                <w:kern w:val="0"/>
                <w:sz w:val="24"/>
                <w:szCs w:val="21"/>
                <w:highlight w:val="none"/>
                <w:lang w:val="en-US" w:eastAsia="zh-CN"/>
                <w14:textFill>
                  <w14:solidFill>
                    <w14:schemeClr w14:val="tx1"/>
                  </w14:solidFill>
                </w14:textFill>
              </w:rPr>
              <w:t>车载塑料袋生产，原材料为塑料颗粒新粒，属于塑料制品生产行业，</w:t>
            </w:r>
            <w:r>
              <w:rPr>
                <w:rFonts w:hint="eastAsia"/>
                <w:color w:val="000000" w:themeColor="text1"/>
                <w:sz w:val="24"/>
                <w:szCs w:val="24"/>
                <w:highlight w:val="none"/>
                <w14:textFill>
                  <w14:solidFill>
                    <w14:schemeClr w14:val="tx1"/>
                  </w14:solidFill>
                </w14:textFill>
              </w:rPr>
              <w:t>经查阅《产业结构调整指导目录（20</w:t>
            </w:r>
            <w:r>
              <w:rPr>
                <w:color w:val="000000" w:themeColor="text1"/>
                <w:sz w:val="24"/>
                <w:szCs w:val="24"/>
                <w:highlight w:val="none"/>
                <w14:textFill>
                  <w14:solidFill>
                    <w14:schemeClr w14:val="tx1"/>
                  </w14:solidFill>
                </w14:textFill>
              </w:rPr>
              <w:t>24</w:t>
            </w:r>
            <w:r>
              <w:rPr>
                <w:rFonts w:hint="eastAsia"/>
                <w:color w:val="000000" w:themeColor="text1"/>
                <w:sz w:val="24"/>
                <w:szCs w:val="24"/>
                <w:highlight w:val="none"/>
                <w14:textFill>
                  <w14:solidFill>
                    <w14:schemeClr w14:val="tx1"/>
                  </w14:solidFill>
                </w14:textFill>
              </w:rPr>
              <w:t>年本）》，</w:t>
            </w:r>
            <w:r>
              <w:rPr>
                <w:rFonts w:hint="eastAsia"/>
                <w:color w:val="000000" w:themeColor="text1"/>
                <w:sz w:val="24"/>
                <w:szCs w:val="24"/>
                <w:highlight w:val="none"/>
                <w:lang w:val="en-US" w:eastAsia="zh-CN"/>
                <w14:textFill>
                  <w14:solidFill>
                    <w14:schemeClr w14:val="tx1"/>
                  </w14:solidFill>
                </w14:textFill>
              </w:rPr>
              <w:t>本项目不属于</w:t>
            </w:r>
            <w:r>
              <w:rPr>
                <w:rFonts w:hint="eastAsia"/>
                <w:color w:val="000000" w:themeColor="text1"/>
                <w:sz w:val="24"/>
                <w:szCs w:val="24"/>
                <w:highlight w:val="none"/>
                <w14:textFill>
                  <w14:solidFill>
                    <w14:schemeClr w14:val="tx1"/>
                  </w14:solidFill>
                </w14:textFill>
              </w:rPr>
              <w:t>限制类以及淘汰类，目前项目已通过</w:t>
            </w:r>
            <w:r>
              <w:rPr>
                <w:rFonts w:hint="eastAsia"/>
                <w:color w:val="000000" w:themeColor="text1"/>
                <w:sz w:val="24"/>
                <w:szCs w:val="24"/>
                <w:highlight w:val="none"/>
                <w:lang w:eastAsia="zh-CN"/>
                <w14:textFill>
                  <w14:solidFill>
                    <w14:schemeClr w14:val="tx1"/>
                  </w14:solidFill>
                </w14:textFill>
              </w:rPr>
              <w:t>闽侯县发改局</w:t>
            </w:r>
            <w:r>
              <w:rPr>
                <w:rFonts w:hint="eastAsia"/>
                <w:color w:val="000000" w:themeColor="text1"/>
                <w:sz w:val="24"/>
                <w:szCs w:val="24"/>
                <w:highlight w:val="none"/>
                <w14:textFill>
                  <w14:solidFill>
                    <w14:schemeClr w14:val="tx1"/>
                  </w14:solidFill>
                </w14:textFill>
              </w:rPr>
              <w:t>的备案(</w:t>
            </w:r>
            <w:r>
              <w:rPr>
                <w:rFonts w:hint="eastAsia"/>
                <w:color w:val="000000" w:themeColor="text1"/>
                <w:sz w:val="24"/>
                <w:szCs w:val="24"/>
                <w:highlight w:val="none"/>
                <w:lang w:eastAsia="zh-CN"/>
                <w14:textFill>
                  <w14:solidFill>
                    <w14:schemeClr w14:val="tx1"/>
                  </w14:solidFill>
                </w14:textFill>
              </w:rPr>
              <w:t>闽发改备〔2025〕A080146号</w:t>
            </w:r>
            <w:r>
              <w:rPr>
                <w:rFonts w:hint="eastAsia"/>
                <w:color w:val="000000" w:themeColor="text1"/>
                <w:sz w:val="24"/>
                <w:szCs w:val="24"/>
                <w:highlight w:val="none"/>
                <w14:textFill>
                  <w14:solidFill>
                    <w14:schemeClr w14:val="tx1"/>
                  </w14:solidFill>
                </w14:textFill>
              </w:rPr>
              <w:t>)，因此，项目的建设内容符合国家和地方当前的产业政策</w:t>
            </w:r>
            <w:r>
              <w:rPr>
                <w:rFonts w:hint="eastAsia"/>
                <w:color w:val="000000" w:themeColor="text1"/>
                <w:sz w:val="24"/>
                <w:szCs w:val="24"/>
                <w:highlight w:val="none"/>
                <w:lang w:eastAsia="zh-CN"/>
                <w14:textFill>
                  <w14:solidFill>
                    <w14:schemeClr w14:val="tx1"/>
                  </w14:solidFill>
                </w14:textFill>
              </w:rPr>
              <w:t>。</w:t>
            </w:r>
          </w:p>
          <w:p w14:paraId="5D2FB3D9">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14:textFill>
                  <w14:solidFill>
                    <w14:schemeClr w14:val="tx1"/>
                  </w14:solidFill>
                </w14:textFill>
              </w:rPr>
              <w:t>1.</w:t>
            </w:r>
            <w:r>
              <w:rPr>
                <w:rFonts w:hint="eastAsia"/>
                <w:color w:val="000000" w:themeColor="text1"/>
                <w:sz w:val="24"/>
                <w:szCs w:val="21"/>
                <w:highlight w:val="none"/>
                <w:lang w:val="en-US" w:eastAsia="zh-CN"/>
                <w14:textFill>
                  <w14:solidFill>
                    <w14:schemeClr w14:val="tx1"/>
                  </w14:solidFill>
                </w14:textFill>
              </w:rPr>
              <w:t>4选址合理性分析</w:t>
            </w:r>
          </w:p>
          <w:p w14:paraId="6F3A965D">
            <w:pPr>
              <w:spacing w:line="360" w:lineRule="auto"/>
              <w:ind w:firstLine="480" w:firstLineChars="200"/>
              <w:rPr>
                <w:rFonts w:hint="default"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租用福建西诚电子有限公司在福建省福州市闽侯县祥谦镇辅翼村、卜洲村福建西诚电子工业园第三座1-3层，已签订租赁合同（见附件3）。根据出租方提供的不动产权证明，项目用地为工业用地，符合当地土地利用规划。</w:t>
            </w:r>
          </w:p>
          <w:p w14:paraId="78E43037">
            <w:pPr>
              <w:pStyle w:val="37"/>
              <w:rPr>
                <w:rFonts w:hint="eastAsia"/>
                <w:color w:val="000000" w:themeColor="text1"/>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1.</w:t>
            </w:r>
            <w:r>
              <w:rPr>
                <w:rFonts w:hint="eastAsia"/>
                <w:color w:val="000000" w:themeColor="text1"/>
                <w:sz w:val="24"/>
                <w:szCs w:val="21"/>
                <w:highlight w:val="none"/>
                <w:lang w:val="en-US" w:eastAsia="zh-CN"/>
                <w14:textFill>
                  <w14:solidFill>
                    <w14:schemeClr w14:val="tx1"/>
                  </w14:solidFill>
                </w14:textFill>
              </w:rPr>
              <w:t>5</w:t>
            </w:r>
            <w:r>
              <w:rPr>
                <w:rFonts w:hint="eastAsia"/>
                <w:color w:val="000000" w:themeColor="text1"/>
                <w:sz w:val="24"/>
                <w:szCs w:val="21"/>
                <w:highlight w:val="none"/>
                <w14:textFill>
                  <w14:solidFill>
                    <w14:schemeClr w14:val="tx1"/>
                  </w14:solidFill>
                </w14:textFill>
              </w:rPr>
              <w:t xml:space="preserve"> 环境功能区划符合性分析</w:t>
            </w:r>
          </w:p>
          <w:p w14:paraId="0288EE90">
            <w:pPr>
              <w:spacing w:line="360" w:lineRule="auto"/>
              <w:ind w:firstLine="480" w:firstLineChars="200"/>
              <w:rPr>
                <w:rFonts w:hint="default"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1</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水环境</w:t>
            </w:r>
          </w:p>
          <w:p w14:paraId="234838B7">
            <w:pPr>
              <w:spacing w:line="360" w:lineRule="auto"/>
              <w:ind w:firstLine="480" w:firstLineChars="200"/>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项目附近地表水体淘江</w:t>
            </w:r>
            <w:r>
              <w:rPr>
                <w:rFonts w:hint="eastAsia"/>
                <w:color w:val="000000" w:themeColor="text1"/>
                <w:sz w:val="24"/>
                <w:szCs w:val="24"/>
                <w:highlight w:val="none"/>
                <w:lang w:val="en-US" w:eastAsia="zh-CN"/>
                <w14:textFill>
                  <w14:solidFill>
                    <w14:schemeClr w14:val="tx1"/>
                  </w14:solidFill>
                </w14:textFill>
              </w:rPr>
              <w:t>支流</w:t>
            </w:r>
            <w:r>
              <w:rPr>
                <w:rFonts w:hint="eastAsia"/>
                <w:color w:val="000000" w:themeColor="text1"/>
                <w:sz w:val="24"/>
                <w:szCs w:val="24"/>
                <w:highlight w:val="none"/>
                <w14:textFill>
                  <w14:solidFill>
                    <w14:schemeClr w14:val="tx1"/>
                  </w14:solidFill>
                </w14:textFill>
              </w:rPr>
              <w:t>能满足《地表水环境质量标准》(GB3838-2002)中</w:t>
            </w:r>
            <w:r>
              <w:rPr>
                <w:rFonts w:hint="eastAsia"/>
                <w:color w:val="000000" w:themeColor="text1"/>
                <w:sz w:val="24"/>
                <w:szCs w:val="24"/>
                <w:highlight w:val="none"/>
                <w:lang w:val="en-US" w:eastAsia="zh-CN"/>
                <w14:textFill>
                  <w14:solidFill>
                    <w14:schemeClr w14:val="tx1"/>
                  </w14:solidFill>
                </w14:textFill>
              </w:rPr>
              <w:t>Ⅲ</w:t>
            </w:r>
            <w:r>
              <w:rPr>
                <w:rFonts w:hint="eastAsia"/>
                <w:color w:val="000000" w:themeColor="text1"/>
                <w:sz w:val="24"/>
                <w:szCs w:val="24"/>
                <w:highlight w:val="none"/>
                <w14:textFill>
                  <w14:solidFill>
                    <w14:schemeClr w14:val="tx1"/>
                  </w14:solidFill>
                </w14:textFill>
              </w:rPr>
              <w:t>类水质标准。项目无生产废水，生活污水经</w:t>
            </w:r>
            <w:r>
              <w:rPr>
                <w:rFonts w:hint="eastAsia"/>
                <w:color w:val="000000" w:themeColor="text1"/>
                <w:sz w:val="24"/>
                <w:szCs w:val="24"/>
                <w:highlight w:val="none"/>
                <w:lang w:val="en-US" w:eastAsia="zh-CN"/>
                <w14:textFill>
                  <w14:solidFill>
                    <w14:schemeClr w14:val="tx1"/>
                  </w14:solidFill>
                </w14:textFill>
              </w:rPr>
              <w:t>隔油+化粪池</w:t>
            </w:r>
            <w:r>
              <w:rPr>
                <w:rFonts w:hint="eastAsia"/>
                <w:color w:val="000000" w:themeColor="text1"/>
                <w:sz w:val="24"/>
                <w:szCs w:val="24"/>
                <w:highlight w:val="none"/>
                <w14:textFill>
                  <w14:solidFill>
                    <w14:schemeClr w14:val="tx1"/>
                  </w14:solidFill>
                </w14:textFill>
              </w:rPr>
              <w:t>处理达标后排入市政污水管网，送往福建青口海峡环保有限公司(</w:t>
            </w:r>
            <w:r>
              <w:rPr>
                <w:rFonts w:hint="eastAsia"/>
                <w:color w:val="000000" w:themeColor="text1"/>
                <w:sz w:val="24"/>
                <w:szCs w:val="24"/>
                <w:highlight w:val="none"/>
                <w:lang w:eastAsia="zh-CN"/>
                <w14:textFill>
                  <w14:solidFill>
                    <w14:schemeClr w14:val="tx1"/>
                  </w14:solidFill>
                </w14:textFill>
              </w:rPr>
              <w:t>青口新区污水处理厂</w:t>
            </w:r>
            <w:r>
              <w:rPr>
                <w:rFonts w:hint="eastAsia"/>
                <w:color w:val="000000" w:themeColor="text1"/>
                <w:sz w:val="24"/>
                <w:szCs w:val="24"/>
                <w:highlight w:val="none"/>
                <w14:textFill>
                  <w14:solidFill>
                    <w14:schemeClr w14:val="tx1"/>
                  </w14:solidFill>
                </w14:textFill>
              </w:rPr>
              <w:t>)集中处理，对区域水环境质量影响较小</w:t>
            </w:r>
            <w:r>
              <w:rPr>
                <w:rFonts w:hint="eastAsia"/>
                <w:color w:val="000000" w:themeColor="text1"/>
                <w:sz w:val="24"/>
                <w:szCs w:val="24"/>
                <w:highlight w:val="none"/>
                <w:lang w:eastAsia="zh-CN"/>
                <w14:textFill>
                  <w14:solidFill>
                    <w14:schemeClr w14:val="tx1"/>
                  </w14:solidFill>
                </w14:textFill>
              </w:rPr>
              <w:t>。</w:t>
            </w:r>
          </w:p>
          <w:p w14:paraId="29992E02">
            <w:pPr>
              <w:spacing w:line="360" w:lineRule="auto"/>
              <w:ind w:firstLine="480" w:firstLineChars="200"/>
              <w:rPr>
                <w:rFonts w:hint="default"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2</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大气环境</w:t>
            </w:r>
          </w:p>
          <w:p w14:paraId="0DCB157F">
            <w:pPr>
              <w:spacing w:line="360" w:lineRule="auto"/>
              <w:ind w:firstLine="480" w:firstLineChars="200"/>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根据大气环境质量现状可知，项目区域大气环境达到《环境空气质量标准》(GB3095-2012)中二级标准，区域大气环境具有一定的容量。项目废气经采取有效的治理措施后达标排放，对区域大气环境质量影响较小</w:t>
            </w:r>
            <w:r>
              <w:rPr>
                <w:rFonts w:hint="eastAsia"/>
                <w:color w:val="000000" w:themeColor="text1"/>
                <w:sz w:val="24"/>
                <w:szCs w:val="24"/>
                <w:highlight w:val="none"/>
                <w:lang w:eastAsia="zh-CN"/>
                <w14:textFill>
                  <w14:solidFill>
                    <w14:schemeClr w14:val="tx1"/>
                  </w14:solidFill>
                </w14:textFill>
              </w:rPr>
              <w:t>。</w:t>
            </w:r>
          </w:p>
          <w:p w14:paraId="3FCDEFD2">
            <w:pPr>
              <w:spacing w:line="360" w:lineRule="auto"/>
              <w:ind w:firstLine="480" w:firstLineChars="200"/>
              <w:rPr>
                <w:rFonts w:hint="default"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3</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声环境</w:t>
            </w:r>
          </w:p>
          <w:p w14:paraId="6205BC0B">
            <w:pPr>
              <w:spacing w:line="360" w:lineRule="auto"/>
              <w:ind w:firstLine="480" w:firstLineChars="200"/>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项目声环境功能区划为3类功能区，</w:t>
            </w:r>
            <w:r>
              <w:rPr>
                <w:rFonts w:hint="eastAsia"/>
                <w:color w:val="000000" w:themeColor="text1"/>
                <w:sz w:val="24"/>
                <w:szCs w:val="24"/>
                <w:highlight w:val="none"/>
                <w:lang w:val="en-US" w:eastAsia="zh-CN"/>
                <w14:textFill>
                  <w14:solidFill>
                    <w14:schemeClr w14:val="tx1"/>
                  </w14:solidFill>
                </w14:textFill>
              </w:rPr>
              <w:t>项目</w:t>
            </w:r>
            <w:r>
              <w:rPr>
                <w:rFonts w:hint="eastAsia"/>
                <w:color w:val="000000" w:themeColor="text1"/>
                <w:sz w:val="24"/>
                <w:szCs w:val="24"/>
                <w:highlight w:val="none"/>
                <w14:textFill>
                  <w14:solidFill>
                    <w14:schemeClr w14:val="tx1"/>
                  </w14:solidFill>
                </w14:textFill>
              </w:rPr>
              <w:t>采取相应的减振、隔声措施后，项目对周边声环境贡献值较小，周边声环境影响较小。</w:t>
            </w:r>
          </w:p>
          <w:p w14:paraId="2F0E2648">
            <w:pPr>
              <w:pStyle w:val="37"/>
              <w:rPr>
                <w:color w:val="000000" w:themeColor="text1"/>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1.</w:t>
            </w:r>
            <w:r>
              <w:rPr>
                <w:rFonts w:hint="eastAsia"/>
                <w:color w:val="000000" w:themeColor="text1"/>
                <w:sz w:val="24"/>
                <w:szCs w:val="21"/>
                <w:highlight w:val="none"/>
                <w:lang w:val="en-US" w:eastAsia="zh-CN"/>
                <w14:textFill>
                  <w14:solidFill>
                    <w14:schemeClr w14:val="tx1"/>
                  </w14:solidFill>
                </w14:textFill>
              </w:rPr>
              <w:t>6</w:t>
            </w:r>
            <w:r>
              <w:rPr>
                <w:color w:val="000000" w:themeColor="text1"/>
                <w:sz w:val="24"/>
                <w:szCs w:val="21"/>
                <w:highlight w:val="none"/>
                <w14:textFill>
                  <w14:solidFill>
                    <w14:schemeClr w14:val="tx1"/>
                  </w14:solidFill>
                </w14:textFill>
              </w:rPr>
              <w:t xml:space="preserve"> </w:t>
            </w:r>
            <w:r>
              <w:rPr>
                <w:rFonts w:hint="eastAsia"/>
                <w:color w:val="000000" w:themeColor="text1"/>
                <w:sz w:val="24"/>
                <w:szCs w:val="21"/>
                <w:highlight w:val="none"/>
                <w:lang w:val="en-US" w:eastAsia="zh-CN"/>
                <w14:textFill>
                  <w14:solidFill>
                    <w14:schemeClr w14:val="tx1"/>
                  </w14:solidFill>
                </w14:textFill>
              </w:rPr>
              <w:t>与</w:t>
            </w:r>
            <w:r>
              <w:rPr>
                <w:rFonts w:hint="default"/>
                <w:color w:val="000000" w:themeColor="text1"/>
                <w:sz w:val="24"/>
                <w:szCs w:val="21"/>
                <w:highlight w:val="none"/>
                <w:lang w:val="en-US" w:eastAsia="zh-CN"/>
                <w14:textFill>
                  <w14:solidFill>
                    <w14:schemeClr w14:val="tx1"/>
                  </w14:solidFill>
                </w14:textFill>
              </w:rPr>
              <w:t>生态环境分区管控要求的</w:t>
            </w:r>
            <w:r>
              <w:rPr>
                <w:rFonts w:hint="eastAsia"/>
                <w:color w:val="000000" w:themeColor="text1"/>
                <w:sz w:val="24"/>
                <w:szCs w:val="21"/>
                <w:highlight w:val="none"/>
                <w14:textFill>
                  <w14:solidFill>
                    <w14:schemeClr w14:val="tx1"/>
                  </w14:solidFill>
                </w14:textFill>
              </w:rPr>
              <w:t>符合性分析</w:t>
            </w:r>
          </w:p>
          <w:p w14:paraId="67166C7C">
            <w:pPr>
              <w:spacing w:line="360" w:lineRule="auto"/>
              <w:ind w:firstLine="480" w:firstLineChars="200"/>
              <w:rPr>
                <w:rFonts w:hint="eastAsia"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根据</w:t>
            </w:r>
            <w:r>
              <w:rPr>
                <w:rFonts w:hint="eastAsia"/>
                <w:color w:val="000000" w:themeColor="text1"/>
                <w:sz w:val="24"/>
                <w:szCs w:val="24"/>
                <w:highlight w:val="none"/>
                <w:lang w:eastAsia="zh-CN"/>
                <w14:textFill>
                  <w14:solidFill>
                    <w14:schemeClr w14:val="tx1"/>
                  </w14:solidFill>
                </w14:textFill>
              </w:rPr>
              <w:t>《福州市生态环境局关于发布福州市2024年生态环境分区管控动态更新成果的通知》（榕环保综〔2025〕1号），</w:t>
            </w:r>
            <w:r>
              <w:rPr>
                <w:rFonts w:hint="eastAsia"/>
                <w:color w:val="000000" w:themeColor="text1"/>
                <w:sz w:val="24"/>
                <w:szCs w:val="24"/>
                <w:highlight w:val="none"/>
                <w:lang w:val="en-US" w:eastAsia="zh-CN"/>
                <w14:textFill>
                  <w14:solidFill>
                    <w14:schemeClr w14:val="tx1"/>
                  </w14:solidFill>
                </w14:textFill>
              </w:rPr>
              <w:t>本项目与福州市生态环境分区管控要求的</w:t>
            </w:r>
            <w:r>
              <w:rPr>
                <w:rFonts w:hint="eastAsia"/>
                <w:color w:val="000000" w:themeColor="text1"/>
                <w:sz w:val="24"/>
                <w:szCs w:val="24"/>
                <w:highlight w:val="none"/>
                <w14:textFill>
                  <w14:solidFill>
                    <w14:schemeClr w14:val="tx1"/>
                  </w14:solidFill>
                </w14:textFill>
              </w:rPr>
              <w:t>符合性分析如下</w:t>
            </w:r>
            <w:r>
              <w:rPr>
                <w:rFonts w:hint="eastAsia"/>
                <w:color w:val="000000" w:themeColor="text1"/>
                <w:sz w:val="24"/>
                <w:szCs w:val="24"/>
                <w:highlight w:val="none"/>
                <w:lang w:val="en-US" w:eastAsia="zh-CN"/>
                <w14:textFill>
                  <w14:solidFill>
                    <w14:schemeClr w14:val="tx1"/>
                  </w14:solidFill>
                </w14:textFill>
              </w:rPr>
              <w:t>表。</w:t>
            </w:r>
          </w:p>
          <w:p w14:paraId="399663EA">
            <w:pPr>
              <w:spacing w:line="360" w:lineRule="auto"/>
              <w:jc w:val="center"/>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表 1</w:t>
            </w:r>
            <w:r>
              <w:rPr>
                <w:b/>
                <w:color w:val="000000" w:themeColor="text1"/>
                <w:sz w:val="24"/>
                <w:szCs w:val="24"/>
                <w:highlight w:val="none"/>
                <w14:textFill>
                  <w14:solidFill>
                    <w14:schemeClr w14:val="tx1"/>
                  </w14:solidFill>
                </w14:textFill>
              </w:rPr>
              <w:t xml:space="preserve">-3 </w:t>
            </w:r>
            <w:r>
              <w:rPr>
                <w:rFonts w:hint="eastAsia"/>
                <w:b/>
                <w:color w:val="000000" w:themeColor="text1"/>
                <w:sz w:val="24"/>
                <w:szCs w:val="24"/>
                <w:highlight w:val="none"/>
                <w14:textFill>
                  <w14:solidFill>
                    <w14:schemeClr w14:val="tx1"/>
                  </w14:solidFill>
                </w14:textFill>
              </w:rPr>
              <w:t>与</w:t>
            </w:r>
            <w:r>
              <w:rPr>
                <w:rFonts w:hint="eastAsia"/>
                <w:b/>
                <w:color w:val="000000" w:themeColor="text1"/>
                <w:sz w:val="24"/>
                <w:szCs w:val="24"/>
                <w:highlight w:val="none"/>
                <w:lang w:val="en-US" w:eastAsia="zh-CN"/>
                <w14:textFill>
                  <w14:solidFill>
                    <w14:schemeClr w14:val="tx1"/>
                  </w14:solidFill>
                </w14:textFill>
              </w:rPr>
              <w:t>生态环境分区管控要求的</w:t>
            </w:r>
            <w:r>
              <w:rPr>
                <w:rFonts w:hint="eastAsia"/>
                <w:b/>
                <w:color w:val="000000" w:themeColor="text1"/>
                <w:sz w:val="24"/>
                <w:szCs w:val="24"/>
                <w:highlight w:val="none"/>
                <w14:textFill>
                  <w14:solidFill>
                    <w14:schemeClr w14:val="tx1"/>
                  </w14:solidFill>
                </w14:textFill>
              </w:rPr>
              <w:t>符合性分析</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6"/>
              <w:gridCol w:w="6132"/>
              <w:gridCol w:w="914"/>
            </w:tblGrid>
            <w:tr w14:paraId="42BCF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6" w:type="dxa"/>
                  <w:shd w:val="clear" w:color="auto" w:fill="auto"/>
                  <w:vAlign w:val="center"/>
                </w:tcPr>
                <w:p w14:paraId="2A37C453">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内容</w:t>
                  </w:r>
                </w:p>
              </w:tc>
              <w:tc>
                <w:tcPr>
                  <w:tcW w:w="6132" w:type="dxa"/>
                  <w:shd w:val="clear" w:color="auto" w:fill="auto"/>
                  <w:vAlign w:val="center"/>
                </w:tcPr>
                <w:p w14:paraId="5CAA482B">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项目分析</w:t>
                  </w:r>
                </w:p>
              </w:tc>
              <w:tc>
                <w:tcPr>
                  <w:tcW w:w="914" w:type="dxa"/>
                  <w:shd w:val="clear" w:color="auto" w:fill="auto"/>
                  <w:vAlign w:val="center"/>
                </w:tcPr>
                <w:p w14:paraId="3B611D47">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符合性分析</w:t>
                  </w:r>
                </w:p>
              </w:tc>
            </w:tr>
            <w:tr w14:paraId="0A0C8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6" w:type="dxa"/>
                  <w:shd w:val="clear" w:color="auto" w:fill="auto"/>
                  <w:vAlign w:val="center"/>
                </w:tcPr>
                <w:p w14:paraId="3FE13C22">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生态保护红线</w:t>
                  </w:r>
                </w:p>
              </w:tc>
              <w:tc>
                <w:tcPr>
                  <w:tcW w:w="6132" w:type="dxa"/>
                  <w:shd w:val="clear" w:color="auto" w:fill="auto"/>
                  <w:vAlign w:val="center"/>
                </w:tcPr>
                <w:p w14:paraId="042A90FD">
                  <w:pPr>
                    <w:spacing w:line="276" w:lineRule="auto"/>
                    <w:jc w:val="both"/>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经查询福建省生态环境分区管控数据应用平台，本项目位于福建闽侯青口汽车工业园区，不涉及生态保护红线</w:t>
                  </w:r>
                  <w:r>
                    <w:rPr>
                      <w:rFonts w:hint="eastAsia"/>
                      <w:color w:val="000000" w:themeColor="text1"/>
                      <w:sz w:val="21"/>
                      <w:szCs w:val="18"/>
                      <w:highlight w:val="none"/>
                      <w14:textFill>
                        <w14:solidFill>
                          <w14:schemeClr w14:val="tx1"/>
                        </w14:solidFill>
                      </w14:textFill>
                    </w:rPr>
                    <w:t>。因此，项目建设符合生态红线控制要求。</w:t>
                  </w:r>
                </w:p>
              </w:tc>
              <w:tc>
                <w:tcPr>
                  <w:tcW w:w="914" w:type="dxa"/>
                  <w:shd w:val="clear" w:color="auto" w:fill="auto"/>
                  <w:vAlign w:val="center"/>
                </w:tcPr>
                <w:p w14:paraId="52934663">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符合</w:t>
                  </w:r>
                </w:p>
              </w:tc>
            </w:tr>
            <w:tr w14:paraId="33623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6" w:type="dxa"/>
                  <w:shd w:val="clear" w:color="auto" w:fill="auto"/>
                  <w:vAlign w:val="center"/>
                </w:tcPr>
                <w:p w14:paraId="62AFE50F">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环境质量底线</w:t>
                  </w:r>
                </w:p>
              </w:tc>
              <w:tc>
                <w:tcPr>
                  <w:tcW w:w="6132" w:type="dxa"/>
                  <w:shd w:val="clear" w:color="auto" w:fill="auto"/>
                  <w:vAlign w:val="center"/>
                </w:tcPr>
                <w:p w14:paraId="37324BC4">
                  <w:pPr>
                    <w:autoSpaceDE w:val="0"/>
                    <w:autoSpaceDN w:val="0"/>
                    <w:adjustRightInd w:val="0"/>
                    <w:spacing w:line="276" w:lineRule="auto"/>
                    <w:jc w:val="left"/>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1</w:t>
                  </w: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水环境：水环境质量底线目标为：到2025年，国省控断面水质优良（达到或优于Ⅲ类）比例总体达97.2%以上；县级以上集中式饮用水水源水质达标率达100%。到2035年，国省控断面水质优良（达到或优于Ⅲ类）比例总体达到100%；生态系统实现良性循环。</w:t>
                  </w:r>
                  <w:r>
                    <w:rPr>
                      <w:rFonts w:hint="eastAsia"/>
                      <w:color w:val="000000" w:themeColor="text1"/>
                      <w:sz w:val="21"/>
                      <w:szCs w:val="18"/>
                      <w:highlight w:val="none"/>
                      <w14:textFill>
                        <w14:solidFill>
                          <w14:schemeClr w14:val="tx1"/>
                        </w14:solidFill>
                      </w14:textFill>
                    </w:rPr>
                    <w:t>项目附近地表水体淘江能满足《地表水环境质量标准》(GB3838-2002)中</w:t>
                  </w:r>
                  <w:r>
                    <w:rPr>
                      <w:rFonts w:hint="eastAsia"/>
                      <w:color w:val="000000" w:themeColor="text1"/>
                      <w:sz w:val="21"/>
                      <w:szCs w:val="18"/>
                      <w:highlight w:val="none"/>
                      <w:lang w:val="en-US" w:eastAsia="zh-CN"/>
                      <w14:textFill>
                        <w14:solidFill>
                          <w14:schemeClr w14:val="tx1"/>
                        </w14:solidFill>
                      </w14:textFill>
                    </w:rPr>
                    <w:t>Ⅲ</w:t>
                  </w:r>
                  <w:r>
                    <w:rPr>
                      <w:rFonts w:hint="eastAsia"/>
                      <w:color w:val="000000" w:themeColor="text1"/>
                      <w:sz w:val="21"/>
                      <w:szCs w:val="18"/>
                      <w:highlight w:val="none"/>
                      <w14:textFill>
                        <w14:solidFill>
                          <w14:schemeClr w14:val="tx1"/>
                        </w14:solidFill>
                      </w14:textFill>
                    </w:rPr>
                    <w:t>类水质标准。项目无生产废水，生活污水经</w:t>
                  </w:r>
                  <w:r>
                    <w:rPr>
                      <w:rFonts w:hint="eastAsia"/>
                      <w:color w:val="000000" w:themeColor="text1"/>
                      <w:sz w:val="21"/>
                      <w:szCs w:val="21"/>
                      <w:highlight w:val="none"/>
                      <w:lang w:val="en-US" w:eastAsia="zh-CN"/>
                      <w14:textFill>
                        <w14:solidFill>
                          <w14:schemeClr w14:val="tx1"/>
                        </w14:solidFill>
                      </w14:textFill>
                    </w:rPr>
                    <w:t>隔油+</w:t>
                  </w:r>
                  <w:r>
                    <w:rPr>
                      <w:rFonts w:hint="eastAsia"/>
                      <w:color w:val="000000" w:themeColor="text1"/>
                      <w:sz w:val="21"/>
                      <w:szCs w:val="18"/>
                      <w:highlight w:val="none"/>
                      <w:lang w:val="en-US" w:eastAsia="zh-CN"/>
                      <w14:textFill>
                        <w14:solidFill>
                          <w14:schemeClr w14:val="tx1"/>
                        </w14:solidFill>
                      </w14:textFill>
                    </w:rPr>
                    <w:t>化粪池</w:t>
                  </w:r>
                  <w:r>
                    <w:rPr>
                      <w:rFonts w:hint="eastAsia"/>
                      <w:color w:val="000000" w:themeColor="text1"/>
                      <w:sz w:val="21"/>
                      <w:szCs w:val="18"/>
                      <w:highlight w:val="none"/>
                      <w14:textFill>
                        <w14:solidFill>
                          <w14:schemeClr w14:val="tx1"/>
                        </w14:solidFill>
                      </w14:textFill>
                    </w:rPr>
                    <w:t>处理达标后排入市政污水管网，送往福建青口海峡环保有限公司(</w:t>
                  </w:r>
                  <w:r>
                    <w:rPr>
                      <w:rFonts w:hint="eastAsia"/>
                      <w:color w:val="000000" w:themeColor="text1"/>
                      <w:sz w:val="21"/>
                      <w:szCs w:val="18"/>
                      <w:highlight w:val="none"/>
                      <w:lang w:eastAsia="zh-CN"/>
                      <w14:textFill>
                        <w14:solidFill>
                          <w14:schemeClr w14:val="tx1"/>
                        </w14:solidFill>
                      </w14:textFill>
                    </w:rPr>
                    <w:t>青口新区污水处理厂</w:t>
                  </w:r>
                  <w:r>
                    <w:rPr>
                      <w:rFonts w:hint="eastAsia"/>
                      <w:color w:val="000000" w:themeColor="text1"/>
                      <w:sz w:val="21"/>
                      <w:szCs w:val="18"/>
                      <w:highlight w:val="none"/>
                      <w14:textFill>
                        <w14:solidFill>
                          <w14:schemeClr w14:val="tx1"/>
                        </w14:solidFill>
                      </w14:textFill>
                    </w:rPr>
                    <w:t>)集中处理，对区域水环境质量影响较小</w:t>
                  </w:r>
                  <w:r>
                    <w:rPr>
                      <w:rFonts w:hint="eastAsia"/>
                      <w:color w:val="000000" w:themeColor="text1"/>
                      <w:sz w:val="21"/>
                      <w:szCs w:val="18"/>
                      <w:highlight w:val="none"/>
                      <w:lang w:eastAsia="zh-CN"/>
                      <w14:textFill>
                        <w14:solidFill>
                          <w14:schemeClr w14:val="tx1"/>
                        </w14:solidFill>
                      </w14:textFill>
                    </w:rPr>
                    <w:t>，项目建设不会突破区域水环境质量底线。</w:t>
                  </w:r>
                </w:p>
                <w:p w14:paraId="5394476F">
                  <w:pPr>
                    <w:autoSpaceDE w:val="0"/>
                    <w:autoSpaceDN w:val="0"/>
                    <w:adjustRightInd w:val="0"/>
                    <w:spacing w:line="276" w:lineRule="auto"/>
                    <w:jc w:val="left"/>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2</w:t>
                  </w: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大气环境：大气环境质量底线目标为：到2025年，环境空气质量持续改善，细颗粒物（PM</w:t>
                  </w:r>
                  <w:r>
                    <w:rPr>
                      <w:rFonts w:hint="eastAsia"/>
                      <w:color w:val="000000" w:themeColor="text1"/>
                      <w:sz w:val="21"/>
                      <w:szCs w:val="18"/>
                      <w:highlight w:val="none"/>
                      <w:vertAlign w:val="subscript"/>
                      <w:lang w:val="en-US" w:eastAsia="zh-CN"/>
                      <w14:textFill>
                        <w14:solidFill>
                          <w14:schemeClr w14:val="tx1"/>
                        </w14:solidFill>
                      </w14:textFill>
                    </w:rPr>
                    <w:t>2.5</w:t>
                  </w:r>
                  <w:r>
                    <w:rPr>
                      <w:rFonts w:hint="eastAsia"/>
                      <w:color w:val="000000" w:themeColor="text1"/>
                      <w:sz w:val="21"/>
                      <w:szCs w:val="18"/>
                      <w:highlight w:val="none"/>
                      <w:lang w:val="en-US" w:eastAsia="zh-CN"/>
                      <w14:textFill>
                        <w14:solidFill>
                          <w14:schemeClr w14:val="tx1"/>
                        </w14:solidFill>
                      </w14:textFill>
                    </w:rPr>
                    <w:t>）年均浓度降至18.6μg/m</w:t>
                  </w:r>
                  <w:r>
                    <w:rPr>
                      <w:rFonts w:hint="eastAsia"/>
                      <w:color w:val="000000" w:themeColor="text1"/>
                      <w:sz w:val="21"/>
                      <w:szCs w:val="18"/>
                      <w:highlight w:val="none"/>
                      <w:vertAlign w:val="superscript"/>
                      <w:lang w:val="en-US" w:eastAsia="zh-CN"/>
                      <w14:textFill>
                        <w14:solidFill>
                          <w14:schemeClr w14:val="tx1"/>
                        </w14:solidFill>
                      </w14:textFill>
                    </w:rPr>
                    <w:t>3</w:t>
                  </w:r>
                  <w:r>
                    <w:rPr>
                      <w:rFonts w:hint="eastAsia"/>
                      <w:color w:val="000000" w:themeColor="text1"/>
                      <w:sz w:val="21"/>
                      <w:szCs w:val="18"/>
                      <w:highlight w:val="none"/>
                      <w:lang w:val="en-US" w:eastAsia="zh-CN"/>
                      <w14:textFill>
                        <w14:solidFill>
                          <w14:schemeClr w14:val="tx1"/>
                        </w14:solidFill>
                      </w14:textFill>
                    </w:rPr>
                    <w:t>。到2035年，县级城市细颗粒物（PM</w:t>
                  </w:r>
                  <w:r>
                    <w:rPr>
                      <w:rFonts w:hint="eastAsia"/>
                      <w:color w:val="000000" w:themeColor="text1"/>
                      <w:sz w:val="21"/>
                      <w:szCs w:val="18"/>
                      <w:highlight w:val="none"/>
                      <w:vertAlign w:val="subscript"/>
                      <w:lang w:val="en-US" w:eastAsia="zh-CN"/>
                      <w14:textFill>
                        <w14:solidFill>
                          <w14:schemeClr w14:val="tx1"/>
                        </w14:solidFill>
                      </w14:textFill>
                    </w:rPr>
                    <w:t>2.5</w:t>
                  </w:r>
                  <w:r>
                    <w:rPr>
                      <w:rFonts w:hint="eastAsia"/>
                      <w:color w:val="000000" w:themeColor="text1"/>
                      <w:sz w:val="21"/>
                      <w:szCs w:val="18"/>
                      <w:highlight w:val="none"/>
                      <w:lang w:val="en-US" w:eastAsia="zh-CN"/>
                      <w14:textFill>
                        <w14:solidFill>
                          <w14:schemeClr w14:val="tx1"/>
                        </w14:solidFill>
                      </w14:textFill>
                    </w:rPr>
                    <w:t>）年均浓度小于15μg/m</w:t>
                  </w:r>
                  <w:r>
                    <w:rPr>
                      <w:rFonts w:hint="eastAsia"/>
                      <w:color w:val="000000" w:themeColor="text1"/>
                      <w:sz w:val="21"/>
                      <w:szCs w:val="18"/>
                      <w:highlight w:val="none"/>
                      <w:vertAlign w:val="superscript"/>
                      <w:lang w:val="en-US" w:eastAsia="zh-CN"/>
                      <w14:textFill>
                        <w14:solidFill>
                          <w14:schemeClr w14:val="tx1"/>
                        </w14:solidFill>
                      </w14:textFill>
                    </w:rPr>
                    <w:t>3</w:t>
                  </w:r>
                  <w:r>
                    <w:rPr>
                      <w:rFonts w:hint="eastAsia"/>
                      <w:color w:val="000000" w:themeColor="text1"/>
                      <w:sz w:val="21"/>
                      <w:szCs w:val="18"/>
                      <w:highlight w:val="none"/>
                      <w:lang w:val="en-US" w:eastAsia="zh-CN"/>
                      <w14:textFill>
                        <w14:solidFill>
                          <w14:schemeClr w14:val="tx1"/>
                        </w14:solidFill>
                      </w14:textFill>
                    </w:rPr>
                    <w:t>，最终指标值以省下达指标为准。</w:t>
                  </w:r>
                  <w:r>
                    <w:rPr>
                      <w:rFonts w:hint="eastAsia"/>
                      <w:color w:val="000000" w:themeColor="text1"/>
                      <w:sz w:val="21"/>
                      <w:szCs w:val="18"/>
                      <w:highlight w:val="none"/>
                      <w14:textFill>
                        <w14:solidFill>
                          <w14:schemeClr w14:val="tx1"/>
                        </w14:solidFill>
                      </w14:textFill>
                    </w:rPr>
                    <w:t>根据大气环境质量现状可知，项目区域大气环境达到《环境空气质量标准》(GB3095-2012)中二级标准，区域大气环境具有一定的容量。项目废气经采取有效的治理措施后达标排放，对区域大气环境质量影响较小，项目的建设不会突破区域大气环境质量底线</w:t>
                  </w:r>
                  <w:r>
                    <w:rPr>
                      <w:rFonts w:hint="eastAsia"/>
                      <w:color w:val="000000" w:themeColor="text1"/>
                      <w:sz w:val="21"/>
                      <w:szCs w:val="18"/>
                      <w:highlight w:val="none"/>
                      <w:lang w:eastAsia="zh-CN"/>
                      <w14:textFill>
                        <w14:solidFill>
                          <w14:schemeClr w14:val="tx1"/>
                        </w14:solidFill>
                      </w14:textFill>
                    </w:rPr>
                    <w:t>。</w:t>
                  </w:r>
                </w:p>
                <w:p w14:paraId="53DCE317">
                  <w:pPr>
                    <w:autoSpaceDE w:val="0"/>
                    <w:autoSpaceDN w:val="0"/>
                    <w:adjustRightInd w:val="0"/>
                    <w:spacing w:line="276" w:lineRule="auto"/>
                    <w:jc w:val="left"/>
                    <w:rPr>
                      <w:rFonts w:ascii="宋体" w:cs="宋体"/>
                      <w:color w:val="000000" w:themeColor="text1"/>
                      <w:kern w:val="0"/>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3</w:t>
                  </w: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土壤环境：土壤环境风险防控底线为：到2025年，受污染耕地安全利用率达到95%（含）以上，重点建设用地安全利用率得到有效保障，重点行业企业用地优先管控名录地块风险管控率达到95%（含）以上，开垦耕地土壤污染调查覆盖率达90%以上，畜禽粪污综合利用率预期达95%（含）以上。到2035年，全市土壤环境质量稳中向好，农用地和建设用地土壤环境得到有效保障，土壤环境风险得到全面管控。项目周边土壤环境相对不敏感，采取有效的防渗措施后，项目对土壤环境影响很小，基本不存在土壤环境污染途径</w:t>
                  </w:r>
                  <w:r>
                    <w:rPr>
                      <w:rFonts w:hint="eastAsia"/>
                      <w:color w:val="000000" w:themeColor="text1"/>
                      <w:sz w:val="21"/>
                      <w:szCs w:val="18"/>
                      <w:highlight w:val="none"/>
                      <w14:textFill>
                        <w14:solidFill>
                          <w14:schemeClr w14:val="tx1"/>
                        </w14:solidFill>
                      </w14:textFill>
                    </w:rPr>
                    <w:t>。</w:t>
                  </w:r>
                </w:p>
              </w:tc>
              <w:tc>
                <w:tcPr>
                  <w:tcW w:w="914" w:type="dxa"/>
                  <w:shd w:val="clear" w:color="auto" w:fill="auto"/>
                  <w:vAlign w:val="center"/>
                </w:tcPr>
                <w:p w14:paraId="09699346">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符合</w:t>
                  </w:r>
                </w:p>
              </w:tc>
            </w:tr>
            <w:tr w14:paraId="2DBEC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6" w:type="dxa"/>
                  <w:shd w:val="clear" w:color="auto" w:fill="auto"/>
                  <w:vAlign w:val="center"/>
                </w:tcPr>
                <w:p w14:paraId="20D518CA">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资源利用上线</w:t>
                  </w:r>
                </w:p>
              </w:tc>
              <w:tc>
                <w:tcPr>
                  <w:tcW w:w="6132" w:type="dxa"/>
                  <w:shd w:val="clear" w:color="auto" w:fill="auto"/>
                  <w:vAlign w:val="center"/>
                </w:tcPr>
                <w:p w14:paraId="3733D023">
                  <w:pPr>
                    <w:rPr>
                      <w:rFonts w:hint="eastAsia"/>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1</w:t>
                  </w: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14:textFill>
                        <w14:solidFill>
                          <w14:schemeClr w14:val="tx1"/>
                        </w14:solidFill>
                      </w14:textFill>
                    </w:rPr>
                    <w:t>项目用水、用电为区域集中供应，项目运行过程通过内部管理、设备选择、原辅材料的选用和管理、废物回收利用、污染治理等多方面采取合理可行的防治措施，以“节能、降耗、减污”为目标，有效的控制污染。项目的水、电等资源利用不会突破区域的资源利用上线。</w:t>
                  </w:r>
                </w:p>
                <w:p w14:paraId="494C99E6">
                  <w:pPr>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2</w:t>
                  </w: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14:textFill>
                        <w14:solidFill>
                          <w14:schemeClr w14:val="tx1"/>
                        </w14:solidFill>
                      </w14:textFill>
                    </w:rPr>
                    <w:t>项目租赁已建厂房进行生产加工</w:t>
                  </w:r>
                  <w:r>
                    <w:rPr>
                      <w:rFonts w:hint="eastAsia"/>
                      <w:color w:val="000000" w:themeColor="text1"/>
                      <w:sz w:val="21"/>
                      <w:szCs w:val="18"/>
                      <w:highlight w:val="none"/>
                      <w:lang w:eastAsia="zh-CN"/>
                      <w14:textFill>
                        <w14:solidFill>
                          <w14:schemeClr w14:val="tx1"/>
                        </w14:solidFill>
                      </w14:textFill>
                    </w:rPr>
                    <w:t>，</w:t>
                  </w:r>
                  <w:r>
                    <w:rPr>
                      <w:rFonts w:hint="eastAsia"/>
                      <w:color w:val="000000" w:themeColor="text1"/>
                      <w:sz w:val="21"/>
                      <w:szCs w:val="18"/>
                      <w:highlight w:val="none"/>
                      <w14:textFill>
                        <w14:solidFill>
                          <w14:schemeClr w14:val="tx1"/>
                        </w14:solidFill>
                      </w14:textFill>
                    </w:rPr>
                    <w:t>未新增占地，符合土地资源利用上线管控要求。</w:t>
                  </w:r>
                </w:p>
              </w:tc>
              <w:tc>
                <w:tcPr>
                  <w:tcW w:w="914" w:type="dxa"/>
                  <w:shd w:val="clear" w:color="auto" w:fill="auto"/>
                  <w:vAlign w:val="center"/>
                </w:tcPr>
                <w:p w14:paraId="0F4596CC">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符合</w:t>
                  </w:r>
                </w:p>
              </w:tc>
            </w:tr>
            <w:tr w14:paraId="2667E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76" w:type="dxa"/>
                  <w:shd w:val="clear" w:color="auto" w:fill="auto"/>
                  <w:vAlign w:val="center"/>
                </w:tcPr>
                <w:p w14:paraId="240780FB">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环境准</w:t>
                  </w:r>
                </w:p>
                <w:p w14:paraId="242EB8EE">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入清单</w:t>
                  </w:r>
                </w:p>
              </w:tc>
              <w:tc>
                <w:tcPr>
                  <w:tcW w:w="6132" w:type="dxa"/>
                  <w:shd w:val="clear" w:color="auto" w:fill="auto"/>
                  <w:vAlign w:val="center"/>
                </w:tcPr>
                <w:p w14:paraId="3D0E8FB8">
                  <w:pPr>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经查询福建省生态环境分区管控数据应用平台，</w:t>
                  </w:r>
                  <w:r>
                    <w:rPr>
                      <w:rFonts w:hint="eastAsia"/>
                      <w:color w:val="000000" w:themeColor="text1"/>
                      <w:kern w:val="0"/>
                      <w:sz w:val="21"/>
                      <w:szCs w:val="18"/>
                      <w:highlight w:val="none"/>
                      <w:lang w:val="en-US" w:eastAsia="zh-CN"/>
                      <w14:textFill>
                        <w14:solidFill>
                          <w14:schemeClr w14:val="tx1"/>
                        </w14:solidFill>
                      </w14:textFill>
                    </w:rPr>
                    <w:t>本项目所在分区管控单元为“福建闽侯青口汽车工业园区”，管控单元分类为“重点管控单元”，环境管控单元编码为ZH35012120001。管控要求符合性分析见表1-4</w:t>
                  </w:r>
                  <w:r>
                    <w:rPr>
                      <w:rFonts w:hint="eastAsia"/>
                      <w:color w:val="000000" w:themeColor="text1"/>
                      <w:sz w:val="21"/>
                      <w:szCs w:val="18"/>
                      <w:highlight w:val="none"/>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查询报告见附件6。</w:t>
                  </w:r>
                </w:p>
              </w:tc>
              <w:tc>
                <w:tcPr>
                  <w:tcW w:w="914" w:type="dxa"/>
                  <w:shd w:val="clear" w:color="auto" w:fill="auto"/>
                  <w:vAlign w:val="center"/>
                </w:tcPr>
                <w:p w14:paraId="75518F2C">
                  <w:pPr>
                    <w:jc w:val="center"/>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符合</w:t>
                  </w:r>
                </w:p>
              </w:tc>
            </w:tr>
          </w:tbl>
          <w:p w14:paraId="0F7BF4A7">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eastAsia"/>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表 1</w:t>
            </w:r>
            <w:r>
              <w:rPr>
                <w:b/>
                <w:color w:val="000000" w:themeColor="text1"/>
                <w:sz w:val="24"/>
                <w:szCs w:val="24"/>
                <w:highlight w:val="none"/>
                <w14:textFill>
                  <w14:solidFill>
                    <w14:schemeClr w14:val="tx1"/>
                  </w14:solidFill>
                </w14:textFill>
              </w:rPr>
              <w:t>-</w:t>
            </w:r>
            <w:r>
              <w:rPr>
                <w:rFonts w:hint="eastAsia"/>
                <w:b/>
                <w:color w:val="000000" w:themeColor="text1"/>
                <w:sz w:val="24"/>
                <w:szCs w:val="24"/>
                <w:highlight w:val="none"/>
                <w:lang w:val="en-US" w:eastAsia="zh-CN"/>
                <w14:textFill>
                  <w14:solidFill>
                    <w14:schemeClr w14:val="tx1"/>
                  </w14:solidFill>
                </w14:textFill>
              </w:rPr>
              <w:t>4</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lang w:val="en-US" w:eastAsia="zh-CN"/>
                <w14:textFill>
                  <w14:solidFill>
                    <w14:schemeClr w14:val="tx1"/>
                  </w14:solidFill>
                </w14:textFill>
              </w:rPr>
              <w:t>与福州市生态环境总体准入要求的</w:t>
            </w:r>
            <w:r>
              <w:rPr>
                <w:rFonts w:hint="eastAsia"/>
                <w:b/>
                <w:color w:val="000000" w:themeColor="text1"/>
                <w:sz w:val="24"/>
                <w:szCs w:val="24"/>
                <w:highlight w:val="none"/>
                <w14:textFill>
                  <w14:solidFill>
                    <w14:schemeClr w14:val="tx1"/>
                  </w14:solidFill>
                </w14:textFill>
              </w:rPr>
              <w:t>符合性分析</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95"/>
              <w:gridCol w:w="476"/>
              <w:gridCol w:w="5015"/>
              <w:gridCol w:w="1044"/>
              <w:gridCol w:w="692"/>
            </w:tblGrid>
            <w:tr w14:paraId="324AE06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tblHeader/>
                <w:jc w:val="center"/>
              </w:trPr>
              <w:tc>
                <w:tcPr>
                  <w:tcW w:w="695" w:type="dxa"/>
                  <w:tcBorders>
                    <w:tl2br w:val="nil"/>
                    <w:tr2bl w:val="nil"/>
                  </w:tcBorders>
                  <w:noWrap w:val="0"/>
                  <w:vAlign w:val="center"/>
                </w:tcPr>
                <w:p w14:paraId="0CD54E16">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适用范围</w:t>
                  </w:r>
                </w:p>
              </w:tc>
              <w:tc>
                <w:tcPr>
                  <w:tcW w:w="5491" w:type="dxa"/>
                  <w:gridSpan w:val="2"/>
                  <w:tcBorders>
                    <w:tl2br w:val="nil"/>
                    <w:tr2bl w:val="nil"/>
                  </w:tcBorders>
                  <w:noWrap w:val="0"/>
                  <w:vAlign w:val="center"/>
                </w:tcPr>
                <w:p w14:paraId="50E224DB">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准入要求</w:t>
                  </w:r>
                </w:p>
              </w:tc>
              <w:tc>
                <w:tcPr>
                  <w:tcW w:w="1044" w:type="dxa"/>
                  <w:tcBorders>
                    <w:tl2br w:val="nil"/>
                    <w:tr2bl w:val="nil"/>
                  </w:tcBorders>
                  <w:noWrap w:val="0"/>
                  <w:vAlign w:val="center"/>
                </w:tcPr>
                <w:p w14:paraId="45C98805">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本项目情况</w:t>
                  </w:r>
                </w:p>
              </w:tc>
              <w:tc>
                <w:tcPr>
                  <w:tcW w:w="692" w:type="dxa"/>
                  <w:tcBorders>
                    <w:tl2br w:val="nil"/>
                    <w:tr2bl w:val="nil"/>
                  </w:tcBorders>
                  <w:noWrap w:val="0"/>
                  <w:vAlign w:val="center"/>
                </w:tcPr>
                <w:p w14:paraId="1177B4E0">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符合性</w:t>
                  </w:r>
                </w:p>
              </w:tc>
            </w:tr>
            <w:tr w14:paraId="577668F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695" w:type="dxa"/>
                  <w:vMerge w:val="restart"/>
                  <w:tcBorders>
                    <w:tl2br w:val="nil"/>
                    <w:tr2bl w:val="nil"/>
                  </w:tcBorders>
                  <w:noWrap w:val="0"/>
                  <w:vAlign w:val="center"/>
                </w:tcPr>
                <w:p w14:paraId="3B404690">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福州市陆域</w:t>
                  </w:r>
                </w:p>
              </w:tc>
              <w:tc>
                <w:tcPr>
                  <w:tcW w:w="476" w:type="dxa"/>
                  <w:vMerge w:val="restart"/>
                  <w:tcBorders>
                    <w:tl2br w:val="nil"/>
                    <w:tr2bl w:val="nil"/>
                  </w:tcBorders>
                  <w:noWrap w:val="0"/>
                  <w:vAlign w:val="center"/>
                </w:tcPr>
                <w:p w14:paraId="2C2979F9">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空间布局约束</w:t>
                  </w:r>
                </w:p>
              </w:tc>
              <w:tc>
                <w:tcPr>
                  <w:tcW w:w="5015" w:type="dxa"/>
                  <w:tcBorders>
                    <w:tl2br w:val="nil"/>
                    <w:tr2bl w:val="nil"/>
                  </w:tcBorders>
                  <w:noWrap w:val="0"/>
                  <w:vAlign w:val="center"/>
                </w:tcPr>
                <w:p w14:paraId="44CA9B1B">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一、优先保护单元中的生态保护红线</w:t>
                  </w:r>
                </w:p>
                <w:p w14:paraId="49E28050">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1</w:t>
                  </w:r>
                  <w:r>
                    <w:rPr>
                      <w:rFonts w:ascii="Times New Roman" w:hAnsi="Times New Roman"/>
                      <w:color w:val="000000" w:themeColor="text1"/>
                      <w:highlight w:val="none"/>
                      <w14:textFill>
                        <w14:solidFill>
                          <w14:schemeClr w14:val="tx1"/>
                        </w14:solidFill>
                      </w14:textFill>
                    </w:rPr>
                    <w:t>.根据《关于在国土空间规划中统筹划定落实三条控制线的指导意见》《自然资源部 生态环境部 国家林业和草原局关于加强生态保护红线管理的通知（试行）》，加强生态保护红线管理，严守自然生态安全边界。生态保护红线内，自然保护地核心保护区原则上禁止人为活动，其它区域禁止开发性、生产性建设活动，在符合法律法规的前提下，仅允许以下对生态功能不造成破坏的有限人为活动。生态保护红线内自然保护区、风景名胜区、饮用水水源保护区等区域，依照法律法规执行。</w:t>
                  </w:r>
                </w:p>
                <w:p w14:paraId="753A7F17">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（1）管护巡护、保护执法、科学研究、调查监测、测绘导航、防灾减灾救灾、军事国防、疫情防控等活动及相关的必要设施</w:t>
                  </w:r>
                  <w:r>
                    <w:rPr>
                      <w:rFonts w:hint="eastAsia"/>
                      <w:color w:val="000000" w:themeColor="text1"/>
                      <w:highlight w:val="none"/>
                      <w:lang w:val="en-US" w:eastAsia="zh-CN"/>
                      <w14:textFill>
                        <w14:solidFill>
                          <w14:schemeClr w14:val="tx1"/>
                        </w14:solidFill>
                      </w14:textFill>
                    </w:rPr>
                    <w:t>修缮</w:t>
                  </w:r>
                  <w:r>
                    <w:rPr>
                      <w:rFonts w:ascii="Times New Roman" w:hAnsi="Times New Roman"/>
                      <w:color w:val="000000" w:themeColor="text1"/>
                      <w:highlight w:val="none"/>
                      <w14:textFill>
                        <w14:solidFill>
                          <w14:schemeClr w14:val="tx1"/>
                        </w14:solidFill>
                      </w14:textFill>
                    </w:rPr>
                    <w:t>。</w:t>
                  </w:r>
                </w:p>
                <w:p w14:paraId="74C3DD8C">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2）原住居民和其他合法权益主体，允许在不扩大现有建设用地、用海用岛、耕地、水产养殖规模和放牧强度（符合草畜平衡管理规定）的前提下，开展种植、放牧、捕捞、养殖（不包括投礁型海洋牧场、围海养殖）等活动，修筑生产生活设施。</w:t>
                  </w:r>
                </w:p>
                <w:p w14:paraId="505234BB">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（3）经依法批准的考古调查发掘、古生物化石调查发掘、标本采集和文物保护活动。</w:t>
                  </w:r>
                </w:p>
                <w:p w14:paraId="58A62496">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（4）按规定对人工商品林进行抚育采伐，或以提升森林质量、优化栖息地、建设生物防火隔离带等为目的的树种更新，依法开展的竹林采伐经营。</w:t>
                  </w:r>
                </w:p>
                <w:p w14:paraId="1D4D3391">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（5）不破坏生态功能的适度参观旅游、科普宣教及符合相关规划的配套性服务设施和相关的必要公共设施建设及维护。</w:t>
                  </w:r>
                </w:p>
                <w:p w14:paraId="47EC8364">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（6）必须且无法避让、符合县级以上国土空间规划的线性基础设施、通讯和防洪、供水设施建设和船舶航行、航道疏浚清淤等活动；已有的合法水利、交通运输等设施运行维护改造。</w:t>
                  </w:r>
                </w:p>
                <w:p w14:paraId="6F9F7106">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7）地质调查与矿产资源勘查开采。包括：基础地质调查和战略性矿产资源远景调查等公益性工作；铀矿勘查开采活动，可办理矿业权登记；已依法设立的油气探矿权继续勘查活动，可办理探矿权延续、变更（不含扩大勘查区块范围）、保留、注销，当发现可供开采油气资源并探明储量时，可将开采拟占用的地表或海域范围依照国家相关规定调出生态保护红线；已依法设立的油气采矿权不扩大用地用海范围，继续开采，可办理采矿权延续、变更（不含扩大矿区范围）、注销；已依法设立的矿泉水和地热采矿权，在不超出已经核定的生产规模、不新增生产设施的前提下继续开采，可办理采矿权延续、变更（不含扩大矿区范围）、注销；已依法设立和新立铬、铜、镍、锂、钴、锆、钾盐、（中）重稀土矿等战略性矿产探矿权开展勘查活动，可办理探矿权登记，因国家战略需要开展开采活动的，可办理采矿权登记。上述勘查开采活动，应落实减缓生态环境影响措施，严格执行绿色勘查、开采及矿山环境生态修复相关要求。</w:t>
                  </w:r>
                </w:p>
                <w:p w14:paraId="76A12474">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（8）依据县级以上国土空间规划和生态保护修复专项规划开展的生态修复。</w:t>
                  </w:r>
                </w:p>
                <w:p w14:paraId="106CD02D">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（9）法律法规规定允许的其他人为活动。</w:t>
                  </w:r>
                </w:p>
                <w:p w14:paraId="7FA2D352">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2</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依据《福建省自然资源厅 福建省生态环境厅 福建省林业局关于进一步加强生态保护红线监管的通知（试行）》（闽自然资发〔2023〕56号），允许占用生态保护红线的重大项目范围：</w:t>
                  </w:r>
                </w:p>
                <w:p w14:paraId="67233E31">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（1）党中央、国务院发布文件或批准规划中明确具体名称的项目和国务院批准的项目。</w:t>
                  </w:r>
                </w:p>
                <w:p w14:paraId="0BC7D28E">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（2）中央军委及其有关部门批准的军事国防项目。</w:t>
                  </w:r>
                </w:p>
                <w:p w14:paraId="195D382B">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（3）国家级规划（指国务院及其有关部门正式颁布）明确的交通、水利项目。</w:t>
                  </w:r>
                </w:p>
                <w:p w14:paraId="312723FC">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（4）国家级规划明确的电网项目，国家级规划明确的且符合国家产业政策的能源矿产勘查开采、油气管线、水电、核电项目。</w:t>
                  </w:r>
                </w:p>
                <w:p w14:paraId="28CEF37D">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（5）为贯彻落实党中央、国务院重大决策部署，国务院投资主管部门或国务院投资主管部门会同有关部门确认的交通、能源、水利等基础设施项目。</w:t>
                  </w:r>
                </w:p>
                <w:p w14:paraId="16D6DDB9">
                  <w:pPr>
                    <w:rPr>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（6）按照国家重大项目用地保障工作机制要求，国家发展</w:t>
                  </w:r>
                  <w:r>
                    <w:rPr>
                      <w:rFonts w:hint="eastAsia"/>
                      <w:color w:val="000000" w:themeColor="text1"/>
                      <w:highlight w:val="none"/>
                      <w:lang w:val="en-US" w:eastAsia="zh-CN"/>
                      <w14:textFill>
                        <w14:solidFill>
                          <w14:schemeClr w14:val="tx1"/>
                        </w14:solidFill>
                      </w14:textFill>
                    </w:rPr>
                    <w:t>和</w:t>
                  </w:r>
                  <w:r>
                    <w:rPr>
                      <w:rFonts w:hint="eastAsia" w:ascii="Times New Roman" w:hAnsi="Times New Roman"/>
                      <w:color w:val="000000" w:themeColor="text1"/>
                      <w:highlight w:val="none"/>
                      <w14:textFill>
                        <w14:solidFill>
                          <w14:schemeClr w14:val="tx1"/>
                        </w14:solidFill>
                      </w14:textFill>
                    </w:rPr>
                    <w:t>改革委</w:t>
                  </w:r>
                  <w:r>
                    <w:rPr>
                      <w:rFonts w:hint="eastAsia"/>
                      <w:color w:val="000000" w:themeColor="text1"/>
                      <w:highlight w:val="none"/>
                      <w:lang w:val="en-US" w:eastAsia="zh-CN"/>
                      <w14:textFill>
                        <w14:solidFill>
                          <w14:schemeClr w14:val="tx1"/>
                        </w14:solidFill>
                      </w14:textFill>
                    </w:rPr>
                    <w:t>员</w:t>
                  </w:r>
                  <w:r>
                    <w:rPr>
                      <w:rFonts w:hint="eastAsia" w:ascii="Times New Roman" w:hAnsi="Times New Roman"/>
                      <w:color w:val="000000" w:themeColor="text1"/>
                      <w:highlight w:val="none"/>
                      <w14:textFill>
                        <w14:solidFill>
                          <w14:schemeClr w14:val="tx1"/>
                        </w14:solidFill>
                      </w14:textFill>
                    </w:rPr>
                    <w:t>会同有关部门确认的需中央加大建设用地保障力度，确实难以避让的国家重大项目</w:t>
                  </w:r>
                  <w:r>
                    <w:rPr>
                      <w:rFonts w:ascii="Times New Roman" w:hAnsi="Times New Roman"/>
                      <w:color w:val="000000" w:themeColor="text1"/>
                      <w:highlight w:val="none"/>
                      <w14:textFill>
                        <w14:solidFill>
                          <w14:schemeClr w14:val="tx1"/>
                        </w14:solidFill>
                      </w14:textFill>
                    </w:rPr>
                    <w:t>。</w:t>
                  </w:r>
                </w:p>
              </w:tc>
              <w:tc>
                <w:tcPr>
                  <w:tcW w:w="1044" w:type="dxa"/>
                  <w:tcBorders>
                    <w:tl2br w:val="nil"/>
                    <w:tr2bl w:val="nil"/>
                  </w:tcBorders>
                  <w:noWrap w:val="0"/>
                  <w:vAlign w:val="center"/>
                </w:tcPr>
                <w:p w14:paraId="13DEAF04">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本项目位于</w:t>
                  </w:r>
                  <w:r>
                    <w:rPr>
                      <w:rFonts w:hint="default" w:ascii="Times New Roman" w:hAnsi="Times New Roman"/>
                      <w:color w:val="000000" w:themeColor="text1"/>
                      <w:highlight w:val="none"/>
                      <w14:textFill>
                        <w14:solidFill>
                          <w14:schemeClr w14:val="tx1"/>
                        </w14:solidFill>
                      </w14:textFill>
                    </w:rPr>
                    <w:t>青口汽车城园区</w:t>
                  </w:r>
                  <w:r>
                    <w:rPr>
                      <w:rFonts w:hint="eastAsia" w:ascii="Times New Roman" w:hAnsi="Times New Roman"/>
                      <w:color w:val="000000" w:themeColor="text1"/>
                      <w:highlight w:val="none"/>
                      <w14:textFill>
                        <w14:solidFill>
                          <w14:schemeClr w14:val="tx1"/>
                        </w14:solidFill>
                      </w14:textFill>
                    </w:rPr>
                    <w:t>，</w:t>
                  </w:r>
                  <w:r>
                    <w:rPr>
                      <w:rFonts w:ascii="Times New Roman" w:hAnsi="Times New Roman"/>
                      <w:color w:val="000000" w:themeColor="text1"/>
                      <w:highlight w:val="none"/>
                      <w14:textFill>
                        <w14:solidFill>
                          <w14:schemeClr w14:val="tx1"/>
                        </w14:solidFill>
                      </w14:textFill>
                    </w:rPr>
                    <w:t>不涉及</w:t>
                  </w:r>
                  <w:r>
                    <w:rPr>
                      <w:rFonts w:hint="eastAsia" w:ascii="Times New Roman" w:hAnsi="Times New Roman"/>
                      <w:color w:val="000000" w:themeColor="text1"/>
                      <w:highlight w:val="none"/>
                      <w14:textFill>
                        <w14:solidFill>
                          <w14:schemeClr w14:val="tx1"/>
                        </w14:solidFill>
                      </w14:textFill>
                    </w:rPr>
                    <w:t>优先保护单元中的生态保护红线</w:t>
                  </w:r>
                </w:p>
              </w:tc>
              <w:tc>
                <w:tcPr>
                  <w:tcW w:w="692" w:type="dxa"/>
                  <w:tcBorders>
                    <w:tl2br w:val="nil"/>
                    <w:tr2bl w:val="nil"/>
                  </w:tcBorders>
                  <w:noWrap w:val="0"/>
                  <w:vAlign w:val="center"/>
                </w:tcPr>
                <w:p w14:paraId="7F2B2357">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符合</w:t>
                  </w:r>
                </w:p>
              </w:tc>
            </w:tr>
            <w:tr w14:paraId="3C67C5D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695" w:type="dxa"/>
                  <w:vMerge w:val="continue"/>
                  <w:tcBorders>
                    <w:tl2br w:val="nil"/>
                    <w:tr2bl w:val="nil"/>
                  </w:tcBorders>
                  <w:noWrap w:val="0"/>
                  <w:vAlign w:val="center"/>
                </w:tcPr>
                <w:p w14:paraId="2995D413">
                  <w:pPr>
                    <w:jc w:val="center"/>
                    <w:rPr>
                      <w:color w:val="000000" w:themeColor="text1"/>
                      <w:highlight w:val="none"/>
                      <w14:textFill>
                        <w14:solidFill>
                          <w14:schemeClr w14:val="tx1"/>
                        </w14:solidFill>
                      </w14:textFill>
                    </w:rPr>
                  </w:pPr>
                </w:p>
              </w:tc>
              <w:tc>
                <w:tcPr>
                  <w:tcW w:w="476" w:type="dxa"/>
                  <w:vMerge w:val="continue"/>
                  <w:tcBorders>
                    <w:tl2br w:val="nil"/>
                    <w:tr2bl w:val="nil"/>
                  </w:tcBorders>
                  <w:noWrap w:val="0"/>
                  <w:vAlign w:val="center"/>
                </w:tcPr>
                <w:p w14:paraId="6FECFEAE">
                  <w:pPr>
                    <w:jc w:val="center"/>
                    <w:rPr>
                      <w:color w:val="000000" w:themeColor="text1"/>
                      <w:highlight w:val="none"/>
                      <w14:textFill>
                        <w14:solidFill>
                          <w14:schemeClr w14:val="tx1"/>
                        </w14:solidFill>
                      </w14:textFill>
                    </w:rPr>
                  </w:pPr>
                </w:p>
              </w:tc>
              <w:tc>
                <w:tcPr>
                  <w:tcW w:w="5015" w:type="dxa"/>
                  <w:tcBorders>
                    <w:tl2br w:val="nil"/>
                    <w:tr2bl w:val="nil"/>
                  </w:tcBorders>
                  <w:noWrap w:val="0"/>
                  <w:vAlign w:val="center"/>
                </w:tcPr>
                <w:p w14:paraId="661A0F9C">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二、优先保护单元中的一般生态空间</w:t>
                  </w:r>
                </w:p>
                <w:p w14:paraId="6D155196">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1.一般生态空间以保护和修复生态环境、提供生态产品和服务为首要任务，因地制宜地发展不影响主体功能定位的适宜产业。</w:t>
                  </w:r>
                </w:p>
                <w:p w14:paraId="3112B2A3">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2.一般生态空间内未纳入生态保护红线的饮用水水源保护区等</w:t>
                  </w:r>
                  <w:r>
                    <w:rPr>
                      <w:rFonts w:hint="eastAsia" w:ascii="Times New Roman" w:hAnsi="Times New Roman"/>
                      <w:color w:val="000000" w:themeColor="text1"/>
                      <w:highlight w:val="none"/>
                      <w14:textFill>
                        <w14:solidFill>
                          <w14:schemeClr w14:val="tx1"/>
                        </w14:solidFill>
                      </w14:textFill>
                    </w:rPr>
                    <w:t>各类</w:t>
                  </w:r>
                  <w:r>
                    <w:rPr>
                      <w:rFonts w:ascii="Times New Roman" w:hAnsi="Times New Roman"/>
                      <w:color w:val="000000" w:themeColor="text1"/>
                      <w:highlight w:val="none"/>
                      <w14:textFill>
                        <w14:solidFill>
                          <w14:schemeClr w14:val="tx1"/>
                        </w14:solidFill>
                      </w14:textFill>
                    </w:rPr>
                    <w:t>法定保护地，其管控要求依照相关法律法规执行。</w:t>
                  </w:r>
                </w:p>
                <w:p w14:paraId="2A538CB7">
                  <w:pP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3.一般生态空间内现有合法的水泥厂、矿山开发等生产性设施及生活垃圾处置等民生工程予以保留，应按照法律法规要求落实污染防治和生态保护措施，避免对生态功能造成破坏。</w:t>
                  </w:r>
                </w:p>
              </w:tc>
              <w:tc>
                <w:tcPr>
                  <w:tcW w:w="1044" w:type="dxa"/>
                  <w:tcBorders>
                    <w:tl2br w:val="nil"/>
                    <w:tr2bl w:val="nil"/>
                  </w:tcBorders>
                  <w:noWrap w:val="0"/>
                  <w:vAlign w:val="center"/>
                </w:tcPr>
                <w:p w14:paraId="67E394A4">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本项目位于</w:t>
                  </w:r>
                  <w:r>
                    <w:rPr>
                      <w:rFonts w:hint="default" w:ascii="Times New Roman" w:hAnsi="Times New Roman"/>
                      <w:color w:val="000000" w:themeColor="text1"/>
                      <w:highlight w:val="none"/>
                      <w14:textFill>
                        <w14:solidFill>
                          <w14:schemeClr w14:val="tx1"/>
                        </w14:solidFill>
                      </w14:textFill>
                    </w:rPr>
                    <w:t>青口汽车城园区</w:t>
                  </w:r>
                  <w:r>
                    <w:rPr>
                      <w:rFonts w:hint="eastAsia" w:ascii="Times New Roman" w:hAnsi="Times New Roman"/>
                      <w:color w:val="000000" w:themeColor="text1"/>
                      <w:highlight w:val="none"/>
                      <w14:textFill>
                        <w14:solidFill>
                          <w14:schemeClr w14:val="tx1"/>
                        </w14:solidFill>
                      </w14:textFill>
                    </w:rPr>
                    <w:t>，</w:t>
                  </w:r>
                  <w:r>
                    <w:rPr>
                      <w:rFonts w:ascii="Times New Roman" w:hAnsi="Times New Roman"/>
                      <w:color w:val="000000" w:themeColor="text1"/>
                      <w:highlight w:val="none"/>
                      <w14:textFill>
                        <w14:solidFill>
                          <w14:schemeClr w14:val="tx1"/>
                        </w14:solidFill>
                      </w14:textFill>
                    </w:rPr>
                    <w:t>不涉及</w:t>
                  </w:r>
                  <w:r>
                    <w:rPr>
                      <w:rFonts w:hint="eastAsia" w:ascii="Times New Roman" w:hAnsi="Times New Roman"/>
                      <w:color w:val="000000" w:themeColor="text1"/>
                      <w:highlight w:val="none"/>
                      <w14:textFill>
                        <w14:solidFill>
                          <w14:schemeClr w14:val="tx1"/>
                        </w14:solidFill>
                      </w14:textFill>
                    </w:rPr>
                    <w:t>优先保护单元中的一般生态空间</w:t>
                  </w:r>
                </w:p>
              </w:tc>
              <w:tc>
                <w:tcPr>
                  <w:tcW w:w="692" w:type="dxa"/>
                  <w:tcBorders>
                    <w:tl2br w:val="nil"/>
                    <w:tr2bl w:val="nil"/>
                  </w:tcBorders>
                  <w:noWrap w:val="0"/>
                  <w:vAlign w:val="center"/>
                </w:tcPr>
                <w:p w14:paraId="0F73E77C">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符合</w:t>
                  </w:r>
                </w:p>
              </w:tc>
            </w:tr>
            <w:tr w14:paraId="29E6231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695" w:type="dxa"/>
                  <w:vMerge w:val="continue"/>
                  <w:tcBorders>
                    <w:tl2br w:val="nil"/>
                    <w:tr2bl w:val="nil"/>
                  </w:tcBorders>
                  <w:noWrap w:val="0"/>
                  <w:vAlign w:val="center"/>
                </w:tcPr>
                <w:p w14:paraId="18066D27">
                  <w:pPr>
                    <w:jc w:val="center"/>
                    <w:rPr>
                      <w:color w:val="000000" w:themeColor="text1"/>
                      <w:highlight w:val="none"/>
                      <w14:textFill>
                        <w14:solidFill>
                          <w14:schemeClr w14:val="tx1"/>
                        </w14:solidFill>
                      </w14:textFill>
                    </w:rPr>
                  </w:pPr>
                </w:p>
              </w:tc>
              <w:tc>
                <w:tcPr>
                  <w:tcW w:w="476" w:type="dxa"/>
                  <w:vMerge w:val="continue"/>
                  <w:tcBorders>
                    <w:tl2br w:val="nil"/>
                    <w:tr2bl w:val="nil"/>
                  </w:tcBorders>
                  <w:noWrap w:val="0"/>
                  <w:vAlign w:val="center"/>
                </w:tcPr>
                <w:p w14:paraId="16E57E10">
                  <w:pPr>
                    <w:jc w:val="center"/>
                    <w:rPr>
                      <w:color w:val="000000" w:themeColor="text1"/>
                      <w:highlight w:val="none"/>
                      <w14:textFill>
                        <w14:solidFill>
                          <w14:schemeClr w14:val="tx1"/>
                        </w14:solidFill>
                      </w14:textFill>
                    </w:rPr>
                  </w:pPr>
                </w:p>
              </w:tc>
              <w:tc>
                <w:tcPr>
                  <w:tcW w:w="5015" w:type="dxa"/>
                  <w:tcBorders>
                    <w:tl2br w:val="nil"/>
                    <w:tr2bl w:val="nil"/>
                  </w:tcBorders>
                  <w:noWrap w:val="0"/>
                  <w:vAlign w:val="center"/>
                </w:tcPr>
                <w:p w14:paraId="1BF73601">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三、其它要求</w:t>
                  </w:r>
                </w:p>
                <w:p w14:paraId="6BF3F9CC">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1.福州市石化中上游项目重点在</w:t>
                  </w:r>
                  <w:r>
                    <w:rPr>
                      <w:rFonts w:hint="eastAsia" w:ascii="Times New Roman" w:hAnsi="Times New Roman"/>
                      <w:color w:val="000000" w:themeColor="text1"/>
                      <w:highlight w:val="none"/>
                      <w14:textFill>
                        <w14:solidFill>
                          <w14:schemeClr w14:val="tx1"/>
                        </w14:solidFill>
                      </w14:textFill>
                    </w:rPr>
                    <w:t>福州江阴港城经济区、可门港经济区</w:t>
                  </w:r>
                  <w:r>
                    <w:rPr>
                      <w:rFonts w:ascii="Times New Roman" w:hAnsi="Times New Roman"/>
                      <w:color w:val="000000" w:themeColor="text1"/>
                      <w:highlight w:val="none"/>
                      <w14:textFill>
                        <w14:solidFill>
                          <w14:schemeClr w14:val="tx1"/>
                        </w14:solidFill>
                      </w14:textFill>
                    </w:rPr>
                    <w:t>化工新材料产业园布局。</w:t>
                  </w:r>
                </w:p>
                <w:p w14:paraId="391BA28F">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2.禁止在闽江马尾罗星塔以上流域范围新、扩建制革项目，严控新（扩）建植物制浆、印染、合成革及人造革、电镀项目。</w:t>
                  </w:r>
                </w:p>
                <w:p w14:paraId="548B7964">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3.禁止在通风廊道和主导风向的上风向布局大气重污染企业，推进建成区大气重污染企业搬迁或升级改造、环境风险企业搬迁或关闭退出。</w:t>
                  </w:r>
                </w:p>
                <w:p w14:paraId="2B3D1746">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4.禁止新、改、扩建生产高VOCs含量有机溶剂型涂料、油墨和胶黏剂的项目。</w:t>
                  </w:r>
                </w:p>
                <w:p w14:paraId="7A50912B">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5.持续加强闽清等地建陶产业的环境综合治理，充分衔接国土空间规划和生态环境分区管控，并对照产业政策、城市总体发展规划等要求，进一步明确发展定位，优化产业布局和规模。</w:t>
                  </w:r>
                </w:p>
                <w:p w14:paraId="2C7ED6B5">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6.新建、扩建的涉及重点重金属污染物</w:t>
                  </w:r>
                  <w:r>
                    <w:rPr>
                      <w:rFonts w:ascii="Times New Roman" w:hAnsi="Times New Roman"/>
                      <w:color w:val="000000" w:themeColor="text1"/>
                      <w:highlight w:val="none"/>
                      <w:vertAlign w:val="superscript"/>
                      <w14:textFill>
                        <w14:solidFill>
                          <w14:schemeClr w14:val="tx1"/>
                        </w14:solidFill>
                      </w14:textFill>
                    </w:rPr>
                    <w:t>［1］</w:t>
                  </w:r>
                  <w:r>
                    <w:rPr>
                      <w:rFonts w:ascii="Times New Roman" w:hAnsi="Times New Roman"/>
                      <w:color w:val="000000" w:themeColor="text1"/>
                      <w:highlight w:val="none"/>
                      <w14:textFill>
                        <w14:solidFill>
                          <w14:schemeClr w14:val="tx1"/>
                        </w14:solidFill>
                      </w14:textFill>
                    </w:rPr>
                    <w:t>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14:paraId="0483A611">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7.禁止在流域上游新建、扩建重污染企业和项目。</w:t>
                  </w:r>
                </w:p>
                <w:p w14:paraId="497D72F2">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8.重要敏感水体及富营养化湖库生态缓冲带除相关政府部门批准的科学研究活动外，禁止其它可能对保护区构成危害或不良影响的大规模生产、建设活动。</w:t>
                  </w:r>
                </w:p>
                <w:p w14:paraId="2E4C4E18">
                  <w:pPr>
                    <w:rPr>
                      <w:rFonts w:ascii="Times New Roman" w:hAnsi="Times New Roman"/>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9</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新、改、扩建煤电、钢铁、建材、石化、化工等“两高”项目，严格落实国家、省、市产业规划、产业政策、“三线一单”、规划环评，以及产能置换、煤炭消费减量替代、区域污染削减等相关要求。</w:t>
                  </w:r>
                </w:p>
                <w:p w14:paraId="28E5C846">
                  <w:pPr>
                    <w:rPr>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1</w:t>
                  </w:r>
                  <w:r>
                    <w:rPr>
                      <w:rFonts w:ascii="Times New Roman" w:hAnsi="Times New Roman"/>
                      <w:color w:val="000000" w:themeColor="text1"/>
                      <w:highlight w:val="none"/>
                      <w14:textFill>
                        <w14:solidFill>
                          <w14:schemeClr w14:val="tx1"/>
                        </w14:solidFill>
                      </w14:textFill>
                    </w:rPr>
                    <w:t>0.</w:t>
                  </w:r>
                  <w:r>
                    <w:rPr>
                      <w:rFonts w:hint="eastAsia" w:ascii="Times New Roman" w:hAnsi="Times New Roman"/>
                      <w:color w:val="000000" w:themeColor="text1"/>
                      <w:highlight w:val="none"/>
                      <w14:textFill>
                        <w14:solidFill>
                          <w14:schemeClr w14:val="tx1"/>
                        </w14:solidFill>
                      </w14:textFill>
                    </w:rPr>
                    <w:t>单元内涉及永久基本农田的，应按照《福建省基本农田保护条例》（2010年修正本）、《国土资源部关于全面实行永久</w:t>
                  </w:r>
                  <w:r>
                    <w:rPr>
                      <w:rFonts w:hint="eastAsia"/>
                      <w:color w:val="000000" w:themeColor="text1"/>
                      <w:highlight w:val="none"/>
                      <w:lang w:val="en-US" w:eastAsia="zh-CN"/>
                      <w14:textFill>
                        <w14:solidFill>
                          <w14:schemeClr w14:val="tx1"/>
                        </w14:solidFill>
                      </w14:textFill>
                    </w:rPr>
                    <w:t>基本</w:t>
                  </w:r>
                  <w:r>
                    <w:rPr>
                      <w:rFonts w:hint="eastAsia" w:ascii="Times New Roman" w:hAnsi="Times New Roman"/>
                      <w:color w:val="000000" w:themeColor="text1"/>
                      <w:highlight w:val="none"/>
                      <w14:textFill>
                        <w14:solidFill>
                          <w14:schemeClr w14:val="tx1"/>
                        </w14:solidFill>
                      </w14:textFill>
                    </w:rPr>
                    <w:t>农田特殊保护的通知》（国土资规</w:t>
                  </w:r>
                  <w:r>
                    <w:rPr>
                      <w:rFonts w:ascii="Times New Roman" w:hAnsi="Times New Roman"/>
                      <w:color w:val="000000" w:themeColor="text1"/>
                      <w:highlight w:val="none"/>
                      <w14:textFill>
                        <w14:solidFill>
                          <w14:schemeClr w14:val="tx1"/>
                        </w14:solidFill>
                      </w14:textFill>
                    </w:rPr>
                    <w:t>〔2018〕</w:t>
                  </w:r>
                  <w:r>
                    <w:rPr>
                      <w:rFonts w:hint="eastAsia" w:ascii="Times New Roman" w:hAnsi="Times New Roman"/>
                      <w:color w:val="000000" w:themeColor="text1"/>
                      <w:highlight w:val="none"/>
                      <w14:textFill>
                        <w14:solidFill>
                          <w14:schemeClr w14:val="tx1"/>
                        </w14:solidFill>
                      </w14:textFill>
                    </w:rPr>
                    <w:t>1号）、《中共中央</w:t>
                  </w:r>
                  <w:r>
                    <w:rPr>
                      <w:rFonts w:hint="eastAsia"/>
                      <w:color w:val="000000" w:themeColor="text1"/>
                      <w:highlight w:val="none"/>
                      <w:lang w:val="en-US" w:eastAsia="zh-CN"/>
                      <w14:textFill>
                        <w14:solidFill>
                          <w14:schemeClr w14:val="tx1"/>
                        </w14:solidFill>
                      </w14:textFill>
                    </w:rPr>
                    <w:t xml:space="preserve"> </w:t>
                  </w:r>
                  <w:r>
                    <w:rPr>
                      <w:rFonts w:hint="eastAsia" w:ascii="Times New Roman" w:hAnsi="Times New Roman"/>
                      <w:color w:val="000000" w:themeColor="text1"/>
                      <w:highlight w:val="none"/>
                      <w14:textFill>
                        <w14:solidFill>
                          <w14:schemeClr w14:val="tx1"/>
                        </w14:solidFill>
                      </w14:textFill>
                    </w:rPr>
                    <w:t>国务院关于加强耕地保护和改进占补平衡的意见》（2017年1月9日）等相关文件要求进行</w:t>
                  </w:r>
                  <w:r>
                    <w:rPr>
                      <w:rFonts w:hint="eastAsia"/>
                      <w:color w:val="000000" w:themeColor="text1"/>
                      <w:highlight w:val="none"/>
                      <w:lang w:val="en-US" w:eastAsia="zh-CN"/>
                      <w14:textFill>
                        <w14:solidFill>
                          <w14:schemeClr w14:val="tx1"/>
                        </w14:solidFill>
                      </w14:textFill>
                    </w:rPr>
                    <w:t>严格</w:t>
                  </w:r>
                  <w:r>
                    <w:rPr>
                      <w:rFonts w:hint="eastAsia" w:ascii="Times New Roman" w:hAnsi="Times New Roman"/>
                      <w:color w:val="000000" w:themeColor="text1"/>
                      <w:highlight w:val="none"/>
                      <w14:textFill>
                        <w14:solidFill>
                          <w14:schemeClr w14:val="tx1"/>
                        </w14:solidFill>
                      </w14:textFill>
                    </w:rPr>
                    <w:t>管理，</w:t>
                  </w:r>
                  <w:r>
                    <w:rPr>
                      <w:rFonts w:ascii="Times New Roman" w:hAnsi="Times New Roman"/>
                      <w:color w:val="000000" w:themeColor="text1"/>
                      <w:highlight w:val="none"/>
                      <w14:textFill>
                        <w14:solidFill>
                          <w14:schemeClr w14:val="tx1"/>
                        </w14:solidFill>
                      </w14:textFill>
                    </w:rPr>
                    <w:t>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1044" w:type="dxa"/>
                  <w:tcBorders>
                    <w:tl2br w:val="nil"/>
                    <w:tr2bl w:val="nil"/>
                  </w:tcBorders>
                  <w:noWrap w:val="0"/>
                  <w:vAlign w:val="center"/>
                </w:tcPr>
                <w:p w14:paraId="05C7EA09">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本项目位于</w:t>
                  </w:r>
                  <w:r>
                    <w:rPr>
                      <w:rFonts w:hint="default" w:ascii="Times New Roman" w:hAnsi="Times New Roman"/>
                      <w:color w:val="000000" w:themeColor="text1"/>
                      <w:highlight w:val="none"/>
                      <w14:textFill>
                        <w14:solidFill>
                          <w14:schemeClr w14:val="tx1"/>
                        </w14:solidFill>
                      </w14:textFill>
                    </w:rPr>
                    <w:t>青口汽车城园区</w:t>
                  </w:r>
                  <w:r>
                    <w:rPr>
                      <w:rFonts w:hint="eastAsia" w:ascii="Times New Roman" w:hAnsi="Times New Roman"/>
                      <w:color w:val="000000" w:themeColor="text1"/>
                      <w:highlight w:val="none"/>
                      <w14:textFill>
                        <w14:solidFill>
                          <w14:schemeClr w14:val="tx1"/>
                        </w14:solidFill>
                      </w14:textFill>
                    </w:rPr>
                    <w:t>，项目主要从事</w:t>
                  </w:r>
                  <w:r>
                    <w:rPr>
                      <w:rFonts w:hint="eastAsia" w:ascii="Times New Roman" w:hAnsi="Times New Roman"/>
                      <w:color w:val="000000" w:themeColor="text1"/>
                      <w:highlight w:val="none"/>
                      <w:lang w:val="en-US" w:eastAsia="zh-CN"/>
                      <w14:textFill>
                        <w14:solidFill>
                          <w14:schemeClr w14:val="tx1"/>
                        </w14:solidFill>
                      </w14:textFill>
                    </w:rPr>
                    <w:t>车载塑料袋生产</w:t>
                  </w:r>
                  <w:r>
                    <w:rPr>
                      <w:rFonts w:hint="eastAsia" w:ascii="Times New Roman" w:hAnsi="Times New Roman"/>
                      <w:color w:val="000000" w:themeColor="text1"/>
                      <w:highlight w:val="none"/>
                      <w14:textFill>
                        <w14:solidFill>
                          <w14:schemeClr w14:val="tx1"/>
                        </w14:solidFill>
                      </w14:textFill>
                    </w:rPr>
                    <w:t>，不属于禁止建设类项目。</w:t>
                  </w:r>
                </w:p>
              </w:tc>
              <w:tc>
                <w:tcPr>
                  <w:tcW w:w="692" w:type="dxa"/>
                  <w:tcBorders>
                    <w:tl2br w:val="nil"/>
                    <w:tr2bl w:val="nil"/>
                  </w:tcBorders>
                  <w:noWrap w:val="0"/>
                  <w:vAlign w:val="center"/>
                </w:tcPr>
                <w:p w14:paraId="63EDECFC">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符合</w:t>
                  </w:r>
                </w:p>
              </w:tc>
            </w:tr>
            <w:tr w14:paraId="2167147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695" w:type="dxa"/>
                  <w:vMerge w:val="continue"/>
                  <w:tcBorders>
                    <w:tl2br w:val="nil"/>
                    <w:tr2bl w:val="nil"/>
                  </w:tcBorders>
                  <w:noWrap w:val="0"/>
                  <w:vAlign w:val="center"/>
                </w:tcPr>
                <w:p w14:paraId="366BE72A">
                  <w:pPr>
                    <w:rPr>
                      <w:color w:val="000000" w:themeColor="text1"/>
                      <w:highlight w:val="none"/>
                      <w14:textFill>
                        <w14:solidFill>
                          <w14:schemeClr w14:val="tx1"/>
                        </w14:solidFill>
                      </w14:textFill>
                    </w:rPr>
                  </w:pPr>
                </w:p>
              </w:tc>
              <w:tc>
                <w:tcPr>
                  <w:tcW w:w="476" w:type="dxa"/>
                  <w:tcBorders>
                    <w:tl2br w:val="nil"/>
                    <w:tr2bl w:val="nil"/>
                  </w:tcBorders>
                  <w:noWrap w:val="0"/>
                  <w:vAlign w:val="center"/>
                </w:tcPr>
                <w:p w14:paraId="1B39ED7E">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污染物排放管控</w:t>
                  </w:r>
                </w:p>
              </w:tc>
              <w:tc>
                <w:tcPr>
                  <w:tcW w:w="5015" w:type="dxa"/>
                  <w:tcBorders>
                    <w:tl2br w:val="nil"/>
                    <w:tr2bl w:val="nil"/>
                  </w:tcBorders>
                  <w:noWrap w:val="0"/>
                  <w:vAlign w:val="center"/>
                </w:tcPr>
                <w:p w14:paraId="15DF4D41">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1.</w:t>
                  </w:r>
                  <w:r>
                    <w:rPr>
                      <w:rFonts w:hint="eastAsia" w:ascii="Times New Roman" w:hAnsi="Times New Roman"/>
                      <w:color w:val="000000" w:themeColor="text1"/>
                      <w:highlight w:val="none"/>
                      <w14:textFill>
                        <w14:solidFill>
                          <w14:schemeClr w14:val="tx1"/>
                        </w14:solidFill>
                      </w14:textFill>
                    </w:rPr>
                    <w:t>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号”等相关文件执行。</w:t>
                  </w:r>
                </w:p>
                <w:p w14:paraId="75D1071B">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2.新、改、扩建涉VOCs排放项目</w:t>
                  </w:r>
                  <w:r>
                    <w:rPr>
                      <w:rFonts w:hint="eastAsia" w:ascii="Times New Roman" w:hAnsi="Times New Roman"/>
                      <w:color w:val="000000" w:themeColor="text1"/>
                      <w:highlight w:val="none"/>
                      <w14:textFill>
                        <w14:solidFill>
                          <w14:schemeClr w14:val="tx1"/>
                        </w14:solidFill>
                      </w14:textFill>
                    </w:rPr>
                    <w:t>污染物排放量应满足</w:t>
                  </w:r>
                  <w:r>
                    <w:rPr>
                      <w:rFonts w:ascii="Times New Roman" w:hAnsi="Times New Roman"/>
                      <w:color w:val="000000" w:themeColor="text1"/>
                      <w:highlight w:val="none"/>
                      <w14:textFill>
                        <w14:solidFill>
                          <w14:schemeClr w14:val="tx1"/>
                        </w14:solidFill>
                      </w14:textFill>
                    </w:rPr>
                    <w:t>《福州市“十四五”空气质量持续改善计划》</w:t>
                  </w:r>
                  <w:r>
                    <w:rPr>
                      <w:rFonts w:hint="eastAsia" w:ascii="Times New Roman" w:hAnsi="Times New Roman"/>
                      <w:color w:val="000000" w:themeColor="text1"/>
                      <w:highlight w:val="none"/>
                      <w14:textFill>
                        <w14:solidFill>
                          <w14:schemeClr w14:val="tx1"/>
                        </w14:solidFill>
                      </w14:textFill>
                    </w:rPr>
                    <w:t>（榕环保综〔2023〕40号）</w:t>
                  </w:r>
                  <w:r>
                    <w:rPr>
                      <w:rFonts w:ascii="Times New Roman" w:hAnsi="Times New Roman"/>
                      <w:color w:val="000000" w:themeColor="text1"/>
                      <w:highlight w:val="none"/>
                      <w14:textFill>
                        <w14:solidFill>
                          <w14:schemeClr w14:val="tx1"/>
                        </w14:solidFill>
                      </w14:textFill>
                    </w:rPr>
                    <w:t>，应从源头加强控制，使用低（无）VOCs含量的原辅材料</w:t>
                  </w:r>
                  <w:r>
                    <w:rPr>
                      <w:rFonts w:hint="eastAsia" w:ascii="Times New Roman" w:hAnsi="Times New Roman"/>
                      <w:color w:val="000000" w:themeColor="text1"/>
                      <w:highlight w:val="none"/>
                      <w14:textFill>
                        <w14:solidFill>
                          <w14:schemeClr w14:val="tx1"/>
                        </w14:solidFill>
                      </w14:textFill>
                    </w:rPr>
                    <w:t>。</w:t>
                  </w:r>
                  <w:r>
                    <w:rPr>
                      <w:rFonts w:ascii="Times New Roman" w:hAnsi="Times New Roman"/>
                      <w:color w:val="000000" w:themeColor="text1"/>
                      <w:highlight w:val="none"/>
                      <w14:textFill>
                        <w14:solidFill>
                          <w14:schemeClr w14:val="tx1"/>
                        </w14:solidFill>
                      </w14:textFill>
                    </w:rPr>
                    <w:t xml:space="preserve"> </w:t>
                  </w:r>
                </w:p>
                <w:p w14:paraId="118B728A">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3.严格控制新建、改建、扩建钢铁、水泥、平板玻璃、有色金属冶炼、化工等工业项目。新</w:t>
                  </w:r>
                  <w:r>
                    <w:rPr>
                      <w:rFonts w:hint="eastAsia" w:ascii="Times New Roman" w:hAnsi="Times New Roman"/>
                      <w:color w:val="000000" w:themeColor="text1"/>
                      <w:highlight w:val="none"/>
                      <w14:textFill>
                        <w14:solidFill>
                          <w14:schemeClr w14:val="tx1"/>
                        </w14:solidFill>
                      </w14:textFill>
                    </w:rPr>
                    <w:t>改扩</w:t>
                  </w:r>
                  <w:r>
                    <w:rPr>
                      <w:rFonts w:ascii="Times New Roman" w:hAnsi="Times New Roman"/>
                      <w:color w:val="000000" w:themeColor="text1"/>
                      <w:highlight w:val="none"/>
                      <w14:textFill>
                        <w14:solidFill>
                          <w14:schemeClr w14:val="tx1"/>
                        </w14:solidFill>
                      </w14:textFill>
                    </w:rPr>
                    <w:t>建钢铁、火电</w:t>
                  </w:r>
                  <w:r>
                    <w:rPr>
                      <w:rFonts w:hint="eastAsia" w:ascii="Times New Roman" w:hAnsi="Times New Roman"/>
                      <w:color w:val="000000" w:themeColor="text1"/>
                      <w:highlight w:val="none"/>
                      <w14:textFill>
                        <w14:solidFill>
                          <w14:schemeClr w14:val="tx1"/>
                        </w14:solidFill>
                      </w14:textFill>
                    </w:rPr>
                    <w:t>项目应执行超低排放限值，</w:t>
                  </w:r>
                  <w:r>
                    <w:rPr>
                      <w:rFonts w:ascii="Times New Roman" w:hAnsi="Times New Roman"/>
                      <w:color w:val="000000" w:themeColor="text1"/>
                      <w:highlight w:val="none"/>
                      <w14:textFill>
                        <w14:solidFill>
                          <w14:schemeClr w14:val="tx1"/>
                        </w14:solidFill>
                      </w14:textFill>
                    </w:rPr>
                    <w:t>有色项目应当执行大气污染物特别排放限值。重点控制区新建化工、石化应当执行大气污染物特别排放限值。</w:t>
                  </w:r>
                </w:p>
                <w:p w14:paraId="59C6F94C">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4.氟化工、印染、电镀等行业企业实行水污染物特别排放限值。</w:t>
                  </w:r>
                </w:p>
                <w:p w14:paraId="3F04AE2A">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5.</w:t>
                  </w:r>
                  <w:r>
                    <w:rPr>
                      <w:rFonts w:hint="eastAsia" w:ascii="Times New Roman" w:hAnsi="Times New Roman"/>
                      <w:color w:val="000000" w:themeColor="text1"/>
                      <w:highlight w:val="none"/>
                      <w14:textFill>
                        <w14:solidFill>
                          <w14:schemeClr w14:val="tx1"/>
                        </w14:solidFill>
                      </w14:textFill>
                    </w:rPr>
                    <w:t>新、改、扩建重点行业</w:t>
                  </w:r>
                  <w:r>
                    <w:rPr>
                      <w:rFonts w:hint="eastAsia" w:ascii="Times New Roman" w:hAnsi="Times New Roman"/>
                      <w:color w:val="000000" w:themeColor="text1"/>
                      <w:highlight w:val="none"/>
                      <w:vertAlign w:val="superscript"/>
                      <w14:textFill>
                        <w14:solidFill>
                          <w14:schemeClr w14:val="tx1"/>
                        </w14:solidFill>
                      </w14:textFill>
                    </w:rPr>
                    <w:t>［</w:t>
                  </w:r>
                  <w:r>
                    <w:rPr>
                      <w:rFonts w:ascii="Times New Roman" w:hAnsi="Times New Roman"/>
                      <w:color w:val="000000" w:themeColor="text1"/>
                      <w:highlight w:val="none"/>
                      <w:vertAlign w:val="superscript"/>
                      <w14:textFill>
                        <w14:solidFill>
                          <w14:schemeClr w14:val="tx1"/>
                        </w14:solidFill>
                      </w14:textFill>
                    </w:rPr>
                    <w:t>2</w:t>
                  </w:r>
                  <w:r>
                    <w:rPr>
                      <w:rFonts w:hint="eastAsia" w:ascii="Times New Roman" w:hAnsi="Times New Roman"/>
                      <w:color w:val="000000" w:themeColor="text1"/>
                      <w:highlight w:val="none"/>
                      <w:vertAlign w:val="superscript"/>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建设项目要遵循重点重金属污染物排放</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等量替代</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原则，总量来源原则上应是同一重点行业内的削减量，当同一重点行业无法满足时可从其他重点行业调剂。</w:t>
                  </w:r>
                </w:p>
                <w:p w14:paraId="23C1D438">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6.</w:t>
                  </w:r>
                  <w:r>
                    <w:rPr>
                      <w:rFonts w:hint="eastAsia" w:ascii="Times New Roman" w:hAnsi="Times New Roman"/>
                      <w:color w:val="000000" w:themeColor="text1"/>
                      <w:highlight w:val="none"/>
                      <w14:textFill>
                        <w14:solidFill>
                          <w14:schemeClr w14:val="tx1"/>
                        </w14:solidFill>
                      </w14:textFill>
                    </w:rPr>
                    <w:t>每小时</w:t>
                  </w:r>
                  <w:r>
                    <w:rPr>
                      <w:rFonts w:ascii="Times New Roman" w:hAnsi="Times New Roman"/>
                      <w:color w:val="000000" w:themeColor="text1"/>
                      <w:highlight w:val="none"/>
                      <w14:textFill>
                        <w14:solidFill>
                          <w14:schemeClr w14:val="tx1"/>
                        </w14:solidFill>
                      </w14:textFill>
                    </w:rPr>
                    <w:t>35</w:t>
                  </w:r>
                  <w:r>
                    <w:rPr>
                      <w:rFonts w:hint="eastAsia" w:ascii="Times New Roman" w:hAnsi="Times New Roman"/>
                      <w:color w:val="000000" w:themeColor="text1"/>
                      <w:highlight w:val="none"/>
                      <w14:textFill>
                        <w14:solidFill>
                          <w14:schemeClr w14:val="tx1"/>
                        </w14:solidFill>
                      </w14:textFill>
                    </w:rPr>
                    <w:t>（含）</w:t>
                  </w:r>
                  <w:r>
                    <w:rPr>
                      <w:rFonts w:ascii="Times New Roman" w:hAnsi="Times New Roman"/>
                      <w:color w:val="000000" w:themeColor="text1"/>
                      <w:highlight w:val="none"/>
                      <w14:textFill>
                        <w14:solidFill>
                          <w14:schemeClr w14:val="tx1"/>
                        </w14:solidFill>
                      </w14:textFill>
                    </w:rPr>
                    <w:t>—65</w:t>
                  </w:r>
                  <w:r>
                    <w:rPr>
                      <w:rFonts w:hint="eastAsia" w:ascii="Times New Roman" w:hAnsi="Times New Roman"/>
                      <w:color w:val="000000" w:themeColor="text1"/>
                      <w:highlight w:val="none"/>
                      <w14:textFill>
                        <w14:solidFill>
                          <w14:schemeClr w14:val="tx1"/>
                        </w14:solidFill>
                      </w14:textFill>
                    </w:rPr>
                    <w:t>蒸吨燃煤锅炉和位于县级及以上城市建成区内保留的燃煤、燃油、燃生物质锅炉，原则上</w:t>
                  </w:r>
                  <w:r>
                    <w:rPr>
                      <w:rFonts w:ascii="Times New Roman" w:hAnsi="Times New Roman"/>
                      <w:color w:val="000000" w:themeColor="text1"/>
                      <w:highlight w:val="none"/>
                      <w14:textFill>
                        <w14:solidFill>
                          <w14:schemeClr w14:val="tx1"/>
                        </w14:solidFill>
                      </w14:textFill>
                    </w:rPr>
                    <w:t>2024</w:t>
                  </w:r>
                  <w:r>
                    <w:rPr>
                      <w:rFonts w:hint="eastAsia" w:ascii="Times New Roman" w:hAnsi="Times New Roman"/>
                      <w:color w:val="000000" w:themeColor="text1"/>
                      <w:highlight w:val="none"/>
                      <w14:textFill>
                        <w14:solidFill>
                          <w14:schemeClr w14:val="tx1"/>
                        </w14:solidFill>
                      </w14:textFill>
                    </w:rPr>
                    <w:t>年底前必须全面实现超低排放。</w:t>
                  </w:r>
                </w:p>
                <w:p w14:paraId="4E86DDC7">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7.</w:t>
                  </w:r>
                  <w:r>
                    <w:rPr>
                      <w:rFonts w:hint="eastAsia" w:ascii="Times New Roman" w:hAnsi="Times New Roman"/>
                      <w:color w:val="000000" w:themeColor="text1"/>
                      <w:highlight w:val="none"/>
                      <w14:textFill>
                        <w14:solidFill>
                          <w14:schemeClr w14:val="tx1"/>
                        </w14:solidFill>
                      </w14:textFill>
                    </w:rPr>
                    <w:t>水泥行业新改扩建项目严格对照超低排放、能效标杆水平建设实施；现有项目超低排放改造应按文件（闽环规〔</w:t>
                  </w:r>
                  <w:r>
                    <w:rPr>
                      <w:rFonts w:ascii="Times New Roman" w:hAnsi="Times New Roman"/>
                      <w:color w:val="000000" w:themeColor="text1"/>
                      <w:highlight w:val="none"/>
                      <w14:textFill>
                        <w14:solidFill>
                          <w14:schemeClr w14:val="tx1"/>
                        </w14:solidFill>
                      </w14:textFill>
                    </w:rPr>
                    <w:t>2023</w:t>
                  </w:r>
                  <w:r>
                    <w:rPr>
                      <w:rFonts w:hint="eastAsia" w:ascii="Times New Roman" w:hAnsi="Times New Roman"/>
                      <w:color w:val="000000" w:themeColor="text1"/>
                      <w:highlight w:val="none"/>
                      <w14:textFill>
                        <w14:solidFill>
                          <w14:schemeClr w14:val="tx1"/>
                        </w14:solidFill>
                      </w14:textFill>
                    </w:rPr>
                    <w:t>〕</w:t>
                  </w:r>
                  <w:r>
                    <w:rPr>
                      <w:rFonts w:ascii="Times New Roman" w:hAnsi="Times New Roman"/>
                      <w:color w:val="000000" w:themeColor="text1"/>
                      <w:highlight w:val="none"/>
                      <w14:textFill>
                        <w14:solidFill>
                          <w14:schemeClr w14:val="tx1"/>
                        </w14:solidFill>
                      </w14:textFill>
                    </w:rPr>
                    <w:t>2</w:t>
                  </w:r>
                  <w:r>
                    <w:rPr>
                      <w:rFonts w:hint="eastAsia" w:ascii="Times New Roman" w:hAnsi="Times New Roman"/>
                      <w:color w:val="000000" w:themeColor="text1"/>
                      <w:highlight w:val="none"/>
                      <w14:textFill>
                        <w14:solidFill>
                          <w14:schemeClr w14:val="tx1"/>
                        </w14:solidFill>
                      </w14:textFill>
                    </w:rPr>
                    <w:t>号）的时限要求分步推进，</w:t>
                  </w:r>
                  <w:r>
                    <w:rPr>
                      <w:rFonts w:ascii="Times New Roman" w:hAnsi="Times New Roman"/>
                      <w:color w:val="000000" w:themeColor="text1"/>
                      <w:highlight w:val="none"/>
                      <w14:textFill>
                        <w14:solidFill>
                          <w14:schemeClr w14:val="tx1"/>
                        </w14:solidFill>
                      </w14:textFill>
                    </w:rPr>
                    <w:t>2025</w:t>
                  </w:r>
                  <w:r>
                    <w:rPr>
                      <w:rFonts w:hint="eastAsia" w:ascii="Times New Roman" w:hAnsi="Times New Roman"/>
                      <w:color w:val="000000" w:themeColor="text1"/>
                      <w:highlight w:val="none"/>
                      <w14:textFill>
                        <w14:solidFill>
                          <w14:schemeClr w14:val="tx1"/>
                        </w14:solidFill>
                      </w14:textFill>
                    </w:rPr>
                    <w:t>年底前</w:t>
                  </w:r>
                  <w:r>
                    <w:rPr>
                      <w:rFonts w:ascii="Times New Roman" w:hAnsi="Times New Roman"/>
                      <w:color w:val="000000" w:themeColor="text1"/>
                      <w:highlight w:val="none"/>
                      <w14:textFill>
                        <w14:solidFill>
                          <w14:schemeClr w14:val="tx1"/>
                        </w14:solidFill>
                      </w14:textFill>
                    </w:rPr>
                    <w:t>全面完成</w:t>
                  </w:r>
                  <w:r>
                    <w:rPr>
                      <w:rFonts w:ascii="Times New Roman" w:hAnsi="Times New Roman"/>
                      <w:color w:val="000000" w:themeColor="text1"/>
                      <w:highlight w:val="none"/>
                      <w:vertAlign w:val="superscript"/>
                      <w14:textFill>
                        <w14:solidFill>
                          <w14:schemeClr w14:val="tx1"/>
                        </w14:solidFill>
                      </w14:textFill>
                    </w:rPr>
                    <w:t>［3］［4］</w:t>
                  </w:r>
                  <w:r>
                    <w:rPr>
                      <w:rFonts w:ascii="Times New Roman" w:hAnsi="Times New Roman"/>
                      <w:color w:val="000000" w:themeColor="text1"/>
                      <w:highlight w:val="none"/>
                      <w14:textFill>
                        <w14:solidFill>
                          <w14:schemeClr w14:val="tx1"/>
                        </w14:solidFill>
                      </w14:textFill>
                    </w:rPr>
                    <w:t>。</w:t>
                  </w:r>
                </w:p>
                <w:p w14:paraId="40D8EE82">
                  <w:pPr>
                    <w:rPr>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8</w:t>
                  </w:r>
                  <w:r>
                    <w:rPr>
                      <w:rFonts w:ascii="Times New Roman" w:hAnsi="Times New Roman"/>
                      <w:color w:val="000000" w:themeColor="text1"/>
                      <w:highlight w:val="none"/>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r>
                    <w:rPr>
                      <w:rFonts w:ascii="Times New Roman" w:hAnsi="Times New Roman"/>
                      <w:color w:val="000000" w:themeColor="text1"/>
                      <w:highlight w:val="none"/>
                      <w14:textFill>
                        <w14:solidFill>
                          <w14:schemeClr w14:val="tx1"/>
                        </w14:solidFill>
                      </w14:textFill>
                    </w:rPr>
                    <w:t>。</w:t>
                  </w:r>
                </w:p>
              </w:tc>
              <w:tc>
                <w:tcPr>
                  <w:tcW w:w="1044" w:type="dxa"/>
                  <w:tcBorders>
                    <w:tl2br w:val="nil"/>
                    <w:tr2bl w:val="nil"/>
                  </w:tcBorders>
                  <w:noWrap w:val="0"/>
                  <w:vAlign w:val="center"/>
                </w:tcPr>
                <w:p w14:paraId="6DAC0698">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项目新增VOCs排放实行区域内倍量替代；</w:t>
                  </w:r>
                  <w:r>
                    <w:rPr>
                      <w:rFonts w:hint="eastAsia" w:ascii="Times New Roman" w:hAnsi="Times New Roman"/>
                      <w:color w:val="000000" w:themeColor="text1"/>
                      <w:highlight w:val="none"/>
                      <w:lang w:val="en-US" w:eastAsia="zh-CN"/>
                      <w14:textFill>
                        <w14:solidFill>
                          <w14:schemeClr w14:val="tx1"/>
                        </w14:solidFill>
                      </w14:textFill>
                    </w:rPr>
                    <w:t>不涉及生产废水，生活污水经</w:t>
                  </w:r>
                  <w:r>
                    <w:rPr>
                      <w:rFonts w:hint="eastAsia"/>
                      <w:color w:val="000000" w:themeColor="text1"/>
                      <w:sz w:val="21"/>
                      <w:szCs w:val="21"/>
                      <w:highlight w:val="none"/>
                      <w:lang w:val="en-US" w:eastAsia="zh-CN"/>
                      <w14:textFill>
                        <w14:solidFill>
                          <w14:schemeClr w14:val="tx1"/>
                        </w14:solidFill>
                      </w14:textFill>
                    </w:rPr>
                    <w:t>隔油+</w:t>
                  </w:r>
                  <w:r>
                    <w:rPr>
                      <w:rFonts w:hint="eastAsia" w:ascii="Times New Roman" w:hAnsi="Times New Roman"/>
                      <w:color w:val="000000" w:themeColor="text1"/>
                      <w:highlight w:val="none"/>
                      <w:lang w:val="en-US" w:eastAsia="zh-CN"/>
                      <w14:textFill>
                        <w14:solidFill>
                          <w14:schemeClr w14:val="tx1"/>
                        </w14:solidFill>
                      </w14:textFill>
                    </w:rPr>
                    <w:t>化粪池处理后</w:t>
                  </w:r>
                  <w:r>
                    <w:rPr>
                      <w:rFonts w:ascii="Times New Roman" w:hAnsi="Times New Roman"/>
                      <w:color w:val="000000" w:themeColor="text1"/>
                      <w:highlight w:val="none"/>
                      <w14:textFill>
                        <w14:solidFill>
                          <w14:schemeClr w14:val="tx1"/>
                        </w14:solidFill>
                      </w14:textFill>
                    </w:rPr>
                    <w:t>排入园区污水处理厂，符合要求。</w:t>
                  </w:r>
                </w:p>
              </w:tc>
              <w:tc>
                <w:tcPr>
                  <w:tcW w:w="692" w:type="dxa"/>
                  <w:tcBorders>
                    <w:tl2br w:val="nil"/>
                    <w:tr2bl w:val="nil"/>
                  </w:tcBorders>
                  <w:noWrap w:val="0"/>
                  <w:vAlign w:val="center"/>
                </w:tcPr>
                <w:p w14:paraId="07315053">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符合</w:t>
                  </w:r>
                </w:p>
              </w:tc>
            </w:tr>
            <w:tr w14:paraId="05E0CD3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695" w:type="dxa"/>
                  <w:vMerge w:val="continue"/>
                  <w:tcBorders>
                    <w:tl2br w:val="nil"/>
                    <w:tr2bl w:val="nil"/>
                  </w:tcBorders>
                  <w:noWrap w:val="0"/>
                  <w:vAlign w:val="center"/>
                </w:tcPr>
                <w:p w14:paraId="3E111C08">
                  <w:pPr>
                    <w:rPr>
                      <w:color w:val="000000" w:themeColor="text1"/>
                      <w:highlight w:val="none"/>
                      <w14:textFill>
                        <w14:solidFill>
                          <w14:schemeClr w14:val="tx1"/>
                        </w14:solidFill>
                      </w14:textFill>
                    </w:rPr>
                  </w:pPr>
                </w:p>
              </w:tc>
              <w:tc>
                <w:tcPr>
                  <w:tcW w:w="476" w:type="dxa"/>
                  <w:tcBorders>
                    <w:tl2br w:val="nil"/>
                    <w:tr2bl w:val="nil"/>
                  </w:tcBorders>
                  <w:noWrap w:val="0"/>
                  <w:vAlign w:val="center"/>
                </w:tcPr>
                <w:p w14:paraId="0E6FCF2C">
                  <w:pPr>
                    <w:jc w:val="cente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资源开发效率要求</w:t>
                  </w:r>
                </w:p>
              </w:tc>
              <w:tc>
                <w:tcPr>
                  <w:tcW w:w="5015" w:type="dxa"/>
                  <w:tcBorders>
                    <w:tl2br w:val="nil"/>
                    <w:tr2bl w:val="nil"/>
                  </w:tcBorders>
                  <w:noWrap w:val="0"/>
                  <w:vAlign w:val="center"/>
                </w:tcPr>
                <w:p w14:paraId="3958A41B">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w:t>
                  </w:r>
                  <w:r>
                    <w:rPr>
                      <w:rFonts w:hint="eastAsia" w:ascii="Times New Roman" w:hAnsi="Times New Roman"/>
                      <w:color w:val="000000" w:themeColor="text1"/>
                      <w:highlight w:val="none"/>
                      <w14:textFill>
                        <w14:solidFill>
                          <w14:schemeClr w14:val="tx1"/>
                        </w14:solidFill>
                      </w14:textFill>
                    </w:rPr>
                    <w:t>禁止</w:t>
                  </w:r>
                  <w:r>
                    <w:rPr>
                      <w:rFonts w:ascii="Times New Roman" w:hAnsi="Times New Roman"/>
                      <w:color w:val="000000" w:themeColor="text1"/>
                      <w:highlight w:val="none"/>
                      <w14:textFill>
                        <w14:solidFill>
                          <w14:schemeClr w14:val="tx1"/>
                        </w14:solidFill>
                      </w14:textFill>
                    </w:rPr>
                    <w:t>新建每小时35蒸吨以下燃煤锅炉</w:t>
                  </w:r>
                  <w:r>
                    <w:rPr>
                      <w:rFonts w:hint="eastAsia" w:ascii="Times New Roman" w:hAnsi="Times New Roman"/>
                      <w:color w:val="000000" w:themeColor="text1"/>
                      <w:highlight w:val="none"/>
                      <w14:textFill>
                        <w14:solidFill>
                          <w14:schemeClr w14:val="tx1"/>
                        </w14:solidFill>
                      </w14:textFill>
                    </w:rPr>
                    <w:t>，以及每小时1</w:t>
                  </w:r>
                  <w:r>
                    <w:rPr>
                      <w:rFonts w:ascii="Times New Roman" w:hAnsi="Times New Roman"/>
                      <w:color w:val="000000" w:themeColor="text1"/>
                      <w:highlight w:val="none"/>
                      <w14:textFill>
                        <w14:solidFill>
                          <w14:schemeClr w14:val="tx1"/>
                        </w14:solidFill>
                      </w14:textFill>
                    </w:rPr>
                    <w:t>0</w:t>
                  </w:r>
                  <w:r>
                    <w:rPr>
                      <w:rFonts w:hint="eastAsia" w:ascii="Times New Roman" w:hAnsi="Times New Roman"/>
                      <w:color w:val="000000" w:themeColor="text1"/>
                      <w:highlight w:val="none"/>
                      <w14:textFill>
                        <w14:solidFill>
                          <w14:schemeClr w14:val="tx1"/>
                        </w14:solidFill>
                      </w14:textFill>
                    </w:rPr>
                    <w:t>蒸吨及以下燃生物质和其他使用高污染燃料的锅炉。</w:t>
                  </w:r>
                  <w:r>
                    <w:rPr>
                      <w:rFonts w:ascii="Times New Roman" w:hAnsi="Times New Roman"/>
                      <w:color w:val="000000" w:themeColor="text1"/>
                      <w:highlight w:val="none"/>
                      <w14:textFill>
                        <w14:solidFill>
                          <w14:schemeClr w14:val="tx1"/>
                        </w14:solidFill>
                      </w14:textFill>
                    </w:rPr>
                    <w:t>集中供热管网覆盖范围内禁止新建、扩建分散燃煤、燃油等供热锅炉。</w:t>
                  </w:r>
                </w:p>
                <w:p w14:paraId="7E9DAEAA">
                  <w:pPr>
                    <w:rPr>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2.按照“提气、转电、控煤”的发展思路，推动陶瓷行业进一步优化用能结构，实现能源消费清洁低碳化。</w:t>
                  </w:r>
                </w:p>
              </w:tc>
              <w:tc>
                <w:tcPr>
                  <w:tcW w:w="1044" w:type="dxa"/>
                  <w:tcBorders>
                    <w:tl2br w:val="nil"/>
                    <w:tr2bl w:val="nil"/>
                  </w:tcBorders>
                  <w:noWrap w:val="0"/>
                  <w:vAlign w:val="center"/>
                </w:tcPr>
                <w:p w14:paraId="7B650912">
                  <w:pPr>
                    <w:jc w:val="center"/>
                    <w:rPr>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本项目不涉及锅炉，使用能源为电能</w:t>
                  </w:r>
                  <w:r>
                    <w:rPr>
                      <w:rFonts w:hint="eastAsia" w:ascii="Times New Roman" w:hAnsi="Times New Roman"/>
                      <w:color w:val="000000" w:themeColor="text1"/>
                      <w:highlight w:val="none"/>
                      <w:lang w:eastAsia="zh-CN"/>
                      <w14:textFill>
                        <w14:solidFill>
                          <w14:schemeClr w14:val="tx1"/>
                        </w14:solidFill>
                      </w14:textFill>
                    </w:rPr>
                    <w:t>，</w:t>
                  </w:r>
                  <w:r>
                    <w:rPr>
                      <w:rFonts w:hint="eastAsia" w:ascii="Times New Roman" w:hAnsi="Times New Roman"/>
                      <w:color w:val="000000" w:themeColor="text1"/>
                      <w:highlight w:val="none"/>
                      <w14:textFill>
                        <w14:solidFill>
                          <w14:schemeClr w14:val="tx1"/>
                        </w14:solidFill>
                      </w14:textFill>
                    </w:rPr>
                    <w:t>属于清洁能源。</w:t>
                  </w:r>
                </w:p>
              </w:tc>
              <w:tc>
                <w:tcPr>
                  <w:tcW w:w="692" w:type="dxa"/>
                  <w:tcBorders>
                    <w:tl2br w:val="nil"/>
                    <w:tr2bl w:val="nil"/>
                  </w:tcBorders>
                  <w:noWrap w:val="0"/>
                  <w:vAlign w:val="center"/>
                </w:tcPr>
                <w:p w14:paraId="4436C28F">
                  <w:pPr>
                    <w:jc w:val="center"/>
                    <w:rPr>
                      <w:color w:val="000000" w:themeColor="text1"/>
                      <w:highlight w:val="none"/>
                      <w14:textFill>
                        <w14:solidFill>
                          <w14:schemeClr w14:val="tx1"/>
                        </w14:solidFill>
                      </w14:textFill>
                    </w:rPr>
                  </w:pPr>
                  <w:r>
                    <w:rPr>
                      <w:rFonts w:hint="eastAsia" w:ascii="Times New Roman" w:hAnsi="Times New Roman"/>
                      <w:color w:val="000000" w:themeColor="text1"/>
                      <w:highlight w:val="none"/>
                      <w14:textFill>
                        <w14:solidFill>
                          <w14:schemeClr w14:val="tx1"/>
                        </w14:solidFill>
                      </w14:textFill>
                    </w:rPr>
                    <w:t>符合</w:t>
                  </w:r>
                </w:p>
              </w:tc>
            </w:tr>
            <w:tr w14:paraId="7D5E82D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695" w:type="dxa"/>
                  <w:tcBorders>
                    <w:tl2br w:val="nil"/>
                    <w:tr2bl w:val="nil"/>
                  </w:tcBorders>
                  <w:noWrap w:val="0"/>
                  <w:vAlign w:val="center"/>
                </w:tcPr>
                <w:p w14:paraId="67DA09A8">
                  <w:pPr>
                    <w:rPr>
                      <w:rFonts w:hint="eastAsia"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备注栏</w:t>
                  </w:r>
                </w:p>
              </w:tc>
              <w:tc>
                <w:tcPr>
                  <w:tcW w:w="476" w:type="dxa"/>
                  <w:tcBorders>
                    <w:tl2br w:val="nil"/>
                    <w:tr2bl w:val="nil"/>
                  </w:tcBorders>
                  <w:noWrap w:val="0"/>
                  <w:vAlign w:val="center"/>
                </w:tcPr>
                <w:p w14:paraId="30F671B7">
                  <w:pPr>
                    <w:jc w:val="center"/>
                    <w:rPr>
                      <w:rFonts w:hint="default" w:ascii="Times New Roman" w:hAnsi="Times New Roman" w:eastAsia="宋体"/>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名词解释</w:t>
                  </w:r>
                </w:p>
              </w:tc>
              <w:tc>
                <w:tcPr>
                  <w:tcW w:w="6751" w:type="dxa"/>
                  <w:gridSpan w:val="3"/>
                  <w:tcBorders>
                    <w:tl2br w:val="nil"/>
                    <w:tr2bl w:val="nil"/>
                  </w:tcBorders>
                  <w:noWrap w:val="0"/>
                  <w:vAlign w:val="center"/>
                </w:tcPr>
                <w:p w14:paraId="0CB2250A">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［1］重点重金属污染物：包括铅、汞、镉、铬、砷、铊和锑，对其中铅、汞、镉、铬和砷五种重点重金属污染物排放量实施总量控制。</w:t>
                  </w:r>
                </w:p>
                <w:p w14:paraId="07D509DC">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2］重点行业：包括涉重有色金属矿采选业（铜、铅锌、镍钴、锡、锑和汞矿采选），涉重有色金属冶炼业（铜、铅锌、镍钴、锡、锑和汞冶炼），铅蓄电池制造业，电镀行业，化学原料及化学制品制造业（电石法（聚）氯乙烯制造、铬盐制造、以工业固体废物为原料的锌无机化合物工业），皮革鞣制加工业等6个行业。</w:t>
                  </w:r>
                </w:p>
                <w:p w14:paraId="7588B327">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［3］水泥行业超低排放实施范围：包括水泥熟料生产企业和独立水泥粉磨站（含生产特种水泥、协同处置固废的水泥企业）。</w:t>
                  </w:r>
                </w:p>
                <w:p w14:paraId="0C0F8AEB">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［4］水泥企业超低排放：是指所有生产环节（破碎、粉磨、配料、熟料煅烧、烘干、协同处置等，以及原料、燃料和产品储存运输）的大气污染物有组织、无组织排放及运输过程达到超低排放要求。</w:t>
                  </w:r>
                </w:p>
                <w:p w14:paraId="6DEBC7E3">
                  <w:pPr>
                    <w:rPr>
                      <w:rFonts w:ascii="Times New Roman" w:hAnsi="Times New Roman"/>
                      <w:color w:val="000000" w:themeColor="text1"/>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t>［1］、［2］摘自《福建省进一步加强重金属污染防控实施方案》（闽环保固体〔2022〕17号）。</w:t>
                  </w:r>
                </w:p>
                <w:p w14:paraId="1DA2057E">
                  <w:pPr>
                    <w:jc w:val="both"/>
                    <w:rPr>
                      <w:rFonts w:hint="default" w:ascii="Times New Roman" w:hAnsi="Times New Roman" w:eastAsia="宋体"/>
                      <w:color w:val="000000" w:themeColor="text1"/>
                      <w:highlight w:val="none"/>
                      <w:lang w:val="en-US" w:eastAsia="zh-CN"/>
                      <w14:textFill>
                        <w14:solidFill>
                          <w14:schemeClr w14:val="tx1"/>
                        </w14:solidFill>
                      </w14:textFill>
                    </w:rPr>
                  </w:pPr>
                  <w:r>
                    <w:rPr>
                      <w:rFonts w:ascii="Times New Roman" w:hAnsi="Times New Roman"/>
                      <w:color w:val="000000" w:themeColor="text1"/>
                      <w:highlight w:val="none"/>
                      <w14:textFill>
                        <w14:solidFill>
                          <w14:schemeClr w14:val="tx1"/>
                        </w14:solidFill>
                      </w14:textFill>
                    </w:rPr>
                    <w:t>［3］、［4］摘自《关于全面实施水泥行业超低排放改造的意见》（闽环规〔2023〕2号）。</w:t>
                  </w:r>
                </w:p>
              </w:tc>
            </w:tr>
          </w:tbl>
          <w:p w14:paraId="6D23D024">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b/>
                <w:color w:val="000000" w:themeColor="text1"/>
                <w:sz w:val="24"/>
                <w:szCs w:val="24"/>
                <w:highlight w:val="none"/>
                <w14:textFill>
                  <w14:solidFill>
                    <w14:schemeClr w14:val="tx1"/>
                  </w14:solidFill>
                </w14:textFill>
              </w:rPr>
            </w:pPr>
            <w:r>
              <w:rPr>
                <w:rFonts w:hint="eastAsia"/>
                <w:b/>
                <w:color w:val="000000" w:themeColor="text1"/>
                <w:sz w:val="24"/>
                <w:szCs w:val="24"/>
                <w:highlight w:val="none"/>
                <w14:textFill>
                  <w14:solidFill>
                    <w14:schemeClr w14:val="tx1"/>
                  </w14:solidFill>
                </w14:textFill>
              </w:rPr>
              <w:t>表 1</w:t>
            </w:r>
            <w:r>
              <w:rPr>
                <w:b/>
                <w:color w:val="000000" w:themeColor="text1"/>
                <w:sz w:val="24"/>
                <w:szCs w:val="24"/>
                <w:highlight w:val="none"/>
                <w14:textFill>
                  <w14:solidFill>
                    <w14:schemeClr w14:val="tx1"/>
                  </w14:solidFill>
                </w14:textFill>
              </w:rPr>
              <w:t>-</w:t>
            </w:r>
            <w:r>
              <w:rPr>
                <w:rFonts w:hint="eastAsia"/>
                <w:b/>
                <w:color w:val="000000" w:themeColor="text1"/>
                <w:sz w:val="24"/>
                <w:szCs w:val="24"/>
                <w:highlight w:val="none"/>
                <w:lang w:val="en-US" w:eastAsia="zh-CN"/>
                <w14:textFill>
                  <w14:solidFill>
                    <w14:schemeClr w14:val="tx1"/>
                  </w14:solidFill>
                </w14:textFill>
              </w:rPr>
              <w:t>5</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14:textFill>
                  <w14:solidFill>
                    <w14:schemeClr w14:val="tx1"/>
                  </w14:solidFill>
                </w14:textFill>
              </w:rPr>
              <w:t>与</w:t>
            </w:r>
            <w:r>
              <w:rPr>
                <w:rFonts w:hint="eastAsia"/>
                <w:b/>
                <w:color w:val="000000" w:themeColor="text1"/>
                <w:sz w:val="24"/>
                <w:highlight w:val="none"/>
                <w:lang w:val="en-US" w:eastAsia="zh-CN"/>
                <w14:textFill>
                  <w14:solidFill>
                    <w14:schemeClr w14:val="tx1"/>
                  </w14:solidFill>
                </w14:textFill>
              </w:rPr>
              <w:t>“福建闽侯青口汽车工业园区”</w:t>
            </w:r>
            <w:r>
              <w:rPr>
                <w:rFonts w:hint="eastAsia"/>
                <w:b/>
                <w:color w:val="000000" w:themeColor="text1"/>
                <w:sz w:val="24"/>
                <w:szCs w:val="24"/>
                <w:highlight w:val="none"/>
                <w:lang w:val="en-US" w:eastAsia="zh-CN"/>
                <w14:textFill>
                  <w14:solidFill>
                    <w14:schemeClr w14:val="tx1"/>
                  </w14:solidFill>
                </w14:textFill>
              </w:rPr>
              <w:t>管控单元管控要求的</w:t>
            </w:r>
            <w:r>
              <w:rPr>
                <w:rFonts w:hint="eastAsia"/>
                <w:b/>
                <w:color w:val="000000" w:themeColor="text1"/>
                <w:sz w:val="24"/>
                <w:szCs w:val="24"/>
                <w:highlight w:val="none"/>
                <w14:textFill>
                  <w14:solidFill>
                    <w14:schemeClr w14:val="tx1"/>
                  </w14:solidFill>
                </w14:textFill>
              </w:rPr>
              <w:t>符合性分析</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39"/>
              <w:gridCol w:w="2950"/>
              <w:gridCol w:w="3525"/>
              <w:gridCol w:w="708"/>
            </w:tblGrid>
            <w:tr w14:paraId="6412C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39" w:type="dxa"/>
                  <w:shd w:val="clear" w:color="auto" w:fill="auto"/>
                  <w:vAlign w:val="center"/>
                </w:tcPr>
                <w:p w14:paraId="2C8F0DED">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内容</w:t>
                  </w:r>
                </w:p>
              </w:tc>
              <w:tc>
                <w:tcPr>
                  <w:tcW w:w="2950" w:type="dxa"/>
                  <w:shd w:val="clear" w:color="auto" w:fill="auto"/>
                  <w:vAlign w:val="center"/>
                </w:tcPr>
                <w:p w14:paraId="0E3D619A">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准入要求</w:t>
                  </w:r>
                </w:p>
              </w:tc>
              <w:tc>
                <w:tcPr>
                  <w:tcW w:w="3525" w:type="dxa"/>
                  <w:shd w:val="clear" w:color="auto" w:fill="auto"/>
                  <w:vAlign w:val="center"/>
                </w:tcPr>
                <w:p w14:paraId="3CFAAA55">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符合性分析</w:t>
                  </w:r>
                </w:p>
              </w:tc>
              <w:tc>
                <w:tcPr>
                  <w:tcW w:w="708" w:type="dxa"/>
                  <w:shd w:val="clear" w:color="auto" w:fill="auto"/>
                  <w:vAlign w:val="center"/>
                </w:tcPr>
                <w:p w14:paraId="4F400A15">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是否</w:t>
                  </w:r>
                  <w:r>
                    <w:rPr>
                      <w:rFonts w:hint="eastAsia"/>
                      <w:color w:val="000000" w:themeColor="text1"/>
                      <w:sz w:val="21"/>
                      <w:szCs w:val="18"/>
                      <w:highlight w:val="none"/>
                      <w14:textFill>
                        <w14:solidFill>
                          <w14:schemeClr w14:val="tx1"/>
                        </w14:solidFill>
                      </w14:textFill>
                    </w:rPr>
                    <w:t>符合</w:t>
                  </w:r>
                </w:p>
              </w:tc>
            </w:tr>
            <w:tr w14:paraId="23581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39" w:type="dxa"/>
                  <w:shd w:val="clear" w:color="auto" w:fill="auto"/>
                  <w:vAlign w:val="center"/>
                </w:tcPr>
                <w:p w14:paraId="618311D2">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空间布局约束</w:t>
                  </w:r>
                </w:p>
              </w:tc>
              <w:tc>
                <w:tcPr>
                  <w:tcW w:w="2950" w:type="dxa"/>
                  <w:shd w:val="clear" w:color="auto" w:fill="auto"/>
                  <w:vAlign w:val="center"/>
                </w:tcPr>
                <w:p w14:paraId="471583A5">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1.禁止在园区及其上游汇水区域内新建畜禽养殖项目。</w:t>
                  </w:r>
                </w:p>
                <w:p w14:paraId="57573428">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2.现有电镀企业不得进行改、扩建，限制新建电镀企业。</w:t>
                  </w:r>
                </w:p>
                <w:p w14:paraId="5A1A4F3F">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3.严格限制新建、扩建食品、轻工、石材、建材等与园区规划产业不符的项目。</w:t>
                  </w:r>
                </w:p>
                <w:p w14:paraId="72844BBE">
                  <w:pPr>
                    <w:keepNext w:val="0"/>
                    <w:keepLines w:val="0"/>
                    <w:pageBreakBefore w:val="0"/>
                    <w:widowControl w:val="0"/>
                    <w:kinsoku/>
                    <w:wordWrap/>
                    <w:overflowPunct/>
                    <w:topLinePunct w:val="0"/>
                    <w:bidi w:val="0"/>
                    <w:adjustRightInd/>
                    <w:snapToGrid/>
                    <w:spacing w:line="240" w:lineRule="auto"/>
                    <w:jc w:val="both"/>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4.居住用地周边禁止布局潜在废气扰民的建设项目。</w:t>
                  </w:r>
                </w:p>
              </w:tc>
              <w:tc>
                <w:tcPr>
                  <w:tcW w:w="3525" w:type="dxa"/>
                  <w:shd w:val="clear" w:color="auto" w:fill="auto"/>
                  <w:vAlign w:val="center"/>
                </w:tcPr>
                <w:p w14:paraId="14F99E97">
                  <w:pPr>
                    <w:keepNext w:val="0"/>
                    <w:keepLines w:val="0"/>
                    <w:pageBreakBefore w:val="0"/>
                    <w:widowControl w:val="0"/>
                    <w:kinsoku/>
                    <w:wordWrap/>
                    <w:overflowPunct/>
                    <w:topLinePunct w:val="0"/>
                    <w:bidi w:val="0"/>
                    <w:adjustRightInd/>
                    <w:snapToGrid/>
                    <w:spacing w:line="240" w:lineRule="auto"/>
                    <w:jc w:val="both"/>
                    <w:textAlignment w:val="auto"/>
                    <w:rPr>
                      <w:rFonts w:hint="eastAsia" w:eastAsia="宋体"/>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14:textFill>
                        <w14:solidFill>
                          <w14:schemeClr w14:val="tx1"/>
                        </w14:solidFill>
                      </w14:textFill>
                    </w:rPr>
                    <w:t>1.本项目不属于畜禽养殖项目，且不位于园区及其上游汇水区域内</w:t>
                  </w:r>
                  <w:r>
                    <w:rPr>
                      <w:rFonts w:hint="eastAsia"/>
                      <w:color w:val="000000" w:themeColor="text1"/>
                      <w:sz w:val="21"/>
                      <w:szCs w:val="18"/>
                      <w:highlight w:val="none"/>
                      <w:lang w:eastAsia="zh-CN"/>
                      <w14:textFill>
                        <w14:solidFill>
                          <w14:schemeClr w14:val="tx1"/>
                        </w14:solidFill>
                      </w14:textFill>
                    </w:rPr>
                    <w:t>；</w:t>
                  </w:r>
                </w:p>
                <w:p w14:paraId="1E44545B">
                  <w:pPr>
                    <w:keepNext w:val="0"/>
                    <w:keepLines w:val="0"/>
                    <w:pageBreakBefore w:val="0"/>
                    <w:widowControl w:val="0"/>
                    <w:kinsoku/>
                    <w:wordWrap/>
                    <w:overflowPunct/>
                    <w:topLinePunct w:val="0"/>
                    <w:bidi w:val="0"/>
                    <w:adjustRightInd/>
                    <w:snapToGrid/>
                    <w:spacing w:line="240" w:lineRule="auto"/>
                    <w:jc w:val="both"/>
                    <w:textAlignment w:val="auto"/>
                    <w:rPr>
                      <w:rFonts w:hint="eastAsia" w:eastAsia="宋体"/>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14:textFill>
                        <w14:solidFill>
                          <w14:schemeClr w14:val="tx1"/>
                        </w14:solidFill>
                      </w14:textFill>
                    </w:rPr>
                    <w:t>2.本项目不属于电镀企业</w:t>
                  </w:r>
                  <w:r>
                    <w:rPr>
                      <w:rFonts w:hint="eastAsia"/>
                      <w:color w:val="000000" w:themeColor="text1"/>
                      <w:sz w:val="21"/>
                      <w:szCs w:val="18"/>
                      <w:highlight w:val="none"/>
                      <w:lang w:eastAsia="zh-CN"/>
                      <w14:textFill>
                        <w14:solidFill>
                          <w14:schemeClr w14:val="tx1"/>
                        </w14:solidFill>
                      </w14:textFill>
                    </w:rPr>
                    <w:t>；</w:t>
                  </w:r>
                </w:p>
                <w:p w14:paraId="3CC24848">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14:textFill>
                        <w14:solidFill>
                          <w14:schemeClr w14:val="tx1"/>
                        </w14:solidFill>
                      </w14:textFill>
                    </w:rPr>
                    <w:t>3.本项目主要从事</w:t>
                  </w:r>
                  <w:r>
                    <w:rPr>
                      <w:rFonts w:hint="eastAsia"/>
                      <w:color w:val="000000" w:themeColor="text1"/>
                      <w:sz w:val="21"/>
                      <w:szCs w:val="18"/>
                      <w:highlight w:val="none"/>
                      <w:lang w:val="en-US" w:eastAsia="zh-CN"/>
                      <w14:textFill>
                        <w14:solidFill>
                          <w14:schemeClr w14:val="tx1"/>
                        </w14:solidFill>
                      </w14:textFill>
                    </w:rPr>
                    <w:t>车载塑料袋生产</w:t>
                  </w:r>
                  <w:r>
                    <w:rPr>
                      <w:rFonts w:hint="eastAsia"/>
                      <w:color w:val="000000" w:themeColor="text1"/>
                      <w:sz w:val="21"/>
                      <w:szCs w:val="18"/>
                      <w:highlight w:val="none"/>
                      <w14:textFill>
                        <w14:solidFill>
                          <w14:schemeClr w14:val="tx1"/>
                        </w14:solidFill>
                      </w14:textFill>
                    </w:rPr>
                    <w:t>，</w:t>
                  </w:r>
                  <w:r>
                    <w:rPr>
                      <w:rFonts w:hint="eastAsia"/>
                      <w:color w:val="000000" w:themeColor="text1"/>
                      <w:sz w:val="21"/>
                      <w:szCs w:val="18"/>
                      <w:highlight w:val="none"/>
                      <w:lang w:val="en-US" w:eastAsia="zh-CN"/>
                      <w14:textFill>
                        <w14:solidFill>
                          <w14:schemeClr w14:val="tx1"/>
                        </w14:solidFill>
                      </w14:textFill>
                    </w:rPr>
                    <w:t>为汽车配套生产制造项目，</w:t>
                  </w:r>
                  <w:r>
                    <w:rPr>
                      <w:rFonts w:hint="eastAsia"/>
                      <w:color w:val="000000" w:themeColor="text1"/>
                      <w:sz w:val="21"/>
                      <w:szCs w:val="21"/>
                      <w:highlight w:val="none"/>
                      <w:lang w:val="en-US" w:eastAsia="zh-CN"/>
                      <w14:textFill>
                        <w14:solidFill>
                          <w14:schemeClr w14:val="tx1"/>
                        </w14:solidFill>
                      </w14:textFill>
                    </w:rPr>
                    <w:t>符合要求</w:t>
                  </w:r>
                  <w:r>
                    <w:rPr>
                      <w:rFonts w:hint="eastAsia"/>
                      <w:color w:val="000000" w:themeColor="text1"/>
                      <w:sz w:val="21"/>
                      <w:szCs w:val="18"/>
                      <w:highlight w:val="none"/>
                      <w:lang w:eastAsia="zh-CN"/>
                      <w14:textFill>
                        <w14:solidFill>
                          <w14:schemeClr w14:val="tx1"/>
                        </w14:solidFill>
                      </w14:textFill>
                    </w:rPr>
                    <w:t>；</w:t>
                  </w:r>
                </w:p>
                <w:p w14:paraId="1F94792F">
                  <w:pPr>
                    <w:keepNext w:val="0"/>
                    <w:keepLines w:val="0"/>
                    <w:pageBreakBefore w:val="0"/>
                    <w:widowControl w:val="0"/>
                    <w:kinsoku/>
                    <w:wordWrap/>
                    <w:overflowPunct/>
                    <w:topLinePunct w:val="0"/>
                    <w:bidi w:val="0"/>
                    <w:adjustRightInd/>
                    <w:snapToGrid/>
                    <w:spacing w:line="240" w:lineRule="auto"/>
                    <w:jc w:val="both"/>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4.本项目运营期产生的有机废气收集后经活性炭处理后达标排放，本项目所在地</w:t>
                  </w:r>
                  <w:r>
                    <w:rPr>
                      <w:rFonts w:hint="eastAsia"/>
                      <w:color w:val="000000" w:themeColor="text1"/>
                      <w:sz w:val="21"/>
                      <w:szCs w:val="18"/>
                      <w:highlight w:val="none"/>
                      <w:lang w:val="en-US" w:eastAsia="zh-CN"/>
                      <w14:textFill>
                        <w14:solidFill>
                          <w14:schemeClr w14:val="tx1"/>
                        </w14:solidFill>
                      </w14:textFill>
                    </w:rPr>
                    <w:t>周</w:t>
                  </w:r>
                  <w:r>
                    <w:rPr>
                      <w:rFonts w:hint="eastAsia"/>
                      <w:color w:val="000000" w:themeColor="text1"/>
                      <w:sz w:val="21"/>
                      <w:szCs w:val="18"/>
                      <w:highlight w:val="none"/>
                      <w14:textFill>
                        <w14:solidFill>
                          <w14:schemeClr w14:val="tx1"/>
                        </w14:solidFill>
                      </w14:textFill>
                    </w:rPr>
                    <w:t>边为工业</w:t>
                  </w:r>
                  <w:r>
                    <w:rPr>
                      <w:rFonts w:hint="eastAsia"/>
                      <w:color w:val="000000" w:themeColor="text1"/>
                      <w:sz w:val="21"/>
                      <w:szCs w:val="18"/>
                      <w:highlight w:val="none"/>
                      <w:lang w:val="en-US" w:eastAsia="zh-CN"/>
                      <w14:textFill>
                        <w14:solidFill>
                          <w14:schemeClr w14:val="tx1"/>
                        </w14:solidFill>
                      </w14:textFill>
                    </w:rPr>
                    <w:t>企业</w:t>
                  </w:r>
                  <w:r>
                    <w:rPr>
                      <w:rFonts w:hint="eastAsia"/>
                      <w:color w:val="000000" w:themeColor="text1"/>
                      <w:sz w:val="21"/>
                      <w:szCs w:val="18"/>
                      <w:highlight w:val="none"/>
                      <w14:textFill>
                        <w14:solidFill>
                          <w14:schemeClr w14:val="tx1"/>
                        </w14:solidFill>
                      </w14:textFill>
                    </w:rPr>
                    <w:t>，均为</w:t>
                  </w:r>
                  <w:r>
                    <w:rPr>
                      <w:rFonts w:hint="eastAsia"/>
                      <w:color w:val="000000" w:themeColor="text1"/>
                      <w:sz w:val="21"/>
                      <w:szCs w:val="18"/>
                      <w:highlight w:val="none"/>
                      <w:lang w:eastAsia="zh-CN"/>
                      <w14:textFill>
                        <w14:solidFill>
                          <w14:schemeClr w14:val="tx1"/>
                        </w14:solidFill>
                      </w14:textFill>
                    </w:rPr>
                    <w:t>工业</w:t>
                  </w:r>
                  <w:r>
                    <w:rPr>
                      <w:rFonts w:hint="eastAsia"/>
                      <w:color w:val="000000" w:themeColor="text1"/>
                      <w:sz w:val="21"/>
                      <w:szCs w:val="18"/>
                      <w:highlight w:val="none"/>
                      <w14:textFill>
                        <w14:solidFill>
                          <w14:schemeClr w14:val="tx1"/>
                        </w14:solidFill>
                      </w14:textFill>
                    </w:rPr>
                    <w:t>用地，本项目排气筒设置远离居民点且排气筒下风向</w:t>
                  </w:r>
                  <w:r>
                    <w:rPr>
                      <w:rFonts w:hint="eastAsia"/>
                      <w:color w:val="000000" w:themeColor="text1"/>
                      <w:sz w:val="21"/>
                      <w:szCs w:val="18"/>
                      <w:highlight w:val="none"/>
                      <w:lang w:val="en-US" w:eastAsia="zh-CN"/>
                      <w14:textFill>
                        <w14:solidFill>
                          <w14:schemeClr w14:val="tx1"/>
                        </w14:solidFill>
                      </w14:textFill>
                    </w:rPr>
                    <w:t>500m范围内</w:t>
                  </w:r>
                  <w:r>
                    <w:rPr>
                      <w:rFonts w:hint="eastAsia"/>
                      <w:color w:val="000000" w:themeColor="text1"/>
                      <w:sz w:val="21"/>
                      <w:szCs w:val="18"/>
                      <w:highlight w:val="none"/>
                      <w14:textFill>
                        <w14:solidFill>
                          <w14:schemeClr w14:val="tx1"/>
                        </w14:solidFill>
                      </w14:textFill>
                    </w:rPr>
                    <w:t>无大气环境敏感</w:t>
                  </w:r>
                  <w:r>
                    <w:rPr>
                      <w:rFonts w:hint="eastAsia"/>
                      <w:color w:val="000000" w:themeColor="text1"/>
                      <w:sz w:val="21"/>
                      <w:szCs w:val="18"/>
                      <w:highlight w:val="none"/>
                      <w:lang w:val="en-US" w:eastAsia="zh-CN"/>
                      <w14:textFill>
                        <w14:solidFill>
                          <w14:schemeClr w14:val="tx1"/>
                        </w14:solidFill>
                      </w14:textFill>
                    </w:rPr>
                    <w:t>目标</w:t>
                  </w:r>
                  <w:r>
                    <w:rPr>
                      <w:rFonts w:hint="eastAsia"/>
                      <w:color w:val="000000" w:themeColor="text1"/>
                      <w:sz w:val="21"/>
                      <w:szCs w:val="18"/>
                      <w:highlight w:val="none"/>
                      <w14:textFill>
                        <w14:solidFill>
                          <w14:schemeClr w14:val="tx1"/>
                        </w14:solidFill>
                      </w14:textFill>
                    </w:rPr>
                    <w:t>，不会造成废气扰民的影响。</w:t>
                  </w:r>
                </w:p>
              </w:tc>
              <w:tc>
                <w:tcPr>
                  <w:tcW w:w="708" w:type="dxa"/>
                  <w:shd w:val="clear" w:color="auto" w:fill="auto"/>
                  <w:vAlign w:val="center"/>
                </w:tcPr>
                <w:p w14:paraId="15DF401A">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符合</w:t>
                  </w:r>
                </w:p>
              </w:tc>
            </w:tr>
            <w:tr w14:paraId="4B5FF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39" w:type="dxa"/>
                  <w:shd w:val="clear" w:color="auto" w:fill="auto"/>
                  <w:vAlign w:val="center"/>
                </w:tcPr>
                <w:p w14:paraId="454AFF95">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污染物排放管控</w:t>
                  </w:r>
                </w:p>
              </w:tc>
              <w:tc>
                <w:tcPr>
                  <w:tcW w:w="2950" w:type="dxa"/>
                  <w:shd w:val="clear" w:color="auto" w:fill="auto"/>
                  <w:vAlign w:val="center"/>
                </w:tcPr>
                <w:p w14:paraId="5F11A689">
                  <w:pPr>
                    <w:keepNext w:val="0"/>
                    <w:keepLines w:val="0"/>
                    <w:pageBreakBefore w:val="0"/>
                    <w:widowControl w:val="0"/>
                    <w:kinsoku/>
                    <w:wordWrap/>
                    <w:overflowPunct/>
                    <w:topLinePunct w:val="0"/>
                    <w:bidi w:val="0"/>
                    <w:adjustRightInd/>
                    <w:snapToGrid/>
                    <w:spacing w:line="240" w:lineRule="auto"/>
                    <w:textAlignment w:val="auto"/>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1.完善建设污水收集管网，做到雨污分流，保证园区内所有工业废水、生活污水纳入污水处理厂处理并达标排放。</w:t>
                  </w:r>
                </w:p>
                <w:p w14:paraId="5BDAC7A1">
                  <w:pPr>
                    <w:keepNext w:val="0"/>
                    <w:keepLines w:val="0"/>
                    <w:pageBreakBefore w:val="0"/>
                    <w:widowControl w:val="0"/>
                    <w:kinsoku/>
                    <w:wordWrap/>
                    <w:overflowPunct/>
                    <w:topLinePunct w:val="0"/>
                    <w:bidi w:val="0"/>
                    <w:adjustRightInd/>
                    <w:snapToGrid/>
                    <w:spacing w:line="240" w:lineRule="auto"/>
                    <w:textAlignment w:val="auto"/>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2.根据区域发展需要择机建设电镀中心，实现污染物集中控制。</w:t>
                  </w:r>
                </w:p>
                <w:p w14:paraId="53B91F6C">
                  <w:pPr>
                    <w:keepNext w:val="0"/>
                    <w:keepLines w:val="0"/>
                    <w:pageBreakBefore w:val="0"/>
                    <w:widowControl w:val="0"/>
                    <w:kinsoku/>
                    <w:wordWrap/>
                    <w:overflowPunct/>
                    <w:topLinePunct w:val="0"/>
                    <w:bidi w:val="0"/>
                    <w:adjustRightInd/>
                    <w:snapToGrid/>
                    <w:spacing w:line="240" w:lineRule="auto"/>
                    <w:textAlignment w:val="auto"/>
                    <w:rPr>
                      <w:rFonts w:ascii="宋体" w:cs="宋体"/>
                      <w:color w:val="000000" w:themeColor="text1"/>
                      <w:kern w:val="0"/>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3.落实新增VOCs排放总量控制要求。</w:t>
                  </w:r>
                </w:p>
              </w:tc>
              <w:tc>
                <w:tcPr>
                  <w:tcW w:w="3525" w:type="dxa"/>
                  <w:shd w:val="clear" w:color="auto" w:fill="auto"/>
                  <w:vAlign w:val="center"/>
                </w:tcPr>
                <w:p w14:paraId="424EEB04">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default" w:ascii="Times New Roman" w:hAnsi="Times New Roman" w:cs="Times New Roman"/>
                      <w:color w:val="000000" w:themeColor="text1"/>
                      <w:kern w:val="0"/>
                      <w:sz w:val="21"/>
                      <w:szCs w:val="18"/>
                      <w:highlight w:val="none"/>
                      <w14:textFill>
                        <w14:solidFill>
                          <w14:schemeClr w14:val="tx1"/>
                        </w14:solidFill>
                      </w14:textFill>
                    </w:rPr>
                  </w:pPr>
                  <w:r>
                    <w:rPr>
                      <w:rFonts w:hint="default" w:ascii="Times New Roman" w:hAnsi="Times New Roman" w:cs="Times New Roman"/>
                      <w:color w:val="000000" w:themeColor="text1"/>
                      <w:kern w:val="0"/>
                      <w:sz w:val="21"/>
                      <w:szCs w:val="18"/>
                      <w:highlight w:val="none"/>
                      <w14:textFill>
                        <w14:solidFill>
                          <w14:schemeClr w14:val="tx1"/>
                        </w14:solidFill>
                      </w14:textFill>
                    </w:rPr>
                    <w:t>1.本项目生活污水经出租方的</w:t>
                  </w:r>
                  <w:r>
                    <w:rPr>
                      <w:rFonts w:hint="eastAsia"/>
                      <w:color w:val="000000" w:themeColor="text1"/>
                      <w:sz w:val="21"/>
                      <w:szCs w:val="21"/>
                      <w:highlight w:val="none"/>
                      <w:lang w:val="en-US" w:eastAsia="zh-CN"/>
                      <w14:textFill>
                        <w14:solidFill>
                          <w14:schemeClr w14:val="tx1"/>
                        </w14:solidFill>
                      </w14:textFill>
                    </w:rPr>
                    <w:t>隔油+</w:t>
                  </w:r>
                  <w:r>
                    <w:rPr>
                      <w:rFonts w:hint="default" w:ascii="Times New Roman" w:hAnsi="Times New Roman" w:cs="Times New Roman"/>
                      <w:color w:val="000000" w:themeColor="text1"/>
                      <w:kern w:val="0"/>
                      <w:sz w:val="21"/>
                      <w:szCs w:val="18"/>
                      <w:highlight w:val="none"/>
                      <w14:textFill>
                        <w14:solidFill>
                          <w14:schemeClr w14:val="tx1"/>
                        </w14:solidFill>
                      </w14:textFill>
                    </w:rPr>
                    <w:t>化粪池处理达标后排入</w:t>
                  </w:r>
                  <w:r>
                    <w:rPr>
                      <w:rFonts w:hint="eastAsia"/>
                      <w:color w:val="000000" w:themeColor="text1"/>
                      <w:sz w:val="21"/>
                      <w:szCs w:val="21"/>
                      <w:highlight w:val="none"/>
                      <w14:textFill>
                        <w14:solidFill>
                          <w14:schemeClr w14:val="tx1"/>
                        </w14:solidFill>
                      </w14:textFill>
                    </w:rPr>
                    <w:t>福建青口海峡环保有限公司(</w:t>
                  </w:r>
                  <w:r>
                    <w:rPr>
                      <w:rFonts w:hint="eastAsia"/>
                      <w:color w:val="000000" w:themeColor="text1"/>
                      <w:sz w:val="21"/>
                      <w:szCs w:val="21"/>
                      <w:highlight w:val="none"/>
                      <w:lang w:eastAsia="zh-CN"/>
                      <w14:textFill>
                        <w14:solidFill>
                          <w14:schemeClr w14:val="tx1"/>
                        </w14:solidFill>
                      </w14:textFill>
                    </w:rPr>
                    <w:t>青口新区污水处理厂</w:t>
                  </w:r>
                  <w:r>
                    <w:rPr>
                      <w:rFonts w:hint="eastAsia"/>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kern w:val="0"/>
                      <w:sz w:val="21"/>
                      <w:szCs w:val="18"/>
                      <w:highlight w:val="none"/>
                      <w14:textFill>
                        <w14:solidFill>
                          <w14:schemeClr w14:val="tx1"/>
                        </w14:solidFill>
                      </w14:textFill>
                    </w:rPr>
                    <w:t>污水处理。</w:t>
                  </w:r>
                </w:p>
                <w:p w14:paraId="5E80B4C5">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default" w:ascii="Times New Roman" w:hAnsi="Times New Roman" w:cs="Times New Roman"/>
                      <w:color w:val="000000" w:themeColor="text1"/>
                      <w:kern w:val="0"/>
                      <w:sz w:val="21"/>
                      <w:szCs w:val="18"/>
                      <w:highlight w:val="none"/>
                      <w14:textFill>
                        <w14:solidFill>
                          <w14:schemeClr w14:val="tx1"/>
                        </w14:solidFill>
                      </w14:textFill>
                    </w:rPr>
                  </w:pPr>
                  <w:r>
                    <w:rPr>
                      <w:rFonts w:hint="default" w:ascii="Times New Roman" w:hAnsi="Times New Roman" w:cs="Times New Roman"/>
                      <w:color w:val="000000" w:themeColor="text1"/>
                      <w:kern w:val="0"/>
                      <w:sz w:val="21"/>
                      <w:szCs w:val="18"/>
                      <w:highlight w:val="none"/>
                      <w14:textFill>
                        <w14:solidFill>
                          <w14:schemeClr w14:val="tx1"/>
                        </w14:solidFill>
                      </w14:textFill>
                    </w:rPr>
                    <w:t>2.本项目不涉及电镀。</w:t>
                  </w:r>
                </w:p>
                <w:p w14:paraId="3C05B61C">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ascii="宋体" w:cs="宋体"/>
                      <w:color w:val="000000" w:themeColor="text1"/>
                      <w:kern w:val="0"/>
                      <w:sz w:val="21"/>
                      <w:szCs w:val="18"/>
                      <w:highlight w:val="none"/>
                      <w14:textFill>
                        <w14:solidFill>
                          <w14:schemeClr w14:val="tx1"/>
                        </w14:solidFill>
                      </w14:textFill>
                    </w:rPr>
                  </w:pPr>
                  <w:r>
                    <w:rPr>
                      <w:rFonts w:hint="default" w:ascii="Times New Roman" w:hAnsi="Times New Roman" w:cs="Times New Roman"/>
                      <w:color w:val="000000" w:themeColor="text1"/>
                      <w:kern w:val="0"/>
                      <w:sz w:val="21"/>
                      <w:szCs w:val="18"/>
                      <w:highlight w:val="none"/>
                      <w14:textFill>
                        <w14:solidFill>
                          <w14:schemeClr w14:val="tx1"/>
                        </w14:solidFill>
                      </w14:textFill>
                    </w:rPr>
                    <w:t>3.项目涉新增VOCs排放，VOCs排放实行区域内</w:t>
                  </w:r>
                  <w:r>
                    <w:rPr>
                      <w:rFonts w:hint="eastAsia" w:ascii="Times New Roman" w:hAnsi="Times New Roman" w:cs="Times New Roman"/>
                      <w:color w:val="000000" w:themeColor="text1"/>
                      <w:kern w:val="0"/>
                      <w:sz w:val="21"/>
                      <w:szCs w:val="18"/>
                      <w:highlight w:val="none"/>
                      <w:lang w:val="en-US" w:eastAsia="zh-CN"/>
                      <w14:textFill>
                        <w14:solidFill>
                          <w14:schemeClr w14:val="tx1"/>
                        </w14:solidFill>
                      </w14:textFill>
                    </w:rPr>
                    <w:t>倍量</w:t>
                  </w:r>
                  <w:r>
                    <w:rPr>
                      <w:rFonts w:hint="default" w:ascii="Times New Roman" w:hAnsi="Times New Roman" w:cs="Times New Roman"/>
                      <w:color w:val="000000" w:themeColor="text1"/>
                      <w:kern w:val="0"/>
                      <w:sz w:val="21"/>
                      <w:szCs w:val="18"/>
                      <w:highlight w:val="none"/>
                      <w14:textFill>
                        <w14:solidFill>
                          <w14:schemeClr w14:val="tx1"/>
                        </w14:solidFill>
                      </w14:textFill>
                    </w:rPr>
                    <w:t>替代。</w:t>
                  </w:r>
                </w:p>
              </w:tc>
              <w:tc>
                <w:tcPr>
                  <w:tcW w:w="708" w:type="dxa"/>
                  <w:shd w:val="clear" w:color="auto" w:fill="auto"/>
                  <w:vAlign w:val="center"/>
                </w:tcPr>
                <w:p w14:paraId="17F1F892">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符合</w:t>
                  </w:r>
                </w:p>
              </w:tc>
            </w:tr>
            <w:tr w14:paraId="4D0E6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39" w:type="dxa"/>
                  <w:shd w:val="clear" w:color="auto" w:fill="auto"/>
                  <w:vAlign w:val="center"/>
                </w:tcPr>
                <w:p w14:paraId="124A7A20">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环境风险防控</w:t>
                  </w:r>
                </w:p>
              </w:tc>
              <w:tc>
                <w:tcPr>
                  <w:tcW w:w="2950" w:type="dxa"/>
                  <w:shd w:val="clear" w:color="auto" w:fill="auto"/>
                  <w:vAlign w:val="center"/>
                </w:tcPr>
                <w:p w14:paraId="5FD2FB59">
                  <w:pPr>
                    <w:keepNext w:val="0"/>
                    <w:keepLines w:val="0"/>
                    <w:pageBreakBefore w:val="0"/>
                    <w:widowControl w:val="0"/>
                    <w:kinsoku/>
                    <w:wordWrap/>
                    <w:overflowPunct/>
                    <w:topLinePunct w:val="0"/>
                    <w:bidi w:val="0"/>
                    <w:adjustRightInd/>
                    <w:snapToGrid/>
                    <w:spacing w:line="240" w:lineRule="auto"/>
                    <w:textAlignment w:val="auto"/>
                    <w:rPr>
                      <w:rFonts w:hint="eastAsia"/>
                      <w:color w:val="000000" w:themeColor="text1"/>
                      <w:sz w:val="21"/>
                      <w:szCs w:val="18"/>
                      <w:highlight w:val="none"/>
                      <w:lang w:eastAsia="zh-CN"/>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1.建立健全环境风险防控体系，制定环境风险应急预案，建设事故应急池，成立应急组织机构，防止在处理安全生产事故过程中产生的可能严重污染水体的消防废水、废液直接排入水体。</w:t>
                  </w:r>
                </w:p>
                <w:p w14:paraId="3E6BA29B">
                  <w:pPr>
                    <w:keepNext w:val="0"/>
                    <w:keepLines w:val="0"/>
                    <w:pageBreakBefore w:val="0"/>
                    <w:widowControl w:val="0"/>
                    <w:kinsoku/>
                    <w:wordWrap/>
                    <w:overflowPunct/>
                    <w:topLinePunct w:val="0"/>
                    <w:bidi w:val="0"/>
                    <w:adjustRightInd/>
                    <w:snapToGrid/>
                    <w:spacing w:line="240" w:lineRule="auto"/>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2.应采取有效措施防止园区建设对区域地下水、土壤造成污染。</w:t>
                  </w:r>
                </w:p>
              </w:tc>
              <w:tc>
                <w:tcPr>
                  <w:tcW w:w="3525" w:type="dxa"/>
                  <w:shd w:val="clear" w:color="auto" w:fill="auto"/>
                  <w:vAlign w:val="center"/>
                </w:tcPr>
                <w:p w14:paraId="0E9FDF46">
                  <w:pPr>
                    <w:keepNext w:val="0"/>
                    <w:keepLines w:val="0"/>
                    <w:pageBreakBefore w:val="0"/>
                    <w:widowControl w:val="0"/>
                    <w:kinsoku/>
                    <w:wordWrap/>
                    <w:overflowPunct/>
                    <w:topLinePunct w:val="0"/>
                    <w:bidi w:val="0"/>
                    <w:adjustRightInd/>
                    <w:snapToGrid/>
                    <w:spacing w:line="240" w:lineRule="auto"/>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本项目环境风险较小，建设单位在采取本评价建议的环境风险防范和减缓措施，可杜绝风险事故的发生。本项目的环境风险在可接受范围内。</w:t>
                  </w:r>
                </w:p>
              </w:tc>
              <w:tc>
                <w:tcPr>
                  <w:tcW w:w="708" w:type="dxa"/>
                  <w:shd w:val="clear" w:color="auto" w:fill="auto"/>
                  <w:vAlign w:val="center"/>
                </w:tcPr>
                <w:p w14:paraId="52ACEEF8">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符合</w:t>
                  </w:r>
                </w:p>
              </w:tc>
            </w:tr>
            <w:tr w14:paraId="5E8E2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39" w:type="dxa"/>
                  <w:shd w:val="clear" w:color="auto" w:fill="auto"/>
                  <w:vAlign w:val="center"/>
                </w:tcPr>
                <w:p w14:paraId="04F46CDA">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资源开发效率要求</w:t>
                  </w:r>
                </w:p>
              </w:tc>
              <w:tc>
                <w:tcPr>
                  <w:tcW w:w="2950" w:type="dxa"/>
                  <w:shd w:val="clear" w:color="auto" w:fill="auto"/>
                  <w:vAlign w:val="center"/>
                </w:tcPr>
                <w:p w14:paraId="3B471F79">
                  <w:pPr>
                    <w:keepNext w:val="0"/>
                    <w:keepLines w:val="0"/>
                    <w:pageBreakBefore w:val="0"/>
                    <w:widowControl w:val="0"/>
                    <w:kinsoku/>
                    <w:wordWrap/>
                    <w:overflowPunct/>
                    <w:topLinePunct w:val="0"/>
                    <w:bidi w:val="0"/>
                    <w:adjustRightInd/>
                    <w:snapToGrid/>
                    <w:spacing w:line="240" w:lineRule="auto"/>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eastAsia="zh-CN"/>
                      <w14:textFill>
                        <w14:solidFill>
                          <w14:schemeClr w14:val="tx1"/>
                        </w14:solidFill>
                      </w14:textFill>
                    </w:rPr>
                    <w:t>使用燃煤锅及燃油锅炉企业尽快进行能源改造，近期可使用生物质颗粒，远期鼓励以LNG或电能替代其它能源。</w:t>
                  </w:r>
                </w:p>
              </w:tc>
              <w:tc>
                <w:tcPr>
                  <w:tcW w:w="3525" w:type="dxa"/>
                  <w:shd w:val="clear" w:color="auto" w:fill="auto"/>
                  <w:vAlign w:val="center"/>
                </w:tcPr>
                <w:p w14:paraId="3EF95633">
                  <w:pPr>
                    <w:keepNext w:val="0"/>
                    <w:keepLines w:val="0"/>
                    <w:pageBreakBefore w:val="0"/>
                    <w:widowControl w:val="0"/>
                    <w:kinsoku/>
                    <w:wordWrap/>
                    <w:overflowPunct/>
                    <w:topLinePunct w:val="0"/>
                    <w:bidi w:val="0"/>
                    <w:adjustRightInd/>
                    <w:snapToGrid/>
                    <w:spacing w:line="240" w:lineRule="auto"/>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14:textFill>
                        <w14:solidFill>
                          <w14:schemeClr w14:val="tx1"/>
                        </w14:solidFill>
                      </w14:textFill>
                    </w:rPr>
                    <w:t>本项目不涉及锅炉的使用，使用的能源为电和水。</w:t>
                  </w:r>
                </w:p>
              </w:tc>
              <w:tc>
                <w:tcPr>
                  <w:tcW w:w="708" w:type="dxa"/>
                  <w:shd w:val="clear" w:color="auto" w:fill="auto"/>
                  <w:vAlign w:val="center"/>
                </w:tcPr>
                <w:p w14:paraId="0D29C131">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符合</w:t>
                  </w:r>
                </w:p>
              </w:tc>
            </w:tr>
          </w:tbl>
          <w:p w14:paraId="6F953D94">
            <w:pPr>
              <w:pStyle w:val="91"/>
              <w:ind w:firstLine="420"/>
              <w:rPr>
                <w:rFonts w:hint="eastAsia"/>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根据</w:t>
            </w:r>
            <w:r>
              <w:rPr>
                <w:rFonts w:hint="default"/>
                <w:color w:val="000000" w:themeColor="text1"/>
                <w:sz w:val="24"/>
                <w:szCs w:val="24"/>
                <w:highlight w:val="none"/>
                <w:lang w:val="en-US"/>
                <w14:textFill>
                  <w14:solidFill>
                    <w14:schemeClr w14:val="tx1"/>
                  </w14:solidFill>
                </w14:textFill>
              </w:rPr>
              <w:t>上表</w:t>
            </w:r>
            <w:r>
              <w:rPr>
                <w:rFonts w:hint="eastAsia"/>
                <w:color w:val="000000" w:themeColor="text1"/>
                <w:sz w:val="24"/>
                <w:szCs w:val="24"/>
                <w:highlight w:val="none"/>
                <w14:textFill>
                  <w14:solidFill>
                    <w14:schemeClr w14:val="tx1"/>
                  </w14:solidFill>
                </w14:textFill>
              </w:rPr>
              <w:t>分析，项目不涉及生态保护红线、符合资源利用上限要求、符合环境质量底线要求</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符合生态环境分区管控单元的管控要求</w:t>
            </w:r>
            <w:r>
              <w:rPr>
                <w:rFonts w:hint="eastAsia"/>
                <w:color w:val="000000" w:themeColor="text1"/>
                <w:sz w:val="24"/>
                <w:szCs w:val="24"/>
                <w:highlight w:val="none"/>
                <w14:textFill>
                  <w14:solidFill>
                    <w14:schemeClr w14:val="tx1"/>
                  </w14:solidFill>
                </w14:textFill>
              </w:rPr>
              <w:t>。</w:t>
            </w:r>
          </w:p>
          <w:p w14:paraId="7576E5ED">
            <w:pPr>
              <w:pStyle w:val="91"/>
              <w:ind w:firstLine="420"/>
              <w:rPr>
                <w:rFonts w:hint="eastAsia"/>
                <w:color w:val="000000" w:themeColor="text1"/>
                <w:sz w:val="24"/>
                <w:szCs w:val="24"/>
                <w:highlight w:val="none"/>
                <w14:textFill>
                  <w14:solidFill>
                    <w14:schemeClr w14:val="tx1"/>
                  </w14:solidFill>
                </w14:textFill>
              </w:rPr>
            </w:pPr>
          </w:p>
          <w:p w14:paraId="240638AE">
            <w:pPr>
              <w:pStyle w:val="91"/>
              <w:ind w:firstLine="420"/>
              <w:rPr>
                <w:rFonts w:hint="eastAsia"/>
                <w:color w:val="000000" w:themeColor="text1"/>
                <w:sz w:val="24"/>
                <w:szCs w:val="24"/>
                <w:highlight w:val="none"/>
                <w14:textFill>
                  <w14:solidFill>
                    <w14:schemeClr w14:val="tx1"/>
                  </w14:solidFill>
                </w14:textFill>
              </w:rPr>
            </w:pPr>
          </w:p>
          <w:p w14:paraId="63420A1F">
            <w:pPr>
              <w:pStyle w:val="37"/>
              <w:rPr>
                <w:rFonts w:hint="eastAsia"/>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1.</w:t>
            </w:r>
            <w:r>
              <w:rPr>
                <w:rFonts w:hint="eastAsia"/>
                <w:color w:val="000000" w:themeColor="text1"/>
                <w:sz w:val="24"/>
                <w:szCs w:val="21"/>
                <w:highlight w:val="none"/>
                <w:lang w:val="en-US" w:eastAsia="zh-CN"/>
                <w14:textFill>
                  <w14:solidFill>
                    <w14:schemeClr w14:val="tx1"/>
                  </w14:solidFill>
                </w14:textFill>
              </w:rPr>
              <w:t>7</w:t>
            </w:r>
            <w:r>
              <w:rPr>
                <w:rFonts w:hint="eastAsia" w:ascii="黑体" w:hAnsi="黑体"/>
                <w:color w:val="000000" w:themeColor="text1"/>
                <w:sz w:val="24"/>
                <w:szCs w:val="21"/>
                <w:highlight w:val="none"/>
                <w14:textFill>
                  <w14:solidFill>
                    <w14:schemeClr w14:val="tx1"/>
                  </w14:solidFill>
                </w14:textFill>
              </w:rPr>
              <w:t>与</w:t>
            </w:r>
            <w:r>
              <w:rPr>
                <w:rFonts w:hint="eastAsia" w:ascii="黑体" w:hAnsi="黑体"/>
                <w:color w:val="000000" w:themeColor="text1"/>
                <w:sz w:val="24"/>
                <w:szCs w:val="21"/>
                <w:highlight w:val="none"/>
                <w:lang w:val="en-US" w:eastAsia="zh-CN"/>
                <w14:textFill>
                  <w14:solidFill>
                    <w14:schemeClr w14:val="tx1"/>
                  </w14:solidFill>
                </w14:textFill>
              </w:rPr>
              <w:t>挥发性有机物污染防治相关政策的</w:t>
            </w:r>
            <w:r>
              <w:rPr>
                <w:rFonts w:hint="eastAsia"/>
                <w:color w:val="000000" w:themeColor="text1"/>
                <w:sz w:val="24"/>
                <w:szCs w:val="21"/>
                <w:highlight w:val="none"/>
                <w14:textFill>
                  <w14:solidFill>
                    <w14:schemeClr w14:val="tx1"/>
                  </w14:solidFill>
                </w14:textFill>
              </w:rPr>
              <w:t>符合性分析</w:t>
            </w:r>
          </w:p>
          <w:p w14:paraId="7FB6095D">
            <w:pPr>
              <w:pStyle w:val="37"/>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1.7.1与《福建省重点行业挥发性有机物污染防治工作方案》(闽环保大气〔2017〕6号)的符合性分析</w:t>
            </w:r>
          </w:p>
          <w:p w14:paraId="3686707B">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7692586B">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严格环境准入：进一步提高行业准入门槛，严格控制新增污染物排放量。严格限制石化、化工、包装印刷、工业涂装等高VOCs排放建设项目。新改扩建项目要使用低VOCs含量原辅材料，采取密闭措施，加强废气收集，配套安装高效治理设施，减少污染排放。淘汰国家及地方明令禁止的落后工艺和设备。</w:t>
            </w:r>
          </w:p>
          <w:p w14:paraId="24AE4E53">
            <w:pPr>
              <w:pStyle w:val="91"/>
              <w:ind w:firstLine="420"/>
              <w:rPr>
                <w:rFonts w:hint="default"/>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3BE623C4">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本项目为车载塑料袋生产项目，不属于石化、化工、包装印刷、工业涂装等高VOCs排放的建设项目；项目有机废气经“集气罩收集+二级活性炭吸附”处理后排放，符合文件要求。</w:t>
            </w:r>
          </w:p>
          <w:p w14:paraId="13E76625">
            <w:pPr>
              <w:pStyle w:val="37"/>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1.7.2与《福建省重点行业挥发性有机物排放控制要求(试行)的通知》(闽环保大气〔2017〕9号)的符合性分析</w:t>
            </w:r>
          </w:p>
          <w:p w14:paraId="13044578">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76E4EA4C">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产生有机废气的生产工艺和装置均设有收集系统和净化处理装置；所有产生VOCs的生产车间(或生产设施)均进行密闭，无露天和敞开式涂装、流平、干燥作业；不能完全密闭的部位设置软帘阻隔设施，减少废气排放；更换的VOCs吸附剂的废弃物等，产生后马上密闭，存放在不透气的容器内，贮存、转移期间保持密闭。</w:t>
            </w:r>
          </w:p>
          <w:p w14:paraId="4C69F0FE">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23B74CA4">
            <w:pPr>
              <w:pStyle w:val="91"/>
              <w:ind w:firstLine="420"/>
              <w:rPr>
                <w:rFonts w:hint="default"/>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本项目为车载塑料袋生产项目，项目有机废气经“集气罩收集+二级活性炭吸附”处理后排放，符合文件要求。</w:t>
            </w:r>
          </w:p>
          <w:p w14:paraId="22D1C138">
            <w:pPr>
              <w:pStyle w:val="37"/>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1.7.3与《福建省臭氧污染防治工作方案》（闽环保大气〔2018〕8号）的符合性分析</w:t>
            </w:r>
          </w:p>
          <w:p w14:paraId="285868D0">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0A4DEAB4">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工业源治理：加强对重点行业的监管，推广低VOCs含量的原辅材料使用，提升末端治理水平。</w:t>
            </w:r>
          </w:p>
          <w:p w14:paraId="78AD25AF">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0DBB51F7">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本项目为车载塑料袋生产项目，项目使用的原辅材料属低VOCs含量材料，有机废气经“集气罩收集+二级活性炭吸附”处理后排放，符合文件要求。</w:t>
            </w:r>
          </w:p>
          <w:p w14:paraId="53B61A6D">
            <w:pPr>
              <w:pStyle w:val="37"/>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1.7.4与《福建省2020年挥发性有机物治理攻坚实施方案》的通知（闽环保大气〔2020〕6号）的符合性分析</w:t>
            </w:r>
          </w:p>
          <w:p w14:paraId="5298D3C0">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1C0C0919">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大力推进源头替代，有效减少VOCs产生：大力推进低(无)VOCs含量原辅材料替代。聚焦治污设施“三率”，提升综合治理效率：行业排放标准中规定特别排放限值和控制要求的，应按相关规定执行；按照“应收尽收”的原则提高废气收集率；按照“适宜高效”的原则提高治理设施去除率，不得释排放。</w:t>
            </w:r>
          </w:p>
          <w:p w14:paraId="14CBDC0B">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3FE4CA48">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本项目使用的原辅材料属低VOCs含量材料，有机废气经“集气罩收集+二级活性炭吸附”处理后排放，执行《合成树脂工业污染物排放标准》(GB31572-2015)及修改单表5的大气污染物特别排放限值，符合文件要求。</w:t>
            </w:r>
          </w:p>
          <w:p w14:paraId="01C3EEDF">
            <w:pPr>
              <w:pStyle w:val="37"/>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1.7.5与《福建省“十四五”空气质量改善规划》的符合性分析</w:t>
            </w:r>
          </w:p>
          <w:p w14:paraId="0F7E7686">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6CB07EFA">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深化VOCs末端治理。按照“应收尽收、分质收集”原则，将无组织排放转变为有组织排放，进行集中处理，选择适宜高效治理技术，对治理难度大、单一治理工艺难以稳定达标的，要采用多种技术的组合工艺，重点行业末端治理一般不使用等离子、光催化氧化等单级治理技术，全面提升治理设施“三率”，加强运行维护管理，治理设施及生产设备要做到“先启后停”。</w:t>
            </w:r>
          </w:p>
          <w:p w14:paraId="47D96A1E">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62C97B97">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本项目为车载塑料袋生产项目，项目有机废气经“集气罩收集+二级活性炭吸附”处理后排放，符合文件要求。</w:t>
            </w:r>
          </w:p>
          <w:p w14:paraId="2CAC4A3A">
            <w:pPr>
              <w:pStyle w:val="91"/>
              <w:ind w:firstLine="420"/>
              <w:rPr>
                <w:rFonts w:hint="eastAsia"/>
                <w:color w:val="000000" w:themeColor="text1"/>
                <w:sz w:val="24"/>
                <w:szCs w:val="21"/>
                <w:highlight w:val="none"/>
                <w:lang w:val="en-US" w:eastAsia="zh-CN"/>
                <w14:textFill>
                  <w14:solidFill>
                    <w14:schemeClr w14:val="tx1"/>
                  </w14:solidFill>
                </w14:textFill>
              </w:rPr>
            </w:pPr>
          </w:p>
          <w:p w14:paraId="724B4E72">
            <w:pPr>
              <w:pStyle w:val="37"/>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1.7.6与《福建省空气质量持续改善实施方案》(闽政文〔2024〕361号)的符合性分析</w:t>
            </w:r>
          </w:p>
          <w:p w14:paraId="1F026477">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6A1A392B">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优化含VOCs原辅材料和产品结构 ：严格控制生产和使用高VOCs含量涂料、油墨、胶粘剂、清洗剂等建设项目。加大工业涂装、包装印刷和电子行业低（无）VOCs含量原辅材料替代力度。鼓励制鞋行业推广使用无溶剂聚氨酯热熔胶、水性聚氨酯等低（无）VOCs含量的胶粘剂。</w:t>
            </w:r>
          </w:p>
          <w:p w14:paraId="40F302B7">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推动绿色环保产业健康发展：在低（无）VOCs含量原辅材料生产和使用、VOCs污染治理、超低排放、环境和大气成分监测等领域支持培育一批龙头企业。</w:t>
            </w:r>
          </w:p>
          <w:p w14:paraId="56F462BA">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4DB53C99">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本项目为车载塑料袋生产项目，不属于涂料、油墨、胶粘剂、清洗剂等建设项目；项目有机废气经“集气罩收集+二级活性炭吸附”处理后排放，符合文件要求。</w:t>
            </w:r>
          </w:p>
          <w:p w14:paraId="245FD469">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1.7.7与《福州市挥发性有机物污染整治工作方案》的符合性分析</w:t>
            </w:r>
          </w:p>
          <w:p w14:paraId="2EC9ECA4">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03C67835">
            <w:pPr>
              <w:pStyle w:val="91"/>
              <w:ind w:firstLine="420"/>
              <w:rPr>
                <w:rFonts w:hint="default"/>
                <w:color w:val="000000" w:themeColor="text1"/>
                <w:sz w:val="24"/>
                <w:szCs w:val="21"/>
                <w:highlight w:val="none"/>
                <w:lang w:val="en-US" w:eastAsia="zh-CN"/>
                <w14:textFill>
                  <w14:solidFill>
                    <w14:schemeClr w14:val="tx1"/>
                  </w14:solidFill>
                </w14:textFill>
              </w:rPr>
            </w:pPr>
            <w:r>
              <w:rPr>
                <w:rFonts w:hint="default"/>
                <w:color w:val="000000" w:themeColor="text1"/>
                <w:sz w:val="24"/>
                <w:szCs w:val="21"/>
                <w:highlight w:val="none"/>
                <w:lang w:val="en-US" w:eastAsia="zh-CN"/>
                <w14:textFill>
                  <w14:solidFill>
                    <w14:schemeClr w14:val="tx1"/>
                  </w14:solidFill>
                </w14:textFill>
              </w:rPr>
              <w:t>严格VOCs项目环境准入提高行业准入门槛，鼓励支持企业通过技改减少挥发性有机物排放，严格控制新增污染物排放量，对挥发性有机物新增排放量实行现役源2倍削减量替代。</w:t>
            </w:r>
          </w:p>
          <w:p w14:paraId="3C864023">
            <w:pPr>
              <w:pStyle w:val="91"/>
              <w:ind w:firstLine="420"/>
              <w:rPr>
                <w:rFonts w:hint="default"/>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6D9C9162">
            <w:pPr>
              <w:pStyle w:val="91"/>
              <w:ind w:firstLine="480" w:firstLineChars="20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14:textFill>
                  <w14:solidFill>
                    <w14:schemeClr w14:val="tx1"/>
                  </w14:solidFill>
                </w14:textFill>
              </w:rPr>
              <w:t>本项目主要从事</w:t>
            </w:r>
            <w:r>
              <w:rPr>
                <w:rFonts w:hint="eastAsia"/>
                <w:color w:val="000000" w:themeColor="text1"/>
                <w:sz w:val="24"/>
                <w:szCs w:val="21"/>
                <w:highlight w:val="none"/>
                <w:lang w:val="en-US" w:eastAsia="zh-CN"/>
                <w14:textFill>
                  <w14:solidFill>
                    <w14:schemeClr w14:val="tx1"/>
                  </w14:solidFill>
                </w14:textFill>
              </w:rPr>
              <w:t>车载塑料袋生产</w:t>
            </w:r>
            <w:r>
              <w:rPr>
                <w:rFonts w:hint="eastAsia"/>
                <w:color w:val="000000" w:themeColor="text1"/>
                <w:sz w:val="24"/>
                <w:szCs w:val="21"/>
                <w:highlight w:val="none"/>
                <w14:textFill>
                  <w14:solidFill>
                    <w14:schemeClr w14:val="tx1"/>
                  </w14:solidFill>
                </w14:textFill>
              </w:rPr>
              <w:t>，本评价参考《排污许可证申请与核发技术规范 橡胶和塑料制品工业》(HJ1122-2020)对本项目排放VOCs的工序</w:t>
            </w:r>
            <w:r>
              <w:rPr>
                <w:rFonts w:hint="eastAsia"/>
                <w:color w:val="000000" w:themeColor="text1"/>
                <w:sz w:val="24"/>
                <w:szCs w:val="21"/>
                <w:highlight w:val="none"/>
                <w:lang w:eastAsia="zh-CN"/>
                <w14:textFill>
                  <w14:solidFill>
                    <w14:schemeClr w14:val="tx1"/>
                  </w14:solidFill>
                </w14:textFill>
              </w:rPr>
              <w:t>采取有效</w:t>
            </w:r>
            <w:r>
              <w:rPr>
                <w:rFonts w:hint="eastAsia"/>
                <w:color w:val="000000" w:themeColor="text1"/>
                <w:sz w:val="24"/>
                <w:szCs w:val="21"/>
                <w:highlight w:val="none"/>
                <w14:textFill>
                  <w14:solidFill>
                    <w14:schemeClr w14:val="tx1"/>
                  </w14:solidFill>
                </w14:textFill>
              </w:rPr>
              <w:t>的密闭措施和净化处理，建设单位将严格按照文件规定要求对 VOCs排放实行倍量替代</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符合文件要求。</w:t>
            </w:r>
          </w:p>
          <w:p w14:paraId="72BC7866">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1.7.8与《福州市生态环境局关于开展福州市重点行业挥发性有机物综合治理工作(VOCs2.0)的通知》的符合性分析</w:t>
            </w:r>
          </w:p>
          <w:p w14:paraId="15F7355B">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010E8694">
            <w:pPr>
              <w:pStyle w:val="91"/>
              <w:ind w:firstLine="480" w:firstLineChars="200"/>
              <w:rPr>
                <w:rFonts w:hint="eastAsia"/>
                <w:color w:val="000000" w:themeColor="text1"/>
                <w:sz w:val="24"/>
                <w:szCs w:val="21"/>
                <w:highlight w:val="none"/>
                <w:lang w:eastAsia="zh-CN"/>
                <w14:textFill>
                  <w14:solidFill>
                    <w14:schemeClr w14:val="tx1"/>
                  </w14:solidFill>
                </w14:textFill>
              </w:rPr>
            </w:pPr>
            <w:r>
              <w:rPr>
                <w:rFonts w:hint="eastAsia"/>
                <w:color w:val="000000" w:themeColor="text1"/>
                <w:sz w:val="24"/>
                <w:szCs w:val="21"/>
                <w:highlight w:val="none"/>
                <w14:textFill>
                  <w14:solidFill>
                    <w14:schemeClr w14:val="tx1"/>
                  </w14:solidFill>
                </w14:textFill>
              </w:rPr>
              <w:t>严格审批，加强管控</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14:textFill>
                  <w14:solidFill>
                    <w14:schemeClr w14:val="tx1"/>
                  </w14:solidFill>
                </w14:textFill>
              </w:rPr>
              <w:t>严格涉挥发性有机物建设项目环境影响评价审批。新、改、扩建排放挥发性有机物的建设项目实行倍量替代。鼓励使用低(无)挥发性有机物含量的原辅材料</w:t>
            </w:r>
            <w:r>
              <w:rPr>
                <w:rFonts w:hint="eastAsia"/>
                <w:color w:val="000000" w:themeColor="text1"/>
                <w:sz w:val="24"/>
                <w:szCs w:val="21"/>
                <w:highlight w:val="none"/>
                <w:lang w:eastAsia="zh-CN"/>
                <w14:textFill>
                  <w14:solidFill>
                    <w14:schemeClr w14:val="tx1"/>
                  </w14:solidFill>
                </w14:textFill>
              </w:rPr>
              <w:t>。</w:t>
            </w:r>
          </w:p>
          <w:p w14:paraId="6173FEA6">
            <w:pPr>
              <w:pStyle w:val="91"/>
              <w:ind w:firstLine="420"/>
              <w:rPr>
                <w:rFonts w:hint="default"/>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0F3A2383">
            <w:pPr>
              <w:pStyle w:val="91"/>
              <w:ind w:firstLine="480" w:firstLineChars="20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w:t>
            </w:r>
            <w:r>
              <w:rPr>
                <w:rFonts w:hint="eastAsia"/>
                <w:color w:val="000000" w:themeColor="text1"/>
                <w:sz w:val="24"/>
                <w:szCs w:val="21"/>
                <w:highlight w:val="none"/>
                <w:lang w:eastAsia="zh-CN"/>
                <w14:textFill>
                  <w14:solidFill>
                    <w14:schemeClr w14:val="tx1"/>
                  </w14:solidFill>
                </w14:textFill>
              </w:rPr>
              <w:t>项目挥发性有机物的排放实行倍量替代，项目拟使用的原料为塑料</w:t>
            </w:r>
            <w:r>
              <w:rPr>
                <w:rFonts w:hint="eastAsia"/>
                <w:color w:val="000000" w:themeColor="text1"/>
                <w:sz w:val="24"/>
                <w:szCs w:val="21"/>
                <w:highlight w:val="none"/>
                <w:lang w:val="en-US" w:eastAsia="zh-CN"/>
                <w14:textFill>
                  <w14:solidFill>
                    <w14:schemeClr w14:val="tx1"/>
                  </w14:solidFill>
                </w14:textFill>
              </w:rPr>
              <w:t>米</w:t>
            </w:r>
            <w:r>
              <w:rPr>
                <w:rFonts w:hint="eastAsia"/>
                <w:color w:val="000000" w:themeColor="text1"/>
                <w:sz w:val="24"/>
                <w:szCs w:val="21"/>
                <w:highlight w:val="none"/>
                <w:lang w:eastAsia="zh-CN"/>
                <w14:textFill>
                  <w14:solidFill>
                    <w14:schemeClr w14:val="tx1"/>
                  </w14:solidFill>
                </w14:textFill>
              </w:rPr>
              <w:t>，为低VOCs原料，</w:t>
            </w:r>
            <w:r>
              <w:rPr>
                <w:rFonts w:hint="eastAsia"/>
                <w:color w:val="000000" w:themeColor="text1"/>
                <w:sz w:val="24"/>
                <w:szCs w:val="21"/>
                <w:highlight w:val="none"/>
                <w:lang w:val="en-US" w:eastAsia="zh-CN"/>
                <w14:textFill>
                  <w14:solidFill>
                    <w14:schemeClr w14:val="tx1"/>
                  </w14:solidFill>
                </w14:textFill>
              </w:rPr>
              <w:t>符合文件要求。</w:t>
            </w:r>
          </w:p>
          <w:p w14:paraId="56C632A5">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1.7.9与《挥发性有机物（VOCs）污染防治技术政策》的符合性分析</w:t>
            </w:r>
          </w:p>
          <w:p w14:paraId="2F239717">
            <w:pPr>
              <w:pStyle w:val="91"/>
              <w:ind w:firstLine="42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1</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相关内容</w:t>
            </w:r>
          </w:p>
          <w:p w14:paraId="3989B608">
            <w:pPr>
              <w:pStyle w:val="91"/>
              <w:ind w:firstLine="480" w:firstLineChars="20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含VOCs产品的使用过程中，应采取废气收集措施，提高废气收集效率，减少废气的无组织排放与逸散，并对收集后的废气进行回收或处理后达标排放。</w:t>
            </w:r>
          </w:p>
          <w:p w14:paraId="37EF0841">
            <w:pPr>
              <w:pStyle w:val="91"/>
              <w:ind w:firstLine="420"/>
              <w:rPr>
                <w:rFonts w:hint="default"/>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（2）符合性分析</w:t>
            </w:r>
          </w:p>
          <w:p w14:paraId="520F9A0E">
            <w:pPr>
              <w:pStyle w:val="91"/>
              <w:ind w:firstLine="480" w:firstLineChars="200"/>
              <w:rPr>
                <w:rFonts w:hint="default"/>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w:t>
            </w:r>
            <w:r>
              <w:rPr>
                <w:rFonts w:hint="eastAsia"/>
                <w:color w:val="000000" w:themeColor="text1"/>
                <w:sz w:val="24"/>
                <w:szCs w:val="21"/>
                <w:highlight w:val="none"/>
                <w:lang w:eastAsia="zh-CN"/>
                <w14:textFill>
                  <w14:solidFill>
                    <w14:schemeClr w14:val="tx1"/>
                  </w14:solidFill>
                </w14:textFill>
              </w:rPr>
              <w:t>项目</w:t>
            </w:r>
            <w:r>
              <w:rPr>
                <w:rFonts w:hint="eastAsia"/>
                <w:color w:val="000000" w:themeColor="text1"/>
                <w:sz w:val="24"/>
                <w:szCs w:val="21"/>
                <w:highlight w:val="none"/>
                <w:lang w:val="en-US" w:eastAsia="zh-CN"/>
                <w14:textFill>
                  <w14:solidFill>
                    <w14:schemeClr w14:val="tx1"/>
                  </w14:solidFill>
                </w14:textFill>
              </w:rPr>
              <w:t>含VOCs产品的使用过程中，采取了废气收集措施，提高了废气收集效率，减少了废气的无组织排放与逸散，并对收集后的废气进行了处理后达标排放。符合文件要求。</w:t>
            </w:r>
          </w:p>
          <w:p w14:paraId="4C5B94F1">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1.8与《市场准入负面清单》(2025年版)的符合性分析</w:t>
            </w:r>
          </w:p>
          <w:p w14:paraId="711C067F">
            <w:pPr>
              <w:pStyle w:val="91"/>
              <w:ind w:firstLine="480" w:firstLineChars="20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14:textFill>
                  <w14:solidFill>
                    <w14:schemeClr w14:val="tx1"/>
                  </w14:solidFill>
                </w14:textFill>
              </w:rPr>
              <w:t>本项目</w:t>
            </w:r>
            <w:r>
              <w:rPr>
                <w:rFonts w:hint="eastAsia"/>
                <w:color w:val="000000" w:themeColor="text1"/>
                <w:sz w:val="24"/>
                <w:szCs w:val="21"/>
                <w:highlight w:val="none"/>
                <w:lang w:val="en-US" w:eastAsia="zh-CN"/>
                <w14:textFill>
                  <w14:solidFill>
                    <w14:schemeClr w14:val="tx1"/>
                  </w14:solidFill>
                </w14:textFill>
              </w:rPr>
              <w:t>为车载塑料袋生产项目</w:t>
            </w:r>
            <w:r>
              <w:rPr>
                <w:rFonts w:hint="eastAsia"/>
                <w:color w:val="000000" w:themeColor="text1"/>
                <w:sz w:val="24"/>
                <w:szCs w:val="21"/>
                <w:highlight w:val="none"/>
                <w14:textFill>
                  <w14:solidFill>
                    <w14:schemeClr w14:val="tx1"/>
                  </w14:solidFill>
                </w14:textFill>
              </w:rPr>
              <w:t>，属于“塑料丝、绳及编织品制造”行业（C2923）。经查阅《市场准入负面清单》(2025年版)，本项目不属于禁止或限制准入类行业，且已通过闽侯县发改局备案（闽发改备〔2025〕A080146号），符合市场准入要求</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因此符合《市场准入负面清单》(2025年版)文件要求。</w:t>
            </w:r>
          </w:p>
          <w:p w14:paraId="48E19E20">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1.9与《“十四五”节能减排综合工作方案》（国发〔2021〕33号）的符合性分析</w:t>
            </w:r>
          </w:p>
          <w:p w14:paraId="7A56E45D">
            <w:pPr>
              <w:pStyle w:val="91"/>
              <w:ind w:firstLine="480" w:firstLineChars="20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采用电能作为能源，无燃煤锅炉，符合“推动能源清洁低碳化”要求；项目VOCs排放实行区域内倍量替代，符合“挥发性有机物减排”要求。因此本项目符合《“十四五”节能减排综合工作方案》（国发〔2021〕33号）文件要求。</w:t>
            </w:r>
          </w:p>
          <w:p w14:paraId="499FDC86">
            <w:pPr>
              <w:pStyle w:val="91"/>
              <w:ind w:firstLine="480" w:firstLineChars="200"/>
              <w:rPr>
                <w:rFonts w:hint="eastAsia"/>
                <w:color w:val="000000" w:themeColor="text1"/>
                <w:sz w:val="24"/>
                <w:szCs w:val="21"/>
                <w:highlight w:val="none"/>
                <w:lang w:val="en-US" w:eastAsia="zh-CN"/>
                <w14:textFill>
                  <w14:solidFill>
                    <w14:schemeClr w14:val="tx1"/>
                  </w14:solidFill>
                </w14:textFill>
              </w:rPr>
            </w:pPr>
          </w:p>
          <w:p w14:paraId="1B09906F">
            <w:pPr>
              <w:pStyle w:val="91"/>
              <w:ind w:firstLine="480" w:firstLineChars="200"/>
              <w:rPr>
                <w:rFonts w:hint="eastAsia"/>
                <w:color w:val="000000" w:themeColor="text1"/>
                <w:sz w:val="24"/>
                <w:szCs w:val="21"/>
                <w:highlight w:val="none"/>
                <w:lang w:val="en-US" w:eastAsia="zh-CN"/>
                <w14:textFill>
                  <w14:solidFill>
                    <w14:schemeClr w14:val="tx1"/>
                  </w14:solidFill>
                </w14:textFill>
              </w:rPr>
            </w:pPr>
          </w:p>
          <w:p w14:paraId="1098BB2A">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1.10与《国家污染防治技术指导目录》（环办科财函〔2025〕197号）、《国家先进污染防治技术目录》的符合性分析</w:t>
            </w:r>
          </w:p>
          <w:p w14:paraId="15D7E4F4">
            <w:pPr>
              <w:pStyle w:val="91"/>
              <w:ind w:firstLine="480" w:firstLineChars="200"/>
              <w:rPr>
                <w:rFonts w:hint="default"/>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采用的“集气罩+二级活性炭吸附”技术属于《国家污染防治技术指导目录》推荐的可行技术，不属于低效类技术；项目废气治理技术（活性炭吸附）与《目录》中“有机废气吸附净化技术”一致，技术成熟、运行稳定。因此本项目符合《国家污染防治技术指导目录》（环办科财函〔2025〕197号）、《国家先进污染防治技术目录》的文件要求。</w:t>
            </w:r>
          </w:p>
          <w:p w14:paraId="52D38B99">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1.11与建设用地控制相关文件的符合性分析</w:t>
            </w:r>
          </w:p>
          <w:p w14:paraId="0BFEC0A2">
            <w:pPr>
              <w:pStyle w:val="91"/>
              <w:ind w:firstLine="480" w:firstLineChars="200"/>
              <w:rPr>
                <w:rFonts w:hint="eastAsia"/>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w:t>
            </w:r>
            <w:r>
              <w:rPr>
                <w:rFonts w:hint="eastAsia"/>
                <w:bCs/>
                <w:color w:val="000000" w:themeColor="text1"/>
                <w:sz w:val="24"/>
                <w:szCs w:val="32"/>
                <w:highlight w:val="none"/>
                <w14:textFill>
                  <w14:solidFill>
                    <w14:schemeClr w14:val="tx1"/>
                  </w14:solidFill>
                </w14:textFill>
              </w:rPr>
              <w:t>租用</w:t>
            </w:r>
            <w:r>
              <w:rPr>
                <w:rFonts w:hint="eastAsia"/>
                <w:bCs/>
                <w:color w:val="000000" w:themeColor="text1"/>
                <w:sz w:val="24"/>
                <w:szCs w:val="32"/>
                <w:highlight w:val="none"/>
                <w:lang w:val="en-US" w:eastAsia="zh-CN"/>
                <w14:textFill>
                  <w14:solidFill>
                    <w14:schemeClr w14:val="tx1"/>
                  </w14:solidFill>
                </w14:textFill>
              </w:rPr>
              <w:t>福建西诚电子有限公司</w:t>
            </w:r>
            <w:r>
              <w:rPr>
                <w:rFonts w:hint="eastAsia"/>
                <w:bCs/>
                <w:color w:val="000000" w:themeColor="text1"/>
                <w:sz w:val="24"/>
                <w:szCs w:val="32"/>
                <w:highlight w:val="none"/>
                <w14:textFill>
                  <w14:solidFill>
                    <w14:schemeClr w14:val="tx1"/>
                  </w14:solidFill>
                </w14:textFill>
              </w:rPr>
              <w:t>已建厂房，不新增用地</w:t>
            </w:r>
            <w:r>
              <w:rPr>
                <w:rFonts w:hint="eastAsia"/>
                <w:color w:val="000000" w:themeColor="text1"/>
                <w:sz w:val="24"/>
                <w:szCs w:val="21"/>
                <w:highlight w:val="none"/>
                <w:lang w:val="en-US" w:eastAsia="zh-CN"/>
                <w14:textFill>
                  <w14:solidFill>
                    <w14:schemeClr w14:val="tx1"/>
                  </w14:solidFill>
                </w14:textFill>
              </w:rPr>
              <w:t>，容积率、建筑密度等指标符合福建省工业用地控制要求。因此本项目符合《自然资源要素支撑产业高质量发展指导目录（2024年本）》《工业项目建设用地控制指标》（自然资发〔2023〕72号）、《福建省工业项目建设用地控制指标》（闽自然资发〔2024〕31号）文件要求。</w:t>
            </w:r>
          </w:p>
          <w:p w14:paraId="497A99E5">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1.12与塑料污染治理相关文件的符合性分析</w:t>
            </w:r>
          </w:p>
          <w:p w14:paraId="7723CA4C">
            <w:pPr>
              <w:pStyle w:val="91"/>
              <w:ind w:firstLine="480" w:firstLineChars="200"/>
              <w:rPr>
                <w:rFonts w:hint="eastAsia"/>
                <w:color w:val="000000" w:themeColor="text1"/>
                <w:sz w:val="24"/>
                <w:szCs w:val="21"/>
                <w:highlight w:val="none"/>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本项目产品为车载塑料垃圾袋和保鲜袋，不属于一次性不可降解塑料制品禁限范围； 原料为聚乙烯塑料米，未使用再生塑料，符合产品质量和卫生标准。因此本项目符合《关于扎实推进塑料污染治理工作的通知》（发改环资〔2020〕1146号）、《国家发展改革委 生态环境部关于印发“十四五”塑料污染治理行动方案的通知》（发改环资〔2021〕1298号）、《国家发展改革委 生态环境部关于进一步加强塑料污染治理的意见》（发改环资〔2020〕80号）和福建省发展和改革委员会 福建省生态环境厅关于印发《福建省关于进一步加强塑料污染治理实施方案》的通知（闽发改生态〔2020〕545号）和福建省发展和改革委员会 福建省生态环境厅关于印发《福建省“十四五”塑料污染治理行动方案》的通知（闽发改规〔2022〕2号）等文件要求。</w:t>
            </w:r>
          </w:p>
          <w:p w14:paraId="49FA0B80">
            <w:pPr>
              <w:pStyle w:val="91"/>
              <w:ind w:firstLine="480" w:firstLineChars="200"/>
              <w:rPr>
                <w:rFonts w:hint="eastAsia"/>
                <w:color w:val="000000" w:themeColor="text1"/>
                <w:sz w:val="24"/>
                <w:szCs w:val="21"/>
                <w:highlight w:val="none"/>
                <w14:textFill>
                  <w14:solidFill>
                    <w14:schemeClr w14:val="tx1"/>
                  </w14:solidFill>
                </w14:textFill>
              </w:rPr>
            </w:pPr>
          </w:p>
          <w:p w14:paraId="388C4FB9">
            <w:pPr>
              <w:pStyle w:val="91"/>
              <w:ind w:firstLine="480" w:firstLineChars="200"/>
              <w:rPr>
                <w:rFonts w:hint="eastAsia"/>
                <w:color w:val="000000" w:themeColor="text1"/>
                <w:sz w:val="24"/>
                <w:szCs w:val="21"/>
                <w:highlight w:val="none"/>
                <w14:textFill>
                  <w14:solidFill>
                    <w14:schemeClr w14:val="tx1"/>
                  </w14:solidFill>
                </w14:textFill>
              </w:rPr>
            </w:pPr>
          </w:p>
          <w:p w14:paraId="3034DD3A">
            <w:pPr>
              <w:pStyle w:val="91"/>
              <w:ind w:firstLine="480" w:firstLineChars="200"/>
              <w:rPr>
                <w:rFonts w:hint="eastAsia"/>
                <w:color w:val="000000" w:themeColor="text1"/>
                <w:sz w:val="24"/>
                <w:szCs w:val="21"/>
                <w:highlight w:val="none"/>
                <w14:textFill>
                  <w14:solidFill>
                    <w14:schemeClr w14:val="tx1"/>
                  </w14:solidFill>
                </w14:textFill>
              </w:rPr>
            </w:pPr>
          </w:p>
          <w:p w14:paraId="1B2762EC">
            <w:pPr>
              <w:pStyle w:val="91"/>
              <w:ind w:firstLine="480" w:firstLineChars="200"/>
              <w:rPr>
                <w:rFonts w:hint="eastAsia"/>
                <w:color w:val="000000" w:themeColor="text1"/>
                <w:sz w:val="24"/>
                <w:szCs w:val="21"/>
                <w:highlight w:val="none"/>
                <w14:textFill>
                  <w14:solidFill>
                    <w14:schemeClr w14:val="tx1"/>
                  </w14:solidFill>
                </w14:textFill>
              </w:rPr>
            </w:pPr>
          </w:p>
          <w:p w14:paraId="5BD8BF54">
            <w:pPr>
              <w:pStyle w:val="91"/>
              <w:ind w:firstLine="480" w:firstLineChars="200"/>
              <w:rPr>
                <w:rFonts w:hint="eastAsia"/>
                <w:color w:val="000000" w:themeColor="text1"/>
                <w:sz w:val="24"/>
                <w:szCs w:val="21"/>
                <w:highlight w:val="none"/>
                <w14:textFill>
                  <w14:solidFill>
                    <w14:schemeClr w14:val="tx1"/>
                  </w14:solidFill>
                </w14:textFill>
              </w:rPr>
            </w:pPr>
          </w:p>
        </w:tc>
      </w:tr>
    </w:tbl>
    <w:p w14:paraId="26901827">
      <w:pPr>
        <w:rPr>
          <w:rFonts w:hint="eastAsia"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br w:type="page"/>
      </w:r>
    </w:p>
    <w:p w14:paraId="180FBB2B">
      <w:pPr>
        <w:pStyle w:val="26"/>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7" w:name="_Toc31585"/>
      <w:r>
        <w:rPr>
          <w:rFonts w:hint="eastAsia" w:ascii="黑体" w:hAnsi="黑体" w:eastAsia="黑体"/>
          <w:snapToGrid w:val="0"/>
          <w:color w:val="000000" w:themeColor="text1"/>
          <w:sz w:val="30"/>
          <w:szCs w:val="30"/>
          <w:highlight w:val="none"/>
          <w14:textFill>
            <w14:solidFill>
              <w14:schemeClr w14:val="tx1"/>
            </w14:solidFill>
          </w14:textFill>
        </w:rPr>
        <w:t>二、建设项目工程分析</w:t>
      </w:r>
      <w:bookmarkEnd w:id="7"/>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8498"/>
      </w:tblGrid>
      <w:tr w14:paraId="2BA145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310" w:type="pct"/>
            <w:vAlign w:val="center"/>
          </w:tcPr>
          <w:p w14:paraId="09F8E2CF">
            <w:pPr>
              <w:pStyle w:val="26"/>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建设内容</w:t>
            </w:r>
          </w:p>
        </w:tc>
        <w:tc>
          <w:tcPr>
            <w:tcW w:w="4690" w:type="pct"/>
          </w:tcPr>
          <w:p w14:paraId="4F24ECDB">
            <w:pPr>
              <w:pStyle w:val="37"/>
              <w:rPr>
                <w:b w:val="0"/>
                <w:color w:val="000000" w:themeColor="text1"/>
                <w:sz w:val="24"/>
                <w:szCs w:val="21"/>
                <w:highlight w:val="none"/>
                <w14:textFill>
                  <w14:solidFill>
                    <w14:schemeClr w14:val="tx1"/>
                  </w14:solidFill>
                </w14:textFill>
              </w:rPr>
            </w:pPr>
            <w:r>
              <w:rPr>
                <w:b w:val="0"/>
                <w:color w:val="000000" w:themeColor="text1"/>
                <w:sz w:val="24"/>
                <w:szCs w:val="21"/>
                <w:highlight w:val="none"/>
                <w14:textFill>
                  <w14:solidFill>
                    <w14:schemeClr w14:val="tx1"/>
                  </w14:solidFill>
                </w14:textFill>
              </w:rPr>
              <w:t>2.1 项目情况</w:t>
            </w:r>
          </w:p>
          <w:p w14:paraId="569F691F">
            <w:pPr>
              <w:spacing w:line="360" w:lineRule="auto"/>
              <w:ind w:firstLine="480" w:firstLineChars="200"/>
              <w:rPr>
                <w:bCs/>
                <w:color w:val="000000" w:themeColor="text1"/>
                <w:sz w:val="24"/>
                <w:szCs w:val="24"/>
                <w:highlight w:val="none"/>
                <w14:textFill>
                  <w14:solidFill>
                    <w14:schemeClr w14:val="tx1"/>
                  </w14:solidFill>
                </w14:textFill>
              </w:rPr>
            </w:pPr>
            <w:r>
              <w:rPr>
                <w:rFonts w:hint="eastAsia"/>
                <w:bCs/>
                <w:color w:val="000000" w:themeColor="text1"/>
                <w:sz w:val="24"/>
                <w:szCs w:val="24"/>
                <w:highlight w:val="none"/>
                <w14:textFill>
                  <w14:solidFill>
                    <w14:schemeClr w14:val="tx1"/>
                  </w14:solidFill>
                </w14:textFill>
              </w:rPr>
              <w:t>1、项目由来</w:t>
            </w:r>
          </w:p>
          <w:p w14:paraId="5D73517E">
            <w:pPr>
              <w:spacing w:line="360" w:lineRule="auto"/>
              <w:ind w:firstLine="480" w:firstLineChars="200"/>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14:textFill>
                  <w14:solidFill>
                    <w14:schemeClr w14:val="tx1"/>
                  </w14:solidFill>
                </w14:textFill>
              </w:rPr>
              <w:t>福州杰仕日用品有限公司闽侯分公司</w:t>
            </w:r>
            <w:r>
              <w:rPr>
                <w:rFonts w:hint="eastAsia"/>
                <w:color w:val="000000" w:themeColor="text1"/>
                <w:sz w:val="24"/>
                <w:szCs w:val="32"/>
                <w:highlight w:val="none"/>
                <w:lang w:val="en-US" w:eastAsia="zh-CN"/>
                <w14:textFill>
                  <w14:solidFill>
                    <w14:schemeClr w14:val="tx1"/>
                  </w14:solidFill>
                </w14:textFill>
              </w:rPr>
              <w:t>成立于2017年7月，经营范围包括日用化学品、纸塑制品、金属制品、橡胶制品、纺织品、塑料制品、竹木制品的批发、代购代销；保鲜膜、保鲜袋生产等。</w:t>
            </w:r>
          </w:p>
          <w:p w14:paraId="4A17A7DC">
            <w:pPr>
              <w:spacing w:line="360" w:lineRule="auto"/>
              <w:ind w:firstLine="480" w:firstLineChars="200"/>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建设单位拟租用闽侯县祥谦镇辅翼村、卜洲村福建西诚电子工业园第三座</w:t>
            </w:r>
            <w:r>
              <w:rPr>
                <w:rFonts w:hint="eastAsia"/>
                <w:color w:val="000000" w:themeColor="text1"/>
                <w:sz w:val="24"/>
                <w:szCs w:val="32"/>
                <w:highlight w:val="none"/>
                <w:lang w:val="en-US" w:eastAsia="zh-CN"/>
                <w14:textFill>
                  <w14:solidFill>
                    <w14:schemeClr w14:val="tx1"/>
                  </w14:solidFill>
                </w14:textFill>
              </w:rPr>
              <w:t>厂房</w:t>
            </w:r>
            <w:r>
              <w:rPr>
                <w:rFonts w:hint="eastAsia"/>
                <w:color w:val="000000" w:themeColor="text1"/>
                <w:sz w:val="24"/>
                <w:szCs w:val="24"/>
                <w:highlight w:val="none"/>
                <w:lang w:val="en-US" w:eastAsia="zh-CN"/>
                <w14:textFill>
                  <w14:solidFill>
                    <w14:schemeClr w14:val="tx1"/>
                  </w14:solidFill>
                </w14:textFill>
              </w:rPr>
              <w:t>1-3层，从事车载塑料垃圾袋和保鲜袋生产。</w:t>
            </w:r>
          </w:p>
          <w:p w14:paraId="4D619948">
            <w:pPr>
              <w:spacing w:line="360" w:lineRule="auto"/>
              <w:ind w:firstLine="480" w:firstLineChars="200"/>
              <w:rPr>
                <w:color w:val="000000" w:themeColor="text1"/>
                <w:sz w:val="24"/>
                <w:szCs w:val="32"/>
                <w:highlight w:val="none"/>
                <w14:textFill>
                  <w14:solidFill>
                    <w14:schemeClr w14:val="tx1"/>
                  </w14:solidFill>
                </w14:textFill>
              </w:rPr>
            </w:pPr>
            <w:r>
              <w:rPr>
                <w:rFonts w:hint="eastAsia"/>
                <w:color w:val="000000" w:themeColor="text1"/>
                <w:sz w:val="24"/>
                <w:szCs w:val="32"/>
                <w:highlight w:val="none"/>
                <w14:textFill>
                  <w14:solidFill>
                    <w14:schemeClr w14:val="tx1"/>
                  </w14:solidFill>
                </w14:textFill>
              </w:rPr>
              <w:t>根据《建设项目环境保护管理条例》（国令第682号，2017年修订）、《建设项目环境影响评价分类管理名录（2021年版）》（生态环境部令第16号）等有关法律法规的规定，该项目属于《建设项目环境影响评价分类管理名录（2021年版）》中“二十六、橡胶和塑料制品业29</w:t>
            </w:r>
            <w:r>
              <w:rPr>
                <w:rFonts w:hint="eastAsia"/>
                <w:color w:val="000000" w:themeColor="text1"/>
                <w:sz w:val="24"/>
                <w:szCs w:val="32"/>
                <w:highlight w:val="none"/>
                <w:lang w:eastAsia="zh-CN"/>
                <w14:textFill>
                  <w14:solidFill>
                    <w14:schemeClr w14:val="tx1"/>
                  </w14:solidFill>
                </w14:textFill>
              </w:rPr>
              <w:t>”</w:t>
            </w:r>
            <w:r>
              <w:rPr>
                <w:rFonts w:hint="eastAsia"/>
                <w:color w:val="000000" w:themeColor="text1"/>
                <w:sz w:val="24"/>
                <w:szCs w:val="32"/>
                <w:highlight w:val="none"/>
                <w:lang w:val="en-US" w:eastAsia="zh-CN"/>
                <w14:textFill>
                  <w14:solidFill>
                    <w14:schemeClr w14:val="tx1"/>
                  </w14:solidFill>
                </w14:textFill>
              </w:rPr>
              <w:t>-“53塑料制品业292”-“其他(年使用非溶剂型低VOCs含量涂料10吨以下的除外)”，</w:t>
            </w:r>
            <w:r>
              <w:rPr>
                <w:rFonts w:hint="eastAsia"/>
                <w:color w:val="000000" w:themeColor="text1"/>
                <w:sz w:val="24"/>
                <w:szCs w:val="32"/>
                <w:highlight w:val="none"/>
                <w14:textFill>
                  <w14:solidFill>
                    <w14:schemeClr w14:val="tx1"/>
                  </w14:solidFill>
                </w14:textFill>
              </w:rPr>
              <w:t>应编制环境影响报告表，见下表。因此，福州杰仕日用品有限公司闽侯分公司于202</w:t>
            </w:r>
            <w:r>
              <w:rPr>
                <w:color w:val="000000" w:themeColor="text1"/>
                <w:sz w:val="24"/>
                <w:szCs w:val="32"/>
                <w:highlight w:val="none"/>
                <w14:textFill>
                  <w14:solidFill>
                    <w14:schemeClr w14:val="tx1"/>
                  </w14:solidFill>
                </w14:textFill>
              </w:rPr>
              <w:t>5</w:t>
            </w:r>
            <w:r>
              <w:rPr>
                <w:rFonts w:hint="eastAsia"/>
                <w:color w:val="000000" w:themeColor="text1"/>
                <w:sz w:val="24"/>
                <w:szCs w:val="32"/>
                <w:highlight w:val="none"/>
                <w14:textFill>
                  <w14:solidFill>
                    <w14:schemeClr w14:val="tx1"/>
                  </w14:solidFill>
                </w14:textFill>
              </w:rPr>
              <w:t>年</w:t>
            </w:r>
            <w:r>
              <w:rPr>
                <w:rFonts w:hint="eastAsia"/>
                <w:color w:val="000000" w:themeColor="text1"/>
                <w:sz w:val="24"/>
                <w:szCs w:val="32"/>
                <w:highlight w:val="none"/>
                <w:lang w:val="en-US" w:eastAsia="zh-CN"/>
                <w14:textFill>
                  <w14:solidFill>
                    <w14:schemeClr w14:val="tx1"/>
                  </w14:solidFill>
                </w14:textFill>
              </w:rPr>
              <w:t>6</w:t>
            </w:r>
            <w:r>
              <w:rPr>
                <w:rFonts w:hint="eastAsia"/>
                <w:color w:val="000000" w:themeColor="text1"/>
                <w:sz w:val="24"/>
                <w:szCs w:val="32"/>
                <w:highlight w:val="none"/>
                <w14:textFill>
                  <w14:solidFill>
                    <w14:schemeClr w14:val="tx1"/>
                  </w14:solidFill>
                </w14:textFill>
              </w:rPr>
              <w:t>月委托我司编制</w:t>
            </w:r>
            <w:r>
              <w:rPr>
                <w:rFonts w:hint="eastAsia"/>
                <w:color w:val="000000" w:themeColor="text1"/>
                <w:sz w:val="24"/>
                <w:szCs w:val="32"/>
                <w:highlight w:val="none"/>
                <w:lang w:eastAsia="zh-CN"/>
                <w14:textFill>
                  <w14:solidFill>
                    <w14:schemeClr w14:val="tx1"/>
                  </w14:solidFill>
                </w14:textFill>
              </w:rPr>
              <w:t>该</w:t>
            </w:r>
            <w:r>
              <w:rPr>
                <w:rFonts w:hint="eastAsia"/>
                <w:color w:val="000000" w:themeColor="text1"/>
                <w:sz w:val="24"/>
                <w:szCs w:val="32"/>
                <w:highlight w:val="none"/>
                <w14:textFill>
                  <w14:solidFill>
                    <w14:schemeClr w14:val="tx1"/>
                  </w14:solidFill>
                </w14:textFill>
              </w:rPr>
              <w:t>环境影响报告表</w:t>
            </w:r>
            <w:r>
              <w:rPr>
                <w:color w:val="000000" w:themeColor="text1"/>
                <w:sz w:val="24"/>
                <w:szCs w:val="32"/>
                <w:highlight w:val="none"/>
                <w14:textFill>
                  <w14:solidFill>
                    <w14:schemeClr w14:val="tx1"/>
                  </w14:solidFill>
                </w14:textFill>
              </w:rPr>
              <w:t>（委托书见附件</w:t>
            </w:r>
            <w:r>
              <w:rPr>
                <w:rFonts w:hint="eastAsia"/>
                <w:color w:val="000000" w:themeColor="text1"/>
                <w:sz w:val="24"/>
                <w:szCs w:val="32"/>
                <w:highlight w:val="none"/>
                <w:lang w:val="en-US" w:eastAsia="zh-CN"/>
                <w14:textFill>
                  <w14:solidFill>
                    <w14:schemeClr w14:val="tx1"/>
                  </w14:solidFill>
                </w14:textFill>
              </w:rPr>
              <w:t>2</w:t>
            </w:r>
            <w:r>
              <w:rPr>
                <w:color w:val="000000" w:themeColor="text1"/>
                <w:sz w:val="24"/>
                <w:szCs w:val="32"/>
                <w:highlight w:val="none"/>
                <w14:textFill>
                  <w14:solidFill>
                    <w14:schemeClr w14:val="tx1"/>
                  </w14:solidFill>
                </w14:textFill>
              </w:rPr>
              <w:t>）</w:t>
            </w:r>
            <w:r>
              <w:rPr>
                <w:rFonts w:hint="eastAsia"/>
                <w:color w:val="000000" w:themeColor="text1"/>
                <w:sz w:val="24"/>
                <w:szCs w:val="32"/>
                <w:highlight w:val="none"/>
                <w14:textFill>
                  <w14:solidFill>
                    <w14:schemeClr w14:val="tx1"/>
                  </w14:solidFill>
                </w14:textFill>
              </w:rPr>
              <w:t>。我司接受委托后，立即派技术人员踏勘现场，经资料收集与调研后，按照《建设项目环境影响报告表编制技术指南（污染影响类）（试行）》有关要求，编制了该项目环境影响报告表，供建设单位上报生态环境主管部门审批。</w:t>
            </w:r>
          </w:p>
          <w:p w14:paraId="344244C3">
            <w:pPr>
              <w:spacing w:line="360" w:lineRule="auto"/>
              <w:jc w:val="center"/>
              <w:rPr>
                <w:b/>
                <w:bCs/>
                <w:color w:val="000000" w:themeColor="text1"/>
                <w:sz w:val="32"/>
                <w:szCs w:val="24"/>
                <w:highlight w:val="none"/>
                <w14:textFill>
                  <w14:solidFill>
                    <w14:schemeClr w14:val="tx1"/>
                  </w14:solidFill>
                </w14:textFill>
              </w:rPr>
            </w:pPr>
            <w:r>
              <w:rPr>
                <w:b/>
                <w:bCs/>
                <w:color w:val="000000" w:themeColor="text1"/>
                <w:sz w:val="24"/>
                <w:szCs w:val="24"/>
                <w:highlight w:val="none"/>
                <w14:textFill>
                  <w14:solidFill>
                    <w14:schemeClr w14:val="tx1"/>
                  </w14:solidFill>
                </w14:textFill>
              </w:rPr>
              <w:t>表2</w:t>
            </w:r>
            <w:r>
              <w:rPr>
                <w:rFonts w:hint="eastAsia"/>
                <w:b/>
                <w:bCs/>
                <w:color w:val="000000" w:themeColor="text1"/>
                <w:sz w:val="24"/>
                <w:szCs w:val="24"/>
                <w:highlight w:val="none"/>
                <w14:textFill>
                  <w14:solidFill>
                    <w14:schemeClr w14:val="tx1"/>
                  </w14:solidFill>
                </w14:textFill>
              </w:rPr>
              <w:t>-1</w:t>
            </w:r>
            <w:r>
              <w:rPr>
                <w:b/>
                <w:bCs/>
                <w:color w:val="000000" w:themeColor="text1"/>
                <w:sz w:val="24"/>
                <w:szCs w:val="24"/>
                <w:highlight w:val="none"/>
                <w14:textFill>
                  <w14:solidFill>
                    <w14:schemeClr w14:val="tx1"/>
                  </w14:solidFill>
                </w14:textFill>
              </w:rPr>
              <w:t xml:space="preserve">  项目类别表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
              <w:gridCol w:w="1246"/>
              <w:gridCol w:w="3588"/>
              <w:gridCol w:w="1949"/>
              <w:gridCol w:w="968"/>
            </w:tblGrid>
            <w:tr w14:paraId="67674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68" w:type="pct"/>
                  <w:gridSpan w:val="2"/>
                  <w:tcBorders>
                    <w:tl2br w:val="single" w:color="auto" w:sz="4" w:space="0"/>
                  </w:tcBorders>
                  <w:shd w:val="clear" w:color="auto" w:fill="auto"/>
                  <w:vAlign w:val="center"/>
                </w:tcPr>
                <w:p w14:paraId="6D54AC01">
                  <w:pPr>
                    <w:jc w:val="right"/>
                    <w:rPr>
                      <w:color w:val="000000" w:themeColor="text1"/>
                      <w:sz w:val="21"/>
                      <w:szCs w:val="32"/>
                      <w:highlight w:val="none"/>
                      <w14:textFill>
                        <w14:solidFill>
                          <w14:schemeClr w14:val="tx1"/>
                        </w14:solidFill>
                      </w14:textFill>
                    </w:rPr>
                  </w:pPr>
                  <w:r>
                    <w:rPr>
                      <w:color w:val="000000" w:themeColor="text1"/>
                      <w:sz w:val="21"/>
                      <w:szCs w:val="32"/>
                      <w:highlight w:val="none"/>
                      <w14:textFill>
                        <w14:solidFill>
                          <w14:schemeClr w14:val="tx1"/>
                        </w14:solidFill>
                      </w14:textFill>
                    </w:rPr>
                    <w:t>环评类别</w:t>
                  </w:r>
                </w:p>
                <w:p w14:paraId="645780EC">
                  <w:pPr>
                    <w:rPr>
                      <w:color w:val="000000" w:themeColor="text1"/>
                      <w:sz w:val="21"/>
                      <w:szCs w:val="32"/>
                      <w:highlight w:val="none"/>
                      <w14:textFill>
                        <w14:solidFill>
                          <w14:schemeClr w14:val="tx1"/>
                        </w14:solidFill>
                      </w14:textFill>
                    </w:rPr>
                  </w:pPr>
                  <w:r>
                    <w:rPr>
                      <w:color w:val="000000" w:themeColor="text1"/>
                      <w:sz w:val="21"/>
                      <w:szCs w:val="32"/>
                      <w:highlight w:val="none"/>
                      <w14:textFill>
                        <w14:solidFill>
                          <w14:schemeClr w14:val="tx1"/>
                        </w14:solidFill>
                      </w14:textFill>
                    </w:rPr>
                    <w:t>项目类别</w:t>
                  </w:r>
                </w:p>
              </w:tc>
              <w:tc>
                <w:tcPr>
                  <w:tcW w:w="2169" w:type="pct"/>
                  <w:shd w:val="clear" w:color="auto" w:fill="auto"/>
                  <w:vAlign w:val="center"/>
                </w:tcPr>
                <w:p w14:paraId="0BF9C091">
                  <w:pPr>
                    <w:jc w:val="center"/>
                    <w:rPr>
                      <w:color w:val="000000" w:themeColor="text1"/>
                      <w:sz w:val="21"/>
                      <w:szCs w:val="32"/>
                      <w:highlight w:val="none"/>
                      <w14:textFill>
                        <w14:solidFill>
                          <w14:schemeClr w14:val="tx1"/>
                        </w14:solidFill>
                      </w14:textFill>
                    </w:rPr>
                  </w:pPr>
                  <w:r>
                    <w:rPr>
                      <w:color w:val="000000" w:themeColor="text1"/>
                      <w:sz w:val="21"/>
                      <w:szCs w:val="32"/>
                      <w:highlight w:val="none"/>
                      <w14:textFill>
                        <w14:solidFill>
                          <w14:schemeClr w14:val="tx1"/>
                        </w14:solidFill>
                      </w14:textFill>
                    </w:rPr>
                    <w:t>报告书</w:t>
                  </w:r>
                </w:p>
              </w:tc>
              <w:tc>
                <w:tcPr>
                  <w:tcW w:w="1178" w:type="pct"/>
                  <w:shd w:val="clear" w:color="auto" w:fill="auto"/>
                  <w:vAlign w:val="center"/>
                </w:tcPr>
                <w:p w14:paraId="075D448F">
                  <w:pPr>
                    <w:jc w:val="center"/>
                    <w:rPr>
                      <w:color w:val="000000" w:themeColor="text1"/>
                      <w:sz w:val="21"/>
                      <w:szCs w:val="32"/>
                      <w:highlight w:val="none"/>
                      <w14:textFill>
                        <w14:solidFill>
                          <w14:schemeClr w14:val="tx1"/>
                        </w14:solidFill>
                      </w14:textFill>
                    </w:rPr>
                  </w:pPr>
                  <w:r>
                    <w:rPr>
                      <w:b/>
                      <w:bCs/>
                      <w:color w:val="000000" w:themeColor="text1"/>
                      <w:sz w:val="21"/>
                      <w:szCs w:val="32"/>
                      <w:highlight w:val="none"/>
                      <w14:textFill>
                        <w14:solidFill>
                          <w14:schemeClr w14:val="tx1"/>
                        </w14:solidFill>
                      </w14:textFill>
                    </w:rPr>
                    <w:t>报告表</w:t>
                  </w:r>
                </w:p>
              </w:tc>
              <w:tc>
                <w:tcPr>
                  <w:tcW w:w="583" w:type="pct"/>
                  <w:shd w:val="clear" w:color="auto" w:fill="auto"/>
                  <w:vAlign w:val="center"/>
                </w:tcPr>
                <w:p w14:paraId="201BD92C">
                  <w:pPr>
                    <w:jc w:val="center"/>
                    <w:rPr>
                      <w:color w:val="000000" w:themeColor="text1"/>
                      <w:sz w:val="21"/>
                      <w:szCs w:val="32"/>
                      <w:highlight w:val="none"/>
                      <w14:textFill>
                        <w14:solidFill>
                          <w14:schemeClr w14:val="tx1"/>
                        </w14:solidFill>
                      </w14:textFill>
                    </w:rPr>
                  </w:pPr>
                  <w:r>
                    <w:rPr>
                      <w:color w:val="000000" w:themeColor="text1"/>
                      <w:sz w:val="21"/>
                      <w:szCs w:val="32"/>
                      <w:highlight w:val="none"/>
                      <w14:textFill>
                        <w14:solidFill>
                          <w14:schemeClr w14:val="tx1"/>
                        </w14:solidFill>
                      </w14:textFill>
                    </w:rPr>
                    <w:t>登记表</w:t>
                  </w:r>
                </w:p>
              </w:tc>
            </w:tr>
            <w:tr w14:paraId="5F343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shd w:val="clear" w:color="auto" w:fill="auto"/>
                  <w:vAlign w:val="center"/>
                </w:tcPr>
                <w:p w14:paraId="7F5446FC">
                  <w:pPr>
                    <w:jc w:val="both"/>
                    <w:rPr>
                      <w:color w:val="000000" w:themeColor="text1"/>
                      <w:sz w:val="21"/>
                      <w:szCs w:val="32"/>
                      <w:highlight w:val="none"/>
                      <w14:textFill>
                        <w14:solidFill>
                          <w14:schemeClr w14:val="tx1"/>
                        </w14:solidFill>
                      </w14:textFill>
                    </w:rPr>
                  </w:pPr>
                  <w:r>
                    <w:rPr>
                      <w:rFonts w:hint="eastAsia"/>
                      <w:color w:val="000000" w:themeColor="text1"/>
                      <w:sz w:val="21"/>
                      <w:szCs w:val="32"/>
                      <w:highlight w:val="none"/>
                      <w14:textFill>
                        <w14:solidFill>
                          <w14:schemeClr w14:val="tx1"/>
                        </w14:solidFill>
                      </w14:textFill>
                    </w:rPr>
                    <w:t>二十六、橡胶和塑料制品业29</w:t>
                  </w:r>
                </w:p>
              </w:tc>
            </w:tr>
            <w:tr w14:paraId="2D785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5" w:type="pct"/>
                  <w:shd w:val="clear" w:color="auto" w:fill="auto"/>
                  <w:vAlign w:val="center"/>
                </w:tcPr>
                <w:p w14:paraId="71767848">
                  <w:pPr>
                    <w:jc w:val="center"/>
                    <w:rPr>
                      <w:color w:val="000000" w:themeColor="text1"/>
                      <w:sz w:val="21"/>
                      <w:szCs w:val="32"/>
                      <w:highlight w:val="none"/>
                      <w14:textFill>
                        <w14:solidFill>
                          <w14:schemeClr w14:val="tx1"/>
                        </w14:solidFill>
                      </w14:textFill>
                    </w:rPr>
                  </w:pPr>
                  <w:r>
                    <w:rPr>
                      <w:rFonts w:hint="eastAsia"/>
                      <w:color w:val="000000" w:themeColor="text1"/>
                      <w:sz w:val="21"/>
                      <w:szCs w:val="32"/>
                      <w:highlight w:val="none"/>
                      <w:lang w:val="en-US" w:eastAsia="zh-CN"/>
                      <w14:textFill>
                        <w14:solidFill>
                          <w14:schemeClr w14:val="tx1"/>
                        </w14:solidFill>
                      </w14:textFill>
                    </w:rPr>
                    <w:t>53</w:t>
                  </w:r>
                </w:p>
              </w:tc>
              <w:tc>
                <w:tcPr>
                  <w:tcW w:w="753" w:type="pct"/>
                  <w:shd w:val="clear" w:color="auto" w:fill="auto"/>
                  <w:vAlign w:val="center"/>
                </w:tcPr>
                <w:p w14:paraId="208826BE">
                  <w:pPr>
                    <w:jc w:val="center"/>
                    <w:rPr>
                      <w:rFonts w:hint="eastAsia"/>
                      <w:color w:val="000000" w:themeColor="text1"/>
                      <w:sz w:val="21"/>
                      <w:szCs w:val="32"/>
                      <w:highlight w:val="none"/>
                      <w:lang w:val="en-US" w:eastAsia="zh-CN"/>
                      <w14:textFill>
                        <w14:solidFill>
                          <w14:schemeClr w14:val="tx1"/>
                        </w14:solidFill>
                      </w14:textFill>
                    </w:rPr>
                  </w:pPr>
                  <w:r>
                    <w:rPr>
                      <w:rFonts w:hint="eastAsia"/>
                      <w:color w:val="000000" w:themeColor="text1"/>
                      <w:sz w:val="21"/>
                      <w:szCs w:val="32"/>
                      <w:highlight w:val="none"/>
                      <w:lang w:val="en-US" w:eastAsia="zh-CN"/>
                      <w14:textFill>
                        <w14:solidFill>
                          <w14:schemeClr w14:val="tx1"/>
                        </w14:solidFill>
                      </w14:textFill>
                    </w:rPr>
                    <w:t>塑料制品业292</w:t>
                  </w:r>
                </w:p>
              </w:tc>
              <w:tc>
                <w:tcPr>
                  <w:tcW w:w="2169" w:type="pct"/>
                  <w:shd w:val="clear" w:color="auto" w:fill="auto"/>
                  <w:vAlign w:val="center"/>
                </w:tcPr>
                <w:p w14:paraId="68F167FA">
                  <w:pPr>
                    <w:jc w:val="center"/>
                    <w:rPr>
                      <w:color w:val="000000" w:themeColor="text1"/>
                      <w:sz w:val="21"/>
                      <w:szCs w:val="32"/>
                      <w:highlight w:val="none"/>
                      <w14:textFill>
                        <w14:solidFill>
                          <w14:schemeClr w14:val="tx1"/>
                        </w14:solidFill>
                      </w14:textFill>
                    </w:rPr>
                  </w:pPr>
                  <w:r>
                    <w:rPr>
                      <w:rFonts w:hint="eastAsia"/>
                      <w:color w:val="000000" w:themeColor="text1"/>
                      <w:sz w:val="21"/>
                      <w:szCs w:val="32"/>
                      <w:highlight w:val="none"/>
                      <w14:textFill>
                        <w14:solidFill>
                          <w14:schemeClr w14:val="tx1"/>
                        </w14:solidFill>
                      </w14:textFill>
                    </w:rPr>
                    <w:t>以再生塑料为原料生产的</w:t>
                  </w:r>
                  <w:r>
                    <w:rPr>
                      <w:rFonts w:hint="eastAsia"/>
                      <w:color w:val="000000" w:themeColor="text1"/>
                      <w:sz w:val="21"/>
                      <w:szCs w:val="32"/>
                      <w:highlight w:val="none"/>
                      <w:lang w:eastAsia="zh-CN"/>
                      <w14:textFill>
                        <w14:solidFill>
                          <w14:schemeClr w14:val="tx1"/>
                        </w14:solidFill>
                      </w14:textFill>
                    </w:rPr>
                    <w:t>；</w:t>
                  </w:r>
                  <w:r>
                    <w:rPr>
                      <w:rFonts w:hint="eastAsia"/>
                      <w:color w:val="000000" w:themeColor="text1"/>
                      <w:sz w:val="21"/>
                      <w:szCs w:val="32"/>
                      <w:highlight w:val="none"/>
                      <w14:textFill>
                        <w14:solidFill>
                          <w14:schemeClr w14:val="tx1"/>
                        </w14:solidFill>
                      </w14:textFill>
                    </w:rPr>
                    <w:t>有电镀工艺的</w:t>
                  </w:r>
                  <w:r>
                    <w:rPr>
                      <w:rFonts w:hint="eastAsia"/>
                      <w:color w:val="000000" w:themeColor="text1"/>
                      <w:sz w:val="21"/>
                      <w:szCs w:val="32"/>
                      <w:highlight w:val="none"/>
                      <w:lang w:eastAsia="zh-CN"/>
                      <w14:textFill>
                        <w14:solidFill>
                          <w14:schemeClr w14:val="tx1"/>
                        </w14:solidFill>
                      </w14:textFill>
                    </w:rPr>
                    <w:t>；</w:t>
                  </w:r>
                  <w:r>
                    <w:rPr>
                      <w:rFonts w:hint="eastAsia"/>
                      <w:color w:val="000000" w:themeColor="text1"/>
                      <w:sz w:val="21"/>
                      <w:szCs w:val="32"/>
                      <w:highlight w:val="none"/>
                      <w14:textFill>
                        <w14:solidFill>
                          <w14:schemeClr w14:val="tx1"/>
                        </w14:solidFill>
                      </w14:textFill>
                    </w:rPr>
                    <w:t>年使用溶剂型胶粘剂10 吨及以上的</w:t>
                  </w:r>
                  <w:r>
                    <w:rPr>
                      <w:rFonts w:hint="eastAsia"/>
                      <w:color w:val="000000" w:themeColor="text1"/>
                      <w:sz w:val="21"/>
                      <w:szCs w:val="32"/>
                      <w:highlight w:val="none"/>
                      <w:lang w:eastAsia="zh-CN"/>
                      <w14:textFill>
                        <w14:solidFill>
                          <w14:schemeClr w14:val="tx1"/>
                        </w14:solidFill>
                      </w14:textFill>
                    </w:rPr>
                    <w:t>；</w:t>
                  </w:r>
                  <w:r>
                    <w:rPr>
                      <w:rFonts w:hint="eastAsia"/>
                      <w:color w:val="000000" w:themeColor="text1"/>
                      <w:sz w:val="21"/>
                      <w:szCs w:val="32"/>
                      <w:highlight w:val="none"/>
                      <w14:textFill>
                        <w14:solidFill>
                          <w14:schemeClr w14:val="tx1"/>
                        </w14:solidFill>
                      </w14:textFill>
                    </w:rPr>
                    <w:t>年使用溶剂型涂料(含稀释剂)10 吨及以上的</w:t>
                  </w:r>
                </w:p>
              </w:tc>
              <w:tc>
                <w:tcPr>
                  <w:tcW w:w="1178" w:type="pct"/>
                  <w:shd w:val="clear" w:color="auto" w:fill="auto"/>
                  <w:vAlign w:val="center"/>
                </w:tcPr>
                <w:p w14:paraId="102ECB8C">
                  <w:pPr>
                    <w:jc w:val="center"/>
                    <w:rPr>
                      <w:color w:val="000000" w:themeColor="text1"/>
                      <w:sz w:val="21"/>
                      <w:szCs w:val="32"/>
                      <w:highlight w:val="none"/>
                      <w14:textFill>
                        <w14:solidFill>
                          <w14:schemeClr w14:val="tx1"/>
                        </w14:solidFill>
                      </w14:textFill>
                    </w:rPr>
                  </w:pPr>
                  <w:r>
                    <w:rPr>
                      <w:rFonts w:hint="eastAsia"/>
                      <w:b/>
                      <w:bCs/>
                      <w:color w:val="000000" w:themeColor="text1"/>
                      <w:sz w:val="21"/>
                      <w:szCs w:val="32"/>
                      <w:highlight w:val="none"/>
                      <w:lang w:val="en-US" w:eastAsia="zh-CN"/>
                      <w14:textFill>
                        <w14:solidFill>
                          <w14:schemeClr w14:val="tx1"/>
                        </w14:solidFill>
                      </w14:textFill>
                    </w:rPr>
                    <w:t>其他(年使用非溶剂型低VOCs含量涂料10吨以下的除外)</w:t>
                  </w:r>
                </w:p>
              </w:tc>
              <w:tc>
                <w:tcPr>
                  <w:tcW w:w="583" w:type="pct"/>
                  <w:shd w:val="clear" w:color="auto" w:fill="auto"/>
                  <w:vAlign w:val="center"/>
                </w:tcPr>
                <w:p w14:paraId="6E4378A6">
                  <w:pPr>
                    <w:jc w:val="center"/>
                    <w:rPr>
                      <w:color w:val="000000" w:themeColor="text1"/>
                      <w:sz w:val="21"/>
                      <w:szCs w:val="32"/>
                      <w:highlight w:val="none"/>
                      <w14:textFill>
                        <w14:solidFill>
                          <w14:schemeClr w14:val="tx1"/>
                        </w14:solidFill>
                      </w14:textFill>
                    </w:rPr>
                  </w:pPr>
                  <w:r>
                    <w:rPr>
                      <w:color w:val="000000" w:themeColor="text1"/>
                      <w:sz w:val="21"/>
                      <w:szCs w:val="32"/>
                      <w:highlight w:val="none"/>
                      <w14:textFill>
                        <w14:solidFill>
                          <w14:schemeClr w14:val="tx1"/>
                        </w14:solidFill>
                      </w14:textFill>
                    </w:rPr>
                    <w:t>/</w:t>
                  </w:r>
                </w:p>
              </w:tc>
            </w:tr>
          </w:tbl>
          <w:p w14:paraId="174E0CD1">
            <w:pPr>
              <w:pStyle w:val="37"/>
              <w:rPr>
                <w:rFonts w:hint="eastAsia" w:eastAsia="黑体"/>
                <w:b w:val="0"/>
                <w:color w:val="000000" w:themeColor="text1"/>
                <w:sz w:val="24"/>
                <w:szCs w:val="21"/>
                <w:highlight w:val="none"/>
                <w:lang w:val="en-US" w:eastAsia="zh-CN"/>
                <w14:textFill>
                  <w14:solidFill>
                    <w14:schemeClr w14:val="tx1"/>
                  </w14:solidFill>
                </w14:textFill>
              </w:rPr>
            </w:pPr>
            <w:r>
              <w:rPr>
                <w:b w:val="0"/>
                <w:color w:val="000000" w:themeColor="text1"/>
                <w:sz w:val="24"/>
                <w:szCs w:val="21"/>
                <w:highlight w:val="none"/>
                <w14:textFill>
                  <w14:solidFill>
                    <w14:schemeClr w14:val="tx1"/>
                  </w14:solidFill>
                </w14:textFill>
              </w:rPr>
              <w:t xml:space="preserve">2.2 </w:t>
            </w:r>
            <w:r>
              <w:rPr>
                <w:rFonts w:hint="eastAsia"/>
                <w:b w:val="0"/>
                <w:color w:val="000000" w:themeColor="text1"/>
                <w:sz w:val="24"/>
                <w:szCs w:val="21"/>
                <w:highlight w:val="none"/>
                <w14:textFill>
                  <w14:solidFill>
                    <w14:schemeClr w14:val="tx1"/>
                  </w14:solidFill>
                </w14:textFill>
              </w:rPr>
              <w:t>工程</w:t>
            </w:r>
            <w:r>
              <w:rPr>
                <w:rFonts w:hint="eastAsia"/>
                <w:b w:val="0"/>
                <w:color w:val="000000" w:themeColor="text1"/>
                <w:sz w:val="24"/>
                <w:szCs w:val="21"/>
                <w:highlight w:val="none"/>
                <w:lang w:val="en-US" w:eastAsia="zh-CN"/>
                <w14:textFill>
                  <w14:solidFill>
                    <w14:schemeClr w14:val="tx1"/>
                  </w14:solidFill>
                </w14:textFill>
              </w:rPr>
              <w:t>概况</w:t>
            </w:r>
          </w:p>
          <w:p w14:paraId="2CB04DDA">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根据项目备案表，项目概况如下：</w:t>
            </w:r>
          </w:p>
          <w:p w14:paraId="5A532B1F">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（1）项目名称：福州杰仕日用品有限公司闽侯分公司年产车载塑料垃圾袋8万卷、保鲜袋12万条建设项目</w:t>
            </w:r>
          </w:p>
          <w:p w14:paraId="1889AD11">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（2）建设单位：</w:t>
            </w:r>
            <w:r>
              <w:rPr>
                <w:rFonts w:hint="eastAsia"/>
                <w:color w:val="000000" w:themeColor="text1"/>
                <w:sz w:val="24"/>
                <w:szCs w:val="32"/>
                <w:highlight w:val="none"/>
                <w14:textFill>
                  <w14:solidFill>
                    <w14:schemeClr w14:val="tx1"/>
                  </w14:solidFill>
                </w14:textFill>
              </w:rPr>
              <w:t>福州杰仕日用品有限公司闽侯分公司</w:t>
            </w:r>
          </w:p>
          <w:p w14:paraId="4F58D6B7">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（3）建设地点：租赁</w:t>
            </w:r>
            <w:r>
              <w:rPr>
                <w:rFonts w:hint="eastAsia"/>
                <w:color w:val="000000" w:themeColor="text1"/>
                <w:sz w:val="24"/>
                <w:szCs w:val="24"/>
                <w:highlight w:val="none"/>
                <w:lang w:val="en-US" w:eastAsia="zh-CN"/>
                <w14:textFill>
                  <w14:solidFill>
                    <w14:schemeClr w14:val="tx1"/>
                  </w14:solidFill>
                </w14:textFill>
              </w:rPr>
              <w:t>福州市闽侯县祥谦镇辅翼村、卜洲村福建西诚电子工业园第三座，地理位置图见附图1</w:t>
            </w:r>
          </w:p>
          <w:p w14:paraId="610F668D">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（4）项目面积：厂房</w:t>
            </w:r>
            <w:r>
              <w:rPr>
                <w:rFonts w:hint="eastAsia"/>
                <w:color w:val="000000" w:themeColor="text1"/>
                <w:sz w:val="24"/>
                <w:szCs w:val="24"/>
                <w:highlight w:val="none"/>
                <w:lang w:val="en-US" w:eastAsia="zh-CN"/>
                <w14:textFill>
                  <w14:solidFill>
                    <w14:schemeClr w14:val="tx1"/>
                  </w14:solidFill>
                </w14:textFill>
              </w:rPr>
              <w:t>1-3层，合计2600m</w:t>
            </w:r>
            <w:r>
              <w:rPr>
                <w:rFonts w:hint="eastAsia"/>
                <w:color w:val="000000" w:themeColor="text1"/>
                <w:sz w:val="24"/>
                <w:szCs w:val="24"/>
                <w:highlight w:val="none"/>
                <w:vertAlign w:val="superscript"/>
                <w:lang w:val="en-US" w:eastAsia="zh-CN"/>
                <w14:textFill>
                  <w14:solidFill>
                    <w14:schemeClr w14:val="tx1"/>
                  </w14:solidFill>
                </w14:textFill>
              </w:rPr>
              <w:t>2</w:t>
            </w:r>
          </w:p>
          <w:p w14:paraId="0BF50443">
            <w:pPr>
              <w:spacing w:line="360" w:lineRule="auto"/>
              <w:ind w:firstLine="480" w:firstLineChars="200"/>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（5）</w:t>
            </w:r>
            <w:r>
              <w:rPr>
                <w:rFonts w:hint="eastAsia"/>
                <w:color w:val="000000" w:themeColor="text1"/>
                <w:sz w:val="24"/>
                <w:szCs w:val="24"/>
                <w:highlight w:val="none"/>
                <w:lang w:val="en-US" w:eastAsia="zh-CN"/>
                <w14:textFill>
                  <w14:solidFill>
                    <w14:schemeClr w14:val="tx1"/>
                  </w14:solidFill>
                </w14:textFill>
              </w:rPr>
              <w:t>项目设备：搅拌机3台(120型-5.5千瓦2台、220型7.5千瓦1台)；吹塑机7台(400型吹膜机-15千瓦1台、450型-21千瓦5台，600型-32千瓦1台)；制袋机9台(500型双机-9千瓦4台、450型双机-11千瓦1台、550型单机-5千瓦4台)，自动包装机2台(4510型-11.5千瓦1台、4522N型-10千瓦1台)，复卷机(300型-1.5千瓦1台)。</w:t>
            </w:r>
          </w:p>
          <w:p w14:paraId="2E65DFD4">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（6）生产规模：</w:t>
            </w:r>
            <w:r>
              <w:rPr>
                <w:rFonts w:hint="eastAsia"/>
                <w:color w:val="000000" w:themeColor="text1"/>
                <w:sz w:val="24"/>
                <w:szCs w:val="24"/>
                <w:highlight w:val="none"/>
                <w:lang w:val="en-US" w:eastAsia="zh-CN"/>
                <w14:textFill>
                  <w14:solidFill>
                    <w14:schemeClr w14:val="tx1"/>
                  </w14:solidFill>
                </w14:textFill>
              </w:rPr>
              <w:t>生产车载塑料垃圾袋8万卷每年(厚度0.03毫米，年用原料聚乙烯塑料米25吨)，车载塑料保鲜袋12万条每年(厚度0.03毫米，年用原料聚乙烯塑料米45吨)。</w:t>
            </w:r>
          </w:p>
          <w:p w14:paraId="7688AB85">
            <w:pPr>
              <w:spacing w:line="360" w:lineRule="auto"/>
              <w:ind w:firstLine="480" w:firstLineChars="200"/>
              <w:rPr>
                <w:rFonts w:hint="default"/>
                <w:color w:val="000000" w:themeColor="text1"/>
                <w:sz w:val="24"/>
                <w:szCs w:val="24"/>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（7）</w:t>
            </w:r>
            <w:r>
              <w:rPr>
                <w:rFonts w:hint="eastAsia"/>
                <w:color w:val="000000" w:themeColor="text1"/>
                <w:sz w:val="24"/>
                <w:szCs w:val="24"/>
                <w:highlight w:val="none"/>
                <w:lang w:val="en-US" w:eastAsia="zh-CN"/>
                <w14:textFill>
                  <w14:solidFill>
                    <w14:schemeClr w14:val="tx1"/>
                  </w14:solidFill>
                </w14:textFill>
              </w:rPr>
              <w:t>生产工艺流程：聚乙烯塑料米采购→搅拌（拌料机）→吹塑机加热→放入塑料米挤压吹塑（吹塑机）→分切（制袋机切成袋子）→包装→出货。</w:t>
            </w:r>
          </w:p>
          <w:p w14:paraId="204A5829">
            <w:pPr>
              <w:spacing w:line="360" w:lineRule="auto"/>
              <w:ind w:firstLine="480" w:firstLineChars="200"/>
              <w:rPr>
                <w:rFonts w:hint="eastAsia"/>
                <w:color w:val="000000" w:themeColor="text1"/>
                <w:sz w:val="24"/>
                <w:szCs w:val="32"/>
                <w:highlight w:val="none"/>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（8）项目投资额：50万元。</w:t>
            </w:r>
          </w:p>
          <w:p w14:paraId="7883FCCC">
            <w:pPr>
              <w:spacing w:line="360" w:lineRule="auto"/>
              <w:ind w:firstLine="480" w:firstLineChars="200"/>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eastAsia="zh-CN"/>
                <w14:textFill>
                  <w14:solidFill>
                    <w14:schemeClr w14:val="tx1"/>
                  </w14:solidFill>
                </w14:textFill>
              </w:rPr>
              <w:t>（</w:t>
            </w:r>
            <w:r>
              <w:rPr>
                <w:rFonts w:hint="eastAsia"/>
                <w:color w:val="000000" w:themeColor="text1"/>
                <w:sz w:val="24"/>
                <w:szCs w:val="32"/>
                <w:highlight w:val="none"/>
                <w:lang w:val="en-US" w:eastAsia="zh-CN"/>
                <w14:textFill>
                  <w14:solidFill>
                    <w14:schemeClr w14:val="tx1"/>
                  </w14:solidFill>
                </w14:textFill>
              </w:rPr>
              <w:t>9</w:t>
            </w:r>
            <w:r>
              <w:rPr>
                <w:rFonts w:hint="eastAsia"/>
                <w:color w:val="000000" w:themeColor="text1"/>
                <w:sz w:val="24"/>
                <w:szCs w:val="32"/>
                <w:highlight w:val="none"/>
                <w:lang w:eastAsia="zh-CN"/>
                <w14:textFill>
                  <w14:solidFill>
                    <w14:schemeClr w14:val="tx1"/>
                  </w14:solidFill>
                </w14:textFill>
              </w:rPr>
              <w:t>）</w:t>
            </w:r>
            <w:r>
              <w:rPr>
                <w:rFonts w:hint="eastAsia"/>
                <w:color w:val="000000" w:themeColor="text1"/>
                <w:sz w:val="24"/>
                <w:szCs w:val="32"/>
                <w:highlight w:val="none"/>
                <w:lang w:val="en-US" w:eastAsia="zh-CN"/>
                <w14:textFill>
                  <w14:solidFill>
                    <w14:schemeClr w14:val="tx1"/>
                  </w14:solidFill>
                </w14:textFill>
              </w:rPr>
              <w:t>生产定员：员工总人数8人，均不在厂内住宿。</w:t>
            </w:r>
          </w:p>
          <w:p w14:paraId="0D327C3F">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（10）生产制度：年工作日300天，单班制，每班8小时。</w:t>
            </w:r>
          </w:p>
          <w:p w14:paraId="387703CA">
            <w:pPr>
              <w:pStyle w:val="37"/>
              <w:rPr>
                <w:rFonts w:hint="eastAsia" w:eastAsia="黑体"/>
                <w:b w:val="0"/>
                <w:color w:val="000000" w:themeColor="text1"/>
                <w:sz w:val="24"/>
                <w:szCs w:val="21"/>
                <w:highlight w:val="none"/>
                <w:lang w:val="en-US" w:eastAsia="zh-CN"/>
                <w14:textFill>
                  <w14:solidFill>
                    <w14:schemeClr w14:val="tx1"/>
                  </w14:solidFill>
                </w14:textFill>
              </w:rPr>
            </w:pPr>
            <w:r>
              <w:rPr>
                <w:b w:val="0"/>
                <w:color w:val="000000" w:themeColor="text1"/>
                <w:sz w:val="24"/>
                <w:szCs w:val="21"/>
                <w:highlight w:val="none"/>
                <w14:textFill>
                  <w14:solidFill>
                    <w14:schemeClr w14:val="tx1"/>
                  </w14:solidFill>
                </w14:textFill>
              </w:rPr>
              <w:t>2.</w:t>
            </w:r>
            <w:r>
              <w:rPr>
                <w:rFonts w:hint="eastAsia"/>
                <w:b w:val="0"/>
                <w:color w:val="000000" w:themeColor="text1"/>
                <w:sz w:val="24"/>
                <w:szCs w:val="21"/>
                <w:highlight w:val="none"/>
                <w:lang w:val="en-US" w:eastAsia="zh-CN"/>
                <w14:textFill>
                  <w14:solidFill>
                    <w14:schemeClr w14:val="tx1"/>
                  </w14:solidFill>
                </w14:textFill>
              </w:rPr>
              <w:t>3</w:t>
            </w:r>
            <w:r>
              <w:rPr>
                <w:b w:val="0"/>
                <w:color w:val="000000" w:themeColor="text1"/>
                <w:sz w:val="24"/>
                <w:szCs w:val="21"/>
                <w:highlight w:val="none"/>
                <w14:textFill>
                  <w14:solidFill>
                    <w14:schemeClr w14:val="tx1"/>
                  </w14:solidFill>
                </w14:textFill>
              </w:rPr>
              <w:t xml:space="preserve"> </w:t>
            </w:r>
            <w:r>
              <w:rPr>
                <w:rFonts w:hint="eastAsia"/>
                <w:b w:val="0"/>
                <w:color w:val="000000" w:themeColor="text1"/>
                <w:sz w:val="24"/>
                <w:szCs w:val="21"/>
                <w:highlight w:val="none"/>
                <w14:textFill>
                  <w14:solidFill>
                    <w14:schemeClr w14:val="tx1"/>
                  </w14:solidFill>
                </w14:textFill>
              </w:rPr>
              <w:t>工程</w:t>
            </w:r>
            <w:r>
              <w:rPr>
                <w:rFonts w:hint="eastAsia"/>
                <w:b w:val="0"/>
                <w:color w:val="000000" w:themeColor="text1"/>
                <w:sz w:val="24"/>
                <w:szCs w:val="21"/>
                <w:highlight w:val="none"/>
                <w:lang w:val="en-US" w:eastAsia="zh-CN"/>
                <w14:textFill>
                  <w14:solidFill>
                    <w14:schemeClr w14:val="tx1"/>
                  </w14:solidFill>
                </w14:textFill>
              </w:rPr>
              <w:t>组成</w:t>
            </w:r>
          </w:p>
          <w:p w14:paraId="7240E46F">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项目工程组成见下表。</w:t>
            </w:r>
          </w:p>
          <w:p w14:paraId="1E5BAE9B">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eastAsia="宋体"/>
                <w:b/>
                <w:color w:val="000000" w:themeColor="text1"/>
                <w:sz w:val="24"/>
                <w:szCs w:val="24"/>
                <w:highlight w:val="none"/>
                <w:lang w:val="en-US" w:eastAsia="zh-CN"/>
                <w14:textFill>
                  <w14:solidFill>
                    <w14:schemeClr w14:val="tx1"/>
                  </w14:solidFill>
                </w14:textFill>
              </w:rPr>
            </w:pPr>
            <w:r>
              <w:rPr>
                <w:rFonts w:hint="eastAsia"/>
                <w:b/>
                <w:color w:val="000000" w:themeColor="text1"/>
                <w:sz w:val="24"/>
                <w:szCs w:val="24"/>
                <w:highlight w:val="none"/>
                <w14:textFill>
                  <w14:solidFill>
                    <w14:schemeClr w14:val="tx1"/>
                  </w14:solidFill>
                </w14:textFill>
              </w:rPr>
              <w:t>表</w:t>
            </w:r>
            <w:r>
              <w:rPr>
                <w:rFonts w:hint="eastAsia"/>
                <w:b/>
                <w:color w:val="000000" w:themeColor="text1"/>
                <w:sz w:val="24"/>
                <w:szCs w:val="24"/>
                <w:highlight w:val="none"/>
                <w:lang w:val="en-US" w:eastAsia="zh-CN"/>
                <w14:textFill>
                  <w14:solidFill>
                    <w14:schemeClr w14:val="tx1"/>
                  </w14:solidFill>
                </w14:textFill>
              </w:rPr>
              <w:t>2-2</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lang w:val="en-US" w:eastAsia="zh-CN"/>
                <w14:textFill>
                  <w14:solidFill>
                    <w14:schemeClr w14:val="tx1"/>
                  </w14:solidFill>
                </w14:textFill>
              </w:rPr>
              <w:t>项目组成一览表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932"/>
              <w:gridCol w:w="1227"/>
              <w:gridCol w:w="6113"/>
            </w:tblGrid>
            <w:tr w14:paraId="7D5A2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shd w:val="clear" w:color="auto" w:fill="auto"/>
                  <w:vAlign w:val="center"/>
                </w:tcPr>
                <w:p w14:paraId="3C2F1782">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工程类别</w:t>
                  </w:r>
                </w:p>
              </w:tc>
              <w:tc>
                <w:tcPr>
                  <w:tcW w:w="1227" w:type="dxa"/>
                  <w:shd w:val="clear" w:color="auto" w:fill="auto"/>
                  <w:vAlign w:val="center"/>
                </w:tcPr>
                <w:p w14:paraId="6EAA8425">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项目组成</w:t>
                  </w:r>
                </w:p>
              </w:tc>
              <w:tc>
                <w:tcPr>
                  <w:tcW w:w="6113" w:type="dxa"/>
                  <w:shd w:val="clear" w:color="auto" w:fill="auto"/>
                  <w:vAlign w:val="center"/>
                </w:tcPr>
                <w:p w14:paraId="332E0068">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具体建设内容</w:t>
                  </w:r>
                </w:p>
              </w:tc>
            </w:tr>
            <w:tr w14:paraId="0EE90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restart"/>
                  <w:shd w:val="clear" w:color="auto" w:fill="auto"/>
                  <w:vAlign w:val="center"/>
                </w:tcPr>
                <w:p w14:paraId="36258AA1">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主体工程</w:t>
                  </w:r>
                </w:p>
              </w:tc>
              <w:tc>
                <w:tcPr>
                  <w:tcW w:w="1227" w:type="dxa"/>
                  <w:vMerge w:val="restart"/>
                  <w:shd w:val="clear" w:color="auto" w:fill="auto"/>
                  <w:vAlign w:val="center"/>
                </w:tcPr>
                <w:p w14:paraId="7C94B3E4">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生产车间</w:t>
                  </w:r>
                </w:p>
              </w:tc>
              <w:tc>
                <w:tcPr>
                  <w:tcW w:w="6113" w:type="dxa"/>
                  <w:shd w:val="clear" w:color="auto" w:fill="auto"/>
                  <w:vAlign w:val="center"/>
                </w:tcPr>
                <w:p w14:paraId="69969D65">
                  <w:pPr>
                    <w:keepNext w:val="0"/>
                    <w:keepLines w:val="0"/>
                    <w:pageBreakBefore w:val="0"/>
                    <w:widowControl w:val="0"/>
                    <w:kinsoku/>
                    <w:wordWrap/>
                    <w:overflowPunct/>
                    <w:topLinePunct w:val="0"/>
                    <w:bidi w:val="0"/>
                    <w:adjustRightInd/>
                    <w:snapToGrid/>
                    <w:spacing w:line="240" w:lineRule="auto"/>
                    <w:jc w:val="both"/>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一楼车间设置堆料区、拌料区、吹塑区等，放置原辅料以及拌料机、吹塑机等设备。</w:t>
                  </w:r>
                </w:p>
              </w:tc>
            </w:tr>
            <w:tr w14:paraId="60AD3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75D7FDB1">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vMerge w:val="continue"/>
                  <w:shd w:val="clear" w:color="auto" w:fill="auto"/>
                  <w:vAlign w:val="center"/>
                </w:tcPr>
                <w:p w14:paraId="1E9B274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21"/>
                      <w:highlight w:val="none"/>
                      <w:lang w:val="en-US" w:eastAsia="zh-CN"/>
                      <w14:textFill>
                        <w14:solidFill>
                          <w14:schemeClr w14:val="tx1"/>
                        </w14:solidFill>
                      </w14:textFill>
                    </w:rPr>
                  </w:pPr>
                </w:p>
              </w:tc>
              <w:tc>
                <w:tcPr>
                  <w:tcW w:w="6113" w:type="dxa"/>
                  <w:shd w:val="clear" w:color="auto" w:fill="auto"/>
                  <w:vAlign w:val="center"/>
                </w:tcPr>
                <w:p w14:paraId="79977B99">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color w:val="000000" w:themeColor="text1"/>
                      <w:sz w:val="21"/>
                      <w:szCs w:val="21"/>
                      <w:highlight w:val="none"/>
                      <w14:textFill>
                        <w14:solidFill>
                          <w14:schemeClr w14:val="tx1"/>
                        </w14:solidFill>
                      </w14:textFill>
                    </w:rPr>
                  </w:pPr>
                  <w:r>
                    <w:rPr>
                      <w:rFonts w:hint="eastAsia" w:ascii="宋体" w:cs="宋体"/>
                      <w:color w:val="000000" w:themeColor="text1"/>
                      <w:kern w:val="0"/>
                      <w:sz w:val="21"/>
                      <w:szCs w:val="21"/>
                      <w:highlight w:val="none"/>
                      <w:lang w:val="en-US" w:eastAsia="zh-CN"/>
                      <w14:textFill>
                        <w14:solidFill>
                          <w14:schemeClr w14:val="tx1"/>
                        </w14:solidFill>
                      </w14:textFill>
                    </w:rPr>
                    <w:t>二楼车间设置制袋区、包装区、半成品、成品存放区等，放置制袋机、自动包装机等设备，以及堆放半成品、成品。</w:t>
                  </w:r>
                </w:p>
              </w:tc>
            </w:tr>
            <w:tr w14:paraId="6DCAC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2CFD059E">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vMerge w:val="continue"/>
                  <w:shd w:val="clear" w:color="auto" w:fill="auto"/>
                  <w:vAlign w:val="center"/>
                </w:tcPr>
                <w:p w14:paraId="579F585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21"/>
                      <w:highlight w:val="none"/>
                      <w:lang w:val="en-US" w:eastAsia="zh-CN"/>
                      <w14:textFill>
                        <w14:solidFill>
                          <w14:schemeClr w14:val="tx1"/>
                        </w14:solidFill>
                      </w14:textFill>
                    </w:rPr>
                  </w:pPr>
                </w:p>
              </w:tc>
              <w:tc>
                <w:tcPr>
                  <w:tcW w:w="6113" w:type="dxa"/>
                  <w:shd w:val="clear" w:color="auto" w:fill="auto"/>
                  <w:vAlign w:val="center"/>
                </w:tcPr>
                <w:p w14:paraId="27CFD592">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default" w:ascii="宋体" w:cs="宋体"/>
                      <w:color w:val="000000" w:themeColor="text1"/>
                      <w:kern w:val="0"/>
                      <w:sz w:val="21"/>
                      <w:szCs w:val="21"/>
                      <w:highlight w:val="none"/>
                      <w:lang w:val="en-US" w:eastAsia="zh-CN"/>
                      <w14:textFill>
                        <w14:solidFill>
                          <w14:schemeClr w14:val="tx1"/>
                        </w14:solidFill>
                      </w14:textFill>
                    </w:rPr>
                  </w:pPr>
                  <w:r>
                    <w:rPr>
                      <w:rFonts w:hint="eastAsia" w:ascii="宋体" w:cs="宋体"/>
                      <w:color w:val="000000" w:themeColor="text1"/>
                      <w:kern w:val="0"/>
                      <w:sz w:val="21"/>
                      <w:szCs w:val="21"/>
                      <w:highlight w:val="none"/>
                      <w:lang w:val="en-US" w:eastAsia="zh-CN"/>
                      <w14:textFill>
                        <w14:solidFill>
                          <w14:schemeClr w14:val="tx1"/>
                        </w14:solidFill>
                      </w14:textFill>
                    </w:rPr>
                    <w:t>三楼主要为仓库，存放成品，以及食堂、办公室；设置危废暂存间及一般固废暂存间。</w:t>
                  </w:r>
                </w:p>
              </w:tc>
            </w:tr>
            <w:tr w14:paraId="265A7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restart"/>
                  <w:shd w:val="clear" w:color="auto" w:fill="auto"/>
                  <w:vAlign w:val="center"/>
                </w:tcPr>
                <w:p w14:paraId="6AD75E60">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辅助工程</w:t>
                  </w:r>
                </w:p>
              </w:tc>
              <w:tc>
                <w:tcPr>
                  <w:tcW w:w="1227" w:type="dxa"/>
                  <w:shd w:val="clear" w:color="auto" w:fill="auto"/>
                  <w:vAlign w:val="center"/>
                </w:tcPr>
                <w:p w14:paraId="0D0893C2">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原料贮存区</w:t>
                  </w:r>
                </w:p>
              </w:tc>
              <w:tc>
                <w:tcPr>
                  <w:tcW w:w="6113" w:type="dxa"/>
                  <w:shd w:val="clear" w:color="auto" w:fill="auto"/>
                  <w:vAlign w:val="center"/>
                </w:tcPr>
                <w:p w14:paraId="2195D7EC">
                  <w:pPr>
                    <w:keepNext w:val="0"/>
                    <w:keepLines w:val="0"/>
                    <w:pageBreakBefore w:val="0"/>
                    <w:widowControl w:val="0"/>
                    <w:kinsoku/>
                    <w:wordWrap/>
                    <w:overflowPunct/>
                    <w:topLinePunct w:val="0"/>
                    <w:bidi w:val="0"/>
                    <w:adjustRightInd/>
                    <w:snapToGrid/>
                    <w:spacing w:line="240" w:lineRule="auto"/>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一楼车间贮存聚乙烯塑料米等原辅料。</w:t>
                  </w:r>
                </w:p>
              </w:tc>
            </w:tr>
            <w:tr w14:paraId="50A1C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38B1F606">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shd w:val="clear" w:color="auto" w:fill="auto"/>
                  <w:vAlign w:val="center"/>
                </w:tcPr>
                <w:p w14:paraId="4E1A3F79">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产品贮存区</w:t>
                  </w:r>
                </w:p>
              </w:tc>
              <w:tc>
                <w:tcPr>
                  <w:tcW w:w="6113" w:type="dxa"/>
                  <w:shd w:val="clear" w:color="auto" w:fill="auto"/>
                  <w:vAlign w:val="center"/>
                </w:tcPr>
                <w:p w14:paraId="2B084074">
                  <w:pPr>
                    <w:keepNext w:val="0"/>
                    <w:keepLines w:val="0"/>
                    <w:pageBreakBefore w:val="0"/>
                    <w:widowControl w:val="0"/>
                    <w:kinsoku/>
                    <w:wordWrap/>
                    <w:overflowPunct/>
                    <w:topLinePunct w:val="0"/>
                    <w:bidi w:val="0"/>
                    <w:adjustRightInd/>
                    <w:snapToGrid/>
                    <w:spacing w:line="240" w:lineRule="auto"/>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二楼及三楼车间贮存车载塑料保鲜袋和塑料垃圾袋产品。</w:t>
                  </w:r>
                </w:p>
              </w:tc>
            </w:tr>
            <w:tr w14:paraId="69371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restart"/>
                  <w:shd w:val="clear" w:color="auto" w:fill="auto"/>
                  <w:vAlign w:val="center"/>
                </w:tcPr>
                <w:p w14:paraId="60C522C0">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公用工程</w:t>
                  </w:r>
                </w:p>
              </w:tc>
              <w:tc>
                <w:tcPr>
                  <w:tcW w:w="1227" w:type="dxa"/>
                  <w:shd w:val="clear" w:color="auto" w:fill="auto"/>
                  <w:vAlign w:val="center"/>
                </w:tcPr>
                <w:p w14:paraId="71A1C009">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供水</w:t>
                  </w:r>
                </w:p>
              </w:tc>
              <w:tc>
                <w:tcPr>
                  <w:tcW w:w="6113" w:type="dxa"/>
                  <w:shd w:val="clear" w:color="auto" w:fill="auto"/>
                  <w:vAlign w:val="center"/>
                </w:tcPr>
                <w:p w14:paraId="3E723D3E">
                  <w:pPr>
                    <w:keepNext w:val="0"/>
                    <w:keepLines w:val="0"/>
                    <w:pageBreakBefore w:val="0"/>
                    <w:widowControl w:val="0"/>
                    <w:kinsoku/>
                    <w:wordWrap/>
                    <w:overflowPunct/>
                    <w:topLinePunct w:val="0"/>
                    <w:bidi w:val="0"/>
                    <w:adjustRightInd/>
                    <w:snapToGrid/>
                    <w:spacing w:line="240" w:lineRule="auto"/>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市政供水</w:t>
                  </w:r>
                </w:p>
              </w:tc>
            </w:tr>
            <w:tr w14:paraId="227DF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373FE86E">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shd w:val="clear" w:color="auto" w:fill="auto"/>
                  <w:vAlign w:val="center"/>
                </w:tcPr>
                <w:p w14:paraId="671FC19F">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供电</w:t>
                  </w:r>
                </w:p>
              </w:tc>
              <w:tc>
                <w:tcPr>
                  <w:tcW w:w="6113" w:type="dxa"/>
                  <w:shd w:val="clear" w:color="auto" w:fill="auto"/>
                  <w:vAlign w:val="center"/>
                </w:tcPr>
                <w:p w14:paraId="7644E0E4">
                  <w:pPr>
                    <w:keepNext w:val="0"/>
                    <w:keepLines w:val="0"/>
                    <w:pageBreakBefore w:val="0"/>
                    <w:widowControl w:val="0"/>
                    <w:kinsoku/>
                    <w:wordWrap/>
                    <w:overflowPunct/>
                    <w:topLinePunct w:val="0"/>
                    <w:bidi w:val="0"/>
                    <w:adjustRightInd/>
                    <w:snapToGrid/>
                    <w:spacing w:line="240" w:lineRule="auto"/>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市政供电</w:t>
                  </w:r>
                </w:p>
              </w:tc>
            </w:tr>
            <w:tr w14:paraId="237BE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56E57BB6">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shd w:val="clear" w:color="auto" w:fill="auto"/>
                  <w:vAlign w:val="center"/>
                </w:tcPr>
                <w:p w14:paraId="25358DAB">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排水</w:t>
                  </w:r>
                </w:p>
              </w:tc>
              <w:tc>
                <w:tcPr>
                  <w:tcW w:w="6113" w:type="dxa"/>
                  <w:shd w:val="clear" w:color="auto" w:fill="auto"/>
                  <w:vAlign w:val="center"/>
                </w:tcPr>
                <w:p w14:paraId="4240AFEC">
                  <w:pPr>
                    <w:keepNext w:val="0"/>
                    <w:keepLines w:val="0"/>
                    <w:pageBreakBefore w:val="0"/>
                    <w:widowControl w:val="0"/>
                    <w:kinsoku/>
                    <w:wordWrap/>
                    <w:overflowPunct/>
                    <w:topLinePunct w:val="0"/>
                    <w:bidi w:val="0"/>
                    <w:adjustRightInd/>
                    <w:snapToGrid/>
                    <w:spacing w:line="240" w:lineRule="auto"/>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排水实行雨污分流，雨水经厂区雨水管网，排入市政雨水管网</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14:textFill>
                        <w14:solidFill>
                          <w14:schemeClr w14:val="tx1"/>
                        </w14:solidFill>
                      </w14:textFill>
                    </w:rPr>
                    <w:t>生活污水依托出租方</w:t>
                  </w:r>
                  <w:r>
                    <w:rPr>
                      <w:rFonts w:hint="eastAsia"/>
                      <w:color w:val="000000" w:themeColor="text1"/>
                      <w:sz w:val="21"/>
                      <w:szCs w:val="21"/>
                      <w:highlight w:val="none"/>
                      <w:lang w:val="en-US" w:eastAsia="zh-CN"/>
                      <w14:textFill>
                        <w14:solidFill>
                          <w14:schemeClr w14:val="tx1"/>
                        </w14:solidFill>
                      </w14:textFill>
                    </w:rPr>
                    <w:t>隔油+</w:t>
                  </w:r>
                  <w:r>
                    <w:rPr>
                      <w:rFonts w:hint="eastAsia"/>
                      <w:color w:val="000000" w:themeColor="text1"/>
                      <w:sz w:val="21"/>
                      <w:szCs w:val="21"/>
                      <w:highlight w:val="none"/>
                      <w14:textFill>
                        <w14:solidFill>
                          <w14:schemeClr w14:val="tx1"/>
                        </w14:solidFill>
                      </w14:textFill>
                    </w:rPr>
                    <w:t>化粪池处理后，接市政污水管网进入福建青口海峡环保工程有限公司(青口新区污水处理厂)处理。</w:t>
                  </w:r>
                </w:p>
              </w:tc>
            </w:tr>
            <w:tr w14:paraId="38E38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restart"/>
                  <w:shd w:val="clear" w:color="auto" w:fill="auto"/>
                  <w:vAlign w:val="center"/>
                </w:tcPr>
                <w:p w14:paraId="7B855286">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环保工程</w:t>
                  </w:r>
                </w:p>
              </w:tc>
              <w:tc>
                <w:tcPr>
                  <w:tcW w:w="1227" w:type="dxa"/>
                  <w:shd w:val="clear" w:color="auto" w:fill="auto"/>
                  <w:vAlign w:val="center"/>
                </w:tcPr>
                <w:p w14:paraId="045C985C">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污水处理</w:t>
                  </w:r>
                </w:p>
              </w:tc>
              <w:tc>
                <w:tcPr>
                  <w:tcW w:w="6113" w:type="dxa"/>
                  <w:shd w:val="clear" w:color="auto" w:fill="auto"/>
                  <w:vAlign w:val="center"/>
                </w:tcPr>
                <w:p w14:paraId="08DEAD43">
                  <w:pPr>
                    <w:keepNext w:val="0"/>
                    <w:keepLines w:val="0"/>
                    <w:pageBreakBefore w:val="0"/>
                    <w:widowControl w:val="0"/>
                    <w:kinsoku/>
                    <w:wordWrap/>
                    <w:overflowPunct/>
                    <w:topLinePunct w:val="0"/>
                    <w:bidi w:val="0"/>
                    <w:adjustRightInd/>
                    <w:snapToGrid/>
                    <w:spacing w:line="240" w:lineRule="auto"/>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生活污水依托出租方</w:t>
                  </w:r>
                  <w:r>
                    <w:rPr>
                      <w:rFonts w:hint="eastAsia"/>
                      <w:color w:val="000000" w:themeColor="text1"/>
                      <w:sz w:val="21"/>
                      <w:szCs w:val="21"/>
                      <w:highlight w:val="none"/>
                      <w:lang w:val="en-US" w:eastAsia="zh-CN"/>
                      <w14:textFill>
                        <w14:solidFill>
                          <w14:schemeClr w14:val="tx1"/>
                        </w14:solidFill>
                      </w14:textFill>
                    </w:rPr>
                    <w:t>隔油+</w:t>
                  </w:r>
                  <w:r>
                    <w:rPr>
                      <w:rFonts w:hint="eastAsia"/>
                      <w:color w:val="000000" w:themeColor="text1"/>
                      <w:sz w:val="21"/>
                      <w:szCs w:val="21"/>
                      <w:highlight w:val="none"/>
                      <w14:textFill>
                        <w14:solidFill>
                          <w14:schemeClr w14:val="tx1"/>
                        </w14:solidFill>
                      </w14:textFill>
                    </w:rPr>
                    <w:t>化粪池处理后，接市政污水管网进入福建青口海峡环保工程有限公司(青口新区污水处理厂)处理</w:t>
                  </w:r>
                  <w:r>
                    <w:rPr>
                      <w:rFonts w:hint="eastAsia"/>
                      <w:color w:val="000000" w:themeColor="text1"/>
                      <w:sz w:val="21"/>
                      <w:szCs w:val="21"/>
                      <w:highlight w:val="none"/>
                      <w:lang w:eastAsia="zh-CN"/>
                      <w14:textFill>
                        <w14:solidFill>
                          <w14:schemeClr w14:val="tx1"/>
                        </w14:solidFill>
                      </w14:textFill>
                    </w:rPr>
                    <w:t>。</w:t>
                  </w:r>
                </w:p>
              </w:tc>
            </w:tr>
            <w:tr w14:paraId="4E4A5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1F6DEAF8">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shd w:val="clear" w:color="auto" w:fill="auto"/>
                  <w:vAlign w:val="center"/>
                </w:tcPr>
                <w:p w14:paraId="485E8B09">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废气治理</w:t>
                  </w:r>
                </w:p>
              </w:tc>
              <w:tc>
                <w:tcPr>
                  <w:tcW w:w="6113" w:type="dxa"/>
                  <w:shd w:val="clear" w:color="auto" w:fill="auto"/>
                  <w:vAlign w:val="center"/>
                </w:tcPr>
                <w:p w14:paraId="0EA49361">
                  <w:pPr>
                    <w:keepNext w:val="0"/>
                    <w:keepLines w:val="0"/>
                    <w:pageBreakBefore w:val="0"/>
                    <w:widowControl w:val="0"/>
                    <w:kinsoku/>
                    <w:wordWrap/>
                    <w:overflowPunct/>
                    <w:topLinePunct w:val="0"/>
                    <w:bidi w:val="0"/>
                    <w:adjustRightInd/>
                    <w:snapToGrid/>
                    <w:spacing w:line="240" w:lineRule="auto"/>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产生的有机废气经</w:t>
                  </w:r>
                  <w:r>
                    <w:rPr>
                      <w:rFonts w:hint="eastAsia"/>
                      <w:color w:val="000000" w:themeColor="text1"/>
                      <w:sz w:val="21"/>
                      <w:szCs w:val="21"/>
                      <w:highlight w:val="none"/>
                      <w:lang w:val="en-US" w:eastAsia="zh-CN"/>
                      <w14:textFill>
                        <w14:solidFill>
                          <w14:schemeClr w14:val="tx1"/>
                        </w14:solidFill>
                      </w14:textFill>
                    </w:rPr>
                    <w:t>集气罩收集后经两级活性炭吸附后，通过</w:t>
                  </w:r>
                  <w:r>
                    <w:rPr>
                      <w:rFonts w:hint="eastAsia"/>
                      <w:color w:val="000000" w:themeColor="text1"/>
                      <w:sz w:val="21"/>
                      <w:szCs w:val="21"/>
                      <w:highlight w:val="none"/>
                      <w14:textFill>
                        <w14:solidFill>
                          <w14:schemeClr w14:val="tx1"/>
                        </w14:solidFill>
                      </w14:textFill>
                    </w:rPr>
                    <w:t>一根</w:t>
                  </w:r>
                  <w:r>
                    <w:rPr>
                      <w:rFonts w:hint="eastAsia"/>
                      <w:color w:val="000000" w:themeColor="text1"/>
                      <w:sz w:val="21"/>
                      <w:szCs w:val="21"/>
                      <w:highlight w:val="none"/>
                      <w:lang w:val="en-US" w:eastAsia="zh-CN"/>
                      <w14:textFill>
                        <w14:solidFill>
                          <w14:schemeClr w14:val="tx1"/>
                        </w14:solidFill>
                      </w14:textFill>
                    </w:rPr>
                    <w:t>25</w:t>
                  </w:r>
                  <w:r>
                    <w:rPr>
                      <w:rFonts w:hint="eastAsia"/>
                      <w:color w:val="000000" w:themeColor="text1"/>
                      <w:sz w:val="21"/>
                      <w:szCs w:val="21"/>
                      <w:highlight w:val="none"/>
                      <w14:textFill>
                        <w14:solidFill>
                          <w14:schemeClr w14:val="tx1"/>
                        </w14:solidFill>
                      </w14:textFill>
                    </w:rPr>
                    <w:t>m高排气筒排放。</w:t>
                  </w:r>
                </w:p>
              </w:tc>
            </w:tr>
            <w:tr w14:paraId="675CF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1BDA0078">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shd w:val="clear" w:color="auto" w:fill="auto"/>
                  <w:vAlign w:val="center"/>
                </w:tcPr>
                <w:p w14:paraId="56FC379B">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噪声治理</w:t>
                  </w:r>
                </w:p>
              </w:tc>
              <w:tc>
                <w:tcPr>
                  <w:tcW w:w="6113" w:type="dxa"/>
                  <w:shd w:val="clear" w:color="auto" w:fill="auto"/>
                  <w:vAlign w:val="center"/>
                </w:tcPr>
                <w:p w14:paraId="7D5879E0">
                  <w:pPr>
                    <w:keepNext w:val="0"/>
                    <w:keepLines w:val="0"/>
                    <w:pageBreakBefore w:val="0"/>
                    <w:widowControl w:val="0"/>
                    <w:kinsoku/>
                    <w:wordWrap/>
                    <w:overflowPunct/>
                    <w:topLinePunct w:val="0"/>
                    <w:bidi w:val="0"/>
                    <w:adjustRightInd/>
                    <w:snapToGrid/>
                    <w:spacing w:line="240" w:lineRule="auto"/>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优先选用低噪声设备及工艺，</w:t>
                  </w:r>
                  <w:r>
                    <w:rPr>
                      <w:rFonts w:hint="eastAsia"/>
                      <w:color w:val="000000" w:themeColor="text1"/>
                      <w:sz w:val="21"/>
                      <w:szCs w:val="21"/>
                      <w:highlight w:val="none"/>
                      <w:lang w:val="en-US" w:eastAsia="zh-CN"/>
                      <w14:textFill>
                        <w14:solidFill>
                          <w14:schemeClr w14:val="tx1"/>
                        </w14:solidFill>
                      </w14:textFill>
                    </w:rPr>
                    <w:t>并采取减振措施，</w:t>
                  </w:r>
                  <w:r>
                    <w:rPr>
                      <w:rFonts w:hint="eastAsia"/>
                      <w:color w:val="000000" w:themeColor="text1"/>
                      <w:sz w:val="21"/>
                      <w:szCs w:val="21"/>
                      <w:highlight w:val="none"/>
                      <w14:textFill>
                        <w14:solidFill>
                          <w14:schemeClr w14:val="tx1"/>
                        </w14:solidFill>
                      </w14:textFill>
                    </w:rPr>
                    <w:t>合理布局，使用厂房隔声等降低生产设备噪声对周边环境的影响。</w:t>
                  </w:r>
                </w:p>
              </w:tc>
            </w:tr>
            <w:tr w14:paraId="478B6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45CFCE34">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vMerge w:val="restart"/>
                  <w:shd w:val="clear" w:color="auto" w:fill="auto"/>
                  <w:vAlign w:val="center"/>
                </w:tcPr>
                <w:p w14:paraId="05183586">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固废处置</w:t>
                  </w:r>
                </w:p>
              </w:tc>
              <w:tc>
                <w:tcPr>
                  <w:tcW w:w="6113" w:type="dxa"/>
                  <w:shd w:val="clear" w:color="auto" w:fill="auto"/>
                  <w:vAlign w:val="center"/>
                </w:tcPr>
                <w:p w14:paraId="6068472E">
                  <w:pPr>
                    <w:keepNext w:val="0"/>
                    <w:keepLines w:val="0"/>
                    <w:pageBreakBefore w:val="0"/>
                    <w:widowControl w:val="0"/>
                    <w:kinsoku/>
                    <w:wordWrap/>
                    <w:overflowPunct/>
                    <w:topLinePunct w:val="0"/>
                    <w:bidi w:val="0"/>
                    <w:adjustRightInd/>
                    <w:snapToGrid/>
                    <w:spacing w:line="240" w:lineRule="auto"/>
                    <w:jc w:val="both"/>
                    <w:textAlignment w:val="auto"/>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设一处危险废物暂存间，面积</w:t>
                  </w:r>
                  <w:r>
                    <w:rPr>
                      <w:rFonts w:hint="eastAsia"/>
                      <w:color w:val="000000" w:themeColor="text1"/>
                      <w:sz w:val="21"/>
                      <w:szCs w:val="21"/>
                      <w:highlight w:val="none"/>
                      <w:lang w:val="en-US" w:eastAsia="zh-CN"/>
                      <w14:textFill>
                        <w14:solidFill>
                          <w14:schemeClr w14:val="tx1"/>
                        </w14:solidFill>
                      </w14:textFill>
                    </w:rPr>
                    <w:t>8</w:t>
                  </w:r>
                  <w:r>
                    <w:rPr>
                      <w:rFonts w:hint="default" w:eastAsia="宋体"/>
                      <w:color w:val="000000" w:themeColor="text1"/>
                      <w:sz w:val="21"/>
                      <w:szCs w:val="21"/>
                      <w:highlight w:val="none"/>
                      <w:lang w:val="en-US" w:eastAsia="zh-CN"/>
                      <w14:textFill>
                        <w14:solidFill>
                          <w14:schemeClr w14:val="tx1"/>
                        </w14:solidFill>
                      </w14:textFill>
                    </w:rPr>
                    <w:t>m</w:t>
                  </w:r>
                  <w:r>
                    <w:rPr>
                      <w:rFonts w:hint="eastAsia"/>
                      <w:color w:val="000000" w:themeColor="text1"/>
                      <w:sz w:val="21"/>
                      <w:szCs w:val="21"/>
                      <w:highlight w:val="none"/>
                      <w:vertAlign w:val="superscript"/>
                      <w:lang w:val="en-US" w:eastAsia="zh-CN"/>
                      <w14:textFill>
                        <w14:solidFill>
                          <w14:schemeClr w14:val="tx1"/>
                        </w14:solidFill>
                      </w14:textFill>
                    </w:rPr>
                    <w:t>2</w:t>
                  </w:r>
                  <w:r>
                    <w:rPr>
                      <w:rFonts w:hint="default" w:eastAsia="宋体"/>
                      <w:color w:val="000000" w:themeColor="text1"/>
                      <w:sz w:val="21"/>
                      <w:szCs w:val="21"/>
                      <w:highlight w:val="none"/>
                      <w:lang w:val="en-US" w:eastAsia="zh-CN"/>
                      <w14:textFill>
                        <w14:solidFill>
                          <w14:schemeClr w14:val="tx1"/>
                        </w14:solidFill>
                      </w14:textFill>
                    </w:rPr>
                    <w:t>，位于</w:t>
                  </w:r>
                  <w:r>
                    <w:rPr>
                      <w:rFonts w:hint="eastAsia"/>
                      <w:color w:val="000000" w:themeColor="text1"/>
                      <w:sz w:val="21"/>
                      <w:szCs w:val="21"/>
                      <w:highlight w:val="none"/>
                      <w:lang w:val="en-US" w:eastAsia="zh-CN"/>
                      <w14:textFill>
                        <w14:solidFill>
                          <w14:schemeClr w14:val="tx1"/>
                        </w14:solidFill>
                      </w14:textFill>
                    </w:rPr>
                    <w:t>三楼东北角</w:t>
                  </w:r>
                  <w:r>
                    <w:rPr>
                      <w:rFonts w:hint="default" w:eastAsia="宋体"/>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暂存废活性炭、废润滑油、废油桶等危险废物；</w:t>
                  </w:r>
                  <w:r>
                    <w:rPr>
                      <w:rFonts w:hint="default" w:eastAsia="宋体"/>
                      <w:color w:val="000000" w:themeColor="text1"/>
                      <w:sz w:val="21"/>
                      <w:szCs w:val="21"/>
                      <w:highlight w:val="none"/>
                      <w:lang w:val="en-US" w:eastAsia="zh-CN"/>
                      <w14:textFill>
                        <w14:solidFill>
                          <w14:schemeClr w14:val="tx1"/>
                        </w14:solidFill>
                      </w14:textFill>
                    </w:rPr>
                    <w:t>暂存间贴明显警示标志并设好围堰和地面防渗，危险废物收集后委托有资质的单位</w:t>
                  </w:r>
                  <w:r>
                    <w:rPr>
                      <w:rFonts w:hint="eastAsia"/>
                      <w:color w:val="000000" w:themeColor="text1"/>
                      <w:sz w:val="21"/>
                      <w:szCs w:val="21"/>
                      <w:highlight w:val="none"/>
                      <w:lang w:val="en-US" w:eastAsia="zh-CN"/>
                      <w14:textFill>
                        <w14:solidFill>
                          <w14:schemeClr w14:val="tx1"/>
                        </w14:solidFill>
                      </w14:textFill>
                    </w:rPr>
                    <w:t>处置。</w:t>
                  </w:r>
                </w:p>
              </w:tc>
            </w:tr>
            <w:tr w14:paraId="49F41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4EACFD67">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vMerge w:val="continue"/>
                  <w:shd w:val="clear" w:color="auto" w:fill="auto"/>
                  <w:vAlign w:val="center"/>
                </w:tcPr>
                <w:p w14:paraId="62C7F68F">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21"/>
                      <w:highlight w:val="none"/>
                      <w:lang w:val="en-US" w:eastAsia="zh-CN"/>
                      <w14:textFill>
                        <w14:solidFill>
                          <w14:schemeClr w14:val="tx1"/>
                        </w14:solidFill>
                      </w14:textFill>
                    </w:rPr>
                  </w:pPr>
                </w:p>
              </w:tc>
              <w:tc>
                <w:tcPr>
                  <w:tcW w:w="6113" w:type="dxa"/>
                  <w:shd w:val="clear" w:color="auto" w:fill="auto"/>
                  <w:vAlign w:val="center"/>
                </w:tcPr>
                <w:p w14:paraId="4C2A1C44">
                  <w:pPr>
                    <w:keepNext w:val="0"/>
                    <w:keepLines w:val="0"/>
                    <w:pageBreakBefore w:val="0"/>
                    <w:widowControl w:val="0"/>
                    <w:kinsoku/>
                    <w:wordWrap/>
                    <w:overflowPunct/>
                    <w:topLinePunct w:val="0"/>
                    <w:bidi w:val="0"/>
                    <w:adjustRightInd/>
                    <w:snapToGrid/>
                    <w:spacing w:line="240" w:lineRule="auto"/>
                    <w:jc w:val="both"/>
                    <w:textAlignment w:val="auto"/>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设一般工业固废暂存区，面积</w:t>
                  </w:r>
                  <w:r>
                    <w:rPr>
                      <w:rFonts w:hint="eastAsia"/>
                      <w:color w:val="000000" w:themeColor="text1"/>
                      <w:sz w:val="21"/>
                      <w:szCs w:val="21"/>
                      <w:highlight w:val="none"/>
                      <w:lang w:val="en-US" w:eastAsia="zh-CN"/>
                      <w14:textFill>
                        <w14:solidFill>
                          <w14:schemeClr w14:val="tx1"/>
                        </w14:solidFill>
                      </w14:textFill>
                    </w:rPr>
                    <w:t>8</w:t>
                  </w:r>
                  <w:r>
                    <w:rPr>
                      <w:rFonts w:hint="default" w:eastAsia="宋体"/>
                      <w:color w:val="000000" w:themeColor="text1"/>
                      <w:sz w:val="21"/>
                      <w:szCs w:val="21"/>
                      <w:highlight w:val="none"/>
                      <w:lang w:val="en-US" w:eastAsia="zh-CN"/>
                      <w14:textFill>
                        <w14:solidFill>
                          <w14:schemeClr w14:val="tx1"/>
                        </w14:solidFill>
                      </w14:textFill>
                    </w:rPr>
                    <w:t>m</w:t>
                  </w:r>
                  <w:r>
                    <w:rPr>
                      <w:rFonts w:hint="eastAsia"/>
                      <w:color w:val="000000" w:themeColor="text1"/>
                      <w:sz w:val="21"/>
                      <w:szCs w:val="21"/>
                      <w:highlight w:val="none"/>
                      <w:vertAlign w:val="superscript"/>
                      <w:lang w:val="en-US" w:eastAsia="zh-CN"/>
                      <w14:textFill>
                        <w14:solidFill>
                          <w14:schemeClr w14:val="tx1"/>
                        </w14:solidFill>
                      </w14:textFill>
                    </w:rPr>
                    <w:t>2</w:t>
                  </w:r>
                  <w:r>
                    <w:rPr>
                      <w:rFonts w:hint="default" w:eastAsia="宋体"/>
                      <w:color w:val="000000" w:themeColor="text1"/>
                      <w:sz w:val="21"/>
                      <w:szCs w:val="21"/>
                      <w:highlight w:val="none"/>
                      <w:lang w:val="en-US" w:eastAsia="zh-CN"/>
                      <w14:textFill>
                        <w14:solidFill>
                          <w14:schemeClr w14:val="tx1"/>
                        </w14:solidFill>
                      </w14:textFill>
                    </w:rPr>
                    <w:t>，位于</w:t>
                  </w:r>
                  <w:r>
                    <w:rPr>
                      <w:rFonts w:hint="eastAsia"/>
                      <w:color w:val="000000" w:themeColor="text1"/>
                      <w:sz w:val="21"/>
                      <w:szCs w:val="21"/>
                      <w:highlight w:val="none"/>
                      <w:lang w:val="en-US" w:eastAsia="zh-CN"/>
                      <w14:textFill>
                        <w14:solidFill>
                          <w14:schemeClr w14:val="tx1"/>
                        </w14:solidFill>
                      </w14:textFill>
                    </w:rPr>
                    <w:t>三楼东北角</w:t>
                  </w:r>
                  <w:r>
                    <w:rPr>
                      <w:rFonts w:hint="default" w:eastAsia="宋体"/>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暂存废包装袋、残次品等一般工业固废，统一</w:t>
                  </w:r>
                  <w:r>
                    <w:rPr>
                      <w:rFonts w:hint="default" w:eastAsia="宋体"/>
                      <w:color w:val="000000" w:themeColor="text1"/>
                      <w:sz w:val="21"/>
                      <w:szCs w:val="21"/>
                      <w:highlight w:val="none"/>
                      <w:lang w:val="en-US" w:eastAsia="zh-CN"/>
                      <w14:textFill>
                        <w14:solidFill>
                          <w14:schemeClr w14:val="tx1"/>
                        </w14:solidFill>
                      </w14:textFill>
                    </w:rPr>
                    <w:t>分类收集后外售给回收企业综合利用</w:t>
                  </w:r>
                  <w:r>
                    <w:rPr>
                      <w:rFonts w:hint="eastAsia"/>
                      <w:color w:val="000000" w:themeColor="text1"/>
                      <w:sz w:val="21"/>
                      <w:szCs w:val="21"/>
                      <w:highlight w:val="none"/>
                      <w:lang w:val="en-US" w:eastAsia="zh-CN"/>
                      <w14:textFill>
                        <w14:solidFill>
                          <w14:schemeClr w14:val="tx1"/>
                        </w14:solidFill>
                      </w14:textFill>
                    </w:rPr>
                    <w:t>。</w:t>
                  </w:r>
                </w:p>
              </w:tc>
            </w:tr>
            <w:tr w14:paraId="6F432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932" w:type="dxa"/>
                  <w:vMerge w:val="continue"/>
                  <w:shd w:val="clear" w:color="auto" w:fill="auto"/>
                  <w:vAlign w:val="center"/>
                </w:tcPr>
                <w:p w14:paraId="30349CB0">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21"/>
                      <w:highlight w:val="none"/>
                      <w14:textFill>
                        <w14:solidFill>
                          <w14:schemeClr w14:val="tx1"/>
                        </w14:solidFill>
                      </w14:textFill>
                    </w:rPr>
                  </w:pPr>
                </w:p>
              </w:tc>
              <w:tc>
                <w:tcPr>
                  <w:tcW w:w="1227" w:type="dxa"/>
                  <w:vMerge w:val="continue"/>
                  <w:shd w:val="clear" w:color="auto" w:fill="auto"/>
                  <w:vAlign w:val="center"/>
                </w:tcPr>
                <w:p w14:paraId="4A0F23F9">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21"/>
                      <w:highlight w:val="none"/>
                      <w:lang w:val="en-US" w:eastAsia="zh-CN"/>
                      <w14:textFill>
                        <w14:solidFill>
                          <w14:schemeClr w14:val="tx1"/>
                        </w14:solidFill>
                      </w14:textFill>
                    </w:rPr>
                  </w:pPr>
                </w:p>
              </w:tc>
              <w:tc>
                <w:tcPr>
                  <w:tcW w:w="6113" w:type="dxa"/>
                  <w:shd w:val="clear" w:color="auto" w:fill="auto"/>
                  <w:vAlign w:val="center"/>
                </w:tcPr>
                <w:p w14:paraId="6F962B1B">
                  <w:pPr>
                    <w:keepNext w:val="0"/>
                    <w:keepLines w:val="0"/>
                    <w:pageBreakBefore w:val="0"/>
                    <w:widowControl w:val="0"/>
                    <w:kinsoku/>
                    <w:wordWrap/>
                    <w:overflowPunct/>
                    <w:topLinePunct w:val="0"/>
                    <w:bidi w:val="0"/>
                    <w:adjustRightInd/>
                    <w:snapToGrid/>
                    <w:spacing w:line="240" w:lineRule="auto"/>
                    <w:jc w:val="both"/>
                    <w:textAlignment w:val="auto"/>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设置生活垃圾桶，生活垃圾收集后委托环卫工人处置</w:t>
                  </w:r>
                  <w:r>
                    <w:rPr>
                      <w:rFonts w:hint="eastAsia"/>
                      <w:color w:val="000000" w:themeColor="text1"/>
                      <w:sz w:val="21"/>
                      <w:szCs w:val="21"/>
                      <w:highlight w:val="none"/>
                      <w:lang w:val="en-US" w:eastAsia="zh-CN"/>
                      <w14:textFill>
                        <w14:solidFill>
                          <w14:schemeClr w14:val="tx1"/>
                        </w14:solidFill>
                      </w14:textFill>
                    </w:rPr>
                    <w:t>。</w:t>
                  </w:r>
                </w:p>
              </w:tc>
            </w:tr>
          </w:tbl>
          <w:p w14:paraId="6F64B3FD">
            <w:pPr>
              <w:pStyle w:val="37"/>
              <w:rPr>
                <w:rFonts w:hint="default" w:eastAsia="黑体"/>
                <w:b w:val="0"/>
                <w:color w:val="000000" w:themeColor="text1"/>
                <w:sz w:val="24"/>
                <w:szCs w:val="21"/>
                <w:highlight w:val="none"/>
                <w:lang w:val="en-US" w:eastAsia="zh-CN"/>
                <w14:textFill>
                  <w14:solidFill>
                    <w14:schemeClr w14:val="tx1"/>
                  </w14:solidFill>
                </w14:textFill>
              </w:rPr>
            </w:pPr>
            <w:r>
              <w:rPr>
                <w:b w:val="0"/>
                <w:color w:val="000000" w:themeColor="text1"/>
                <w:sz w:val="24"/>
                <w:szCs w:val="21"/>
                <w:highlight w:val="none"/>
                <w14:textFill>
                  <w14:solidFill>
                    <w14:schemeClr w14:val="tx1"/>
                  </w14:solidFill>
                </w14:textFill>
              </w:rPr>
              <w:t>2.</w:t>
            </w:r>
            <w:r>
              <w:rPr>
                <w:rFonts w:hint="eastAsia"/>
                <w:b w:val="0"/>
                <w:color w:val="000000" w:themeColor="text1"/>
                <w:sz w:val="24"/>
                <w:szCs w:val="21"/>
                <w:highlight w:val="none"/>
                <w:lang w:val="en-US" w:eastAsia="zh-CN"/>
                <w14:textFill>
                  <w14:solidFill>
                    <w14:schemeClr w14:val="tx1"/>
                  </w14:solidFill>
                </w14:textFill>
              </w:rPr>
              <w:t>4</w:t>
            </w:r>
            <w:r>
              <w:rPr>
                <w:b w:val="0"/>
                <w:color w:val="000000" w:themeColor="text1"/>
                <w:sz w:val="24"/>
                <w:szCs w:val="21"/>
                <w:highlight w:val="none"/>
                <w14:textFill>
                  <w14:solidFill>
                    <w14:schemeClr w14:val="tx1"/>
                  </w14:solidFill>
                </w14:textFill>
              </w:rPr>
              <w:t xml:space="preserve"> </w:t>
            </w:r>
            <w:r>
              <w:rPr>
                <w:rFonts w:hint="eastAsia"/>
                <w:b w:val="0"/>
                <w:color w:val="000000" w:themeColor="text1"/>
                <w:sz w:val="24"/>
                <w:szCs w:val="21"/>
                <w:highlight w:val="none"/>
                <w:lang w:val="en-US" w:eastAsia="zh-CN"/>
                <w14:textFill>
                  <w14:solidFill>
                    <w14:schemeClr w14:val="tx1"/>
                  </w14:solidFill>
                </w14:textFill>
              </w:rPr>
              <w:t>项目产品方案及主要原辅材料</w:t>
            </w:r>
          </w:p>
          <w:p w14:paraId="5A473B0C">
            <w:pPr>
              <w:spacing w:line="360" w:lineRule="auto"/>
              <w:ind w:firstLine="480" w:firstLineChars="200"/>
              <w:rPr>
                <w:rFonts w:hint="eastAsia"/>
                <w:color w:val="000000" w:themeColor="text1"/>
                <w:sz w:val="24"/>
                <w:szCs w:val="32"/>
                <w:highlight w:val="none"/>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项目产品方案见下表。</w:t>
            </w:r>
          </w:p>
          <w:p w14:paraId="6A620DEF">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eastAsia="宋体"/>
                <w:b/>
                <w:color w:val="000000" w:themeColor="text1"/>
                <w:sz w:val="24"/>
                <w:szCs w:val="24"/>
                <w:highlight w:val="none"/>
                <w:lang w:val="en-US" w:eastAsia="zh-CN"/>
                <w14:textFill>
                  <w14:solidFill>
                    <w14:schemeClr w14:val="tx1"/>
                  </w14:solidFill>
                </w14:textFill>
              </w:rPr>
            </w:pPr>
            <w:r>
              <w:rPr>
                <w:rFonts w:hint="eastAsia"/>
                <w:b/>
                <w:color w:val="000000" w:themeColor="text1"/>
                <w:sz w:val="24"/>
                <w:szCs w:val="24"/>
                <w:highlight w:val="none"/>
                <w14:textFill>
                  <w14:solidFill>
                    <w14:schemeClr w14:val="tx1"/>
                  </w14:solidFill>
                </w14:textFill>
              </w:rPr>
              <w:t>表</w:t>
            </w:r>
            <w:r>
              <w:rPr>
                <w:rFonts w:hint="eastAsia"/>
                <w:b/>
                <w:color w:val="000000" w:themeColor="text1"/>
                <w:sz w:val="24"/>
                <w:szCs w:val="24"/>
                <w:highlight w:val="none"/>
                <w:lang w:val="en-US" w:eastAsia="zh-CN"/>
                <w14:textFill>
                  <w14:solidFill>
                    <w14:schemeClr w14:val="tx1"/>
                  </w14:solidFill>
                </w14:textFill>
              </w:rPr>
              <w:t>2-3</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lang w:val="en-US" w:eastAsia="zh-CN"/>
                <w14:textFill>
                  <w14:solidFill>
                    <w14:schemeClr w14:val="tx1"/>
                  </w14:solidFill>
                </w14:textFill>
              </w:rPr>
              <w:t>项目产品方案一览表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57"/>
              <w:gridCol w:w="1812"/>
              <w:gridCol w:w="5703"/>
            </w:tblGrid>
            <w:tr w14:paraId="3CC98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shd w:val="clear" w:color="auto" w:fill="auto"/>
                  <w:vAlign w:val="center"/>
                </w:tcPr>
                <w:p w14:paraId="33EDAFFB">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序号</w:t>
                  </w:r>
                </w:p>
              </w:tc>
              <w:tc>
                <w:tcPr>
                  <w:tcW w:w="1812" w:type="dxa"/>
                  <w:shd w:val="clear" w:color="auto" w:fill="auto"/>
                  <w:vAlign w:val="center"/>
                </w:tcPr>
                <w:p w14:paraId="68937E08">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产品名称</w:t>
                  </w:r>
                </w:p>
              </w:tc>
              <w:tc>
                <w:tcPr>
                  <w:tcW w:w="5703" w:type="dxa"/>
                  <w:shd w:val="clear" w:color="auto" w:fill="auto"/>
                  <w:vAlign w:val="center"/>
                </w:tcPr>
                <w:p w14:paraId="25518944">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产量及规格</w:t>
                  </w:r>
                </w:p>
              </w:tc>
            </w:tr>
            <w:tr w14:paraId="637EF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shd w:val="clear" w:color="auto" w:fill="auto"/>
                  <w:vAlign w:val="center"/>
                </w:tcPr>
                <w:p w14:paraId="2559D3B6">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1812" w:type="dxa"/>
                  <w:shd w:val="clear" w:color="auto" w:fill="auto"/>
                  <w:vAlign w:val="center"/>
                </w:tcPr>
                <w:p w14:paraId="4A2C2EA0">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车载塑料垃圾袋</w:t>
                  </w:r>
                </w:p>
              </w:tc>
              <w:tc>
                <w:tcPr>
                  <w:tcW w:w="5703" w:type="dxa"/>
                  <w:shd w:val="clear" w:color="auto" w:fill="auto"/>
                  <w:vAlign w:val="center"/>
                </w:tcPr>
                <w:p w14:paraId="417827D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8万卷/年(厚度0.03毫米)</w:t>
                  </w:r>
                </w:p>
              </w:tc>
            </w:tr>
            <w:tr w14:paraId="7C986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shd w:val="clear" w:color="auto" w:fill="auto"/>
                  <w:vAlign w:val="center"/>
                </w:tcPr>
                <w:p w14:paraId="4C6C0CAC">
                  <w:pPr>
                    <w:keepNext w:val="0"/>
                    <w:keepLines w:val="0"/>
                    <w:pageBreakBefore w:val="0"/>
                    <w:widowControl w:val="0"/>
                    <w:kinsoku/>
                    <w:wordWrap/>
                    <w:overflowPunct/>
                    <w:topLinePunct w:val="0"/>
                    <w:bidi w:val="0"/>
                    <w:adjustRightInd/>
                    <w:snapToGrid/>
                    <w:spacing w:line="240" w:lineRule="auto"/>
                    <w:jc w:val="center"/>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2</w:t>
                  </w:r>
                </w:p>
              </w:tc>
              <w:tc>
                <w:tcPr>
                  <w:tcW w:w="1812" w:type="dxa"/>
                  <w:shd w:val="clear" w:color="auto" w:fill="auto"/>
                  <w:vAlign w:val="center"/>
                </w:tcPr>
                <w:p w14:paraId="73C5FBD1">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车载塑料保鲜袋</w:t>
                  </w:r>
                </w:p>
              </w:tc>
              <w:tc>
                <w:tcPr>
                  <w:tcW w:w="5703" w:type="dxa"/>
                  <w:shd w:val="clear" w:color="auto" w:fill="auto"/>
                  <w:vAlign w:val="center"/>
                </w:tcPr>
                <w:p w14:paraId="5244AE02">
                  <w:pPr>
                    <w:keepNext w:val="0"/>
                    <w:keepLines w:val="0"/>
                    <w:pageBreakBefore w:val="0"/>
                    <w:widowControl w:val="0"/>
                    <w:kinsoku/>
                    <w:wordWrap/>
                    <w:overflowPunct/>
                    <w:topLinePunct w:val="0"/>
                    <w:bidi w:val="0"/>
                    <w:adjustRightInd/>
                    <w:snapToGrid/>
                    <w:spacing w:line="240" w:lineRule="auto"/>
                    <w:jc w:val="center"/>
                    <w:textAlignment w:val="auto"/>
                    <w:rPr>
                      <w:color w:val="000000" w:themeColor="text1"/>
                      <w:sz w:val="21"/>
                      <w:szCs w:val="18"/>
                      <w:highlight w:val="none"/>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12万条/年(厚度0.03毫米)</w:t>
                  </w:r>
                </w:p>
              </w:tc>
            </w:tr>
          </w:tbl>
          <w:p w14:paraId="2566240E">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项目主要原辅料及能源消耗详见下表。</w:t>
            </w:r>
          </w:p>
          <w:p w14:paraId="17B77C76">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eastAsia="宋体"/>
                <w:b/>
                <w:color w:val="000000" w:themeColor="text1"/>
                <w:sz w:val="24"/>
                <w:szCs w:val="24"/>
                <w:highlight w:val="none"/>
                <w:lang w:val="en-US" w:eastAsia="zh-CN"/>
                <w14:textFill>
                  <w14:solidFill>
                    <w14:schemeClr w14:val="tx1"/>
                  </w14:solidFill>
                </w14:textFill>
              </w:rPr>
            </w:pPr>
            <w:r>
              <w:rPr>
                <w:rFonts w:hint="eastAsia"/>
                <w:b/>
                <w:color w:val="000000" w:themeColor="text1"/>
                <w:sz w:val="24"/>
                <w:szCs w:val="24"/>
                <w:highlight w:val="none"/>
                <w14:textFill>
                  <w14:solidFill>
                    <w14:schemeClr w14:val="tx1"/>
                  </w14:solidFill>
                </w14:textFill>
              </w:rPr>
              <w:t>表</w:t>
            </w:r>
            <w:r>
              <w:rPr>
                <w:rFonts w:hint="eastAsia"/>
                <w:b/>
                <w:color w:val="000000" w:themeColor="text1"/>
                <w:sz w:val="24"/>
                <w:szCs w:val="24"/>
                <w:highlight w:val="none"/>
                <w:lang w:val="en-US" w:eastAsia="zh-CN"/>
                <w14:textFill>
                  <w14:solidFill>
                    <w14:schemeClr w14:val="tx1"/>
                  </w14:solidFill>
                </w14:textFill>
              </w:rPr>
              <w:t>2-4</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14:textFill>
                  <w14:solidFill>
                    <w14:schemeClr w14:val="tx1"/>
                  </w14:solidFill>
                </w14:textFill>
              </w:rPr>
              <w:t>项目主要原辅料及能源消耗情况一览</w:t>
            </w:r>
            <w:r>
              <w:rPr>
                <w:rFonts w:hint="eastAsia"/>
                <w:b/>
                <w:color w:val="000000" w:themeColor="text1"/>
                <w:sz w:val="24"/>
                <w:szCs w:val="24"/>
                <w:highlight w:val="none"/>
                <w:lang w:val="en-US" w:eastAsia="zh-CN"/>
                <w14:textFill>
                  <w14:solidFill>
                    <w14:schemeClr w14:val="tx1"/>
                  </w14:solidFill>
                </w14:textFill>
              </w:rPr>
              <w:t>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454"/>
              <w:gridCol w:w="930"/>
              <w:gridCol w:w="1095"/>
              <w:gridCol w:w="2580"/>
              <w:gridCol w:w="915"/>
              <w:gridCol w:w="1050"/>
              <w:gridCol w:w="1248"/>
            </w:tblGrid>
            <w:tr w14:paraId="1E7F1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54" w:type="dxa"/>
                  <w:shd w:val="clear" w:color="auto" w:fill="auto"/>
                  <w:vAlign w:val="center"/>
                </w:tcPr>
                <w:p w14:paraId="53DCEBE5">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序号</w:t>
                  </w:r>
                </w:p>
              </w:tc>
              <w:tc>
                <w:tcPr>
                  <w:tcW w:w="930" w:type="dxa"/>
                  <w:shd w:val="clear" w:color="auto" w:fill="auto"/>
                  <w:vAlign w:val="center"/>
                </w:tcPr>
                <w:p w14:paraId="1AD7A208">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原辅材料名称</w:t>
                  </w:r>
                </w:p>
              </w:tc>
              <w:tc>
                <w:tcPr>
                  <w:tcW w:w="1095" w:type="dxa"/>
                  <w:shd w:val="clear" w:color="auto" w:fill="auto"/>
                  <w:vAlign w:val="center"/>
                </w:tcPr>
                <w:p w14:paraId="114EE5FB">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成分</w:t>
                  </w:r>
                </w:p>
              </w:tc>
              <w:tc>
                <w:tcPr>
                  <w:tcW w:w="2580" w:type="dxa"/>
                  <w:shd w:val="clear" w:color="auto" w:fill="auto"/>
                  <w:vAlign w:val="center"/>
                </w:tcPr>
                <w:p w14:paraId="50FF863A">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理化性质和危险特性</w:t>
                  </w:r>
                </w:p>
              </w:tc>
              <w:tc>
                <w:tcPr>
                  <w:tcW w:w="915" w:type="dxa"/>
                  <w:shd w:val="clear" w:color="auto" w:fill="auto"/>
                  <w:vAlign w:val="center"/>
                </w:tcPr>
                <w:p w14:paraId="70C1E833">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年用量</w:t>
                  </w:r>
                </w:p>
              </w:tc>
              <w:tc>
                <w:tcPr>
                  <w:tcW w:w="1050" w:type="dxa"/>
                  <w:shd w:val="clear" w:color="auto" w:fill="auto"/>
                  <w:vAlign w:val="center"/>
                </w:tcPr>
                <w:p w14:paraId="5037307C">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厂内最大储存量</w:t>
                  </w:r>
                </w:p>
              </w:tc>
              <w:tc>
                <w:tcPr>
                  <w:tcW w:w="1248" w:type="dxa"/>
                  <w:shd w:val="clear" w:color="auto" w:fill="auto"/>
                  <w:vAlign w:val="center"/>
                </w:tcPr>
                <w:p w14:paraId="0C9DC96F">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物理形态及包装方式</w:t>
                  </w:r>
                </w:p>
              </w:tc>
            </w:tr>
            <w:tr w14:paraId="6ABB5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8272" w:type="dxa"/>
                  <w:gridSpan w:val="7"/>
                  <w:shd w:val="clear" w:color="auto" w:fill="auto"/>
                  <w:vAlign w:val="center"/>
                </w:tcPr>
                <w:p w14:paraId="180C05AD">
                  <w:pPr>
                    <w:keepNext w:val="0"/>
                    <w:keepLines w:val="0"/>
                    <w:pageBreakBefore w:val="0"/>
                    <w:widowControl w:val="0"/>
                    <w:kinsoku/>
                    <w:wordWrap/>
                    <w:overflowPunct/>
                    <w:topLinePunct w:val="0"/>
                    <w:bidi w:val="0"/>
                    <w:adjustRightInd/>
                    <w:snapToGrid/>
                    <w:spacing w:line="240" w:lineRule="auto"/>
                    <w:jc w:val="both"/>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一、原材料消耗</w:t>
                  </w:r>
                </w:p>
              </w:tc>
            </w:tr>
            <w:tr w14:paraId="7551E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54" w:type="dxa"/>
                  <w:shd w:val="clear" w:color="auto" w:fill="auto"/>
                  <w:vAlign w:val="center"/>
                </w:tcPr>
                <w:p w14:paraId="3F0478B8">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930" w:type="dxa"/>
                  <w:shd w:val="clear" w:color="auto" w:fill="auto"/>
                  <w:vAlign w:val="center"/>
                </w:tcPr>
                <w:p w14:paraId="57BE56F6">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高密度</w:t>
                  </w:r>
                  <w:r>
                    <w:rPr>
                      <w:rFonts w:hint="default" w:eastAsia="宋体"/>
                      <w:color w:val="000000" w:themeColor="text1"/>
                      <w:sz w:val="21"/>
                      <w:szCs w:val="18"/>
                      <w:highlight w:val="none"/>
                      <w:lang w:val="en-US" w:eastAsia="zh-CN"/>
                      <w14:textFill>
                        <w14:solidFill>
                          <w14:schemeClr w14:val="tx1"/>
                        </w14:solidFill>
                      </w14:textFill>
                    </w:rPr>
                    <w:t>聚乙烯塑料米</w:t>
                  </w:r>
                </w:p>
              </w:tc>
              <w:tc>
                <w:tcPr>
                  <w:tcW w:w="1095" w:type="dxa"/>
                  <w:shd w:val="clear" w:color="auto" w:fill="auto"/>
                  <w:vAlign w:val="center"/>
                </w:tcPr>
                <w:p w14:paraId="65BC1674">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聚乙烯</w:t>
                  </w:r>
                </w:p>
              </w:tc>
              <w:tc>
                <w:tcPr>
                  <w:tcW w:w="2580" w:type="dxa"/>
                  <w:shd w:val="clear" w:color="auto" w:fill="auto"/>
                  <w:vAlign w:val="center"/>
                </w:tcPr>
                <w:p w14:paraId="7FD00C7F">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理化性质：</w:t>
                  </w:r>
                </w:p>
                <w:p w14:paraId="727805D4">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熔点：125~135℃</w:t>
                  </w:r>
                </w:p>
                <w:p w14:paraId="103AE61F">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沸点：约300℃</w:t>
                  </w:r>
                </w:p>
                <w:p w14:paraId="3DCA68A7">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密度：0.94~0.96 g/cm</w:t>
                  </w:r>
                  <w:r>
                    <w:rPr>
                      <w:rFonts w:hint="eastAsia"/>
                      <w:color w:val="000000" w:themeColor="text1"/>
                      <w:sz w:val="21"/>
                      <w:szCs w:val="18"/>
                      <w:highlight w:val="none"/>
                      <w:vertAlign w:val="superscript"/>
                      <w:lang w:val="en-US" w:eastAsia="zh-CN"/>
                      <w14:textFill>
                        <w14:solidFill>
                          <w14:schemeClr w14:val="tx1"/>
                        </w14:solidFill>
                      </w14:textFill>
                    </w:rPr>
                    <w:t>3</w:t>
                  </w:r>
                </w:p>
                <w:p w14:paraId="31BD3FEE">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溶解性：不溶于水，耐酸、碱及有机溶剂</w:t>
                  </w:r>
                </w:p>
                <w:p w14:paraId="537064F2">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危险特性：</w:t>
                  </w:r>
                </w:p>
                <w:p w14:paraId="3FED3B0B">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可燃性：易燃</w:t>
                  </w:r>
                </w:p>
                <w:p w14:paraId="0D28C02D">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毒性：常温下无毒</w:t>
                  </w:r>
                </w:p>
                <w:p w14:paraId="11F5E2A3">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环境危害：难降解，无重金属或其他有害物质</w:t>
                  </w:r>
                </w:p>
              </w:tc>
              <w:tc>
                <w:tcPr>
                  <w:tcW w:w="915" w:type="dxa"/>
                  <w:shd w:val="clear" w:color="auto" w:fill="auto"/>
                  <w:vAlign w:val="center"/>
                </w:tcPr>
                <w:p w14:paraId="4F05A8D9">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68t</w:t>
                  </w:r>
                </w:p>
              </w:tc>
              <w:tc>
                <w:tcPr>
                  <w:tcW w:w="1050" w:type="dxa"/>
                  <w:shd w:val="clear" w:color="auto" w:fill="auto"/>
                  <w:vAlign w:val="center"/>
                </w:tcPr>
                <w:p w14:paraId="773F27DA">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7t</w:t>
                  </w:r>
                </w:p>
              </w:tc>
              <w:tc>
                <w:tcPr>
                  <w:tcW w:w="1248" w:type="dxa"/>
                  <w:shd w:val="clear" w:color="auto" w:fill="auto"/>
                  <w:vAlign w:val="center"/>
                </w:tcPr>
                <w:p w14:paraId="1246E320">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固态，袋装，每袋25kg</w:t>
                  </w:r>
                </w:p>
              </w:tc>
            </w:tr>
            <w:tr w14:paraId="1BE7B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54" w:type="dxa"/>
                  <w:shd w:val="clear" w:color="auto" w:fill="auto"/>
                  <w:vAlign w:val="center"/>
                </w:tcPr>
                <w:p w14:paraId="5ED29EE7">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2</w:t>
                  </w:r>
                </w:p>
              </w:tc>
              <w:tc>
                <w:tcPr>
                  <w:tcW w:w="930" w:type="dxa"/>
                  <w:shd w:val="clear" w:color="auto" w:fill="auto"/>
                  <w:vAlign w:val="center"/>
                </w:tcPr>
                <w:p w14:paraId="640D77C4">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色母</w:t>
                  </w:r>
                </w:p>
              </w:tc>
              <w:tc>
                <w:tcPr>
                  <w:tcW w:w="1095" w:type="dxa"/>
                  <w:shd w:val="clear" w:color="auto" w:fill="auto"/>
                  <w:vAlign w:val="center"/>
                </w:tcPr>
                <w:p w14:paraId="7E1D97B1">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主要成分为聚乙烯，不涉及镉红、镉黄等重金属</w:t>
                  </w:r>
                </w:p>
              </w:tc>
              <w:tc>
                <w:tcPr>
                  <w:tcW w:w="2580" w:type="dxa"/>
                  <w:shd w:val="clear" w:color="auto" w:fill="auto"/>
                  <w:vAlign w:val="center"/>
                </w:tcPr>
                <w:p w14:paraId="292D2582">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理化性质：</w:t>
                  </w:r>
                </w:p>
                <w:p w14:paraId="3491C1A7">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外观：颗粒状，黑色</w:t>
                  </w:r>
                </w:p>
                <w:p w14:paraId="7A6A3F7F">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熔点：与聚乙烯相近</w:t>
                  </w:r>
                </w:p>
                <w:p w14:paraId="7675CFC7">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热稳定性：良好的热稳定性，适合在加工温度下使用</w:t>
                  </w:r>
                </w:p>
                <w:p w14:paraId="7074A021">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可燃性：与聚乙烯类似，易燃。</w:t>
                  </w:r>
                </w:p>
                <w:p w14:paraId="2771FF2D">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毒性：常温下无毒</w:t>
                  </w:r>
                </w:p>
                <w:p w14:paraId="47D52C08">
                  <w:pPr>
                    <w:keepNext w:val="0"/>
                    <w:keepLines w:val="0"/>
                    <w:pageBreakBefore w:val="0"/>
                    <w:widowControl w:val="0"/>
                    <w:kinsoku/>
                    <w:wordWrap/>
                    <w:overflowPunct/>
                    <w:topLinePunct w:val="0"/>
                    <w:bidi w:val="0"/>
                    <w:adjustRightInd/>
                    <w:snapToGrid/>
                    <w:spacing w:line="240" w:lineRule="auto"/>
                    <w:jc w:val="both"/>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环境危害：难降解，无重金属或其他有害物质</w:t>
                  </w:r>
                </w:p>
              </w:tc>
              <w:tc>
                <w:tcPr>
                  <w:tcW w:w="915" w:type="dxa"/>
                  <w:shd w:val="clear" w:color="auto" w:fill="auto"/>
                  <w:vAlign w:val="center"/>
                </w:tcPr>
                <w:p w14:paraId="4BFD517B">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2t</w:t>
                  </w:r>
                </w:p>
              </w:tc>
              <w:tc>
                <w:tcPr>
                  <w:tcW w:w="1050" w:type="dxa"/>
                  <w:shd w:val="clear" w:color="auto" w:fill="auto"/>
                  <w:vAlign w:val="center"/>
                </w:tcPr>
                <w:p w14:paraId="010040F0">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0.2t</w:t>
                  </w:r>
                </w:p>
              </w:tc>
              <w:tc>
                <w:tcPr>
                  <w:tcW w:w="1248" w:type="dxa"/>
                  <w:shd w:val="clear" w:color="auto" w:fill="auto"/>
                  <w:vAlign w:val="center"/>
                </w:tcPr>
                <w:p w14:paraId="615E5633">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固态，袋装，每袋25kg</w:t>
                  </w:r>
                </w:p>
              </w:tc>
            </w:tr>
            <w:tr w14:paraId="5E455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8272" w:type="dxa"/>
                  <w:gridSpan w:val="7"/>
                  <w:shd w:val="clear" w:color="auto" w:fill="auto"/>
                  <w:vAlign w:val="center"/>
                </w:tcPr>
                <w:p w14:paraId="5D43EFE5">
                  <w:pPr>
                    <w:keepNext w:val="0"/>
                    <w:keepLines w:val="0"/>
                    <w:pageBreakBefore w:val="0"/>
                    <w:widowControl w:val="0"/>
                    <w:kinsoku/>
                    <w:wordWrap/>
                    <w:overflowPunct/>
                    <w:topLinePunct w:val="0"/>
                    <w:autoSpaceDE w:val="0"/>
                    <w:autoSpaceDN w:val="0"/>
                    <w:bidi w:val="0"/>
                    <w:adjustRightInd/>
                    <w:snapToGrid/>
                    <w:spacing w:line="240" w:lineRule="auto"/>
                    <w:jc w:val="left"/>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二、能源消耗</w:t>
                  </w:r>
                </w:p>
              </w:tc>
            </w:tr>
            <w:tr w14:paraId="1CA57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54" w:type="dxa"/>
                  <w:shd w:val="clear" w:color="auto" w:fill="auto"/>
                  <w:vAlign w:val="center"/>
                </w:tcPr>
                <w:p w14:paraId="67FA264B">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930" w:type="dxa"/>
                  <w:shd w:val="clear" w:color="auto" w:fill="auto"/>
                  <w:vAlign w:val="center"/>
                </w:tcPr>
                <w:p w14:paraId="461CF2AC">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r>
                    <w:rPr>
                      <w:rFonts w:hint="eastAsia" w:ascii="宋体" w:cs="宋体"/>
                      <w:color w:val="000000" w:themeColor="text1"/>
                      <w:kern w:val="0"/>
                      <w:sz w:val="21"/>
                      <w:szCs w:val="18"/>
                      <w:highlight w:val="none"/>
                      <w:lang w:val="en-US" w:eastAsia="zh-CN"/>
                      <w14:textFill>
                        <w14:solidFill>
                          <w14:schemeClr w14:val="tx1"/>
                        </w14:solidFill>
                      </w14:textFill>
                    </w:rPr>
                    <w:t>水</w:t>
                  </w:r>
                </w:p>
              </w:tc>
              <w:tc>
                <w:tcPr>
                  <w:tcW w:w="1095" w:type="dxa"/>
                  <w:shd w:val="clear" w:color="auto" w:fill="auto"/>
                  <w:vAlign w:val="center"/>
                </w:tcPr>
                <w:p w14:paraId="4A1DE0C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w:t>
                  </w:r>
                </w:p>
              </w:tc>
              <w:tc>
                <w:tcPr>
                  <w:tcW w:w="2580" w:type="dxa"/>
                  <w:shd w:val="clear" w:color="auto" w:fill="auto"/>
                  <w:vAlign w:val="center"/>
                </w:tcPr>
                <w:p w14:paraId="3D8FAE3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w:t>
                  </w:r>
                </w:p>
              </w:tc>
              <w:tc>
                <w:tcPr>
                  <w:tcW w:w="915" w:type="dxa"/>
                  <w:shd w:val="clear" w:color="auto" w:fill="auto"/>
                  <w:vAlign w:val="center"/>
                </w:tcPr>
                <w:p w14:paraId="4EEAA8A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360t</w:t>
                  </w:r>
                </w:p>
              </w:tc>
              <w:tc>
                <w:tcPr>
                  <w:tcW w:w="1050" w:type="dxa"/>
                  <w:shd w:val="clear" w:color="auto" w:fill="auto"/>
                  <w:vAlign w:val="center"/>
                </w:tcPr>
                <w:p w14:paraId="6F7454F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w:t>
                  </w:r>
                </w:p>
              </w:tc>
              <w:tc>
                <w:tcPr>
                  <w:tcW w:w="1248" w:type="dxa"/>
                  <w:shd w:val="clear" w:color="auto" w:fill="auto"/>
                  <w:vAlign w:val="center"/>
                </w:tcPr>
                <w:p w14:paraId="3507424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w:t>
                  </w:r>
                </w:p>
              </w:tc>
            </w:tr>
            <w:tr w14:paraId="38CBF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454" w:type="dxa"/>
                  <w:shd w:val="clear" w:color="auto" w:fill="auto"/>
                  <w:vAlign w:val="center"/>
                </w:tcPr>
                <w:p w14:paraId="20D4B5DE">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2</w:t>
                  </w:r>
                </w:p>
              </w:tc>
              <w:tc>
                <w:tcPr>
                  <w:tcW w:w="930" w:type="dxa"/>
                  <w:shd w:val="clear" w:color="auto" w:fill="auto"/>
                  <w:vAlign w:val="center"/>
                </w:tcPr>
                <w:p w14:paraId="0A6DC77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r>
                    <w:rPr>
                      <w:rFonts w:hint="eastAsia" w:ascii="宋体" w:cs="宋体"/>
                      <w:color w:val="000000" w:themeColor="text1"/>
                      <w:kern w:val="0"/>
                      <w:sz w:val="21"/>
                      <w:szCs w:val="18"/>
                      <w:highlight w:val="none"/>
                      <w:lang w:val="en-US" w:eastAsia="zh-CN"/>
                      <w14:textFill>
                        <w14:solidFill>
                          <w14:schemeClr w14:val="tx1"/>
                        </w14:solidFill>
                      </w14:textFill>
                    </w:rPr>
                    <w:t>电</w:t>
                  </w:r>
                </w:p>
              </w:tc>
              <w:tc>
                <w:tcPr>
                  <w:tcW w:w="1095" w:type="dxa"/>
                  <w:shd w:val="clear" w:color="auto" w:fill="auto"/>
                  <w:vAlign w:val="center"/>
                </w:tcPr>
                <w:p w14:paraId="3548FE2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w:t>
                  </w:r>
                </w:p>
              </w:tc>
              <w:tc>
                <w:tcPr>
                  <w:tcW w:w="2580" w:type="dxa"/>
                  <w:shd w:val="clear" w:color="auto" w:fill="auto"/>
                  <w:vAlign w:val="center"/>
                </w:tcPr>
                <w:p w14:paraId="69A2FAA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w:t>
                  </w:r>
                </w:p>
              </w:tc>
              <w:tc>
                <w:tcPr>
                  <w:tcW w:w="915" w:type="dxa"/>
                  <w:shd w:val="clear" w:color="auto" w:fill="auto"/>
                  <w:vAlign w:val="center"/>
                </w:tcPr>
                <w:p w14:paraId="1785F45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10万度</w:t>
                  </w:r>
                </w:p>
              </w:tc>
              <w:tc>
                <w:tcPr>
                  <w:tcW w:w="1050" w:type="dxa"/>
                  <w:shd w:val="clear" w:color="auto" w:fill="auto"/>
                  <w:vAlign w:val="center"/>
                </w:tcPr>
                <w:p w14:paraId="0109291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w:t>
                  </w:r>
                </w:p>
              </w:tc>
              <w:tc>
                <w:tcPr>
                  <w:tcW w:w="1248" w:type="dxa"/>
                  <w:shd w:val="clear" w:color="auto" w:fill="auto"/>
                  <w:vAlign w:val="center"/>
                </w:tcPr>
                <w:p w14:paraId="469336E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w:t>
                  </w:r>
                </w:p>
              </w:tc>
            </w:tr>
          </w:tbl>
          <w:p w14:paraId="1FDC861C">
            <w:pPr>
              <w:pStyle w:val="37"/>
              <w:rPr>
                <w:rFonts w:hint="default"/>
                <w:b w:val="0"/>
                <w:color w:val="000000" w:themeColor="text1"/>
                <w:sz w:val="24"/>
                <w:szCs w:val="21"/>
                <w:highlight w:val="none"/>
                <w:lang w:val="en-US" w:eastAsia="zh-CN"/>
                <w14:textFill>
                  <w14:solidFill>
                    <w14:schemeClr w14:val="tx1"/>
                  </w14:solidFill>
                </w14:textFill>
              </w:rPr>
            </w:pPr>
            <w:r>
              <w:rPr>
                <w:rFonts w:hint="eastAsia"/>
                <w:b w:val="0"/>
                <w:color w:val="000000" w:themeColor="text1"/>
                <w:sz w:val="24"/>
                <w:szCs w:val="21"/>
                <w:highlight w:val="none"/>
                <w:lang w:val="en-US" w:eastAsia="zh-CN"/>
                <w14:textFill>
                  <w14:solidFill>
                    <w14:schemeClr w14:val="tx1"/>
                  </w14:solidFill>
                </w14:textFill>
              </w:rPr>
              <w:t>2.5 主要生产设备</w:t>
            </w:r>
          </w:p>
          <w:p w14:paraId="45B455CD">
            <w:pPr>
              <w:spacing w:line="360" w:lineRule="auto"/>
              <w:ind w:firstLine="480" w:firstLineChars="200"/>
              <w:rPr>
                <w:rFonts w:hint="default"/>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本项目主要生产设备见下表。</w:t>
            </w:r>
            <w:r>
              <w:rPr>
                <w:rFonts w:hint="eastAsia"/>
                <w:color w:val="000000" w:themeColor="text1"/>
                <w:sz w:val="24"/>
                <w:szCs w:val="24"/>
                <w:highlight w:val="none"/>
                <w:lang w:val="en-US" w:eastAsia="zh-CN"/>
                <w14:textFill>
                  <w14:solidFill>
                    <w14:schemeClr w14:val="tx1"/>
                  </w14:solidFill>
                </w14:textFill>
              </w:rPr>
              <w:t>1台搅拌机对应2.67万卷车载</w:t>
            </w:r>
            <w:r>
              <w:rPr>
                <w:rFonts w:hint="eastAsia"/>
                <w:color w:val="000000" w:themeColor="text1"/>
                <w:sz w:val="24"/>
                <w:szCs w:val="24"/>
                <w:highlight w:val="none"/>
                <w:lang w:eastAsia="zh-CN"/>
                <w14:textFill>
                  <w14:solidFill>
                    <w14:schemeClr w14:val="tx1"/>
                  </w14:solidFill>
                </w14:textFill>
              </w:rPr>
              <w:t>塑料垃圾袋，</w:t>
            </w:r>
            <w:r>
              <w:rPr>
                <w:rFonts w:hint="eastAsia"/>
                <w:color w:val="000000" w:themeColor="text1"/>
                <w:sz w:val="24"/>
                <w:szCs w:val="24"/>
                <w:highlight w:val="none"/>
                <w:lang w:val="en-US" w:eastAsia="zh-CN"/>
                <w14:textFill>
                  <w14:solidFill>
                    <w14:schemeClr w14:val="tx1"/>
                  </w14:solidFill>
                </w14:textFill>
              </w:rPr>
              <w:t>4万条</w:t>
            </w:r>
            <w:r>
              <w:rPr>
                <w:rFonts w:hint="eastAsia"/>
                <w:color w:val="000000" w:themeColor="text1"/>
                <w:sz w:val="24"/>
                <w:szCs w:val="24"/>
                <w:highlight w:val="none"/>
                <w:lang w:eastAsia="zh-CN"/>
                <w14:textFill>
                  <w14:solidFill>
                    <w14:schemeClr w14:val="tx1"/>
                  </w14:solidFill>
                </w14:textFill>
              </w:rPr>
              <w:t>保鲜袋</w:t>
            </w:r>
            <w:r>
              <w:rPr>
                <w:rFonts w:hint="eastAsia"/>
                <w:color w:val="000000" w:themeColor="text1"/>
                <w:sz w:val="24"/>
                <w:szCs w:val="24"/>
                <w:highlight w:val="none"/>
                <w:lang w:val="en-US" w:eastAsia="zh-CN"/>
                <w14:textFill>
                  <w14:solidFill>
                    <w14:schemeClr w14:val="tx1"/>
                  </w14:solidFill>
                </w14:textFill>
              </w:rPr>
              <w:t>产能；1台吹塑机对应1.14万车载</w:t>
            </w:r>
            <w:r>
              <w:rPr>
                <w:rFonts w:hint="eastAsia"/>
                <w:color w:val="000000" w:themeColor="text1"/>
                <w:sz w:val="24"/>
                <w:szCs w:val="24"/>
                <w:highlight w:val="none"/>
                <w:lang w:eastAsia="zh-CN"/>
                <w14:textFill>
                  <w14:solidFill>
                    <w14:schemeClr w14:val="tx1"/>
                  </w14:solidFill>
                </w14:textFill>
              </w:rPr>
              <w:t>塑料垃圾袋，</w:t>
            </w:r>
            <w:r>
              <w:rPr>
                <w:rFonts w:hint="eastAsia"/>
                <w:color w:val="000000" w:themeColor="text1"/>
                <w:sz w:val="24"/>
                <w:szCs w:val="24"/>
                <w:highlight w:val="none"/>
                <w:lang w:val="en-US" w:eastAsia="zh-CN"/>
                <w14:textFill>
                  <w14:solidFill>
                    <w14:schemeClr w14:val="tx1"/>
                  </w14:solidFill>
                </w14:textFill>
              </w:rPr>
              <w:t>1.71万条</w:t>
            </w:r>
            <w:r>
              <w:rPr>
                <w:rFonts w:hint="eastAsia"/>
                <w:color w:val="000000" w:themeColor="text1"/>
                <w:sz w:val="24"/>
                <w:szCs w:val="24"/>
                <w:highlight w:val="none"/>
                <w:lang w:eastAsia="zh-CN"/>
                <w14:textFill>
                  <w14:solidFill>
                    <w14:schemeClr w14:val="tx1"/>
                  </w14:solidFill>
                </w14:textFill>
              </w:rPr>
              <w:t>保鲜袋</w:t>
            </w:r>
            <w:r>
              <w:rPr>
                <w:rFonts w:hint="eastAsia"/>
                <w:color w:val="000000" w:themeColor="text1"/>
                <w:sz w:val="24"/>
                <w:szCs w:val="24"/>
                <w:highlight w:val="none"/>
                <w:lang w:val="en-US" w:eastAsia="zh-CN"/>
                <w14:textFill>
                  <w14:solidFill>
                    <w14:schemeClr w14:val="tx1"/>
                  </w14:solidFill>
                </w14:textFill>
              </w:rPr>
              <w:t>产能；1台制袋机对应0.89万车载</w:t>
            </w:r>
            <w:r>
              <w:rPr>
                <w:rFonts w:hint="eastAsia"/>
                <w:color w:val="000000" w:themeColor="text1"/>
                <w:sz w:val="24"/>
                <w:szCs w:val="24"/>
                <w:highlight w:val="none"/>
                <w:lang w:eastAsia="zh-CN"/>
                <w14:textFill>
                  <w14:solidFill>
                    <w14:schemeClr w14:val="tx1"/>
                  </w14:solidFill>
                </w14:textFill>
              </w:rPr>
              <w:t>塑料垃圾袋，</w:t>
            </w:r>
            <w:r>
              <w:rPr>
                <w:rFonts w:hint="eastAsia"/>
                <w:color w:val="000000" w:themeColor="text1"/>
                <w:sz w:val="24"/>
                <w:szCs w:val="24"/>
                <w:highlight w:val="none"/>
                <w:lang w:val="en-US" w:eastAsia="zh-CN"/>
                <w14:textFill>
                  <w14:solidFill>
                    <w14:schemeClr w14:val="tx1"/>
                  </w14:solidFill>
                </w14:textFill>
              </w:rPr>
              <w:t>1.33万条</w:t>
            </w:r>
            <w:r>
              <w:rPr>
                <w:rFonts w:hint="eastAsia"/>
                <w:color w:val="000000" w:themeColor="text1"/>
                <w:sz w:val="24"/>
                <w:szCs w:val="24"/>
                <w:highlight w:val="none"/>
                <w:lang w:eastAsia="zh-CN"/>
                <w14:textFill>
                  <w14:solidFill>
                    <w14:schemeClr w14:val="tx1"/>
                  </w14:solidFill>
                </w14:textFill>
              </w:rPr>
              <w:t>保鲜袋</w:t>
            </w:r>
            <w:r>
              <w:rPr>
                <w:rFonts w:hint="eastAsia"/>
                <w:color w:val="000000" w:themeColor="text1"/>
                <w:sz w:val="24"/>
                <w:szCs w:val="24"/>
                <w:highlight w:val="none"/>
                <w:lang w:val="en-US" w:eastAsia="zh-CN"/>
                <w14:textFill>
                  <w14:solidFill>
                    <w14:schemeClr w14:val="tx1"/>
                  </w14:solidFill>
                </w14:textFill>
              </w:rPr>
              <w:t>产能；1台自动包装机对应4万车载</w:t>
            </w:r>
            <w:r>
              <w:rPr>
                <w:rFonts w:hint="eastAsia"/>
                <w:color w:val="000000" w:themeColor="text1"/>
                <w:sz w:val="24"/>
                <w:szCs w:val="24"/>
                <w:highlight w:val="none"/>
                <w:lang w:eastAsia="zh-CN"/>
                <w14:textFill>
                  <w14:solidFill>
                    <w14:schemeClr w14:val="tx1"/>
                  </w14:solidFill>
                </w14:textFill>
              </w:rPr>
              <w:t>塑料垃圾袋，</w:t>
            </w:r>
            <w:r>
              <w:rPr>
                <w:rFonts w:hint="eastAsia"/>
                <w:color w:val="000000" w:themeColor="text1"/>
                <w:sz w:val="24"/>
                <w:szCs w:val="24"/>
                <w:highlight w:val="none"/>
                <w:lang w:val="en-US" w:eastAsia="zh-CN"/>
                <w14:textFill>
                  <w14:solidFill>
                    <w14:schemeClr w14:val="tx1"/>
                  </w14:solidFill>
                </w14:textFill>
              </w:rPr>
              <w:t>6万条</w:t>
            </w:r>
            <w:r>
              <w:rPr>
                <w:rFonts w:hint="eastAsia"/>
                <w:color w:val="000000" w:themeColor="text1"/>
                <w:sz w:val="24"/>
                <w:szCs w:val="24"/>
                <w:highlight w:val="none"/>
                <w:lang w:eastAsia="zh-CN"/>
                <w14:textFill>
                  <w14:solidFill>
                    <w14:schemeClr w14:val="tx1"/>
                  </w14:solidFill>
                </w14:textFill>
              </w:rPr>
              <w:t>保鲜袋</w:t>
            </w:r>
            <w:r>
              <w:rPr>
                <w:rFonts w:hint="eastAsia"/>
                <w:color w:val="000000" w:themeColor="text1"/>
                <w:sz w:val="24"/>
                <w:szCs w:val="24"/>
                <w:highlight w:val="none"/>
                <w:lang w:val="en-US" w:eastAsia="zh-CN"/>
                <w14:textFill>
                  <w14:solidFill>
                    <w14:schemeClr w14:val="tx1"/>
                  </w14:solidFill>
                </w14:textFill>
              </w:rPr>
              <w:t>产能。</w:t>
            </w:r>
            <w:r>
              <w:rPr>
                <w:rFonts w:hint="eastAsia"/>
                <w:color w:val="000000" w:themeColor="text1"/>
                <w:sz w:val="24"/>
                <w:szCs w:val="32"/>
                <w:highlight w:val="none"/>
                <w:lang w:val="en-US" w:eastAsia="zh-CN"/>
                <w14:textFill>
                  <w14:solidFill>
                    <w14:schemeClr w14:val="tx1"/>
                  </w14:solidFill>
                </w14:textFill>
              </w:rPr>
              <w:t>生产设备数量与原辅料用量、产品产量匹配。</w:t>
            </w:r>
          </w:p>
          <w:p w14:paraId="35E628C2">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eastAsia="宋体"/>
                <w:b/>
                <w:color w:val="000000" w:themeColor="text1"/>
                <w:sz w:val="24"/>
                <w:szCs w:val="24"/>
                <w:highlight w:val="none"/>
                <w:lang w:val="en-US" w:eastAsia="zh-CN"/>
                <w14:textFill>
                  <w14:solidFill>
                    <w14:schemeClr w14:val="tx1"/>
                  </w14:solidFill>
                </w14:textFill>
              </w:rPr>
            </w:pPr>
            <w:r>
              <w:rPr>
                <w:rFonts w:hint="eastAsia"/>
                <w:b/>
                <w:color w:val="000000" w:themeColor="text1"/>
                <w:sz w:val="24"/>
                <w:szCs w:val="24"/>
                <w:highlight w:val="none"/>
                <w14:textFill>
                  <w14:solidFill>
                    <w14:schemeClr w14:val="tx1"/>
                  </w14:solidFill>
                </w14:textFill>
              </w:rPr>
              <w:t>表</w:t>
            </w:r>
            <w:r>
              <w:rPr>
                <w:rFonts w:hint="eastAsia"/>
                <w:b/>
                <w:color w:val="000000" w:themeColor="text1"/>
                <w:sz w:val="24"/>
                <w:szCs w:val="24"/>
                <w:highlight w:val="none"/>
                <w:lang w:val="en-US" w:eastAsia="zh-CN"/>
                <w14:textFill>
                  <w14:solidFill>
                    <w14:schemeClr w14:val="tx1"/>
                  </w14:solidFill>
                </w14:textFill>
              </w:rPr>
              <w:t>2-5</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14:textFill>
                  <w14:solidFill>
                    <w14:schemeClr w14:val="tx1"/>
                  </w14:solidFill>
                </w14:textFill>
              </w:rPr>
              <w:t>项目主要</w:t>
            </w:r>
            <w:r>
              <w:rPr>
                <w:rFonts w:hint="eastAsia"/>
                <w:b/>
                <w:color w:val="000000" w:themeColor="text1"/>
                <w:sz w:val="24"/>
                <w:szCs w:val="24"/>
                <w:highlight w:val="none"/>
                <w:lang w:val="en-US" w:eastAsia="zh-CN"/>
                <w14:textFill>
                  <w14:solidFill>
                    <w14:schemeClr w14:val="tx1"/>
                  </w14:solidFill>
                </w14:textFill>
              </w:rPr>
              <w:t>生产设备</w:t>
            </w:r>
            <w:r>
              <w:rPr>
                <w:rFonts w:hint="eastAsia"/>
                <w:b/>
                <w:color w:val="000000" w:themeColor="text1"/>
                <w:sz w:val="24"/>
                <w:szCs w:val="24"/>
                <w:highlight w:val="none"/>
                <w14:textFill>
                  <w14:solidFill>
                    <w14:schemeClr w14:val="tx1"/>
                  </w14:solidFill>
                </w14:textFill>
              </w:rPr>
              <w:t>一览</w:t>
            </w:r>
            <w:r>
              <w:rPr>
                <w:rFonts w:hint="eastAsia"/>
                <w:b/>
                <w:color w:val="000000" w:themeColor="text1"/>
                <w:sz w:val="24"/>
                <w:szCs w:val="24"/>
                <w:highlight w:val="none"/>
                <w:lang w:val="en-US" w:eastAsia="zh-CN"/>
                <w14:textFill>
                  <w14:solidFill>
                    <w14:schemeClr w14:val="tx1"/>
                  </w14:solidFill>
                </w14:textFill>
              </w:rPr>
              <w:t>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57"/>
              <w:gridCol w:w="1030"/>
              <w:gridCol w:w="2005"/>
              <w:gridCol w:w="1430"/>
              <w:gridCol w:w="1230"/>
              <w:gridCol w:w="1820"/>
            </w:tblGrid>
            <w:tr w14:paraId="52563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shd w:val="clear" w:color="auto" w:fill="auto"/>
                  <w:vAlign w:val="center"/>
                </w:tcPr>
                <w:p w14:paraId="249AD6FB">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序号</w:t>
                  </w:r>
                </w:p>
              </w:tc>
              <w:tc>
                <w:tcPr>
                  <w:tcW w:w="1030" w:type="dxa"/>
                  <w:shd w:val="clear" w:color="auto" w:fill="auto"/>
                  <w:vAlign w:val="center"/>
                </w:tcPr>
                <w:p w14:paraId="45172025">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名称</w:t>
                  </w:r>
                </w:p>
              </w:tc>
              <w:tc>
                <w:tcPr>
                  <w:tcW w:w="2005" w:type="dxa"/>
                  <w:shd w:val="clear" w:color="auto" w:fill="auto"/>
                  <w:vAlign w:val="center"/>
                </w:tcPr>
                <w:p w14:paraId="03E0EA13">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规格/型号</w:t>
                  </w:r>
                </w:p>
              </w:tc>
              <w:tc>
                <w:tcPr>
                  <w:tcW w:w="1430" w:type="dxa"/>
                  <w:shd w:val="clear" w:color="auto" w:fill="auto"/>
                  <w:vAlign w:val="center"/>
                </w:tcPr>
                <w:p w14:paraId="2CAE7760">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数量（台）</w:t>
                  </w:r>
                </w:p>
              </w:tc>
              <w:tc>
                <w:tcPr>
                  <w:tcW w:w="1230" w:type="dxa"/>
                  <w:shd w:val="clear" w:color="auto" w:fill="auto"/>
                  <w:vAlign w:val="center"/>
                </w:tcPr>
                <w:p w14:paraId="446DA9B6">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总数（台）</w:t>
                  </w:r>
                </w:p>
              </w:tc>
              <w:tc>
                <w:tcPr>
                  <w:tcW w:w="1820" w:type="dxa"/>
                  <w:shd w:val="clear" w:color="auto" w:fill="auto"/>
                  <w:vAlign w:val="center"/>
                </w:tcPr>
                <w:p w14:paraId="76539D02">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位置</w:t>
                  </w:r>
                </w:p>
              </w:tc>
            </w:tr>
            <w:tr w14:paraId="3AAF2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vMerge w:val="restart"/>
                  <w:shd w:val="clear" w:color="auto" w:fill="auto"/>
                  <w:vAlign w:val="center"/>
                </w:tcPr>
                <w:p w14:paraId="7317C6AD">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1030" w:type="dxa"/>
                  <w:vMerge w:val="restart"/>
                  <w:shd w:val="clear" w:color="auto" w:fill="auto"/>
                  <w:vAlign w:val="center"/>
                </w:tcPr>
                <w:p w14:paraId="2C6CEF0C">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搅拌机</w:t>
                  </w:r>
                </w:p>
              </w:tc>
              <w:tc>
                <w:tcPr>
                  <w:tcW w:w="2005" w:type="dxa"/>
                  <w:shd w:val="clear" w:color="auto" w:fill="auto"/>
                  <w:vAlign w:val="center"/>
                </w:tcPr>
                <w:p w14:paraId="67DE0EEC">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120型-5.5千瓦</w:t>
                  </w:r>
                </w:p>
              </w:tc>
              <w:tc>
                <w:tcPr>
                  <w:tcW w:w="1430" w:type="dxa"/>
                  <w:shd w:val="clear" w:color="auto" w:fill="auto"/>
                  <w:vAlign w:val="center"/>
                </w:tcPr>
                <w:p w14:paraId="0F583141">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2</w:t>
                  </w:r>
                </w:p>
              </w:tc>
              <w:tc>
                <w:tcPr>
                  <w:tcW w:w="1230" w:type="dxa"/>
                  <w:vMerge w:val="restart"/>
                  <w:shd w:val="clear" w:color="auto" w:fill="auto"/>
                  <w:vAlign w:val="center"/>
                </w:tcPr>
                <w:p w14:paraId="22F13D40">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3</w:t>
                  </w:r>
                </w:p>
              </w:tc>
              <w:tc>
                <w:tcPr>
                  <w:tcW w:w="1820" w:type="dxa"/>
                  <w:vMerge w:val="restart"/>
                  <w:shd w:val="clear" w:color="auto" w:fill="auto"/>
                  <w:vAlign w:val="center"/>
                </w:tcPr>
                <w:p w14:paraId="5C891299">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一楼车间</w:t>
                  </w:r>
                </w:p>
              </w:tc>
            </w:tr>
            <w:tr w14:paraId="3EC10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5" w:hRule="atLeast"/>
              </w:trPr>
              <w:tc>
                <w:tcPr>
                  <w:tcW w:w="757" w:type="dxa"/>
                  <w:vMerge w:val="continue"/>
                  <w:shd w:val="clear" w:color="auto" w:fill="auto"/>
                  <w:vAlign w:val="center"/>
                </w:tcPr>
                <w:p w14:paraId="65ECABA2">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p>
              </w:tc>
              <w:tc>
                <w:tcPr>
                  <w:tcW w:w="1030" w:type="dxa"/>
                  <w:vMerge w:val="continue"/>
                  <w:shd w:val="clear" w:color="auto" w:fill="auto"/>
                  <w:vAlign w:val="center"/>
                </w:tcPr>
                <w:p w14:paraId="48AF574E">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p>
              </w:tc>
              <w:tc>
                <w:tcPr>
                  <w:tcW w:w="2005" w:type="dxa"/>
                  <w:shd w:val="clear" w:color="auto" w:fill="auto"/>
                  <w:vAlign w:val="center"/>
                </w:tcPr>
                <w:p w14:paraId="63BF725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220型7.5千瓦</w:t>
                  </w:r>
                </w:p>
              </w:tc>
              <w:tc>
                <w:tcPr>
                  <w:tcW w:w="1430" w:type="dxa"/>
                  <w:shd w:val="clear" w:color="auto" w:fill="auto"/>
                  <w:vAlign w:val="center"/>
                </w:tcPr>
                <w:p w14:paraId="7444180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1230" w:type="dxa"/>
                  <w:vMerge w:val="continue"/>
                  <w:shd w:val="clear" w:color="auto" w:fill="auto"/>
                  <w:vAlign w:val="center"/>
                </w:tcPr>
                <w:p w14:paraId="2353763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820" w:type="dxa"/>
                  <w:vMerge w:val="continue"/>
                  <w:shd w:val="clear" w:color="auto" w:fill="auto"/>
                  <w:vAlign w:val="center"/>
                </w:tcPr>
                <w:p w14:paraId="2B53D55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p>
              </w:tc>
            </w:tr>
            <w:tr w14:paraId="6A316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5" w:hRule="atLeast"/>
              </w:trPr>
              <w:tc>
                <w:tcPr>
                  <w:tcW w:w="757" w:type="dxa"/>
                  <w:vMerge w:val="restart"/>
                  <w:shd w:val="clear" w:color="auto" w:fill="auto"/>
                  <w:vAlign w:val="center"/>
                </w:tcPr>
                <w:p w14:paraId="5250FFEA">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2</w:t>
                  </w:r>
                </w:p>
              </w:tc>
              <w:tc>
                <w:tcPr>
                  <w:tcW w:w="1030" w:type="dxa"/>
                  <w:vMerge w:val="restart"/>
                  <w:shd w:val="clear" w:color="auto" w:fill="auto"/>
                  <w:vAlign w:val="center"/>
                </w:tcPr>
                <w:p w14:paraId="1891E32A">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吹塑机</w:t>
                  </w:r>
                </w:p>
              </w:tc>
              <w:tc>
                <w:tcPr>
                  <w:tcW w:w="2005" w:type="dxa"/>
                  <w:shd w:val="clear" w:color="auto" w:fill="auto"/>
                  <w:vAlign w:val="center"/>
                </w:tcPr>
                <w:p w14:paraId="0908D6A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400型吹膜机-15千瓦</w:t>
                  </w:r>
                </w:p>
              </w:tc>
              <w:tc>
                <w:tcPr>
                  <w:tcW w:w="1430" w:type="dxa"/>
                  <w:shd w:val="clear" w:color="auto" w:fill="auto"/>
                  <w:vAlign w:val="center"/>
                </w:tcPr>
                <w:p w14:paraId="1177BE4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1230" w:type="dxa"/>
                  <w:vMerge w:val="restart"/>
                  <w:shd w:val="clear" w:color="auto" w:fill="auto"/>
                  <w:vAlign w:val="center"/>
                </w:tcPr>
                <w:p w14:paraId="0EFE9A0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7</w:t>
                  </w:r>
                </w:p>
              </w:tc>
              <w:tc>
                <w:tcPr>
                  <w:tcW w:w="1820" w:type="dxa"/>
                  <w:vMerge w:val="restart"/>
                  <w:shd w:val="clear" w:color="auto" w:fill="auto"/>
                  <w:vAlign w:val="center"/>
                </w:tcPr>
                <w:p w14:paraId="3DF369F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一楼车间</w:t>
                  </w:r>
                </w:p>
              </w:tc>
            </w:tr>
            <w:tr w14:paraId="16499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5" w:hRule="atLeast"/>
              </w:trPr>
              <w:tc>
                <w:tcPr>
                  <w:tcW w:w="757" w:type="dxa"/>
                  <w:vMerge w:val="continue"/>
                  <w:shd w:val="clear" w:color="auto" w:fill="auto"/>
                  <w:vAlign w:val="center"/>
                </w:tcPr>
                <w:p w14:paraId="4F87FF56">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030" w:type="dxa"/>
                  <w:vMerge w:val="continue"/>
                  <w:shd w:val="clear" w:color="auto" w:fill="auto"/>
                  <w:vAlign w:val="center"/>
                </w:tcPr>
                <w:p w14:paraId="11E6392D">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p>
              </w:tc>
              <w:tc>
                <w:tcPr>
                  <w:tcW w:w="2005" w:type="dxa"/>
                  <w:shd w:val="clear" w:color="auto" w:fill="auto"/>
                  <w:vAlign w:val="center"/>
                </w:tcPr>
                <w:p w14:paraId="28BC853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450型-21千瓦</w:t>
                  </w:r>
                </w:p>
              </w:tc>
              <w:tc>
                <w:tcPr>
                  <w:tcW w:w="1430" w:type="dxa"/>
                  <w:shd w:val="clear" w:color="auto" w:fill="auto"/>
                  <w:vAlign w:val="center"/>
                </w:tcPr>
                <w:p w14:paraId="4B58991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5</w:t>
                  </w:r>
                </w:p>
              </w:tc>
              <w:tc>
                <w:tcPr>
                  <w:tcW w:w="1230" w:type="dxa"/>
                  <w:vMerge w:val="continue"/>
                  <w:shd w:val="clear" w:color="auto" w:fill="auto"/>
                  <w:vAlign w:val="center"/>
                </w:tcPr>
                <w:p w14:paraId="19CD460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820" w:type="dxa"/>
                  <w:vMerge w:val="continue"/>
                  <w:shd w:val="clear" w:color="auto" w:fill="auto"/>
                  <w:vAlign w:val="center"/>
                </w:tcPr>
                <w:p w14:paraId="608A0DD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p>
              </w:tc>
            </w:tr>
            <w:tr w14:paraId="48EBC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5" w:hRule="atLeast"/>
              </w:trPr>
              <w:tc>
                <w:tcPr>
                  <w:tcW w:w="757" w:type="dxa"/>
                  <w:vMerge w:val="continue"/>
                  <w:shd w:val="clear" w:color="auto" w:fill="auto"/>
                  <w:vAlign w:val="center"/>
                </w:tcPr>
                <w:p w14:paraId="11FF673B">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030" w:type="dxa"/>
                  <w:vMerge w:val="continue"/>
                  <w:shd w:val="clear" w:color="auto" w:fill="auto"/>
                  <w:vAlign w:val="center"/>
                </w:tcPr>
                <w:p w14:paraId="60EE6C46">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p>
              </w:tc>
              <w:tc>
                <w:tcPr>
                  <w:tcW w:w="2005" w:type="dxa"/>
                  <w:shd w:val="clear" w:color="auto" w:fill="auto"/>
                  <w:vAlign w:val="center"/>
                </w:tcPr>
                <w:p w14:paraId="55D6048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600型-32千瓦</w:t>
                  </w:r>
                </w:p>
              </w:tc>
              <w:tc>
                <w:tcPr>
                  <w:tcW w:w="1430" w:type="dxa"/>
                  <w:shd w:val="clear" w:color="auto" w:fill="auto"/>
                  <w:vAlign w:val="center"/>
                </w:tcPr>
                <w:p w14:paraId="2460C88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1230" w:type="dxa"/>
                  <w:vMerge w:val="continue"/>
                  <w:shd w:val="clear" w:color="auto" w:fill="auto"/>
                  <w:vAlign w:val="center"/>
                </w:tcPr>
                <w:p w14:paraId="4244BE8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820" w:type="dxa"/>
                  <w:vMerge w:val="continue"/>
                  <w:shd w:val="clear" w:color="auto" w:fill="auto"/>
                  <w:vAlign w:val="center"/>
                </w:tcPr>
                <w:p w14:paraId="2463DCC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p>
              </w:tc>
            </w:tr>
            <w:tr w14:paraId="6915E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5" w:hRule="atLeast"/>
              </w:trPr>
              <w:tc>
                <w:tcPr>
                  <w:tcW w:w="757" w:type="dxa"/>
                  <w:vMerge w:val="restart"/>
                  <w:shd w:val="clear" w:color="auto" w:fill="auto"/>
                  <w:vAlign w:val="center"/>
                </w:tcPr>
                <w:p w14:paraId="1C53CF84">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3</w:t>
                  </w:r>
                </w:p>
              </w:tc>
              <w:tc>
                <w:tcPr>
                  <w:tcW w:w="1030" w:type="dxa"/>
                  <w:vMerge w:val="restart"/>
                  <w:shd w:val="clear" w:color="auto" w:fill="auto"/>
                  <w:vAlign w:val="center"/>
                </w:tcPr>
                <w:p w14:paraId="7FA5A96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制袋机</w:t>
                  </w:r>
                </w:p>
              </w:tc>
              <w:tc>
                <w:tcPr>
                  <w:tcW w:w="2005" w:type="dxa"/>
                  <w:shd w:val="clear" w:color="auto" w:fill="auto"/>
                  <w:vAlign w:val="center"/>
                </w:tcPr>
                <w:p w14:paraId="45520AD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500型双机-9千瓦</w:t>
                  </w:r>
                </w:p>
              </w:tc>
              <w:tc>
                <w:tcPr>
                  <w:tcW w:w="1430" w:type="dxa"/>
                  <w:shd w:val="clear" w:color="auto" w:fill="auto"/>
                  <w:vAlign w:val="center"/>
                </w:tcPr>
                <w:p w14:paraId="7AFAB87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4</w:t>
                  </w:r>
                </w:p>
              </w:tc>
              <w:tc>
                <w:tcPr>
                  <w:tcW w:w="1230" w:type="dxa"/>
                  <w:vMerge w:val="restart"/>
                  <w:shd w:val="clear" w:color="auto" w:fill="auto"/>
                  <w:vAlign w:val="center"/>
                </w:tcPr>
                <w:p w14:paraId="3B30BDD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9</w:t>
                  </w:r>
                </w:p>
              </w:tc>
              <w:tc>
                <w:tcPr>
                  <w:tcW w:w="1820" w:type="dxa"/>
                  <w:vMerge w:val="restart"/>
                  <w:shd w:val="clear" w:color="auto" w:fill="auto"/>
                  <w:vAlign w:val="center"/>
                </w:tcPr>
                <w:p w14:paraId="3EDFDCB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二楼车间</w:t>
                  </w:r>
                </w:p>
              </w:tc>
            </w:tr>
            <w:tr w14:paraId="7303F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vMerge w:val="continue"/>
                  <w:shd w:val="clear" w:color="auto" w:fill="auto"/>
                  <w:vAlign w:val="center"/>
                </w:tcPr>
                <w:p w14:paraId="79D6A6C2">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p>
              </w:tc>
              <w:tc>
                <w:tcPr>
                  <w:tcW w:w="1030" w:type="dxa"/>
                  <w:vMerge w:val="continue"/>
                  <w:shd w:val="clear" w:color="auto" w:fill="auto"/>
                  <w:vAlign w:val="center"/>
                </w:tcPr>
                <w:p w14:paraId="1CAB14F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p>
              </w:tc>
              <w:tc>
                <w:tcPr>
                  <w:tcW w:w="2005" w:type="dxa"/>
                  <w:shd w:val="clear" w:color="auto" w:fill="auto"/>
                  <w:vAlign w:val="center"/>
                </w:tcPr>
                <w:p w14:paraId="6A74C22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450型双机-11千瓦</w:t>
                  </w:r>
                </w:p>
              </w:tc>
              <w:tc>
                <w:tcPr>
                  <w:tcW w:w="1430" w:type="dxa"/>
                  <w:shd w:val="clear" w:color="auto" w:fill="auto"/>
                  <w:vAlign w:val="center"/>
                </w:tcPr>
                <w:p w14:paraId="7B19F08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1230" w:type="dxa"/>
                  <w:vMerge w:val="continue"/>
                  <w:shd w:val="clear" w:color="auto" w:fill="auto"/>
                  <w:vAlign w:val="center"/>
                </w:tcPr>
                <w:p w14:paraId="6798F5B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820" w:type="dxa"/>
                  <w:vMerge w:val="continue"/>
                  <w:shd w:val="clear" w:color="auto" w:fill="auto"/>
                  <w:vAlign w:val="center"/>
                </w:tcPr>
                <w:p w14:paraId="5BD10FF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p>
              </w:tc>
            </w:tr>
            <w:tr w14:paraId="11812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vMerge w:val="continue"/>
                  <w:shd w:val="clear" w:color="auto" w:fill="auto"/>
                  <w:vAlign w:val="center"/>
                </w:tcPr>
                <w:p w14:paraId="04FAA6D7">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030" w:type="dxa"/>
                  <w:vMerge w:val="continue"/>
                  <w:shd w:val="clear" w:color="auto" w:fill="auto"/>
                  <w:vAlign w:val="center"/>
                </w:tcPr>
                <w:p w14:paraId="08B2AFE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p>
              </w:tc>
              <w:tc>
                <w:tcPr>
                  <w:tcW w:w="2005" w:type="dxa"/>
                  <w:shd w:val="clear" w:color="auto" w:fill="auto"/>
                  <w:vAlign w:val="center"/>
                </w:tcPr>
                <w:p w14:paraId="2B8951A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550型单机-5千瓦</w:t>
                  </w:r>
                </w:p>
              </w:tc>
              <w:tc>
                <w:tcPr>
                  <w:tcW w:w="1430" w:type="dxa"/>
                  <w:shd w:val="clear" w:color="auto" w:fill="auto"/>
                  <w:vAlign w:val="center"/>
                </w:tcPr>
                <w:p w14:paraId="45AAB24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4</w:t>
                  </w:r>
                </w:p>
              </w:tc>
              <w:tc>
                <w:tcPr>
                  <w:tcW w:w="1230" w:type="dxa"/>
                  <w:vMerge w:val="continue"/>
                  <w:shd w:val="clear" w:color="auto" w:fill="auto"/>
                  <w:vAlign w:val="center"/>
                </w:tcPr>
                <w:p w14:paraId="6F130C4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820" w:type="dxa"/>
                  <w:vMerge w:val="continue"/>
                  <w:shd w:val="clear" w:color="auto" w:fill="auto"/>
                  <w:vAlign w:val="center"/>
                </w:tcPr>
                <w:p w14:paraId="6F5C78A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p>
              </w:tc>
            </w:tr>
            <w:tr w14:paraId="7519B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vMerge w:val="restart"/>
                  <w:shd w:val="clear" w:color="auto" w:fill="auto"/>
                  <w:vAlign w:val="center"/>
                </w:tcPr>
                <w:p w14:paraId="5B2740FA">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4</w:t>
                  </w:r>
                </w:p>
              </w:tc>
              <w:tc>
                <w:tcPr>
                  <w:tcW w:w="1030" w:type="dxa"/>
                  <w:vMerge w:val="restart"/>
                  <w:shd w:val="clear" w:color="auto" w:fill="auto"/>
                  <w:vAlign w:val="center"/>
                </w:tcPr>
                <w:p w14:paraId="6508957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自动包装机</w:t>
                  </w:r>
                </w:p>
              </w:tc>
              <w:tc>
                <w:tcPr>
                  <w:tcW w:w="2005" w:type="dxa"/>
                  <w:shd w:val="clear" w:color="auto" w:fill="auto"/>
                  <w:vAlign w:val="center"/>
                </w:tcPr>
                <w:p w14:paraId="2BE284E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4510型-11.5千瓦</w:t>
                  </w:r>
                </w:p>
              </w:tc>
              <w:tc>
                <w:tcPr>
                  <w:tcW w:w="1430" w:type="dxa"/>
                  <w:shd w:val="clear" w:color="auto" w:fill="auto"/>
                  <w:vAlign w:val="center"/>
                </w:tcPr>
                <w:p w14:paraId="42D6B5E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1230" w:type="dxa"/>
                  <w:vMerge w:val="restart"/>
                  <w:shd w:val="clear" w:color="auto" w:fill="auto"/>
                  <w:vAlign w:val="center"/>
                </w:tcPr>
                <w:p w14:paraId="035C260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2</w:t>
                  </w:r>
                </w:p>
              </w:tc>
              <w:tc>
                <w:tcPr>
                  <w:tcW w:w="1820" w:type="dxa"/>
                  <w:vMerge w:val="restart"/>
                  <w:shd w:val="clear" w:color="auto" w:fill="auto"/>
                  <w:vAlign w:val="center"/>
                </w:tcPr>
                <w:p w14:paraId="4B87095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二楼车间</w:t>
                  </w:r>
                </w:p>
              </w:tc>
            </w:tr>
            <w:tr w14:paraId="72F8E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757" w:type="dxa"/>
                  <w:vMerge w:val="continue"/>
                  <w:shd w:val="clear" w:color="auto" w:fill="auto"/>
                  <w:vAlign w:val="center"/>
                </w:tcPr>
                <w:p w14:paraId="7A3C3D46">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030" w:type="dxa"/>
                  <w:vMerge w:val="continue"/>
                  <w:shd w:val="clear" w:color="auto" w:fill="auto"/>
                  <w:vAlign w:val="center"/>
                </w:tcPr>
                <w:p w14:paraId="504D054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p>
              </w:tc>
              <w:tc>
                <w:tcPr>
                  <w:tcW w:w="2005" w:type="dxa"/>
                  <w:shd w:val="clear" w:color="auto" w:fill="auto"/>
                  <w:vAlign w:val="center"/>
                </w:tcPr>
                <w:p w14:paraId="7E94885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4522N型-10千瓦</w:t>
                  </w:r>
                </w:p>
              </w:tc>
              <w:tc>
                <w:tcPr>
                  <w:tcW w:w="1430" w:type="dxa"/>
                  <w:shd w:val="clear" w:color="auto" w:fill="auto"/>
                  <w:vAlign w:val="center"/>
                </w:tcPr>
                <w:p w14:paraId="567972A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1230" w:type="dxa"/>
                  <w:vMerge w:val="continue"/>
                  <w:shd w:val="clear" w:color="auto" w:fill="auto"/>
                  <w:vAlign w:val="center"/>
                </w:tcPr>
                <w:p w14:paraId="4DA3D01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1820" w:type="dxa"/>
                  <w:vMerge w:val="continue"/>
                  <w:shd w:val="clear" w:color="auto" w:fill="auto"/>
                  <w:vAlign w:val="center"/>
                </w:tcPr>
                <w:p w14:paraId="3663F92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p>
              </w:tc>
            </w:tr>
          </w:tbl>
          <w:p w14:paraId="6E20C451">
            <w:pPr>
              <w:pStyle w:val="37"/>
              <w:rPr>
                <w:rFonts w:hint="default"/>
                <w:b w:val="0"/>
                <w:color w:val="000000" w:themeColor="text1"/>
                <w:sz w:val="24"/>
                <w:szCs w:val="21"/>
                <w:highlight w:val="none"/>
                <w:lang w:val="en-US" w:eastAsia="zh-CN"/>
                <w14:textFill>
                  <w14:solidFill>
                    <w14:schemeClr w14:val="tx1"/>
                  </w14:solidFill>
                </w14:textFill>
              </w:rPr>
            </w:pPr>
            <w:r>
              <w:rPr>
                <w:rFonts w:hint="eastAsia"/>
                <w:b w:val="0"/>
                <w:color w:val="000000" w:themeColor="text1"/>
                <w:sz w:val="24"/>
                <w:szCs w:val="21"/>
                <w:highlight w:val="none"/>
                <w:lang w:val="en-US" w:eastAsia="zh-CN"/>
                <w14:textFill>
                  <w14:solidFill>
                    <w14:schemeClr w14:val="tx1"/>
                  </w14:solidFill>
                </w14:textFill>
              </w:rPr>
              <w:t>2.6 物料平衡</w:t>
            </w:r>
          </w:p>
          <w:p w14:paraId="5E7288DE">
            <w:pPr>
              <w:spacing w:line="360" w:lineRule="auto"/>
              <w:ind w:firstLine="480" w:firstLineChars="200"/>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项目生产过程主要产生废边角料、残次品等，项目物料平衡见下表。</w:t>
            </w:r>
          </w:p>
          <w:p w14:paraId="29C68368">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eastAsia="宋体"/>
                <w:b/>
                <w:color w:val="000000" w:themeColor="text1"/>
                <w:sz w:val="24"/>
                <w:szCs w:val="24"/>
                <w:highlight w:val="none"/>
                <w:lang w:val="en-US" w:eastAsia="zh-CN"/>
                <w14:textFill>
                  <w14:solidFill>
                    <w14:schemeClr w14:val="tx1"/>
                  </w14:solidFill>
                </w14:textFill>
              </w:rPr>
            </w:pPr>
            <w:r>
              <w:rPr>
                <w:rFonts w:hint="eastAsia"/>
                <w:b/>
                <w:color w:val="000000" w:themeColor="text1"/>
                <w:sz w:val="24"/>
                <w:szCs w:val="24"/>
                <w:highlight w:val="none"/>
                <w14:textFill>
                  <w14:solidFill>
                    <w14:schemeClr w14:val="tx1"/>
                  </w14:solidFill>
                </w14:textFill>
              </w:rPr>
              <w:t>表</w:t>
            </w:r>
            <w:r>
              <w:rPr>
                <w:rFonts w:hint="eastAsia"/>
                <w:b/>
                <w:color w:val="000000" w:themeColor="text1"/>
                <w:sz w:val="24"/>
                <w:szCs w:val="24"/>
                <w:highlight w:val="none"/>
                <w:lang w:val="en-US" w:eastAsia="zh-CN"/>
                <w14:textFill>
                  <w14:solidFill>
                    <w14:schemeClr w14:val="tx1"/>
                  </w14:solidFill>
                </w14:textFill>
              </w:rPr>
              <w:t>2-6</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14:textFill>
                  <w14:solidFill>
                    <w14:schemeClr w14:val="tx1"/>
                  </w14:solidFill>
                </w14:textFill>
              </w:rPr>
              <w:t>项目</w:t>
            </w:r>
            <w:r>
              <w:rPr>
                <w:rFonts w:hint="eastAsia"/>
                <w:b/>
                <w:color w:val="000000" w:themeColor="text1"/>
                <w:sz w:val="24"/>
                <w:szCs w:val="24"/>
                <w:highlight w:val="none"/>
                <w:lang w:val="en-US" w:eastAsia="zh-CN"/>
                <w14:textFill>
                  <w14:solidFill>
                    <w14:schemeClr w14:val="tx1"/>
                  </w14:solidFill>
                </w14:textFill>
              </w:rPr>
              <w:t>物料平衡</w:t>
            </w:r>
            <w:r>
              <w:rPr>
                <w:rFonts w:hint="eastAsia"/>
                <w:b/>
                <w:color w:val="000000" w:themeColor="text1"/>
                <w:sz w:val="24"/>
                <w:szCs w:val="24"/>
                <w:highlight w:val="none"/>
                <w14:textFill>
                  <w14:solidFill>
                    <w14:schemeClr w14:val="tx1"/>
                  </w14:solidFill>
                </w14:textFill>
              </w:rPr>
              <w:t>一览</w:t>
            </w:r>
            <w:r>
              <w:rPr>
                <w:rFonts w:hint="eastAsia"/>
                <w:b/>
                <w:color w:val="000000" w:themeColor="text1"/>
                <w:sz w:val="24"/>
                <w:szCs w:val="24"/>
                <w:highlight w:val="none"/>
                <w:lang w:val="en-US" w:eastAsia="zh-CN"/>
                <w14:textFill>
                  <w14:solidFill>
                    <w14:schemeClr w14:val="tx1"/>
                  </w14:solidFill>
                </w14:textFill>
              </w:rPr>
              <w:t>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944"/>
              <w:gridCol w:w="1087"/>
              <w:gridCol w:w="2063"/>
              <w:gridCol w:w="1312"/>
              <w:gridCol w:w="1866"/>
            </w:tblGrid>
            <w:tr w14:paraId="44587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3031" w:type="dxa"/>
                  <w:gridSpan w:val="2"/>
                  <w:shd w:val="clear" w:color="auto" w:fill="auto"/>
                  <w:vAlign w:val="center"/>
                </w:tcPr>
                <w:p w14:paraId="38B24C37">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b/>
                      <w:bCs/>
                      <w:color w:val="000000" w:themeColor="text1"/>
                      <w:sz w:val="21"/>
                      <w:szCs w:val="18"/>
                      <w:highlight w:val="none"/>
                      <w:lang w:val="en-US" w:eastAsia="zh-CN"/>
                      <w14:textFill>
                        <w14:solidFill>
                          <w14:schemeClr w14:val="tx1"/>
                        </w14:solidFill>
                      </w14:textFill>
                    </w:rPr>
                  </w:pPr>
                  <w:r>
                    <w:rPr>
                      <w:rFonts w:hint="eastAsia"/>
                      <w:b/>
                      <w:bCs/>
                      <w:color w:val="000000" w:themeColor="text1"/>
                      <w:sz w:val="21"/>
                      <w:szCs w:val="18"/>
                      <w:highlight w:val="none"/>
                      <w:lang w:val="en-US" w:eastAsia="zh-CN"/>
                      <w14:textFill>
                        <w14:solidFill>
                          <w14:schemeClr w14:val="tx1"/>
                        </w14:solidFill>
                      </w14:textFill>
                    </w:rPr>
                    <w:t>输入项</w:t>
                  </w:r>
                </w:p>
              </w:tc>
              <w:tc>
                <w:tcPr>
                  <w:tcW w:w="5241" w:type="dxa"/>
                  <w:gridSpan w:val="3"/>
                  <w:shd w:val="clear" w:color="auto" w:fill="auto"/>
                  <w:vAlign w:val="center"/>
                </w:tcPr>
                <w:p w14:paraId="7ABA9485">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b/>
                      <w:bCs/>
                      <w:color w:val="000000" w:themeColor="text1"/>
                      <w:sz w:val="21"/>
                      <w:szCs w:val="18"/>
                      <w:highlight w:val="none"/>
                      <w:lang w:val="en-US" w:eastAsia="zh-CN"/>
                      <w14:textFill>
                        <w14:solidFill>
                          <w14:schemeClr w14:val="tx1"/>
                        </w14:solidFill>
                      </w14:textFill>
                    </w:rPr>
                  </w:pPr>
                  <w:r>
                    <w:rPr>
                      <w:rFonts w:hint="eastAsia"/>
                      <w:b/>
                      <w:bCs/>
                      <w:color w:val="000000" w:themeColor="text1"/>
                      <w:sz w:val="21"/>
                      <w:szCs w:val="18"/>
                      <w:highlight w:val="none"/>
                      <w:lang w:val="en-US" w:eastAsia="zh-CN"/>
                      <w14:textFill>
                        <w14:solidFill>
                          <w14:schemeClr w14:val="tx1"/>
                        </w14:solidFill>
                      </w14:textFill>
                    </w:rPr>
                    <w:t>输出项</w:t>
                  </w:r>
                </w:p>
              </w:tc>
            </w:tr>
            <w:tr w14:paraId="67E5C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944" w:type="dxa"/>
                  <w:shd w:val="clear" w:color="auto" w:fill="auto"/>
                  <w:vAlign w:val="center"/>
                </w:tcPr>
                <w:p w14:paraId="0BF26E3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18"/>
                      <w:highlight w:val="none"/>
                      <w:lang w:val="en-US" w:eastAsia="zh-CN"/>
                      <w14:textFill>
                        <w14:solidFill>
                          <w14:schemeClr w14:val="tx1"/>
                        </w14:solidFill>
                      </w14:textFill>
                    </w:rPr>
                    <w:t>物料名称</w:t>
                  </w:r>
                </w:p>
              </w:tc>
              <w:tc>
                <w:tcPr>
                  <w:tcW w:w="1087" w:type="dxa"/>
                  <w:shd w:val="clear" w:color="auto" w:fill="auto"/>
                  <w:vAlign w:val="center"/>
                </w:tcPr>
                <w:p w14:paraId="1F248EC6">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18"/>
                      <w:highlight w:val="none"/>
                      <w:lang w:val="en-US" w:eastAsia="zh-CN"/>
                      <w14:textFill>
                        <w14:solidFill>
                          <w14:schemeClr w14:val="tx1"/>
                        </w14:solidFill>
                      </w14:textFill>
                    </w:rPr>
                    <w:t>使用量（</w:t>
                  </w: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t/a</w:t>
                  </w:r>
                  <w:r>
                    <w:rPr>
                      <w:rFonts w:hint="default" w:ascii="Times New Roman" w:hAnsi="Times New Roman" w:cs="Times New Roman"/>
                      <w:b/>
                      <w:bCs/>
                      <w:color w:val="000000" w:themeColor="text1"/>
                      <w:sz w:val="21"/>
                      <w:szCs w:val="18"/>
                      <w:highlight w:val="none"/>
                      <w:lang w:val="en-US" w:eastAsia="zh-CN"/>
                      <w14:textFill>
                        <w14:solidFill>
                          <w14:schemeClr w14:val="tx1"/>
                        </w14:solidFill>
                      </w14:textFill>
                    </w:rPr>
                    <w:t>）</w:t>
                  </w:r>
                </w:p>
              </w:tc>
              <w:tc>
                <w:tcPr>
                  <w:tcW w:w="2063" w:type="dxa"/>
                  <w:shd w:val="clear" w:color="auto" w:fill="auto"/>
                  <w:vAlign w:val="center"/>
                </w:tcPr>
                <w:p w14:paraId="0768779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18"/>
                      <w:highlight w:val="none"/>
                      <w:lang w:val="en-US" w:eastAsia="zh-CN"/>
                      <w14:textFill>
                        <w14:solidFill>
                          <w14:schemeClr w14:val="tx1"/>
                        </w14:solidFill>
                      </w14:textFill>
                    </w:rPr>
                    <w:t>物料名称</w:t>
                  </w:r>
                </w:p>
              </w:tc>
              <w:tc>
                <w:tcPr>
                  <w:tcW w:w="1312" w:type="dxa"/>
                  <w:shd w:val="clear" w:color="auto" w:fill="auto"/>
                  <w:vAlign w:val="center"/>
                </w:tcPr>
                <w:p w14:paraId="4BE7133A">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18"/>
                      <w:highlight w:val="none"/>
                      <w:lang w:val="en-US" w:eastAsia="zh-CN"/>
                      <w14:textFill>
                        <w14:solidFill>
                          <w14:schemeClr w14:val="tx1"/>
                        </w14:solidFill>
                      </w14:textFill>
                    </w:rPr>
                    <w:t>产生量（</w:t>
                  </w: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t/a</w:t>
                  </w:r>
                  <w:r>
                    <w:rPr>
                      <w:rFonts w:hint="default" w:ascii="Times New Roman" w:hAnsi="Times New Roman" w:cs="Times New Roman"/>
                      <w:b/>
                      <w:bCs/>
                      <w:color w:val="000000" w:themeColor="text1"/>
                      <w:sz w:val="21"/>
                      <w:szCs w:val="18"/>
                      <w:highlight w:val="none"/>
                      <w:lang w:val="en-US" w:eastAsia="zh-CN"/>
                      <w14:textFill>
                        <w14:solidFill>
                          <w14:schemeClr w14:val="tx1"/>
                        </w14:solidFill>
                      </w14:textFill>
                    </w:rPr>
                    <w:t>）</w:t>
                  </w:r>
                </w:p>
              </w:tc>
              <w:tc>
                <w:tcPr>
                  <w:tcW w:w="1866" w:type="dxa"/>
                  <w:shd w:val="clear" w:color="auto" w:fill="auto"/>
                  <w:vAlign w:val="center"/>
                </w:tcPr>
                <w:p w14:paraId="3689577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b/>
                      <w:bCs/>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b/>
                      <w:bCs/>
                      <w:color w:val="000000" w:themeColor="text1"/>
                      <w:sz w:val="21"/>
                      <w:szCs w:val="18"/>
                      <w:highlight w:val="none"/>
                      <w:lang w:val="en-US" w:eastAsia="zh-CN"/>
                      <w14:textFill>
                        <w14:solidFill>
                          <w14:schemeClr w14:val="tx1"/>
                        </w14:solidFill>
                      </w14:textFill>
                    </w:rPr>
                    <w:t>去向</w:t>
                  </w:r>
                </w:p>
              </w:tc>
            </w:tr>
            <w:tr w14:paraId="12B00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944" w:type="dxa"/>
                  <w:shd w:val="clear" w:color="auto" w:fill="auto"/>
                  <w:vAlign w:val="center"/>
                </w:tcPr>
                <w:p w14:paraId="00B059D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高密度</w:t>
                  </w:r>
                  <w: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t>聚乙烯塑料米</w:t>
                  </w:r>
                </w:p>
              </w:tc>
              <w:tc>
                <w:tcPr>
                  <w:tcW w:w="1087" w:type="dxa"/>
                  <w:shd w:val="clear" w:color="auto" w:fill="auto"/>
                  <w:vAlign w:val="center"/>
                </w:tcPr>
                <w:p w14:paraId="0EF3740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68</w:t>
                  </w:r>
                </w:p>
              </w:tc>
              <w:tc>
                <w:tcPr>
                  <w:tcW w:w="2063" w:type="dxa"/>
                  <w:shd w:val="clear" w:color="auto" w:fill="auto"/>
                  <w:vAlign w:val="center"/>
                </w:tcPr>
                <w:p w14:paraId="0218C13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eastAsia" w:cs="Times New Roman"/>
                      <w:color w:val="000000" w:themeColor="text1"/>
                      <w:sz w:val="21"/>
                      <w:szCs w:val="18"/>
                      <w:highlight w:val="none"/>
                      <w:lang w:val="en-US" w:eastAsia="zh-CN"/>
                      <w14:textFill>
                        <w14:solidFill>
                          <w14:schemeClr w14:val="tx1"/>
                        </w14:solidFill>
                      </w14:textFill>
                    </w:rPr>
                    <w:t>塑料</w:t>
                  </w:r>
                  <w: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t>垃圾袋</w:t>
                  </w:r>
                  <w:r>
                    <w:rPr>
                      <w:rFonts w:hint="eastAsia" w:cs="Times New Roman"/>
                      <w:color w:val="000000" w:themeColor="text1"/>
                      <w:sz w:val="21"/>
                      <w:szCs w:val="18"/>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t>保鲜袋</w:t>
                  </w:r>
                </w:p>
              </w:tc>
              <w:tc>
                <w:tcPr>
                  <w:tcW w:w="1312" w:type="dxa"/>
                  <w:shd w:val="clear" w:color="auto" w:fill="auto"/>
                  <w:vAlign w:val="center"/>
                </w:tcPr>
                <w:p w14:paraId="2B1A785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68</w:t>
                  </w:r>
                </w:p>
              </w:tc>
              <w:tc>
                <w:tcPr>
                  <w:tcW w:w="1866" w:type="dxa"/>
                  <w:shd w:val="clear" w:color="auto" w:fill="auto"/>
                  <w:vAlign w:val="center"/>
                </w:tcPr>
                <w:p w14:paraId="034394D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外售</w:t>
                  </w:r>
                </w:p>
              </w:tc>
            </w:tr>
            <w:tr w14:paraId="36D1F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944" w:type="dxa"/>
                  <w:shd w:val="clear" w:color="auto" w:fill="auto"/>
                  <w:vAlign w:val="center"/>
                </w:tcPr>
                <w:p w14:paraId="613A733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色母</w:t>
                  </w:r>
                </w:p>
              </w:tc>
              <w:tc>
                <w:tcPr>
                  <w:tcW w:w="1087" w:type="dxa"/>
                  <w:shd w:val="clear" w:color="auto" w:fill="auto"/>
                  <w:vAlign w:val="center"/>
                </w:tcPr>
                <w:p w14:paraId="45009CB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18"/>
                      <w:highlight w:val="none"/>
                      <w:lang w:val="en-US" w:eastAsia="zh-CN"/>
                      <w14:textFill>
                        <w14:solidFill>
                          <w14:schemeClr w14:val="tx1"/>
                        </w14:solidFill>
                      </w14:textFill>
                    </w:rPr>
                    <w:t>2</w:t>
                  </w:r>
                </w:p>
              </w:tc>
              <w:tc>
                <w:tcPr>
                  <w:tcW w:w="2063" w:type="dxa"/>
                  <w:shd w:val="clear" w:color="auto" w:fill="auto"/>
                  <w:vAlign w:val="center"/>
                </w:tcPr>
                <w:p w14:paraId="0BA5951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sz w:val="21"/>
                      <w:szCs w:val="18"/>
                      <w:highlight w:val="none"/>
                      <w:lang w:val="en-US"/>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废边角料、残次品</w:t>
                  </w:r>
                </w:p>
              </w:tc>
              <w:tc>
                <w:tcPr>
                  <w:tcW w:w="1312" w:type="dxa"/>
                  <w:shd w:val="clear" w:color="auto" w:fill="auto"/>
                  <w:vAlign w:val="center"/>
                </w:tcPr>
                <w:p w14:paraId="27C9091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1.7443 </w:t>
                  </w:r>
                </w:p>
              </w:tc>
              <w:tc>
                <w:tcPr>
                  <w:tcW w:w="1866" w:type="dxa"/>
                  <w:shd w:val="clear" w:color="auto" w:fill="auto"/>
                  <w:vAlign w:val="center"/>
                </w:tcPr>
                <w:p w14:paraId="331A6E6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t>收集后外售给回收企业综合利用</w:t>
                  </w:r>
                </w:p>
              </w:tc>
            </w:tr>
            <w:tr w14:paraId="57D7B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944" w:type="dxa"/>
                  <w:shd w:val="clear" w:color="auto" w:fill="auto"/>
                  <w:vAlign w:val="center"/>
                </w:tcPr>
                <w:p w14:paraId="7CC40A7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18"/>
                      <w:highlight w:val="none"/>
                      <w:lang w:val="en-US" w:eastAsia="zh-CN"/>
                      <w14:textFill>
                        <w14:solidFill>
                          <w14:schemeClr w14:val="tx1"/>
                        </w14:solidFill>
                      </w14:textFill>
                    </w:rPr>
                    <w:t>/</w:t>
                  </w:r>
                </w:p>
              </w:tc>
              <w:tc>
                <w:tcPr>
                  <w:tcW w:w="1087" w:type="dxa"/>
                  <w:shd w:val="clear" w:color="auto" w:fill="auto"/>
                  <w:vAlign w:val="center"/>
                </w:tcPr>
                <w:p w14:paraId="453263E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18"/>
                      <w:highlight w:val="none"/>
                      <w:lang w:val="en-US" w:eastAsia="zh-CN"/>
                      <w14:textFill>
                        <w14:solidFill>
                          <w14:schemeClr w14:val="tx1"/>
                        </w14:solidFill>
                      </w14:textFill>
                    </w:rPr>
                    <w:t>/</w:t>
                  </w:r>
                </w:p>
              </w:tc>
              <w:tc>
                <w:tcPr>
                  <w:tcW w:w="2063" w:type="dxa"/>
                  <w:shd w:val="clear" w:color="auto" w:fill="auto"/>
                  <w:vAlign w:val="center"/>
                </w:tcPr>
                <w:p w14:paraId="77B089F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VOCs有组织排放量</w:t>
                  </w:r>
                </w:p>
              </w:tc>
              <w:tc>
                <w:tcPr>
                  <w:tcW w:w="1312" w:type="dxa"/>
                  <w:shd w:val="clear" w:color="auto" w:fill="auto"/>
                  <w:vAlign w:val="center"/>
                </w:tcPr>
                <w:p w14:paraId="6AF8428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368</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 </w:t>
                  </w:r>
                </w:p>
              </w:tc>
              <w:tc>
                <w:tcPr>
                  <w:tcW w:w="1866" w:type="dxa"/>
                  <w:shd w:val="clear" w:color="auto" w:fill="auto"/>
                  <w:vAlign w:val="center"/>
                </w:tcPr>
                <w:p w14:paraId="4A88328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排气筒排放</w:t>
                  </w:r>
                </w:p>
              </w:tc>
            </w:tr>
            <w:tr w14:paraId="5224E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944" w:type="dxa"/>
                  <w:shd w:val="clear" w:color="auto" w:fill="auto"/>
                  <w:vAlign w:val="center"/>
                </w:tcPr>
                <w:p w14:paraId="60DF008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18"/>
                      <w:highlight w:val="none"/>
                      <w:lang w:val="en-US" w:eastAsia="zh-CN"/>
                      <w14:textFill>
                        <w14:solidFill>
                          <w14:schemeClr w14:val="tx1"/>
                        </w14:solidFill>
                      </w14:textFill>
                    </w:rPr>
                    <w:t>/</w:t>
                  </w:r>
                </w:p>
              </w:tc>
              <w:tc>
                <w:tcPr>
                  <w:tcW w:w="1087" w:type="dxa"/>
                  <w:shd w:val="clear" w:color="auto" w:fill="auto"/>
                  <w:vAlign w:val="center"/>
                </w:tcPr>
                <w:p w14:paraId="74C4689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18"/>
                      <w:highlight w:val="none"/>
                      <w:lang w:val="en-US" w:eastAsia="zh-CN"/>
                      <w14:textFill>
                        <w14:solidFill>
                          <w14:schemeClr w14:val="tx1"/>
                        </w14:solidFill>
                      </w14:textFill>
                    </w:rPr>
                    <w:t>/</w:t>
                  </w:r>
                </w:p>
              </w:tc>
              <w:tc>
                <w:tcPr>
                  <w:tcW w:w="2063" w:type="dxa"/>
                  <w:shd w:val="clear" w:color="auto" w:fill="auto"/>
                  <w:vAlign w:val="center"/>
                </w:tcPr>
                <w:p w14:paraId="7D45419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sz w:val="21"/>
                      <w:szCs w:val="18"/>
                      <w:highlight w:val="none"/>
                      <w:lang w:val="en-US"/>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VOCs无组织排放量</w:t>
                  </w:r>
                </w:p>
              </w:tc>
              <w:tc>
                <w:tcPr>
                  <w:tcW w:w="1312" w:type="dxa"/>
                  <w:shd w:val="clear" w:color="auto" w:fill="auto"/>
                  <w:vAlign w:val="center"/>
                </w:tcPr>
                <w:p w14:paraId="28D4DD6B">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0.0256 </w:t>
                  </w:r>
                </w:p>
              </w:tc>
              <w:tc>
                <w:tcPr>
                  <w:tcW w:w="1866" w:type="dxa"/>
                  <w:shd w:val="clear" w:color="auto" w:fill="auto"/>
                  <w:vAlign w:val="center"/>
                </w:tcPr>
                <w:p w14:paraId="4873BDD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无组织逸散</w:t>
                  </w:r>
                </w:p>
              </w:tc>
            </w:tr>
            <w:tr w14:paraId="2E5E3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944" w:type="dxa"/>
                  <w:shd w:val="clear" w:color="auto" w:fill="auto"/>
                  <w:vAlign w:val="center"/>
                </w:tcPr>
                <w:p w14:paraId="643D6B5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18"/>
                      <w:highlight w:val="none"/>
                      <w:lang w:val="en-US" w:eastAsia="zh-CN"/>
                      <w14:textFill>
                        <w14:solidFill>
                          <w14:schemeClr w14:val="tx1"/>
                        </w14:solidFill>
                      </w14:textFill>
                    </w:rPr>
                    <w:t>/</w:t>
                  </w:r>
                </w:p>
              </w:tc>
              <w:tc>
                <w:tcPr>
                  <w:tcW w:w="1087" w:type="dxa"/>
                  <w:shd w:val="clear" w:color="auto" w:fill="auto"/>
                  <w:vAlign w:val="center"/>
                </w:tcPr>
                <w:p w14:paraId="7CEC531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18"/>
                      <w:highlight w:val="none"/>
                      <w:lang w:val="en-US" w:eastAsia="zh-CN"/>
                      <w14:textFill>
                        <w14:solidFill>
                          <w14:schemeClr w14:val="tx1"/>
                        </w14:solidFill>
                      </w14:textFill>
                    </w:rPr>
                    <w:t>/</w:t>
                  </w:r>
                </w:p>
              </w:tc>
              <w:tc>
                <w:tcPr>
                  <w:tcW w:w="2063" w:type="dxa"/>
                  <w:shd w:val="clear" w:color="auto" w:fill="auto"/>
                  <w:vAlign w:val="center"/>
                </w:tcPr>
                <w:p w14:paraId="37F0AFB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sz w:val="21"/>
                      <w:szCs w:val="18"/>
                      <w:highlight w:val="none"/>
                      <w:lang w:val="en-US"/>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VOCs净化量</w:t>
                  </w:r>
                </w:p>
              </w:tc>
              <w:tc>
                <w:tcPr>
                  <w:tcW w:w="1312" w:type="dxa"/>
                  <w:shd w:val="clear" w:color="auto" w:fill="auto"/>
                  <w:vAlign w:val="center"/>
                </w:tcPr>
                <w:p w14:paraId="74918B0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1933</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 </w:t>
                  </w:r>
                </w:p>
              </w:tc>
              <w:tc>
                <w:tcPr>
                  <w:tcW w:w="1866" w:type="dxa"/>
                  <w:shd w:val="clear" w:color="auto" w:fill="auto"/>
                  <w:vAlign w:val="center"/>
                </w:tcPr>
                <w:p w14:paraId="51C8337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活性炭吸附</w:t>
                  </w:r>
                </w:p>
              </w:tc>
            </w:tr>
            <w:tr w14:paraId="047BA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944" w:type="dxa"/>
                  <w:shd w:val="clear" w:color="auto" w:fill="auto"/>
                  <w:vAlign w:val="center"/>
                </w:tcPr>
                <w:p w14:paraId="407EA974">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1"/>
                      <w:szCs w:val="18"/>
                      <w:highlight w:val="none"/>
                      <w:lang w:val="en-US" w:eastAsia="zh-CN"/>
                      <w14:textFill>
                        <w14:solidFill>
                          <w14:schemeClr w14:val="tx1"/>
                        </w14:solidFill>
                      </w14:textFill>
                    </w:rPr>
                    <w:t>合计</w:t>
                  </w:r>
                </w:p>
              </w:tc>
              <w:tc>
                <w:tcPr>
                  <w:tcW w:w="1087" w:type="dxa"/>
                  <w:shd w:val="clear" w:color="auto" w:fill="auto"/>
                  <w:vAlign w:val="center"/>
                </w:tcPr>
                <w:p w14:paraId="477B200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70</w:t>
                  </w:r>
                </w:p>
              </w:tc>
              <w:tc>
                <w:tcPr>
                  <w:tcW w:w="2063" w:type="dxa"/>
                  <w:shd w:val="clear" w:color="auto" w:fill="auto"/>
                  <w:vAlign w:val="center"/>
                </w:tcPr>
                <w:p w14:paraId="7114B4D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合计</w:t>
                  </w:r>
                </w:p>
              </w:tc>
              <w:tc>
                <w:tcPr>
                  <w:tcW w:w="1312" w:type="dxa"/>
                  <w:shd w:val="clear" w:color="auto" w:fill="auto"/>
                  <w:vAlign w:val="center"/>
                </w:tcPr>
                <w:p w14:paraId="70D6797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000000" w:themeColor="text1"/>
                      <w:sz w:val="21"/>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18"/>
                      <w:highlight w:val="none"/>
                      <w:lang w:val="en-US" w:eastAsia="zh-CN"/>
                      <w14:textFill>
                        <w14:solidFill>
                          <w14:schemeClr w14:val="tx1"/>
                        </w14:solidFill>
                      </w14:textFill>
                    </w:rPr>
                    <w:t>70</w:t>
                  </w:r>
                </w:p>
              </w:tc>
              <w:tc>
                <w:tcPr>
                  <w:tcW w:w="1866" w:type="dxa"/>
                  <w:shd w:val="clear" w:color="auto" w:fill="auto"/>
                  <w:vAlign w:val="center"/>
                </w:tcPr>
                <w:p w14:paraId="35A0931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00" w:themeColor="text1"/>
                      <w:sz w:val="21"/>
                      <w:szCs w:val="18"/>
                      <w:highlight w:val="none"/>
                      <w:lang w:val="en-US"/>
                      <w14:textFill>
                        <w14:solidFill>
                          <w14:schemeClr w14:val="tx1"/>
                        </w14:solidFill>
                      </w14:textFill>
                    </w:rPr>
                  </w:pPr>
                </w:p>
              </w:tc>
            </w:tr>
          </w:tbl>
          <w:p w14:paraId="4DCFC677">
            <w:pPr>
              <w:pStyle w:val="37"/>
              <w:rPr>
                <w:rFonts w:hint="eastAsia"/>
                <w:b w:val="0"/>
                <w:color w:val="000000" w:themeColor="text1"/>
                <w:sz w:val="24"/>
                <w:szCs w:val="21"/>
                <w:highlight w:val="none"/>
                <w:lang w:val="en-US" w:eastAsia="zh-CN"/>
                <w14:textFill>
                  <w14:solidFill>
                    <w14:schemeClr w14:val="tx1"/>
                  </w14:solidFill>
                </w14:textFill>
              </w:rPr>
            </w:pPr>
          </w:p>
          <w:p w14:paraId="4EB1EFAD">
            <w:pPr>
              <w:pStyle w:val="37"/>
              <w:rPr>
                <w:rFonts w:hint="default"/>
                <w:b w:val="0"/>
                <w:color w:val="000000" w:themeColor="text1"/>
                <w:sz w:val="24"/>
                <w:szCs w:val="21"/>
                <w:highlight w:val="none"/>
                <w:lang w:val="en-US" w:eastAsia="zh-CN"/>
                <w14:textFill>
                  <w14:solidFill>
                    <w14:schemeClr w14:val="tx1"/>
                  </w14:solidFill>
                </w14:textFill>
              </w:rPr>
            </w:pPr>
            <w:r>
              <w:rPr>
                <w:rFonts w:hint="eastAsia"/>
                <w:b w:val="0"/>
                <w:color w:val="000000" w:themeColor="text1"/>
                <w:sz w:val="24"/>
                <w:szCs w:val="21"/>
                <w:highlight w:val="none"/>
                <w:lang w:val="en-US" w:eastAsia="zh-CN"/>
                <w14:textFill>
                  <w14:solidFill>
                    <w14:schemeClr w14:val="tx1"/>
                  </w14:solidFill>
                </w14:textFill>
              </w:rPr>
              <w:t>2.7 水平衡</w:t>
            </w:r>
          </w:p>
          <w:p w14:paraId="473373E9">
            <w:pPr>
              <w:spacing w:line="360" w:lineRule="auto"/>
              <w:ind w:firstLine="480" w:firstLineChars="200"/>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本项目的废水主要为生活污水，本项目定员8人，年工作300天。员工不在厂内住宿，但在厂内用餐，生活用水量保守按100L/d计，则项目职工生活用水量为0.8t/d（240t/a）。排放系数取0.9，则项目生活污水排放量约0.72t/d（216t/a），主要污染物为COD、SS、氨氮、总氮、总磷等，生活污水经隔油+化粪池处理后，接市政污水管网进入福建青口海峡环保工程有限公司(青口新区污水处理厂)处理。项目建成后，全厂水平衡情况见下图。</w:t>
            </w:r>
          </w:p>
          <w:p w14:paraId="5F37A4F6">
            <w:pPr>
              <w:spacing w:line="360" w:lineRule="auto"/>
              <w:jc w:val="center"/>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drawing>
                <wp:inline distT="0" distB="0" distL="114300" distR="114300">
                  <wp:extent cx="5256530" cy="1057275"/>
                  <wp:effectExtent l="0" t="0" r="0" b="0"/>
                  <wp:docPr id="19" name="图片 19" descr="闽侯塑料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闽侯塑料水平衡"/>
                          <pic:cNvPicPr>
                            <a:picLocks noChangeAspect="1"/>
                          </pic:cNvPicPr>
                        </pic:nvPicPr>
                        <pic:blipFill>
                          <a:blip r:embed="rId13"/>
                          <a:srcRect t="11308" b="20230"/>
                          <a:stretch>
                            <a:fillRect/>
                          </a:stretch>
                        </pic:blipFill>
                        <pic:spPr>
                          <a:xfrm>
                            <a:off x="0" y="0"/>
                            <a:ext cx="5256530" cy="1057275"/>
                          </a:xfrm>
                          <a:prstGeom prst="rect">
                            <a:avLst/>
                          </a:prstGeom>
                        </pic:spPr>
                      </pic:pic>
                    </a:graphicData>
                  </a:graphic>
                </wp:inline>
              </w:drawing>
            </w:r>
          </w:p>
          <w:p w14:paraId="5E32F9F5">
            <w:pPr>
              <w:spacing w:line="360" w:lineRule="auto"/>
              <w:jc w:val="center"/>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 xml:space="preserve">图 </w:t>
            </w:r>
            <w:r>
              <w:rPr>
                <w:b/>
                <w:bCs/>
                <w:color w:val="000000" w:themeColor="text1"/>
                <w:sz w:val="24"/>
                <w:szCs w:val="24"/>
                <w:highlight w:val="none"/>
                <w14:textFill>
                  <w14:solidFill>
                    <w14:schemeClr w14:val="tx1"/>
                  </w14:solidFill>
                </w14:textFill>
              </w:rPr>
              <w:t>2-</w:t>
            </w:r>
            <w:r>
              <w:rPr>
                <w:rFonts w:hint="eastAsia"/>
                <w:b/>
                <w:bCs/>
                <w:color w:val="000000" w:themeColor="text1"/>
                <w:sz w:val="24"/>
                <w:szCs w:val="24"/>
                <w:highlight w:val="none"/>
                <w:lang w:val="en-US" w:eastAsia="zh-CN"/>
                <w14:textFill>
                  <w14:solidFill>
                    <w14:schemeClr w14:val="tx1"/>
                  </w14:solidFill>
                </w14:textFill>
              </w:rPr>
              <w:t>1</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lang w:val="en-US" w:eastAsia="zh-CN"/>
                <w14:textFill>
                  <w14:solidFill>
                    <w14:schemeClr w14:val="tx1"/>
                  </w14:solidFill>
                </w14:textFill>
              </w:rPr>
              <w:t>项目水平衡图</w:t>
            </w:r>
          </w:p>
          <w:p w14:paraId="76E7E13E">
            <w:pPr>
              <w:pStyle w:val="37"/>
              <w:rPr>
                <w:rFonts w:hint="default"/>
                <w:b w:val="0"/>
                <w:color w:val="000000" w:themeColor="text1"/>
                <w:sz w:val="24"/>
                <w:szCs w:val="21"/>
                <w:highlight w:val="none"/>
                <w:lang w:val="en-US" w:eastAsia="zh-CN"/>
                <w14:textFill>
                  <w14:solidFill>
                    <w14:schemeClr w14:val="tx1"/>
                  </w14:solidFill>
                </w14:textFill>
              </w:rPr>
            </w:pPr>
            <w:r>
              <w:rPr>
                <w:rFonts w:hint="eastAsia"/>
                <w:b w:val="0"/>
                <w:color w:val="000000" w:themeColor="text1"/>
                <w:sz w:val="24"/>
                <w:szCs w:val="21"/>
                <w:highlight w:val="none"/>
                <w:lang w:val="en-US" w:eastAsia="zh-CN"/>
                <w14:textFill>
                  <w14:solidFill>
                    <w14:schemeClr w14:val="tx1"/>
                  </w14:solidFill>
                </w14:textFill>
              </w:rPr>
              <w:t>2.8 项目平面布置合理性分析</w:t>
            </w:r>
          </w:p>
          <w:p w14:paraId="2D492667">
            <w:pPr>
              <w:spacing w:line="360" w:lineRule="auto"/>
              <w:ind w:firstLine="480" w:firstLineChars="200"/>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本项目仅租用福建西诚电子有限公司在福建省福州市闽侯县祥谦镇辅翼村、卜洲村福建西诚电子工业园第三座厂房1-3层，</w:t>
            </w:r>
            <w:r>
              <w:rPr>
                <w:rFonts w:hint="eastAsia"/>
                <w:color w:val="000000" w:themeColor="text1"/>
                <w:sz w:val="24"/>
                <w:szCs w:val="24"/>
                <w:highlight w:val="none"/>
                <w:lang w:val="en-US" w:eastAsia="zh-CN"/>
                <w14:textFill>
                  <w14:solidFill>
                    <w14:schemeClr w14:val="tx1"/>
                  </w14:solidFill>
                </w14:textFill>
              </w:rPr>
              <w:t>合计2600m</w:t>
            </w:r>
            <w:r>
              <w:rPr>
                <w:rFonts w:hint="eastAsia"/>
                <w:color w:val="000000" w:themeColor="text1"/>
                <w:sz w:val="24"/>
                <w:szCs w:val="24"/>
                <w:highlight w:val="none"/>
                <w:vertAlign w:val="superscript"/>
                <w:lang w:val="en-US" w:eastAsia="zh-CN"/>
                <w14:textFill>
                  <w14:solidFill>
                    <w14:schemeClr w14:val="tx1"/>
                  </w14:solidFill>
                </w14:textFill>
              </w:rPr>
              <w:t>2</w:t>
            </w:r>
            <w:r>
              <w:rPr>
                <w:rFonts w:hint="eastAsia"/>
                <w:color w:val="000000" w:themeColor="text1"/>
                <w:sz w:val="24"/>
                <w:szCs w:val="32"/>
                <w:highlight w:val="none"/>
                <w:lang w:val="en-US" w:eastAsia="zh-CN"/>
                <w14:textFill>
                  <w14:solidFill>
                    <w14:schemeClr w14:val="tx1"/>
                  </w14:solidFill>
                </w14:textFill>
              </w:rPr>
              <w:t>，已签订租赁合同。项目用地为工业厂房，符合当地土地利用规划。</w:t>
            </w:r>
          </w:p>
          <w:p w14:paraId="77C86A22">
            <w:pPr>
              <w:spacing w:line="360" w:lineRule="auto"/>
              <w:ind w:firstLine="480" w:firstLineChars="200"/>
              <w:rPr>
                <w:rFonts w:hint="default" w:eastAsia="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24"/>
                <w:highlight w:val="none"/>
                <w:lang w:val="en-US" w:eastAsia="zh-CN"/>
                <w14:textFill>
                  <w14:solidFill>
                    <w14:schemeClr w14:val="tx1"/>
                  </w14:solidFill>
                </w14:textFill>
              </w:rPr>
              <w:t>厂房</w:t>
            </w:r>
            <w:r>
              <w:rPr>
                <w:rFonts w:hint="eastAsia" w:cs="宋体"/>
                <w:color w:val="000000" w:themeColor="text1"/>
                <w:sz w:val="24"/>
                <w:szCs w:val="24"/>
                <w:highlight w:val="none"/>
                <w14:textFill>
                  <w14:solidFill>
                    <w14:schemeClr w14:val="tx1"/>
                  </w14:solidFill>
                </w14:textFill>
              </w:rPr>
              <w:t>周边</w:t>
            </w:r>
            <w:r>
              <w:rPr>
                <w:rFonts w:cs="宋体"/>
                <w:color w:val="000000" w:themeColor="text1"/>
                <w:sz w:val="24"/>
                <w:szCs w:val="24"/>
                <w:highlight w:val="none"/>
                <w14:textFill>
                  <w14:solidFill>
                    <w14:schemeClr w14:val="tx1"/>
                  </w14:solidFill>
                </w14:textFill>
              </w:rPr>
              <w:t>50m</w:t>
            </w:r>
            <w:r>
              <w:rPr>
                <w:rFonts w:hint="eastAsia" w:cs="宋体"/>
                <w:color w:val="000000" w:themeColor="text1"/>
                <w:sz w:val="24"/>
                <w:szCs w:val="24"/>
                <w:highlight w:val="none"/>
                <w14:textFill>
                  <w14:solidFill>
                    <w14:schemeClr w14:val="tx1"/>
                  </w14:solidFill>
                </w14:textFill>
              </w:rPr>
              <w:t>内不存在声环境保护目标；</w:t>
            </w:r>
            <w:r>
              <w:rPr>
                <w:rFonts w:cs="宋体"/>
                <w:color w:val="000000" w:themeColor="text1"/>
                <w:sz w:val="24"/>
                <w:szCs w:val="24"/>
                <w:highlight w:val="none"/>
                <w14:textFill>
                  <w14:solidFill>
                    <w14:schemeClr w14:val="tx1"/>
                  </w14:solidFill>
                </w14:textFill>
              </w:rPr>
              <w:t>500m</w:t>
            </w:r>
            <w:r>
              <w:rPr>
                <w:rFonts w:hint="eastAsia" w:cs="宋体"/>
                <w:color w:val="000000" w:themeColor="text1"/>
                <w:sz w:val="24"/>
                <w:szCs w:val="24"/>
                <w:highlight w:val="none"/>
                <w14:textFill>
                  <w14:solidFill>
                    <w14:schemeClr w14:val="tx1"/>
                  </w14:solidFill>
                </w14:textFill>
              </w:rPr>
              <w:t>范围内不</w:t>
            </w:r>
            <w:r>
              <w:rPr>
                <w:rFonts w:hint="eastAsia" w:ascii="宋体" w:cs="宋体"/>
                <w:color w:val="000000" w:themeColor="text1"/>
                <w:kern w:val="0"/>
                <w:sz w:val="24"/>
                <w:szCs w:val="24"/>
                <w:highlight w:val="none"/>
                <w14:textFill>
                  <w14:solidFill>
                    <w14:schemeClr w14:val="tx1"/>
                  </w14:solidFill>
                </w14:textFill>
              </w:rPr>
              <w:t>存在地下水集中式饮用水水源和热水、矿泉水、温泉等</w:t>
            </w:r>
            <w:r>
              <w:rPr>
                <w:rFonts w:hint="eastAsia" w:ascii="宋体" w:cs="宋体"/>
                <w:color w:val="000000" w:themeColor="text1"/>
                <w:kern w:val="0"/>
                <w:sz w:val="24"/>
                <w:szCs w:val="24"/>
                <w:highlight w:val="none"/>
                <w:lang w:eastAsia="zh-CN"/>
                <w14:textFill>
                  <w14:solidFill>
                    <w14:schemeClr w14:val="tx1"/>
                  </w14:solidFill>
                </w14:textFill>
              </w:rPr>
              <w:t>特殊</w:t>
            </w:r>
            <w:r>
              <w:rPr>
                <w:rFonts w:hint="eastAsia" w:ascii="宋体" w:cs="宋体"/>
                <w:color w:val="000000" w:themeColor="text1"/>
                <w:kern w:val="0"/>
                <w:sz w:val="24"/>
                <w:szCs w:val="24"/>
                <w:highlight w:val="none"/>
                <w14:textFill>
                  <w14:solidFill>
                    <w14:schemeClr w14:val="tx1"/>
                  </w14:solidFill>
                </w14:textFill>
              </w:rPr>
              <w:t>地下水资源，不</w:t>
            </w:r>
            <w:r>
              <w:rPr>
                <w:rFonts w:hint="eastAsia" w:cs="宋体"/>
                <w:color w:val="000000" w:themeColor="text1"/>
                <w:sz w:val="24"/>
                <w:szCs w:val="24"/>
                <w:highlight w:val="none"/>
                <w14:textFill>
                  <w14:solidFill>
                    <w14:schemeClr w14:val="tx1"/>
                  </w14:solidFill>
                </w14:textFill>
              </w:rPr>
              <w:t>涉及生态敏感目标。</w:t>
            </w:r>
            <w:r>
              <w:rPr>
                <w:rFonts w:hint="eastAsia" w:cs="宋体"/>
                <w:color w:val="000000" w:themeColor="text1"/>
                <w:sz w:val="24"/>
                <w:szCs w:val="24"/>
                <w:highlight w:val="none"/>
                <w:lang w:val="en-US" w:eastAsia="zh-CN"/>
                <w14:textFill>
                  <w14:solidFill>
                    <w14:schemeClr w14:val="tx1"/>
                  </w14:solidFill>
                </w14:textFill>
              </w:rPr>
              <w:t>项目仅东南侧95m有一处环境空气保护目标卜洲村，敏感目标位于本项目常年主导风向上风向，项目选址较为合理。</w:t>
            </w:r>
          </w:p>
          <w:p w14:paraId="2C21E6D5">
            <w:pPr>
              <w:spacing w:line="360" w:lineRule="auto"/>
              <w:ind w:firstLine="480" w:firstLineChars="200"/>
              <w:rPr>
                <w:color w:val="000000" w:themeColor="text1"/>
                <w:highlight w:val="none"/>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厂房一楼车间设置堆料区、拌料区、吹塑区等，放置原辅料，以及拌料机、吹塑机等设备，并设置吹膜机集气罩，一楼车间南面外设置二级活性炭处理设施，</w:t>
            </w:r>
            <w:r>
              <w:rPr>
                <w:rFonts w:hint="eastAsia" w:ascii="Times New Roman" w:hAnsi="Times New Roman" w:cs="Times New Roman"/>
                <w:bCs/>
                <w:color w:val="000000" w:themeColor="text1"/>
                <w:sz w:val="24"/>
                <w:szCs w:val="21"/>
                <w:highlight w:val="none"/>
                <w:lang w:val="en-US" w:eastAsia="zh-CN"/>
                <w14:textFill>
                  <w14:solidFill>
                    <w14:schemeClr w14:val="tx1"/>
                  </w14:solidFill>
                </w14:textFill>
              </w:rPr>
              <w:t>排气筒设置在敏感目标的下风向</w:t>
            </w:r>
            <w:r>
              <w:rPr>
                <w:rFonts w:hint="eastAsia"/>
                <w:color w:val="000000" w:themeColor="text1"/>
                <w:sz w:val="24"/>
                <w:szCs w:val="32"/>
                <w:highlight w:val="none"/>
                <w:lang w:val="en-US" w:eastAsia="zh-CN"/>
                <w14:textFill>
                  <w14:solidFill>
                    <w14:schemeClr w14:val="tx1"/>
                  </w14:solidFill>
                </w14:textFill>
              </w:rPr>
              <w:t>；二楼车间设置制袋区、包装区、半成品、成品存放区等，放置制袋机、自动包装机等设备，以及堆放半成品、成品；三楼主要为仓库，存放成品，以及食堂、办公室；危废暂存间及一般固废暂存间设置在三楼东北角。</w:t>
            </w:r>
            <w:r>
              <w:rPr>
                <w:rFonts w:hint="eastAsia"/>
                <w:color w:val="000000" w:themeColor="text1"/>
                <w:sz w:val="24"/>
                <w:szCs w:val="32"/>
                <w:highlight w:val="none"/>
                <w14:textFill>
                  <w14:solidFill>
                    <w14:schemeClr w14:val="tx1"/>
                  </w14:solidFill>
                </w14:textFill>
              </w:rPr>
              <w:t>项目厂区内各功能区域分工明确，遵循物料及产品流向合理等原则，项目平面布置合理</w:t>
            </w:r>
            <w:r>
              <w:rPr>
                <w:rFonts w:hint="eastAsia"/>
                <w:color w:val="000000" w:themeColor="text1"/>
                <w:sz w:val="24"/>
                <w:szCs w:val="32"/>
                <w:highlight w:val="none"/>
                <w:lang w:eastAsia="zh-CN"/>
                <w14:textFill>
                  <w14:solidFill>
                    <w14:schemeClr w14:val="tx1"/>
                  </w14:solidFill>
                </w14:textFill>
              </w:rPr>
              <w:t>。</w:t>
            </w:r>
            <w:r>
              <w:rPr>
                <w:rFonts w:hint="eastAsia"/>
                <w:color w:val="000000" w:themeColor="text1"/>
                <w:sz w:val="24"/>
                <w:szCs w:val="32"/>
                <w:highlight w:val="none"/>
                <w:lang w:val="en-US" w:eastAsia="zh-CN"/>
                <w14:textFill>
                  <w14:solidFill>
                    <w14:schemeClr w14:val="tx1"/>
                  </w14:solidFill>
                </w14:textFill>
              </w:rPr>
              <w:t>各楼层车间平面布置见图2-2~4。厂区及周边污水、雨水管网见图2-5，市政污水管网见图2-6。</w:t>
            </w:r>
          </w:p>
        </w:tc>
      </w:tr>
    </w:tbl>
    <w:p w14:paraId="54DAAE79">
      <w:pPr>
        <w:pStyle w:val="12"/>
        <w:rPr>
          <w:snapToGrid w:val="0"/>
          <w:color w:val="000000" w:themeColor="text1"/>
          <w:highlight w:val="none"/>
          <w14:textFill>
            <w14:solidFill>
              <w14:schemeClr w14:val="tx1"/>
            </w14:solidFill>
          </w14:textFill>
        </w:rPr>
        <w:sectPr>
          <w:footerReference r:id="rId7" w:type="default"/>
          <w:pgSz w:w="11906" w:h="16838"/>
          <w:pgMar w:top="1701" w:right="1531" w:bottom="1701" w:left="1531" w:header="851" w:footer="851" w:gutter="0"/>
          <w:pgBorders>
            <w:top w:val="none" w:sz="0" w:space="0"/>
            <w:left w:val="none" w:sz="0" w:space="0"/>
            <w:bottom w:val="none" w:sz="0" w:space="0"/>
            <w:right w:val="none" w:sz="0" w:space="0"/>
          </w:pgBorders>
          <w:pgNumType w:fmt="decimal" w:start="1"/>
          <w:cols w:space="720" w:num="1"/>
          <w:docGrid w:linePitch="312" w:charSpace="0"/>
        </w:sectPr>
      </w:pP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652"/>
      </w:tblGrid>
      <w:tr w14:paraId="1BD0A7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2" w:hRule="atLeast"/>
          <w:jc w:val="center"/>
        </w:trPr>
        <w:tc>
          <w:tcPr>
            <w:tcW w:w="5000" w:type="pct"/>
            <w:vAlign w:val="top"/>
          </w:tcPr>
          <w:p w14:paraId="62CB6101">
            <w:pPr>
              <w:spacing w:line="360" w:lineRule="auto"/>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7406640" cy="5163185"/>
                  <wp:effectExtent l="0" t="0" r="3810" b="18415"/>
                  <wp:docPr id="23" name="图片 23" descr="一楼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一楼平面布置图"/>
                          <pic:cNvPicPr>
                            <a:picLocks noChangeAspect="1"/>
                          </pic:cNvPicPr>
                        </pic:nvPicPr>
                        <pic:blipFill>
                          <a:blip r:embed="rId14"/>
                          <a:srcRect b="5208"/>
                          <a:stretch>
                            <a:fillRect/>
                          </a:stretch>
                        </pic:blipFill>
                        <pic:spPr>
                          <a:xfrm>
                            <a:off x="0" y="0"/>
                            <a:ext cx="7406640" cy="5163185"/>
                          </a:xfrm>
                          <a:prstGeom prst="rect">
                            <a:avLst/>
                          </a:prstGeom>
                        </pic:spPr>
                      </pic:pic>
                    </a:graphicData>
                  </a:graphic>
                </wp:inline>
              </w:drawing>
            </w:r>
          </w:p>
          <w:p w14:paraId="05DD7990">
            <w:pPr>
              <w:spacing w:line="360" w:lineRule="auto"/>
              <w:jc w:val="center"/>
              <w:rPr>
                <w:rFonts w:hint="default" w:eastAsia="宋体"/>
                <w:color w:val="000000" w:themeColor="text1"/>
                <w:highlight w:val="none"/>
                <w:lang w:val="en-US" w:eastAsia="zh-CN"/>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w:t>
            </w:r>
            <w:r>
              <w:rPr>
                <w:b/>
                <w:bCs/>
                <w:color w:val="000000" w:themeColor="text1"/>
                <w:sz w:val="24"/>
                <w:szCs w:val="24"/>
                <w:highlight w:val="none"/>
                <w14:textFill>
                  <w14:solidFill>
                    <w14:schemeClr w14:val="tx1"/>
                  </w14:solidFill>
                </w14:textFill>
              </w:rPr>
              <w:t>2-</w:t>
            </w:r>
            <w:r>
              <w:rPr>
                <w:rFonts w:hint="eastAsia"/>
                <w:b/>
                <w:bCs/>
                <w:color w:val="000000" w:themeColor="text1"/>
                <w:sz w:val="24"/>
                <w:szCs w:val="24"/>
                <w:highlight w:val="none"/>
                <w:lang w:val="en-US" w:eastAsia="zh-CN"/>
                <w14:textFill>
                  <w14:solidFill>
                    <w14:schemeClr w14:val="tx1"/>
                  </w14:solidFill>
                </w14:textFill>
              </w:rPr>
              <w:t>2</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lang w:val="en-US" w:eastAsia="zh-CN"/>
                <w14:textFill>
                  <w14:solidFill>
                    <w14:schemeClr w14:val="tx1"/>
                  </w14:solidFill>
                </w14:textFill>
              </w:rPr>
              <w:t>一楼厂房及废气治理设施平面布置图</w:t>
            </w:r>
          </w:p>
          <w:p w14:paraId="4ADA5413">
            <w:pPr>
              <w:spacing w:line="360" w:lineRule="auto"/>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8455025" cy="3409315"/>
                  <wp:effectExtent l="0" t="0" r="0" b="0"/>
                  <wp:docPr id="15" name="图片 15" descr="二楼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二楼平面布置图"/>
                          <pic:cNvPicPr>
                            <a:picLocks noChangeAspect="1"/>
                          </pic:cNvPicPr>
                        </pic:nvPicPr>
                        <pic:blipFill>
                          <a:blip r:embed="rId15"/>
                          <a:srcRect b="6317"/>
                          <a:stretch>
                            <a:fillRect/>
                          </a:stretch>
                        </pic:blipFill>
                        <pic:spPr>
                          <a:xfrm>
                            <a:off x="0" y="0"/>
                            <a:ext cx="8455025" cy="3409315"/>
                          </a:xfrm>
                          <a:prstGeom prst="rect">
                            <a:avLst/>
                          </a:prstGeom>
                        </pic:spPr>
                      </pic:pic>
                    </a:graphicData>
                  </a:graphic>
                </wp:inline>
              </w:drawing>
            </w:r>
          </w:p>
          <w:p w14:paraId="0BE9EC35">
            <w:pPr>
              <w:spacing w:line="360" w:lineRule="auto"/>
              <w:jc w:val="center"/>
              <w:rPr>
                <w:rFonts w:hint="eastAsia" w:eastAsia="宋体"/>
                <w:color w:val="000000" w:themeColor="text1"/>
                <w:highlight w:val="none"/>
                <w:lang w:eastAsia="zh-CN"/>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w:t>
            </w:r>
            <w:r>
              <w:rPr>
                <w:b/>
                <w:bCs/>
                <w:color w:val="000000" w:themeColor="text1"/>
                <w:sz w:val="24"/>
                <w:szCs w:val="24"/>
                <w:highlight w:val="none"/>
                <w14:textFill>
                  <w14:solidFill>
                    <w14:schemeClr w14:val="tx1"/>
                  </w14:solidFill>
                </w14:textFill>
              </w:rPr>
              <w:t>2-</w:t>
            </w:r>
            <w:r>
              <w:rPr>
                <w:rFonts w:hint="eastAsia"/>
                <w:b/>
                <w:bCs/>
                <w:color w:val="000000" w:themeColor="text1"/>
                <w:sz w:val="24"/>
                <w:szCs w:val="24"/>
                <w:highlight w:val="none"/>
                <w:lang w:val="en-US" w:eastAsia="zh-CN"/>
                <w14:textFill>
                  <w14:solidFill>
                    <w14:schemeClr w14:val="tx1"/>
                  </w14:solidFill>
                </w14:textFill>
              </w:rPr>
              <w:t>3</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lang w:val="en-US" w:eastAsia="zh-CN"/>
                <w14:textFill>
                  <w14:solidFill>
                    <w14:schemeClr w14:val="tx1"/>
                  </w14:solidFill>
                </w14:textFill>
              </w:rPr>
              <w:t>二楼厂房平面布置图</w:t>
            </w:r>
          </w:p>
          <w:p w14:paraId="328F32EF">
            <w:pPr>
              <w:spacing w:line="360" w:lineRule="auto"/>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8439785" cy="3032125"/>
                  <wp:effectExtent l="0" t="0" r="0" b="0"/>
                  <wp:docPr id="16" name="图片 16" descr="三楼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三楼平面布置图"/>
                          <pic:cNvPicPr>
                            <a:picLocks noChangeAspect="1"/>
                          </pic:cNvPicPr>
                        </pic:nvPicPr>
                        <pic:blipFill>
                          <a:blip r:embed="rId16"/>
                          <a:srcRect b="8067"/>
                          <a:stretch>
                            <a:fillRect/>
                          </a:stretch>
                        </pic:blipFill>
                        <pic:spPr>
                          <a:xfrm>
                            <a:off x="0" y="0"/>
                            <a:ext cx="8439785" cy="3032125"/>
                          </a:xfrm>
                          <a:prstGeom prst="rect">
                            <a:avLst/>
                          </a:prstGeom>
                        </pic:spPr>
                      </pic:pic>
                    </a:graphicData>
                  </a:graphic>
                </wp:inline>
              </w:drawing>
            </w:r>
          </w:p>
          <w:p w14:paraId="184815B4">
            <w:pPr>
              <w:spacing w:line="360" w:lineRule="auto"/>
              <w:jc w:val="center"/>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w:t>
            </w:r>
            <w:r>
              <w:rPr>
                <w:b/>
                <w:bCs/>
                <w:color w:val="000000" w:themeColor="text1"/>
                <w:sz w:val="24"/>
                <w:szCs w:val="24"/>
                <w:highlight w:val="none"/>
                <w14:textFill>
                  <w14:solidFill>
                    <w14:schemeClr w14:val="tx1"/>
                  </w14:solidFill>
                </w14:textFill>
              </w:rPr>
              <w:t>2-</w:t>
            </w:r>
            <w:r>
              <w:rPr>
                <w:rFonts w:hint="eastAsia"/>
                <w:b/>
                <w:bCs/>
                <w:color w:val="000000" w:themeColor="text1"/>
                <w:sz w:val="24"/>
                <w:szCs w:val="24"/>
                <w:highlight w:val="none"/>
                <w:lang w:val="en-US" w:eastAsia="zh-CN"/>
                <w14:textFill>
                  <w14:solidFill>
                    <w14:schemeClr w14:val="tx1"/>
                  </w14:solidFill>
                </w14:textFill>
              </w:rPr>
              <w:t>4</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lang w:val="en-US" w:eastAsia="zh-CN"/>
                <w14:textFill>
                  <w14:solidFill>
                    <w14:schemeClr w14:val="tx1"/>
                  </w14:solidFill>
                </w14:textFill>
              </w:rPr>
              <w:t>三楼厂房平面布置图</w:t>
            </w:r>
          </w:p>
          <w:p w14:paraId="210A3723">
            <w:pPr>
              <w:spacing w:line="360" w:lineRule="auto"/>
              <w:jc w:val="center"/>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drawing>
                <wp:inline distT="0" distB="0" distL="114300" distR="114300">
                  <wp:extent cx="7254240" cy="5123815"/>
                  <wp:effectExtent l="0" t="0" r="0" b="0"/>
                  <wp:docPr id="69" name="图片 69" descr="厂房污水管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厂房污水管网图"/>
                          <pic:cNvPicPr>
                            <a:picLocks noChangeAspect="1"/>
                          </pic:cNvPicPr>
                        </pic:nvPicPr>
                        <pic:blipFill>
                          <a:blip r:embed="rId17"/>
                          <a:srcRect b="1980"/>
                          <a:stretch>
                            <a:fillRect/>
                          </a:stretch>
                        </pic:blipFill>
                        <pic:spPr>
                          <a:xfrm>
                            <a:off x="0" y="0"/>
                            <a:ext cx="7254240" cy="5123815"/>
                          </a:xfrm>
                          <a:prstGeom prst="rect">
                            <a:avLst/>
                          </a:prstGeom>
                        </pic:spPr>
                      </pic:pic>
                    </a:graphicData>
                  </a:graphic>
                </wp:inline>
              </w:drawing>
            </w:r>
          </w:p>
          <w:p w14:paraId="38A89B82">
            <w:pPr>
              <w:spacing w:line="360" w:lineRule="auto"/>
              <w:jc w:val="center"/>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w:t>
            </w:r>
            <w:r>
              <w:rPr>
                <w:b/>
                <w:bCs/>
                <w:color w:val="000000" w:themeColor="text1"/>
                <w:sz w:val="24"/>
                <w:szCs w:val="24"/>
                <w:highlight w:val="none"/>
                <w14:textFill>
                  <w14:solidFill>
                    <w14:schemeClr w14:val="tx1"/>
                  </w14:solidFill>
                </w14:textFill>
              </w:rPr>
              <w:t>2-</w:t>
            </w:r>
            <w:r>
              <w:rPr>
                <w:rFonts w:hint="eastAsia"/>
                <w:b/>
                <w:bCs/>
                <w:color w:val="000000" w:themeColor="text1"/>
                <w:sz w:val="24"/>
                <w:szCs w:val="24"/>
                <w:highlight w:val="none"/>
                <w:lang w:val="en-US" w:eastAsia="zh-CN"/>
                <w14:textFill>
                  <w14:solidFill>
                    <w14:schemeClr w14:val="tx1"/>
                  </w14:solidFill>
                </w14:textFill>
              </w:rPr>
              <w:t>5</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lang w:val="en-US" w:eastAsia="zh-CN"/>
                <w14:textFill>
                  <w14:solidFill>
                    <w14:schemeClr w14:val="tx1"/>
                  </w14:solidFill>
                </w14:textFill>
              </w:rPr>
              <w:t>厂房及周边污水、雨水管网图</w:t>
            </w:r>
          </w:p>
          <w:p w14:paraId="1FCFE3CF">
            <w:pPr>
              <w:spacing w:line="360" w:lineRule="auto"/>
              <w:jc w:val="center"/>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lang w:val="en-US" w:eastAsia="zh-CN"/>
                <w14:textFill>
                  <w14:solidFill>
                    <w14:schemeClr w14:val="tx1"/>
                  </w14:solidFill>
                </w14:textFill>
              </w:rPr>
              <w:drawing>
                <wp:inline distT="0" distB="0" distL="114300" distR="114300">
                  <wp:extent cx="6983730" cy="5160645"/>
                  <wp:effectExtent l="9525" t="9525" r="17145" b="11430"/>
                  <wp:docPr id="30" name="图片 30" descr="市政污水管网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市政污水管网图"/>
                          <pic:cNvPicPr>
                            <a:picLocks noChangeAspect="1"/>
                          </pic:cNvPicPr>
                        </pic:nvPicPr>
                        <pic:blipFill>
                          <a:blip r:embed="rId18"/>
                          <a:srcRect t="2067" b="1264"/>
                          <a:stretch>
                            <a:fillRect/>
                          </a:stretch>
                        </pic:blipFill>
                        <pic:spPr>
                          <a:xfrm>
                            <a:off x="0" y="0"/>
                            <a:ext cx="6983730" cy="5160645"/>
                          </a:xfrm>
                          <a:prstGeom prst="rect">
                            <a:avLst/>
                          </a:prstGeom>
                          <a:ln>
                            <a:solidFill>
                              <a:schemeClr val="tx1"/>
                            </a:solidFill>
                          </a:ln>
                        </pic:spPr>
                      </pic:pic>
                    </a:graphicData>
                  </a:graphic>
                </wp:inline>
              </w:drawing>
            </w:r>
          </w:p>
          <w:p w14:paraId="177A8671">
            <w:pPr>
              <w:spacing w:line="360" w:lineRule="auto"/>
              <w:jc w:val="center"/>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w:t>
            </w:r>
            <w:r>
              <w:rPr>
                <w:b/>
                <w:bCs/>
                <w:color w:val="000000" w:themeColor="text1"/>
                <w:sz w:val="24"/>
                <w:szCs w:val="24"/>
                <w:highlight w:val="none"/>
                <w14:textFill>
                  <w14:solidFill>
                    <w14:schemeClr w14:val="tx1"/>
                  </w14:solidFill>
                </w14:textFill>
              </w:rPr>
              <w:t>2-</w:t>
            </w:r>
            <w:r>
              <w:rPr>
                <w:rFonts w:hint="eastAsia"/>
                <w:b/>
                <w:bCs/>
                <w:color w:val="000000" w:themeColor="text1"/>
                <w:sz w:val="24"/>
                <w:szCs w:val="24"/>
                <w:highlight w:val="none"/>
                <w:lang w:val="en-US" w:eastAsia="zh-CN"/>
                <w14:textFill>
                  <w14:solidFill>
                    <w14:schemeClr w14:val="tx1"/>
                  </w14:solidFill>
                </w14:textFill>
              </w:rPr>
              <w:t>6</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lang w:val="en-US" w:eastAsia="zh-CN"/>
                <w14:textFill>
                  <w14:solidFill>
                    <w14:schemeClr w14:val="tx1"/>
                  </w14:solidFill>
                </w14:textFill>
              </w:rPr>
              <w:t>市政污水管网图</w:t>
            </w:r>
          </w:p>
        </w:tc>
      </w:tr>
    </w:tbl>
    <w:p w14:paraId="32698758">
      <w:pPr>
        <w:pStyle w:val="12"/>
        <w:rPr>
          <w:snapToGrid w:val="0"/>
          <w:color w:val="000000" w:themeColor="text1"/>
          <w:highlight w:val="none"/>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46"/>
        <w:gridCol w:w="8278"/>
      </w:tblGrid>
      <w:tr w14:paraId="775B92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546" w:type="dxa"/>
            <w:vAlign w:val="center"/>
          </w:tcPr>
          <w:p w14:paraId="61877815">
            <w:pPr>
              <w:pStyle w:val="26"/>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工艺流程和产排污环节</w:t>
            </w:r>
          </w:p>
        </w:tc>
        <w:tc>
          <w:tcPr>
            <w:tcW w:w="8278" w:type="dxa"/>
          </w:tcPr>
          <w:p w14:paraId="251697B2">
            <w:pPr>
              <w:pStyle w:val="37"/>
              <w:rPr>
                <w:rFonts w:hint="default" w:eastAsia="黑体"/>
                <w:color w:val="000000" w:themeColor="text1"/>
                <w:sz w:val="24"/>
                <w:szCs w:val="21"/>
                <w:highlight w:val="none"/>
                <w:lang w:val="en-US" w:eastAsia="zh-CN"/>
                <w14:textFill>
                  <w14:solidFill>
                    <w14:schemeClr w14:val="tx1"/>
                  </w14:solidFill>
                </w14:textFill>
              </w:rPr>
            </w:pPr>
            <w:r>
              <w:rPr>
                <w:color w:val="000000" w:themeColor="text1"/>
                <w:sz w:val="24"/>
                <w:szCs w:val="21"/>
                <w:highlight w:val="none"/>
                <w14:textFill>
                  <w14:solidFill>
                    <w14:schemeClr w14:val="tx1"/>
                  </w14:solidFill>
                </w14:textFill>
              </w:rPr>
              <w:t>2.</w:t>
            </w:r>
            <w:r>
              <w:rPr>
                <w:rFonts w:hint="eastAsia"/>
                <w:color w:val="000000" w:themeColor="text1"/>
                <w:sz w:val="24"/>
                <w:szCs w:val="21"/>
                <w:highlight w:val="none"/>
                <w:lang w:val="en-US" w:eastAsia="zh-CN"/>
                <w14:textFill>
                  <w14:solidFill>
                    <w14:schemeClr w14:val="tx1"/>
                  </w14:solidFill>
                </w14:textFill>
              </w:rPr>
              <w:t>9</w:t>
            </w:r>
            <w:r>
              <w:rPr>
                <w:color w:val="000000" w:themeColor="text1"/>
                <w:sz w:val="24"/>
                <w:szCs w:val="21"/>
                <w:highlight w:val="none"/>
                <w14:textFill>
                  <w14:solidFill>
                    <w14:schemeClr w14:val="tx1"/>
                  </w14:solidFill>
                </w14:textFill>
              </w:rPr>
              <w:t xml:space="preserve"> </w:t>
            </w:r>
            <w:r>
              <w:rPr>
                <w:rFonts w:hint="eastAsia"/>
                <w:color w:val="000000" w:themeColor="text1"/>
                <w:sz w:val="24"/>
                <w:szCs w:val="21"/>
                <w:highlight w:val="none"/>
                <w14:textFill>
                  <w14:solidFill>
                    <w14:schemeClr w14:val="tx1"/>
                  </w14:solidFill>
                </w14:textFill>
              </w:rPr>
              <w:t>工艺流程</w:t>
            </w:r>
            <w:r>
              <w:rPr>
                <w:rFonts w:hint="eastAsia"/>
                <w:color w:val="000000" w:themeColor="text1"/>
                <w:sz w:val="24"/>
                <w:szCs w:val="21"/>
                <w:highlight w:val="none"/>
                <w:lang w:val="en-US" w:eastAsia="zh-CN"/>
                <w14:textFill>
                  <w14:solidFill>
                    <w14:schemeClr w14:val="tx1"/>
                  </w14:solidFill>
                </w14:textFill>
              </w:rPr>
              <w:t>及产污环节</w:t>
            </w:r>
          </w:p>
          <w:p w14:paraId="6844A92F">
            <w:pPr>
              <w:spacing w:line="360" w:lineRule="auto"/>
              <w:ind w:firstLine="480" w:firstLineChars="200"/>
              <w:rPr>
                <w:rFonts w:hint="eastAsia"/>
                <w:bCs/>
                <w:color w:val="000000" w:themeColor="text1"/>
                <w:sz w:val="24"/>
                <w:szCs w:val="24"/>
                <w:highlight w:val="none"/>
                <w14:textFill>
                  <w14:solidFill>
                    <w14:schemeClr w14:val="tx1"/>
                  </w14:solidFill>
                </w14:textFill>
              </w:rPr>
            </w:pPr>
            <w:bookmarkStart w:id="8" w:name="_Hlk150355235"/>
            <w:r>
              <w:rPr>
                <w:rFonts w:hint="eastAsia"/>
                <w:bCs/>
                <w:color w:val="000000" w:themeColor="text1"/>
                <w:sz w:val="24"/>
                <w:szCs w:val="24"/>
                <w:highlight w:val="none"/>
                <w:lang w:val="en-US" w:eastAsia="zh-CN"/>
                <w14:textFill>
                  <w14:solidFill>
                    <w14:schemeClr w14:val="tx1"/>
                  </w14:solidFill>
                </w14:textFill>
              </w:rPr>
              <w:t>本项目生产工艺流程主要为：聚乙烯塑料米采购→搅拌（拌料机）→吹塑机加热→放入塑料米挤压吹塑（吹塑机）→分切（制袋机切成袋子）→包装→出货。</w:t>
            </w:r>
          </w:p>
          <w:p w14:paraId="3E7D1413">
            <w:pPr>
              <w:spacing w:line="360" w:lineRule="auto"/>
              <w:ind w:firstLine="480" w:firstLineChars="200"/>
              <w:rPr>
                <w:rFonts w:hint="eastAsia"/>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eastAsia="zh-CN"/>
                <w14:textFill>
                  <w14:solidFill>
                    <w14:schemeClr w14:val="tx1"/>
                  </w14:solidFill>
                </w14:textFill>
              </w:rPr>
              <w:t>（</w:t>
            </w:r>
            <w:r>
              <w:rPr>
                <w:rFonts w:hint="eastAsia"/>
                <w:bCs/>
                <w:color w:val="000000" w:themeColor="text1"/>
                <w:sz w:val="24"/>
                <w:szCs w:val="24"/>
                <w:highlight w:val="none"/>
                <w:lang w:val="en-US" w:eastAsia="zh-CN"/>
                <w14:textFill>
                  <w14:solidFill>
                    <w14:schemeClr w14:val="tx1"/>
                  </w14:solidFill>
                </w14:textFill>
              </w:rPr>
              <w:t>1</w:t>
            </w:r>
            <w:r>
              <w:rPr>
                <w:rFonts w:hint="eastAsia"/>
                <w:bCs/>
                <w:color w:val="000000" w:themeColor="text1"/>
                <w:sz w:val="24"/>
                <w:szCs w:val="24"/>
                <w:highlight w:val="none"/>
                <w:lang w:eastAsia="zh-CN"/>
                <w14:textFill>
                  <w14:solidFill>
                    <w14:schemeClr w14:val="tx1"/>
                  </w14:solidFill>
                </w14:textFill>
              </w:rPr>
              <w:t>）</w:t>
            </w:r>
            <w:r>
              <w:rPr>
                <w:rFonts w:hint="eastAsia"/>
                <w:bCs/>
                <w:color w:val="000000" w:themeColor="text1"/>
                <w:sz w:val="24"/>
                <w:szCs w:val="24"/>
                <w:highlight w:val="none"/>
                <w:lang w:val="en-US" w:eastAsia="zh-CN"/>
                <w14:textFill>
                  <w14:solidFill>
                    <w14:schemeClr w14:val="tx1"/>
                  </w14:solidFill>
                </w14:textFill>
              </w:rPr>
              <w:t>加料与搅拌</w:t>
            </w:r>
          </w:p>
          <w:p w14:paraId="618B81C5">
            <w:pPr>
              <w:spacing w:line="360" w:lineRule="auto"/>
              <w:ind w:firstLine="480" w:firstLineChars="200"/>
              <w:rPr>
                <w:rFonts w:hint="default"/>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将外购高密度聚乙烯塑料米（粒径2~5mm）以袋装形式入厂，均为每袋25kg；生产时将聚乙烯颗粒倒入拌料机中，在常温下进行均匀混合，搅拌约5-10分钟。高密度聚乙烯本身是一种热塑性塑料，常温下较为稳定，本产品所用原料为洁净、大粒径固体圆状塑料颗粒，表面光滑，不易因摩擦产生细小碎屑，韧性高，在低速搅拌过程中不易破碎，因此搅拌过程不会产生粉尘。</w:t>
            </w:r>
          </w:p>
          <w:p w14:paraId="15B66A00">
            <w:pPr>
              <w:spacing w:line="360" w:lineRule="auto"/>
              <w:ind w:firstLine="480" w:firstLineChars="200"/>
              <w:rPr>
                <w:rFonts w:hint="default"/>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（2）加热与吹塑</w:t>
            </w:r>
          </w:p>
          <w:p w14:paraId="7EE83944">
            <w:pPr>
              <w:spacing w:line="360" w:lineRule="auto"/>
              <w:ind w:firstLine="480" w:firstLineChars="200"/>
              <w:rPr>
                <w:rFonts w:hint="default"/>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将混合好的塑料米送入吹塑机的料斗，通过螺杆挤出机对塑料米进行加热熔融。螺杆挤出机会在高温下将塑料米熔化成流动状态。加热温度约150℃-220℃，加热时间约15-20分钟。</w:t>
            </w:r>
          </w:p>
          <w:p w14:paraId="7607A926">
            <w:pPr>
              <w:spacing w:line="360" w:lineRule="auto"/>
              <w:ind w:firstLine="480" w:firstLineChars="200"/>
              <w:rPr>
                <w:rFonts w:hint="default" w:eastAsia="宋体"/>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熔化的塑料由螺杆挤出至模头模口，鼓入空气吹成膜泡；该过程通过控制原料挤出量以及机器上端牵引辊的速度快慢来调整薄膜的厚度，通过控制模泡内鼓入的空气量来调整尺寸，该过程保持与上一步相同的温度范围(180℃-230℃)，以确保塑料处于熔融状态。每个袋子的成型时间一般在几秒到几十秒不等。此过程会产生少量有机废气，污染因子为非甲烷总烃。</w:t>
            </w:r>
            <w:r>
              <w:rPr>
                <w:rFonts w:hint="eastAsia" w:cs="宋体"/>
                <w:color w:val="000000" w:themeColor="text1"/>
                <w:sz w:val="24"/>
                <w:szCs w:val="32"/>
                <w:highlight w:val="none"/>
                <w14:textFill>
                  <w14:solidFill>
                    <w14:schemeClr w14:val="tx1"/>
                  </w14:solidFill>
                </w14:textFill>
              </w:rPr>
              <w:t>本项目采用</w:t>
            </w:r>
            <w:r>
              <w:rPr>
                <w:rFonts w:hint="eastAsia" w:cs="宋体"/>
                <w:color w:val="000000" w:themeColor="text1"/>
                <w:sz w:val="24"/>
                <w:szCs w:val="32"/>
                <w:highlight w:val="none"/>
                <w:lang w:val="en-US" w:eastAsia="zh-CN"/>
                <w14:textFill>
                  <w14:solidFill>
                    <w14:schemeClr w14:val="tx1"/>
                  </w14:solidFill>
                </w14:textFill>
              </w:rPr>
              <w:t>密闭式</w:t>
            </w:r>
            <w:r>
              <w:rPr>
                <w:rFonts w:hint="eastAsia" w:cs="宋体"/>
                <w:color w:val="000000" w:themeColor="text1"/>
                <w:sz w:val="24"/>
                <w:szCs w:val="32"/>
                <w:highlight w:val="none"/>
                <w14:textFill>
                  <w14:solidFill>
                    <w14:schemeClr w14:val="tx1"/>
                  </w14:solidFill>
                </w14:textFill>
              </w:rPr>
              <w:t>集气罩</w:t>
            </w:r>
            <w:r>
              <w:rPr>
                <w:rFonts w:hint="eastAsia" w:cs="宋体"/>
                <w:color w:val="000000" w:themeColor="text1"/>
                <w:sz w:val="24"/>
                <w:szCs w:val="32"/>
                <w:highlight w:val="none"/>
                <w:lang w:val="en-US" w:eastAsia="zh-CN"/>
                <w14:textFill>
                  <w14:solidFill>
                    <w14:schemeClr w14:val="tx1"/>
                  </w14:solidFill>
                </w14:textFill>
              </w:rPr>
              <w:t>负压收集该股废气，采用</w:t>
            </w:r>
            <w:r>
              <w:rPr>
                <w:rFonts w:hint="eastAsia" w:cs="宋体"/>
                <w:color w:val="000000" w:themeColor="text1"/>
                <w:sz w:val="24"/>
                <w:szCs w:val="32"/>
                <w:highlight w:val="none"/>
                <w14:textFill>
                  <w14:solidFill>
                    <w14:schemeClr w14:val="tx1"/>
                  </w14:solidFill>
                </w14:textFill>
              </w:rPr>
              <w:t>二级活性炭吸附处理</w:t>
            </w:r>
            <w:r>
              <w:rPr>
                <w:rFonts w:hint="eastAsia" w:cs="宋体"/>
                <w:color w:val="000000" w:themeColor="text1"/>
                <w:sz w:val="24"/>
                <w:szCs w:val="32"/>
                <w:highlight w:val="none"/>
                <w:lang w:val="en-US" w:eastAsia="zh-CN"/>
                <w14:textFill>
                  <w14:solidFill>
                    <w14:schemeClr w14:val="tx1"/>
                  </w14:solidFill>
                </w14:textFill>
              </w:rPr>
              <w:t>后经排气筒排放。未收集到的废气无组织排放。</w:t>
            </w:r>
          </w:p>
          <w:p w14:paraId="64F7B3D6">
            <w:pPr>
              <w:spacing w:line="360" w:lineRule="auto"/>
              <w:ind w:firstLine="480" w:firstLineChars="200"/>
              <w:rPr>
                <w:rFonts w:hint="default"/>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（3）分切</w:t>
            </w:r>
          </w:p>
          <w:p w14:paraId="7EB78D6D">
            <w:pPr>
              <w:spacing w:line="360" w:lineRule="auto"/>
              <w:ind w:firstLine="480" w:firstLineChars="200"/>
              <w:rPr>
                <w:rFonts w:hint="default"/>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吹塑形成的薄膜采用风冷，经过冷却后进入制袋机，通过切割装置将连续的薄膜切割成单个袋子。对于保鲜袋和垃圾袋，还需要进行封口处理。封口温度在120℃-180℃之间。每个袋子的封口时间约为1-3秒。封口过程主要是通过物理变化来实现封口，在该温度范围内，高密度聚乙烯本身不会分解或释放出大量的挥发性物质，并且封口过程中的加热时间非常短暂，这减少了潜在的热降解机会。该过程会产生少量废塑料边角料、残次品。</w:t>
            </w:r>
          </w:p>
          <w:p w14:paraId="3BF8B5BD">
            <w:pPr>
              <w:spacing w:line="360" w:lineRule="auto"/>
              <w:ind w:firstLine="480" w:firstLineChars="200"/>
              <w:rPr>
                <w:rFonts w:hint="default"/>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（4）包装</w:t>
            </w:r>
          </w:p>
          <w:p w14:paraId="08E8F910">
            <w:pPr>
              <w:spacing w:line="360" w:lineRule="auto"/>
              <w:ind w:firstLine="480" w:firstLineChars="200"/>
              <w:rPr>
                <w:rFonts w:hint="default"/>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使用自动包装机包装成一定规格、一定紧度要求的成品塑料垃圾袋卷、保鲜袋卷。完成包装后的成品通过物流渠道发往客户或经销商。该过程会产生少量包装废弃物。</w:t>
            </w:r>
          </w:p>
          <w:p w14:paraId="692FE9DC">
            <w:pPr>
              <w:spacing w:line="360" w:lineRule="auto"/>
              <w:jc w:val="both"/>
              <w:rPr>
                <w:rFonts w:hint="eastAsia"/>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drawing>
                <wp:inline distT="0" distB="0" distL="114300" distR="114300">
                  <wp:extent cx="5114925" cy="2800350"/>
                  <wp:effectExtent l="0" t="0" r="0" b="0"/>
                  <wp:docPr id="20" name="图片 20" descr="闽侯塑料项目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闽侯塑料项目工艺流程"/>
                          <pic:cNvPicPr>
                            <a:picLocks noChangeAspect="1"/>
                          </pic:cNvPicPr>
                        </pic:nvPicPr>
                        <pic:blipFill>
                          <a:blip r:embed="rId19"/>
                          <a:srcRect t="6167" b="6385"/>
                          <a:stretch>
                            <a:fillRect/>
                          </a:stretch>
                        </pic:blipFill>
                        <pic:spPr>
                          <a:xfrm>
                            <a:off x="0" y="0"/>
                            <a:ext cx="5114925" cy="2800350"/>
                          </a:xfrm>
                          <a:prstGeom prst="rect">
                            <a:avLst/>
                          </a:prstGeom>
                        </pic:spPr>
                      </pic:pic>
                    </a:graphicData>
                  </a:graphic>
                </wp:inline>
              </w:drawing>
            </w:r>
          </w:p>
          <w:p w14:paraId="11F85918">
            <w:pPr>
              <w:spacing w:line="360" w:lineRule="auto"/>
              <w:jc w:val="center"/>
              <w:rPr>
                <w:rFonts w:hint="default" w:eastAsia="宋体"/>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 xml:space="preserve">图 </w:t>
            </w:r>
            <w:r>
              <w:rPr>
                <w:b/>
                <w:bCs/>
                <w:color w:val="000000" w:themeColor="text1"/>
                <w:sz w:val="24"/>
                <w:szCs w:val="24"/>
                <w:highlight w:val="none"/>
                <w14:textFill>
                  <w14:solidFill>
                    <w14:schemeClr w14:val="tx1"/>
                  </w14:solidFill>
                </w14:textFill>
              </w:rPr>
              <w:t>2-</w:t>
            </w:r>
            <w:r>
              <w:rPr>
                <w:rFonts w:hint="eastAsia"/>
                <w:b/>
                <w:bCs/>
                <w:color w:val="000000" w:themeColor="text1"/>
                <w:sz w:val="24"/>
                <w:szCs w:val="24"/>
                <w:highlight w:val="none"/>
                <w:lang w:val="en-US" w:eastAsia="zh-CN"/>
                <w14:textFill>
                  <w14:solidFill>
                    <w14:schemeClr w14:val="tx1"/>
                  </w14:solidFill>
                </w14:textFill>
              </w:rPr>
              <w:t>7</w:t>
            </w:r>
            <w:r>
              <w:rPr>
                <w:b/>
                <w:bCs/>
                <w:color w:val="000000" w:themeColor="text1"/>
                <w:sz w:val="24"/>
                <w:szCs w:val="24"/>
                <w:highlight w:val="none"/>
                <w14:textFill>
                  <w14:solidFill>
                    <w14:schemeClr w14:val="tx1"/>
                  </w14:solidFill>
                </w14:textFill>
              </w:rPr>
              <w:t xml:space="preserve">  </w:t>
            </w:r>
            <w:r>
              <w:rPr>
                <w:rFonts w:hint="eastAsia"/>
                <w:b/>
                <w:bCs/>
                <w:color w:val="000000" w:themeColor="text1"/>
                <w:sz w:val="24"/>
                <w:szCs w:val="24"/>
                <w:highlight w:val="none"/>
                <w:lang w:val="en-US" w:eastAsia="zh-CN"/>
                <w14:textFill>
                  <w14:solidFill>
                    <w14:schemeClr w14:val="tx1"/>
                  </w14:solidFill>
                </w14:textFill>
              </w:rPr>
              <w:t>项目</w:t>
            </w:r>
            <w:r>
              <w:rPr>
                <w:rFonts w:hint="eastAsia"/>
                <w:b/>
                <w:bCs/>
                <w:color w:val="000000" w:themeColor="text1"/>
                <w:sz w:val="24"/>
                <w:szCs w:val="24"/>
                <w:highlight w:val="none"/>
                <w14:textFill>
                  <w14:solidFill>
                    <w14:schemeClr w14:val="tx1"/>
                  </w14:solidFill>
                </w14:textFill>
              </w:rPr>
              <w:t>工艺流程</w:t>
            </w:r>
            <w:r>
              <w:rPr>
                <w:rFonts w:hint="eastAsia"/>
                <w:b/>
                <w:bCs/>
                <w:color w:val="000000" w:themeColor="text1"/>
                <w:sz w:val="24"/>
                <w:szCs w:val="24"/>
                <w:highlight w:val="none"/>
                <w:lang w:val="en-US" w:eastAsia="zh-CN"/>
                <w14:textFill>
                  <w14:solidFill>
                    <w14:schemeClr w14:val="tx1"/>
                  </w14:solidFill>
                </w14:textFill>
              </w:rPr>
              <w:t>及产污环节</w:t>
            </w:r>
          </w:p>
          <w:p w14:paraId="299C737B">
            <w:pPr>
              <w:spacing w:line="360" w:lineRule="auto"/>
              <w:ind w:firstLine="480" w:firstLineChars="200"/>
              <w:rPr>
                <w:rFonts w:hint="default"/>
                <w:bCs/>
                <w:color w:val="000000" w:themeColor="text1"/>
                <w:sz w:val="24"/>
                <w:szCs w:val="24"/>
                <w:highlight w:val="none"/>
                <w:lang w:val="en-US" w:eastAsia="zh-CN"/>
                <w14:textFill>
                  <w14:solidFill>
                    <w14:schemeClr w14:val="tx1"/>
                  </w14:solidFill>
                </w14:textFill>
              </w:rPr>
            </w:pPr>
            <w:r>
              <w:rPr>
                <w:rFonts w:hint="eastAsia"/>
                <w:bCs/>
                <w:color w:val="000000" w:themeColor="text1"/>
                <w:sz w:val="24"/>
                <w:szCs w:val="24"/>
                <w:highlight w:val="none"/>
                <w:lang w:val="en-US" w:eastAsia="zh-CN"/>
                <w14:textFill>
                  <w14:solidFill>
                    <w14:schemeClr w14:val="tx1"/>
                  </w14:solidFill>
                </w14:textFill>
              </w:rPr>
              <w:t>综上，本项目运营期产污环节见下表。</w:t>
            </w:r>
          </w:p>
          <w:p w14:paraId="560772E9">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default" w:eastAsia="宋体"/>
                <w:b/>
                <w:color w:val="000000" w:themeColor="text1"/>
                <w:sz w:val="24"/>
                <w:szCs w:val="24"/>
                <w:highlight w:val="none"/>
                <w:lang w:val="en-US" w:eastAsia="zh-CN"/>
                <w14:textFill>
                  <w14:solidFill>
                    <w14:schemeClr w14:val="tx1"/>
                  </w14:solidFill>
                </w14:textFill>
              </w:rPr>
            </w:pPr>
            <w:r>
              <w:rPr>
                <w:rFonts w:hint="eastAsia"/>
                <w:b/>
                <w:color w:val="000000" w:themeColor="text1"/>
                <w:sz w:val="24"/>
                <w:szCs w:val="24"/>
                <w:highlight w:val="none"/>
                <w14:textFill>
                  <w14:solidFill>
                    <w14:schemeClr w14:val="tx1"/>
                  </w14:solidFill>
                </w14:textFill>
              </w:rPr>
              <w:t>表</w:t>
            </w:r>
            <w:r>
              <w:rPr>
                <w:rFonts w:hint="eastAsia"/>
                <w:b/>
                <w:color w:val="000000" w:themeColor="text1"/>
                <w:sz w:val="24"/>
                <w:szCs w:val="24"/>
                <w:highlight w:val="none"/>
                <w:lang w:val="en-US" w:eastAsia="zh-CN"/>
                <w14:textFill>
                  <w14:solidFill>
                    <w14:schemeClr w14:val="tx1"/>
                  </w14:solidFill>
                </w14:textFill>
              </w:rPr>
              <w:t>2-7</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lang w:val="en-US" w:eastAsia="zh-CN"/>
                <w14:textFill>
                  <w14:solidFill>
                    <w14:schemeClr w14:val="tx1"/>
                  </w14:solidFill>
                </w14:textFill>
              </w:rPr>
              <w:t>项目运营期产污环节</w:t>
            </w:r>
            <w:r>
              <w:rPr>
                <w:rFonts w:hint="eastAsia"/>
                <w:b/>
                <w:color w:val="000000" w:themeColor="text1"/>
                <w:sz w:val="24"/>
                <w:szCs w:val="24"/>
                <w:highlight w:val="none"/>
                <w14:textFill>
                  <w14:solidFill>
                    <w14:schemeClr w14:val="tx1"/>
                  </w14:solidFill>
                </w14:textFill>
              </w:rPr>
              <w:t>一览</w:t>
            </w:r>
            <w:r>
              <w:rPr>
                <w:rFonts w:hint="eastAsia"/>
                <w:b/>
                <w:color w:val="000000" w:themeColor="text1"/>
                <w:sz w:val="24"/>
                <w:szCs w:val="24"/>
                <w:highlight w:val="none"/>
                <w:lang w:val="en-US" w:eastAsia="zh-CN"/>
                <w14:textFill>
                  <w14:solidFill>
                    <w14:schemeClr w14:val="tx1"/>
                  </w14:solidFill>
                </w14:textFill>
              </w:rPr>
              <w:t>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595"/>
              <w:gridCol w:w="627"/>
              <w:gridCol w:w="1241"/>
              <w:gridCol w:w="1582"/>
              <w:gridCol w:w="4007"/>
            </w:tblGrid>
            <w:tr w14:paraId="782B0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shd w:val="clear" w:color="auto" w:fill="auto"/>
                  <w:vAlign w:val="center"/>
                </w:tcPr>
                <w:p w14:paraId="72B13558">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序号</w:t>
                  </w:r>
                </w:p>
              </w:tc>
              <w:tc>
                <w:tcPr>
                  <w:tcW w:w="627" w:type="dxa"/>
                  <w:shd w:val="clear" w:color="auto" w:fill="auto"/>
                  <w:vAlign w:val="center"/>
                </w:tcPr>
                <w:p w14:paraId="7D74095C">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类别</w:t>
                  </w:r>
                </w:p>
              </w:tc>
              <w:tc>
                <w:tcPr>
                  <w:tcW w:w="1241" w:type="dxa"/>
                  <w:shd w:val="clear" w:color="auto" w:fill="auto"/>
                  <w:vAlign w:val="center"/>
                </w:tcPr>
                <w:p w14:paraId="5215D9B9">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污染源</w:t>
                  </w:r>
                </w:p>
              </w:tc>
              <w:tc>
                <w:tcPr>
                  <w:tcW w:w="1582" w:type="dxa"/>
                  <w:shd w:val="clear" w:color="auto" w:fill="auto"/>
                  <w:vAlign w:val="center"/>
                </w:tcPr>
                <w:p w14:paraId="331FE91E">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主要污染物</w:t>
                  </w:r>
                </w:p>
              </w:tc>
              <w:tc>
                <w:tcPr>
                  <w:tcW w:w="4007" w:type="dxa"/>
                  <w:shd w:val="clear" w:color="auto" w:fill="auto"/>
                  <w:vAlign w:val="center"/>
                </w:tcPr>
                <w:p w14:paraId="49E223F0">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环保措施</w:t>
                  </w:r>
                </w:p>
              </w:tc>
            </w:tr>
            <w:tr w14:paraId="64457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shd w:val="clear" w:color="auto" w:fill="auto"/>
                  <w:vAlign w:val="center"/>
                </w:tcPr>
                <w:p w14:paraId="16E0A018">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1</w:t>
                  </w:r>
                </w:p>
              </w:tc>
              <w:tc>
                <w:tcPr>
                  <w:tcW w:w="627" w:type="dxa"/>
                  <w:shd w:val="clear" w:color="auto" w:fill="auto"/>
                  <w:vAlign w:val="center"/>
                </w:tcPr>
                <w:p w14:paraId="78C3D538">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废水</w:t>
                  </w:r>
                </w:p>
              </w:tc>
              <w:tc>
                <w:tcPr>
                  <w:tcW w:w="1241" w:type="dxa"/>
                  <w:shd w:val="clear" w:color="auto" w:fill="auto"/>
                  <w:vAlign w:val="center"/>
                </w:tcPr>
                <w:p w14:paraId="54496B10">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职工生活污水</w:t>
                  </w:r>
                </w:p>
              </w:tc>
              <w:tc>
                <w:tcPr>
                  <w:tcW w:w="1582" w:type="dxa"/>
                  <w:shd w:val="clear" w:color="auto" w:fill="auto"/>
                  <w:vAlign w:val="center"/>
                </w:tcPr>
                <w:p w14:paraId="3A16FC2E">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pH、COD、SS、BOD</w:t>
                  </w:r>
                  <w:r>
                    <w:rPr>
                      <w:rFonts w:hint="eastAsia"/>
                      <w:color w:val="000000" w:themeColor="text1"/>
                      <w:sz w:val="21"/>
                      <w:szCs w:val="18"/>
                      <w:highlight w:val="none"/>
                      <w:vertAlign w:val="subscript"/>
                      <w:lang w:val="en-US" w:eastAsia="zh-CN"/>
                      <w14:textFill>
                        <w14:solidFill>
                          <w14:schemeClr w14:val="tx1"/>
                        </w14:solidFill>
                      </w14:textFill>
                    </w:rPr>
                    <w:t>5</w:t>
                  </w:r>
                  <w:r>
                    <w:rPr>
                      <w:rFonts w:hint="default" w:eastAsia="宋体"/>
                      <w:color w:val="000000" w:themeColor="text1"/>
                      <w:sz w:val="21"/>
                      <w:szCs w:val="18"/>
                      <w:highlight w:val="none"/>
                      <w:lang w:val="en-US" w:eastAsia="zh-CN"/>
                      <w14:textFill>
                        <w14:solidFill>
                          <w14:schemeClr w14:val="tx1"/>
                        </w14:solidFill>
                      </w14:textFill>
                    </w:rPr>
                    <w:t>、氨氮</w:t>
                  </w:r>
                </w:p>
              </w:tc>
              <w:tc>
                <w:tcPr>
                  <w:tcW w:w="4007" w:type="dxa"/>
                  <w:shd w:val="clear" w:color="auto" w:fill="auto"/>
                  <w:vAlign w:val="center"/>
                </w:tcPr>
                <w:p w14:paraId="4BEFAD05">
                  <w:pPr>
                    <w:keepNext w:val="0"/>
                    <w:keepLines w:val="0"/>
                    <w:pageBreakBefore w:val="0"/>
                    <w:widowControl w:val="0"/>
                    <w:kinsoku/>
                    <w:wordWrap/>
                    <w:overflowPunct/>
                    <w:topLinePunct w:val="0"/>
                    <w:bidi w:val="0"/>
                    <w:adjustRightInd/>
                    <w:snapToGrid/>
                    <w:spacing w:line="240" w:lineRule="auto"/>
                    <w:jc w:val="both"/>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eastAsia="宋体"/>
                      <w:color w:val="000000" w:themeColor="text1"/>
                      <w:sz w:val="21"/>
                      <w:szCs w:val="18"/>
                      <w:highlight w:val="none"/>
                      <w:lang w:val="en-US" w:eastAsia="zh-CN"/>
                      <w14:textFill>
                        <w14:solidFill>
                          <w14:schemeClr w14:val="tx1"/>
                        </w14:solidFill>
                      </w14:textFill>
                    </w:rPr>
                    <w:t>生活污水依托出租方</w:t>
                  </w:r>
                  <w:r>
                    <w:rPr>
                      <w:rFonts w:hint="eastAsia"/>
                      <w:color w:val="000000" w:themeColor="text1"/>
                      <w:sz w:val="21"/>
                      <w:szCs w:val="21"/>
                      <w:highlight w:val="none"/>
                      <w:lang w:val="en-US" w:eastAsia="zh-CN"/>
                      <w14:textFill>
                        <w14:solidFill>
                          <w14:schemeClr w14:val="tx1"/>
                        </w14:solidFill>
                      </w14:textFill>
                    </w:rPr>
                    <w:t>隔油+</w:t>
                  </w:r>
                  <w:r>
                    <w:rPr>
                      <w:rFonts w:hint="default" w:eastAsia="宋体"/>
                      <w:color w:val="000000" w:themeColor="text1"/>
                      <w:sz w:val="21"/>
                      <w:szCs w:val="18"/>
                      <w:highlight w:val="none"/>
                      <w:lang w:val="en-US" w:eastAsia="zh-CN"/>
                      <w14:textFill>
                        <w14:solidFill>
                          <w14:schemeClr w14:val="tx1"/>
                        </w14:solidFill>
                      </w14:textFill>
                    </w:rPr>
                    <w:t>化粪池处理后，接市政污水管网进入福建青口海峡环保工程有限公司(青口新区污水处理厂)处理</w:t>
                  </w:r>
                  <w:r>
                    <w:rPr>
                      <w:rFonts w:hint="eastAsia"/>
                      <w:color w:val="000000" w:themeColor="text1"/>
                      <w:sz w:val="21"/>
                      <w:szCs w:val="18"/>
                      <w:highlight w:val="none"/>
                      <w:lang w:val="en-US" w:eastAsia="zh-CN"/>
                      <w14:textFill>
                        <w14:solidFill>
                          <w14:schemeClr w14:val="tx1"/>
                        </w14:solidFill>
                      </w14:textFill>
                    </w:rPr>
                    <w:t>。</w:t>
                  </w:r>
                </w:p>
              </w:tc>
            </w:tr>
            <w:tr w14:paraId="28747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vMerge w:val="restart"/>
                  <w:shd w:val="clear" w:color="auto" w:fill="auto"/>
                  <w:vAlign w:val="center"/>
                </w:tcPr>
                <w:p w14:paraId="312EC9B3">
                  <w:pPr>
                    <w:keepNext w:val="0"/>
                    <w:keepLines w:val="0"/>
                    <w:pageBreakBefore w:val="0"/>
                    <w:widowControl w:val="0"/>
                    <w:kinsoku/>
                    <w:wordWrap/>
                    <w:overflowPunct/>
                    <w:topLinePunct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2</w:t>
                  </w:r>
                </w:p>
              </w:tc>
              <w:tc>
                <w:tcPr>
                  <w:tcW w:w="627" w:type="dxa"/>
                  <w:vMerge w:val="restart"/>
                  <w:shd w:val="clear" w:color="auto" w:fill="auto"/>
                  <w:vAlign w:val="center"/>
                </w:tcPr>
                <w:p w14:paraId="25C724B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r>
                    <w:rPr>
                      <w:rFonts w:hint="eastAsia" w:ascii="宋体" w:cs="宋体"/>
                      <w:color w:val="000000" w:themeColor="text1"/>
                      <w:kern w:val="0"/>
                      <w:sz w:val="21"/>
                      <w:szCs w:val="18"/>
                      <w:highlight w:val="none"/>
                      <w:lang w:val="en-US" w:eastAsia="zh-CN"/>
                      <w14:textFill>
                        <w14:solidFill>
                          <w14:schemeClr w14:val="tx1"/>
                        </w14:solidFill>
                      </w14:textFill>
                    </w:rPr>
                    <w:t>废气</w:t>
                  </w:r>
                </w:p>
              </w:tc>
              <w:tc>
                <w:tcPr>
                  <w:tcW w:w="1241" w:type="dxa"/>
                  <w:shd w:val="clear" w:color="auto" w:fill="auto"/>
                  <w:vAlign w:val="center"/>
                </w:tcPr>
                <w:p w14:paraId="61F7A71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加热吹塑废气G1</w:t>
                  </w:r>
                </w:p>
              </w:tc>
              <w:tc>
                <w:tcPr>
                  <w:tcW w:w="1582" w:type="dxa"/>
                  <w:shd w:val="clear" w:color="auto" w:fill="auto"/>
                  <w:vAlign w:val="center"/>
                </w:tcPr>
                <w:p w14:paraId="027E36E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非甲烷总烃</w:t>
                  </w:r>
                </w:p>
              </w:tc>
              <w:tc>
                <w:tcPr>
                  <w:tcW w:w="4007" w:type="dxa"/>
                  <w:shd w:val="clear" w:color="auto" w:fill="auto"/>
                  <w:vAlign w:val="center"/>
                </w:tcPr>
                <w:p w14:paraId="717A4C2C">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default"/>
                      <w:color w:val="000000" w:themeColor="text1"/>
                      <w:sz w:val="21"/>
                      <w:szCs w:val="18"/>
                      <w:highlight w:val="none"/>
                      <w:lang w:val="en-US"/>
                      <w14:textFill>
                        <w14:solidFill>
                          <w14:schemeClr w14:val="tx1"/>
                        </w14:solidFill>
                      </w14:textFill>
                    </w:rPr>
                    <w:t>产生的有机废气经</w:t>
                  </w:r>
                  <w:r>
                    <w:rPr>
                      <w:rFonts w:hint="default"/>
                      <w:color w:val="000000" w:themeColor="text1"/>
                      <w:sz w:val="21"/>
                      <w:szCs w:val="18"/>
                      <w:highlight w:val="none"/>
                      <w:lang w:val="en-US" w:eastAsia="zh-CN"/>
                      <w14:textFill>
                        <w14:solidFill>
                          <w14:schemeClr w14:val="tx1"/>
                        </w14:solidFill>
                      </w14:textFill>
                    </w:rPr>
                    <w:t>集气罩收集后经两级活性炭吸附后，通过</w:t>
                  </w:r>
                  <w:r>
                    <w:rPr>
                      <w:rFonts w:hint="default"/>
                      <w:color w:val="000000" w:themeColor="text1"/>
                      <w:sz w:val="21"/>
                      <w:szCs w:val="18"/>
                      <w:highlight w:val="none"/>
                      <w:lang w:val="en-US"/>
                      <w14:textFill>
                        <w14:solidFill>
                          <w14:schemeClr w14:val="tx1"/>
                        </w14:solidFill>
                      </w14:textFill>
                    </w:rPr>
                    <w:t>一根</w:t>
                  </w:r>
                  <w:r>
                    <w:rPr>
                      <w:rFonts w:hint="default"/>
                      <w:color w:val="000000" w:themeColor="text1"/>
                      <w:sz w:val="21"/>
                      <w:szCs w:val="18"/>
                      <w:highlight w:val="none"/>
                      <w:lang w:val="en-US" w:eastAsia="zh-CN"/>
                      <w14:textFill>
                        <w14:solidFill>
                          <w14:schemeClr w14:val="tx1"/>
                        </w14:solidFill>
                      </w14:textFill>
                    </w:rPr>
                    <w:t>25</w:t>
                  </w:r>
                  <w:r>
                    <w:rPr>
                      <w:rFonts w:hint="default"/>
                      <w:color w:val="000000" w:themeColor="text1"/>
                      <w:sz w:val="21"/>
                      <w:szCs w:val="18"/>
                      <w:highlight w:val="none"/>
                      <w:lang w:val="en-US"/>
                      <w14:textFill>
                        <w14:solidFill>
                          <w14:schemeClr w14:val="tx1"/>
                        </w14:solidFill>
                      </w14:textFill>
                    </w:rPr>
                    <w:t>m高排气筒排放</w:t>
                  </w:r>
                  <w:r>
                    <w:rPr>
                      <w:rFonts w:hint="eastAsia"/>
                      <w:color w:val="000000" w:themeColor="text1"/>
                      <w:sz w:val="21"/>
                      <w:szCs w:val="18"/>
                      <w:highlight w:val="none"/>
                      <w:lang w:val="en-US" w:eastAsia="zh-CN"/>
                      <w14:textFill>
                        <w14:solidFill>
                          <w14:schemeClr w14:val="tx1"/>
                        </w14:solidFill>
                      </w14:textFill>
                    </w:rPr>
                    <w:t>。</w:t>
                  </w:r>
                </w:p>
              </w:tc>
            </w:tr>
            <w:tr w14:paraId="47EF1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vMerge w:val="continue"/>
                  <w:shd w:val="clear" w:color="auto" w:fill="auto"/>
                  <w:vAlign w:val="center"/>
                </w:tcPr>
                <w:p w14:paraId="1D1E6EF3">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p>
              </w:tc>
              <w:tc>
                <w:tcPr>
                  <w:tcW w:w="627" w:type="dxa"/>
                  <w:vMerge w:val="continue"/>
                  <w:shd w:val="clear" w:color="auto" w:fill="auto"/>
                  <w:vAlign w:val="center"/>
                </w:tcPr>
                <w:p w14:paraId="152D3320">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宋体" w:cs="宋体"/>
                      <w:color w:val="000000" w:themeColor="text1"/>
                      <w:kern w:val="0"/>
                      <w:sz w:val="21"/>
                      <w:szCs w:val="18"/>
                      <w:highlight w:val="none"/>
                      <w:lang w:val="en-US" w:eastAsia="zh-CN"/>
                      <w14:textFill>
                        <w14:solidFill>
                          <w14:schemeClr w14:val="tx1"/>
                        </w14:solidFill>
                      </w14:textFill>
                    </w:rPr>
                  </w:pPr>
                </w:p>
              </w:tc>
              <w:tc>
                <w:tcPr>
                  <w:tcW w:w="1241" w:type="dxa"/>
                  <w:shd w:val="clear" w:color="auto" w:fill="auto"/>
                  <w:vAlign w:val="center"/>
                </w:tcPr>
                <w:p w14:paraId="3D6FC8E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无组织废气</w:t>
                  </w:r>
                </w:p>
              </w:tc>
              <w:tc>
                <w:tcPr>
                  <w:tcW w:w="1582" w:type="dxa"/>
                  <w:shd w:val="clear" w:color="auto" w:fill="auto"/>
                  <w:vAlign w:val="center"/>
                </w:tcPr>
                <w:p w14:paraId="2EAF7C3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非甲烷总烃</w:t>
                  </w:r>
                </w:p>
              </w:tc>
              <w:tc>
                <w:tcPr>
                  <w:tcW w:w="4007" w:type="dxa"/>
                  <w:shd w:val="clear" w:color="auto" w:fill="auto"/>
                  <w:vAlign w:val="center"/>
                </w:tcPr>
                <w:p w14:paraId="434F07DF">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default"/>
                      <w:color w:val="000000" w:themeColor="text1"/>
                      <w:sz w:val="21"/>
                      <w:szCs w:val="18"/>
                      <w:highlight w:val="none"/>
                      <w:lang w:val="en-US"/>
                      <w14:textFill>
                        <w14:solidFill>
                          <w14:schemeClr w14:val="tx1"/>
                        </w14:solidFill>
                      </w14:textFill>
                    </w:rPr>
                  </w:pPr>
                  <w:r>
                    <w:rPr>
                      <w:rFonts w:hint="default"/>
                      <w:color w:val="000000" w:themeColor="text1"/>
                      <w:sz w:val="21"/>
                      <w:szCs w:val="18"/>
                      <w:highlight w:val="none"/>
                      <w:lang w:val="en-US" w:eastAsia="zh-CN"/>
                      <w14:textFill>
                        <w14:solidFill>
                          <w14:schemeClr w14:val="tx1"/>
                        </w14:solidFill>
                      </w14:textFill>
                    </w:rPr>
                    <w:t>未收集到的废气无组织排放</w:t>
                  </w:r>
                  <w:r>
                    <w:rPr>
                      <w:rFonts w:hint="eastAsia"/>
                      <w:color w:val="000000" w:themeColor="text1"/>
                      <w:sz w:val="21"/>
                      <w:szCs w:val="18"/>
                      <w:highlight w:val="none"/>
                      <w:lang w:val="en-US" w:eastAsia="zh-CN"/>
                      <w14:textFill>
                        <w14:solidFill>
                          <w14:schemeClr w14:val="tx1"/>
                        </w14:solidFill>
                      </w14:textFill>
                    </w:rPr>
                    <w:t>。</w:t>
                  </w:r>
                </w:p>
              </w:tc>
            </w:tr>
            <w:tr w14:paraId="47012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shd w:val="clear" w:color="auto" w:fill="auto"/>
                  <w:vAlign w:val="center"/>
                </w:tcPr>
                <w:p w14:paraId="5438241E">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3</w:t>
                  </w:r>
                </w:p>
              </w:tc>
              <w:tc>
                <w:tcPr>
                  <w:tcW w:w="627" w:type="dxa"/>
                  <w:vMerge w:val="restart"/>
                  <w:shd w:val="clear" w:color="auto" w:fill="auto"/>
                  <w:vAlign w:val="center"/>
                </w:tcPr>
                <w:p w14:paraId="3C595DC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r>
                    <w:rPr>
                      <w:rFonts w:hint="eastAsia" w:ascii="宋体" w:cs="宋体"/>
                      <w:color w:val="000000" w:themeColor="text1"/>
                      <w:kern w:val="0"/>
                      <w:sz w:val="21"/>
                      <w:szCs w:val="18"/>
                      <w:highlight w:val="none"/>
                      <w:lang w:val="en-US" w:eastAsia="zh-CN"/>
                      <w14:textFill>
                        <w14:solidFill>
                          <w14:schemeClr w14:val="tx1"/>
                        </w14:solidFill>
                      </w14:textFill>
                    </w:rPr>
                    <w:t>固废</w:t>
                  </w:r>
                </w:p>
              </w:tc>
              <w:tc>
                <w:tcPr>
                  <w:tcW w:w="1241" w:type="dxa"/>
                  <w:shd w:val="clear" w:color="auto" w:fill="auto"/>
                  <w:vAlign w:val="center"/>
                </w:tcPr>
                <w:p w14:paraId="5EA31FD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废气治理设施</w:t>
                  </w:r>
                </w:p>
              </w:tc>
              <w:tc>
                <w:tcPr>
                  <w:tcW w:w="1582" w:type="dxa"/>
                  <w:shd w:val="clear" w:color="auto" w:fill="auto"/>
                  <w:vAlign w:val="center"/>
                </w:tcPr>
                <w:p w14:paraId="75571C9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废活性炭</w:t>
                  </w:r>
                </w:p>
              </w:tc>
              <w:tc>
                <w:tcPr>
                  <w:tcW w:w="4007" w:type="dxa"/>
                  <w:vMerge w:val="restart"/>
                  <w:shd w:val="clear" w:color="auto" w:fill="auto"/>
                  <w:vAlign w:val="center"/>
                </w:tcPr>
                <w:p w14:paraId="4B803524">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default"/>
                      <w:color w:val="000000" w:themeColor="text1"/>
                      <w:sz w:val="21"/>
                      <w:szCs w:val="18"/>
                      <w:highlight w:val="none"/>
                      <w:lang w:val="en-US"/>
                      <w14:textFill>
                        <w14:solidFill>
                          <w14:schemeClr w14:val="tx1"/>
                        </w14:solidFill>
                      </w14:textFill>
                    </w:rPr>
                    <w:t>属于危险废物，分类收集、暂存</w:t>
                  </w:r>
                  <w:r>
                    <w:rPr>
                      <w:rFonts w:hint="eastAsia"/>
                      <w:color w:val="000000" w:themeColor="text1"/>
                      <w:sz w:val="21"/>
                      <w:szCs w:val="18"/>
                      <w:highlight w:val="none"/>
                      <w:lang w:val="en-US" w:eastAsia="zh-CN"/>
                      <w14:textFill>
                        <w14:solidFill>
                          <w14:schemeClr w14:val="tx1"/>
                        </w14:solidFill>
                      </w14:textFill>
                    </w:rPr>
                    <w:t>于危废暂存间，</w:t>
                  </w:r>
                  <w:r>
                    <w:rPr>
                      <w:rFonts w:hint="default"/>
                      <w:color w:val="000000" w:themeColor="text1"/>
                      <w:sz w:val="21"/>
                      <w:szCs w:val="18"/>
                      <w:highlight w:val="none"/>
                      <w:lang w:val="en-US"/>
                      <w14:textFill>
                        <w14:solidFill>
                          <w14:schemeClr w14:val="tx1"/>
                        </w14:solidFill>
                      </w14:textFill>
                    </w:rPr>
                    <w:t>定期委托有资质单位统一处理</w:t>
                  </w:r>
                  <w:r>
                    <w:rPr>
                      <w:rFonts w:hint="eastAsia"/>
                      <w:color w:val="000000" w:themeColor="text1"/>
                      <w:sz w:val="21"/>
                      <w:szCs w:val="18"/>
                      <w:highlight w:val="none"/>
                      <w:lang w:val="en-US" w:eastAsia="zh-CN"/>
                      <w14:textFill>
                        <w14:solidFill>
                          <w14:schemeClr w14:val="tx1"/>
                        </w14:solidFill>
                      </w14:textFill>
                    </w:rPr>
                    <w:t>。</w:t>
                  </w:r>
                </w:p>
              </w:tc>
            </w:tr>
            <w:tr w14:paraId="3E6A5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shd w:val="clear" w:color="auto" w:fill="auto"/>
                  <w:vAlign w:val="center"/>
                </w:tcPr>
                <w:p w14:paraId="48BFB38D">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4</w:t>
                  </w:r>
                </w:p>
              </w:tc>
              <w:tc>
                <w:tcPr>
                  <w:tcW w:w="627" w:type="dxa"/>
                  <w:vMerge w:val="continue"/>
                  <w:shd w:val="clear" w:color="auto" w:fill="auto"/>
                  <w:vAlign w:val="center"/>
                </w:tcPr>
                <w:p w14:paraId="3B94EBAA">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p>
              </w:tc>
              <w:tc>
                <w:tcPr>
                  <w:tcW w:w="1241" w:type="dxa"/>
                  <w:shd w:val="clear" w:color="auto" w:fill="auto"/>
                  <w:vAlign w:val="center"/>
                </w:tcPr>
                <w:p w14:paraId="6A32F3C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设备检修维护</w:t>
                  </w:r>
                </w:p>
              </w:tc>
              <w:tc>
                <w:tcPr>
                  <w:tcW w:w="1582" w:type="dxa"/>
                  <w:shd w:val="clear" w:color="auto" w:fill="auto"/>
                  <w:vAlign w:val="center"/>
                </w:tcPr>
                <w:p w14:paraId="7F20BE1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废润滑油、废油桶</w:t>
                  </w:r>
                </w:p>
              </w:tc>
              <w:tc>
                <w:tcPr>
                  <w:tcW w:w="4007" w:type="dxa"/>
                  <w:vMerge w:val="continue"/>
                  <w:shd w:val="clear" w:color="auto" w:fill="auto"/>
                  <w:vAlign w:val="center"/>
                </w:tcPr>
                <w:p w14:paraId="4C65360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p>
              </w:tc>
            </w:tr>
            <w:tr w14:paraId="6E7DB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shd w:val="clear" w:color="auto" w:fill="auto"/>
                  <w:vAlign w:val="center"/>
                </w:tcPr>
                <w:p w14:paraId="5B7A9FA9">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5</w:t>
                  </w:r>
                </w:p>
              </w:tc>
              <w:tc>
                <w:tcPr>
                  <w:tcW w:w="627" w:type="dxa"/>
                  <w:vMerge w:val="continue"/>
                  <w:shd w:val="clear" w:color="auto" w:fill="auto"/>
                  <w:vAlign w:val="center"/>
                </w:tcPr>
                <w:p w14:paraId="0125986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p>
              </w:tc>
              <w:tc>
                <w:tcPr>
                  <w:tcW w:w="1241" w:type="dxa"/>
                  <w:shd w:val="clear" w:color="auto" w:fill="auto"/>
                  <w:vAlign w:val="center"/>
                </w:tcPr>
                <w:p w14:paraId="16C8763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分切工序</w:t>
                  </w:r>
                </w:p>
              </w:tc>
              <w:tc>
                <w:tcPr>
                  <w:tcW w:w="1582" w:type="dxa"/>
                  <w:shd w:val="clear" w:color="auto" w:fill="auto"/>
                  <w:vAlign w:val="center"/>
                </w:tcPr>
                <w:p w14:paraId="4610ADD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eastAsia" w:eastAsia="宋体"/>
                      <w:color w:val="000000" w:themeColor="text1"/>
                      <w:sz w:val="21"/>
                      <w:szCs w:val="18"/>
                      <w:highlight w:val="none"/>
                      <w:lang w:val="en-US" w:eastAsia="zh-CN"/>
                      <w14:textFill>
                        <w14:solidFill>
                          <w14:schemeClr w14:val="tx1"/>
                        </w14:solidFill>
                      </w14:textFill>
                    </w:rPr>
                    <w:t>废塑料边角料、残次品</w:t>
                  </w:r>
                </w:p>
              </w:tc>
              <w:tc>
                <w:tcPr>
                  <w:tcW w:w="4007" w:type="dxa"/>
                  <w:vMerge w:val="restart"/>
                  <w:shd w:val="clear" w:color="auto" w:fill="auto"/>
                  <w:vAlign w:val="center"/>
                </w:tcPr>
                <w:p w14:paraId="5ACF390C">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default" w:eastAsia="宋体"/>
                      <w:color w:val="000000" w:themeColor="text1"/>
                      <w:sz w:val="21"/>
                      <w:szCs w:val="18"/>
                      <w:highlight w:val="none"/>
                      <w:lang w:val="en-US" w:eastAsia="zh-CN"/>
                      <w14:textFill>
                        <w14:solidFill>
                          <w14:schemeClr w14:val="tx1"/>
                        </w14:solidFill>
                      </w14:textFill>
                    </w:rPr>
                  </w:pPr>
                  <w:r>
                    <w:rPr>
                      <w:rFonts w:hint="default"/>
                      <w:color w:val="000000" w:themeColor="text1"/>
                      <w:sz w:val="21"/>
                      <w:szCs w:val="18"/>
                      <w:highlight w:val="none"/>
                      <w:lang w:val="en-US"/>
                      <w14:textFill>
                        <w14:solidFill>
                          <w14:schemeClr w14:val="tx1"/>
                        </w14:solidFill>
                      </w14:textFill>
                    </w:rPr>
                    <w:t>属于一般工业固废，分类收集后外售</w:t>
                  </w:r>
                  <w:r>
                    <w:rPr>
                      <w:rFonts w:hint="eastAsia"/>
                      <w:color w:val="000000" w:themeColor="text1"/>
                      <w:sz w:val="21"/>
                      <w:szCs w:val="18"/>
                      <w:highlight w:val="none"/>
                      <w:lang w:val="en-US" w:eastAsia="zh-CN"/>
                      <w14:textFill>
                        <w14:solidFill>
                          <w14:schemeClr w14:val="tx1"/>
                        </w14:solidFill>
                      </w14:textFill>
                    </w:rPr>
                    <w:t>或者综合利用。</w:t>
                  </w:r>
                </w:p>
              </w:tc>
            </w:tr>
            <w:tr w14:paraId="10418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shd w:val="clear" w:color="auto" w:fill="auto"/>
                  <w:vAlign w:val="center"/>
                </w:tcPr>
                <w:p w14:paraId="26ED2394">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6</w:t>
                  </w:r>
                </w:p>
              </w:tc>
              <w:tc>
                <w:tcPr>
                  <w:tcW w:w="627" w:type="dxa"/>
                  <w:vMerge w:val="continue"/>
                  <w:shd w:val="clear" w:color="auto" w:fill="auto"/>
                  <w:vAlign w:val="center"/>
                </w:tcPr>
                <w:p w14:paraId="032D22E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p>
              </w:tc>
              <w:tc>
                <w:tcPr>
                  <w:tcW w:w="1241" w:type="dxa"/>
                  <w:shd w:val="clear" w:color="auto" w:fill="auto"/>
                  <w:vAlign w:val="center"/>
                </w:tcPr>
                <w:p w14:paraId="3B78A42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包装工序</w:t>
                  </w:r>
                </w:p>
              </w:tc>
              <w:tc>
                <w:tcPr>
                  <w:tcW w:w="1582" w:type="dxa"/>
                  <w:shd w:val="clear" w:color="auto" w:fill="auto"/>
                  <w:vAlign w:val="center"/>
                </w:tcPr>
                <w:p w14:paraId="4265B2A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废</w:t>
                  </w:r>
                  <w:r>
                    <w:rPr>
                      <w:rFonts w:hint="default"/>
                      <w:color w:val="000000" w:themeColor="text1"/>
                      <w:sz w:val="21"/>
                      <w:szCs w:val="18"/>
                      <w:highlight w:val="none"/>
                      <w:lang w:val="en-US" w:eastAsia="zh-CN"/>
                      <w14:textFill>
                        <w14:solidFill>
                          <w14:schemeClr w14:val="tx1"/>
                        </w14:solidFill>
                      </w14:textFill>
                    </w:rPr>
                    <w:t>包装</w:t>
                  </w:r>
                  <w:r>
                    <w:rPr>
                      <w:rFonts w:hint="eastAsia"/>
                      <w:color w:val="000000" w:themeColor="text1"/>
                      <w:sz w:val="21"/>
                      <w:szCs w:val="18"/>
                      <w:highlight w:val="none"/>
                      <w:lang w:val="en-US" w:eastAsia="zh-CN"/>
                      <w14:textFill>
                        <w14:solidFill>
                          <w14:schemeClr w14:val="tx1"/>
                        </w14:solidFill>
                      </w14:textFill>
                    </w:rPr>
                    <w:t>材料</w:t>
                  </w:r>
                </w:p>
              </w:tc>
              <w:tc>
                <w:tcPr>
                  <w:tcW w:w="4007" w:type="dxa"/>
                  <w:vMerge w:val="continue"/>
                  <w:shd w:val="clear" w:color="auto" w:fill="auto"/>
                  <w:vAlign w:val="center"/>
                </w:tcPr>
                <w:p w14:paraId="24728A9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color w:val="000000" w:themeColor="text1"/>
                      <w:sz w:val="21"/>
                      <w:szCs w:val="18"/>
                      <w:highlight w:val="none"/>
                      <w:lang w:val="en-US"/>
                      <w14:textFill>
                        <w14:solidFill>
                          <w14:schemeClr w14:val="tx1"/>
                        </w14:solidFill>
                      </w14:textFill>
                    </w:rPr>
                  </w:pPr>
                </w:p>
              </w:tc>
            </w:tr>
            <w:tr w14:paraId="20C7D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5" w:type="dxa"/>
                  <w:shd w:val="clear" w:color="auto" w:fill="auto"/>
                  <w:vAlign w:val="center"/>
                </w:tcPr>
                <w:p w14:paraId="7A97469A">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7</w:t>
                  </w:r>
                </w:p>
              </w:tc>
              <w:tc>
                <w:tcPr>
                  <w:tcW w:w="627" w:type="dxa"/>
                  <w:shd w:val="clear" w:color="auto" w:fill="auto"/>
                  <w:vAlign w:val="center"/>
                </w:tcPr>
                <w:p w14:paraId="4674357A">
                  <w:pPr>
                    <w:keepNext w:val="0"/>
                    <w:keepLines w:val="0"/>
                    <w:pageBreakBefore w:val="0"/>
                    <w:widowControl w:val="0"/>
                    <w:kinsoku/>
                    <w:wordWrap/>
                    <w:overflowPunct/>
                    <w:topLinePunct w:val="0"/>
                    <w:bidi w:val="0"/>
                    <w:adjustRightInd/>
                    <w:snapToGrid/>
                    <w:spacing w:line="240" w:lineRule="auto"/>
                    <w:jc w:val="center"/>
                    <w:textAlignment w:val="auto"/>
                    <w:rPr>
                      <w:rFonts w:hint="default" w:ascii="宋体" w:eastAsia="宋体" w:cs="宋体"/>
                      <w:color w:val="000000" w:themeColor="text1"/>
                      <w:kern w:val="0"/>
                      <w:sz w:val="21"/>
                      <w:szCs w:val="18"/>
                      <w:highlight w:val="none"/>
                      <w:lang w:val="en-US" w:eastAsia="zh-CN"/>
                      <w14:textFill>
                        <w14:solidFill>
                          <w14:schemeClr w14:val="tx1"/>
                        </w14:solidFill>
                      </w14:textFill>
                    </w:rPr>
                  </w:pPr>
                  <w:r>
                    <w:rPr>
                      <w:rFonts w:hint="eastAsia" w:ascii="宋体" w:cs="宋体"/>
                      <w:color w:val="000000" w:themeColor="text1"/>
                      <w:kern w:val="0"/>
                      <w:sz w:val="21"/>
                      <w:szCs w:val="18"/>
                      <w:highlight w:val="none"/>
                      <w:lang w:val="en-US" w:eastAsia="zh-CN"/>
                      <w14:textFill>
                        <w14:solidFill>
                          <w14:schemeClr w14:val="tx1"/>
                        </w14:solidFill>
                      </w14:textFill>
                    </w:rPr>
                    <w:t>噪声</w:t>
                  </w:r>
                </w:p>
              </w:tc>
              <w:tc>
                <w:tcPr>
                  <w:tcW w:w="1241" w:type="dxa"/>
                  <w:shd w:val="clear" w:color="auto" w:fill="auto"/>
                  <w:vAlign w:val="center"/>
                </w:tcPr>
                <w:p w14:paraId="6BFBF0C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生产设备</w:t>
                  </w:r>
                </w:p>
              </w:tc>
              <w:tc>
                <w:tcPr>
                  <w:tcW w:w="1582" w:type="dxa"/>
                  <w:shd w:val="clear" w:color="auto" w:fill="auto"/>
                  <w:vAlign w:val="center"/>
                </w:tcPr>
                <w:p w14:paraId="78EA111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color w:val="000000" w:themeColor="text1"/>
                      <w:sz w:val="21"/>
                      <w:szCs w:val="18"/>
                      <w:highlight w:val="none"/>
                      <w:lang w:val="en-US" w:eastAsia="zh-CN"/>
                      <w14:textFill>
                        <w14:solidFill>
                          <w14:schemeClr w14:val="tx1"/>
                        </w14:solidFill>
                      </w14:textFill>
                    </w:rPr>
                  </w:pPr>
                  <w:r>
                    <w:rPr>
                      <w:rFonts w:hint="eastAsia"/>
                      <w:color w:val="000000" w:themeColor="text1"/>
                      <w:sz w:val="21"/>
                      <w:szCs w:val="18"/>
                      <w:highlight w:val="none"/>
                      <w:lang w:val="en-US" w:eastAsia="zh-CN"/>
                      <w14:textFill>
                        <w14:solidFill>
                          <w14:schemeClr w14:val="tx1"/>
                        </w14:solidFill>
                      </w14:textFill>
                    </w:rPr>
                    <w:t>等效A声级</w:t>
                  </w:r>
                </w:p>
              </w:tc>
              <w:tc>
                <w:tcPr>
                  <w:tcW w:w="4007" w:type="dxa"/>
                  <w:shd w:val="clear" w:color="auto" w:fill="auto"/>
                  <w:vAlign w:val="center"/>
                </w:tcPr>
                <w:p w14:paraId="61DFB215">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eastAsia="宋体"/>
                      <w:color w:val="000000" w:themeColor="text1"/>
                      <w:sz w:val="21"/>
                      <w:szCs w:val="18"/>
                      <w:highlight w:val="none"/>
                      <w:lang w:val="en-US" w:eastAsia="zh-CN"/>
                      <w14:textFill>
                        <w14:solidFill>
                          <w14:schemeClr w14:val="tx1"/>
                        </w14:solidFill>
                      </w14:textFill>
                    </w:rPr>
                  </w:pPr>
                  <w:r>
                    <w:rPr>
                      <w:rFonts w:hint="default"/>
                      <w:color w:val="000000" w:themeColor="text1"/>
                      <w:sz w:val="21"/>
                      <w:szCs w:val="18"/>
                      <w:highlight w:val="none"/>
                      <w:lang w:val="en-US"/>
                      <w14:textFill>
                        <w14:solidFill>
                          <w14:schemeClr w14:val="tx1"/>
                        </w14:solidFill>
                      </w14:textFill>
                    </w:rPr>
                    <w:t>优先选用低噪声设备及工艺，</w:t>
                  </w:r>
                  <w:r>
                    <w:rPr>
                      <w:rFonts w:hint="default"/>
                      <w:color w:val="000000" w:themeColor="text1"/>
                      <w:sz w:val="21"/>
                      <w:szCs w:val="18"/>
                      <w:highlight w:val="none"/>
                      <w:lang w:val="en-US" w:eastAsia="zh-CN"/>
                      <w14:textFill>
                        <w14:solidFill>
                          <w14:schemeClr w14:val="tx1"/>
                        </w14:solidFill>
                      </w14:textFill>
                    </w:rPr>
                    <w:t>并采取减振措施，</w:t>
                  </w:r>
                  <w:r>
                    <w:rPr>
                      <w:rFonts w:hint="default"/>
                      <w:color w:val="000000" w:themeColor="text1"/>
                      <w:sz w:val="21"/>
                      <w:szCs w:val="18"/>
                      <w:highlight w:val="none"/>
                      <w:lang w:val="en-US"/>
                      <w14:textFill>
                        <w14:solidFill>
                          <w14:schemeClr w14:val="tx1"/>
                        </w14:solidFill>
                      </w14:textFill>
                    </w:rPr>
                    <w:t>合理布局，使用厂房隔声等</w:t>
                  </w:r>
                  <w:r>
                    <w:rPr>
                      <w:rFonts w:hint="eastAsia"/>
                      <w:color w:val="000000" w:themeColor="text1"/>
                      <w:sz w:val="21"/>
                      <w:szCs w:val="18"/>
                      <w:highlight w:val="none"/>
                      <w:lang w:val="en-US" w:eastAsia="zh-CN"/>
                      <w14:textFill>
                        <w14:solidFill>
                          <w14:schemeClr w14:val="tx1"/>
                        </w14:solidFill>
                      </w14:textFill>
                    </w:rPr>
                    <w:t>措施。</w:t>
                  </w:r>
                </w:p>
              </w:tc>
            </w:tr>
            <w:bookmarkEnd w:id="8"/>
          </w:tbl>
          <w:p w14:paraId="29D54F9A">
            <w:pPr>
              <w:spacing w:line="360" w:lineRule="auto"/>
              <w:ind w:firstLine="480" w:firstLineChars="200"/>
              <w:rPr>
                <w:bCs/>
                <w:color w:val="000000" w:themeColor="text1"/>
                <w:sz w:val="24"/>
                <w:szCs w:val="24"/>
                <w:highlight w:val="none"/>
                <w14:textFill>
                  <w14:solidFill>
                    <w14:schemeClr w14:val="tx1"/>
                  </w14:solidFill>
                </w14:textFill>
              </w:rPr>
            </w:pPr>
          </w:p>
        </w:tc>
      </w:tr>
      <w:tr w14:paraId="457C3E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546" w:type="dxa"/>
            <w:vAlign w:val="center"/>
          </w:tcPr>
          <w:p w14:paraId="0EFDCA2C">
            <w:pPr>
              <w:pStyle w:val="26"/>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与项目有关的原有环境污染问题</w:t>
            </w:r>
          </w:p>
        </w:tc>
        <w:tc>
          <w:tcPr>
            <w:tcW w:w="8278" w:type="dxa"/>
          </w:tcPr>
          <w:p w14:paraId="3941B34E">
            <w:pPr>
              <w:pStyle w:val="37"/>
              <w:rPr>
                <w:color w:val="000000" w:themeColor="text1"/>
                <w:sz w:val="24"/>
                <w:szCs w:val="21"/>
                <w:highlight w:val="none"/>
                <w14:textFill>
                  <w14:solidFill>
                    <w14:schemeClr w14:val="tx1"/>
                  </w14:solidFill>
                </w14:textFill>
              </w:rPr>
            </w:pPr>
            <w:bookmarkStart w:id="9" w:name="_Hlk160478686"/>
            <w:r>
              <w:rPr>
                <w:color w:val="000000" w:themeColor="text1"/>
                <w:sz w:val="24"/>
                <w:szCs w:val="21"/>
                <w:highlight w:val="none"/>
                <w14:textFill>
                  <w14:solidFill>
                    <w14:schemeClr w14:val="tx1"/>
                  </w14:solidFill>
                </w14:textFill>
              </w:rPr>
              <w:t>2.</w:t>
            </w:r>
            <w:r>
              <w:rPr>
                <w:rFonts w:hint="eastAsia"/>
                <w:color w:val="000000" w:themeColor="text1"/>
                <w:sz w:val="24"/>
                <w:szCs w:val="21"/>
                <w:highlight w:val="none"/>
                <w:lang w:val="en-US" w:eastAsia="zh-CN"/>
                <w14:textFill>
                  <w14:solidFill>
                    <w14:schemeClr w14:val="tx1"/>
                  </w14:solidFill>
                </w14:textFill>
              </w:rPr>
              <w:t>10</w:t>
            </w:r>
            <w:r>
              <w:rPr>
                <w:rFonts w:hint="eastAsia"/>
                <w:color w:val="000000" w:themeColor="text1"/>
                <w:sz w:val="24"/>
                <w:szCs w:val="21"/>
                <w:highlight w:val="none"/>
                <w14:textFill>
                  <w14:solidFill>
                    <w14:schemeClr w14:val="tx1"/>
                  </w14:solidFill>
                </w14:textFill>
              </w:rPr>
              <w:t>与项目有关的原有环境污染问题</w:t>
            </w:r>
          </w:p>
          <w:p w14:paraId="0DF7D55D">
            <w:pPr>
              <w:spacing w:line="360" w:lineRule="auto"/>
              <w:ind w:firstLine="480" w:firstLineChars="200"/>
              <w:rPr>
                <w:rFonts w:hint="eastAsia" w:eastAsia="宋体"/>
                <w:bCs/>
                <w:color w:val="000000" w:themeColor="text1"/>
                <w:sz w:val="24"/>
                <w:szCs w:val="24"/>
                <w:highlight w:val="none"/>
                <w:u w:val="single"/>
                <w:lang w:val="en-US" w:eastAsia="zh-CN"/>
                <w14:textFill>
                  <w14:solidFill>
                    <w14:schemeClr w14:val="tx1"/>
                  </w14:solidFill>
                </w14:textFill>
              </w:rPr>
            </w:pPr>
            <w:r>
              <w:rPr>
                <w:rFonts w:hint="eastAsia"/>
                <w:bCs/>
                <w:color w:val="000000" w:themeColor="text1"/>
                <w:sz w:val="24"/>
                <w:szCs w:val="24"/>
                <w:highlight w:val="none"/>
                <w:u w:val="none"/>
                <w:lang w:val="en-US" w:eastAsia="zh-CN"/>
                <w14:textFill>
                  <w14:solidFill>
                    <w14:schemeClr w14:val="tx1"/>
                  </w14:solidFill>
                </w14:textFill>
              </w:rPr>
              <w:t>本项目为新建项目，无</w:t>
            </w:r>
            <w:r>
              <w:rPr>
                <w:rFonts w:hint="eastAsia"/>
                <w:color w:val="000000" w:themeColor="text1"/>
                <w:sz w:val="24"/>
                <w:szCs w:val="21"/>
                <w:highlight w:val="none"/>
                <w14:textFill>
                  <w14:solidFill>
                    <w14:schemeClr w14:val="tx1"/>
                  </w14:solidFill>
                </w14:textFill>
              </w:rPr>
              <w:t>与</w:t>
            </w:r>
            <w:r>
              <w:rPr>
                <w:rFonts w:hint="eastAsia"/>
                <w:color w:val="000000" w:themeColor="text1"/>
                <w:sz w:val="24"/>
                <w:szCs w:val="21"/>
                <w:highlight w:val="none"/>
                <w:lang w:val="en-US" w:eastAsia="zh-CN"/>
                <w14:textFill>
                  <w14:solidFill>
                    <w14:schemeClr w14:val="tx1"/>
                  </w14:solidFill>
                </w14:textFill>
              </w:rPr>
              <w:t>本</w:t>
            </w:r>
            <w:r>
              <w:rPr>
                <w:rFonts w:hint="eastAsia"/>
                <w:color w:val="000000" w:themeColor="text1"/>
                <w:sz w:val="24"/>
                <w:szCs w:val="21"/>
                <w:highlight w:val="none"/>
                <w14:textFill>
                  <w14:solidFill>
                    <w14:schemeClr w14:val="tx1"/>
                  </w14:solidFill>
                </w14:textFill>
              </w:rPr>
              <w:t>项目有关的原有环境污染问题</w:t>
            </w:r>
            <w:r>
              <w:rPr>
                <w:rFonts w:hint="eastAsia"/>
                <w:color w:val="000000" w:themeColor="text1"/>
                <w:sz w:val="24"/>
                <w:szCs w:val="21"/>
                <w:highlight w:val="none"/>
                <w:lang w:eastAsia="zh-CN"/>
                <w14:textFill>
                  <w14:solidFill>
                    <w14:schemeClr w14:val="tx1"/>
                  </w14:solidFill>
                </w14:textFill>
              </w:rPr>
              <w:t>。</w:t>
            </w:r>
          </w:p>
          <w:bookmarkEnd w:id="9"/>
          <w:p w14:paraId="19F41FFF">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56BEB915">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52774DC3">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50CFA717">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164D5A79">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233C9A74">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5964D1AC">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3E95AF9A">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6AB395DB">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576F4272">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1B788583">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5F1645FB">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5BACCABA">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015066B3">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61510DA7">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337CD15E">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0C5AA32E">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22A71352">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1983E8CE">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2C7175A8">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7D3D6A59">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6BAC1343">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01D08C2B">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0C2C3E20">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001CEFC4">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2A669F7E">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4BA39E01">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33DF00F1">
            <w:pPr>
              <w:spacing w:line="360" w:lineRule="auto"/>
              <w:ind w:firstLine="480" w:firstLineChars="200"/>
              <w:rPr>
                <w:rFonts w:hint="eastAsia"/>
                <w:bCs/>
                <w:color w:val="000000" w:themeColor="text1"/>
                <w:sz w:val="24"/>
                <w:szCs w:val="24"/>
                <w:highlight w:val="none"/>
                <w14:textFill>
                  <w14:solidFill>
                    <w14:schemeClr w14:val="tx1"/>
                  </w14:solidFill>
                </w14:textFill>
              </w:rPr>
            </w:pPr>
          </w:p>
          <w:p w14:paraId="418F6C4B">
            <w:pPr>
              <w:spacing w:line="360" w:lineRule="auto"/>
              <w:ind w:firstLine="480" w:firstLineChars="200"/>
              <w:rPr>
                <w:rFonts w:hint="eastAsia"/>
                <w:bCs/>
                <w:color w:val="000000" w:themeColor="text1"/>
                <w:sz w:val="24"/>
                <w:szCs w:val="24"/>
                <w:highlight w:val="none"/>
                <w14:textFill>
                  <w14:solidFill>
                    <w14:schemeClr w14:val="tx1"/>
                  </w14:solidFill>
                </w14:textFill>
              </w:rPr>
            </w:pPr>
          </w:p>
        </w:tc>
      </w:tr>
    </w:tbl>
    <w:p w14:paraId="656BE786">
      <w:pPr>
        <w:pStyle w:val="26"/>
        <w:jc w:val="center"/>
        <w:rPr>
          <w:rFonts w:ascii="黑体" w:hAnsi="黑体" w:eastAsia="黑体"/>
          <w:snapToGrid w:val="0"/>
          <w:color w:val="000000" w:themeColor="text1"/>
          <w:sz w:val="36"/>
          <w:szCs w:val="36"/>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5E895F4">
      <w:pPr>
        <w:pStyle w:val="26"/>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10" w:name="_Toc12764"/>
      <w:r>
        <w:rPr>
          <w:rFonts w:hint="eastAsia" w:ascii="黑体" w:hAnsi="黑体" w:eastAsia="黑体"/>
          <w:snapToGrid w:val="0"/>
          <w:color w:val="000000" w:themeColor="text1"/>
          <w:sz w:val="30"/>
          <w:szCs w:val="30"/>
          <w:highlight w:val="none"/>
          <w14:textFill>
            <w14:solidFill>
              <w14:schemeClr w14:val="tx1"/>
            </w14:solidFill>
          </w14:textFill>
        </w:rPr>
        <w:t>三、区域环境质量现状、环境保护目标及评价标准</w:t>
      </w:r>
      <w:bookmarkEnd w:id="10"/>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3"/>
        <w:gridCol w:w="8606"/>
        <w:gridCol w:w="32"/>
      </w:tblGrid>
      <w:tr w14:paraId="15246C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423" w:type="dxa"/>
            <w:vAlign w:val="center"/>
          </w:tcPr>
          <w:p w14:paraId="46CD64D1">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区域</w:t>
            </w:r>
          </w:p>
          <w:p w14:paraId="50A18216">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环境</w:t>
            </w:r>
          </w:p>
          <w:p w14:paraId="5F086FDD">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质量</w:t>
            </w:r>
          </w:p>
          <w:p w14:paraId="61B86460">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现状</w:t>
            </w:r>
          </w:p>
        </w:tc>
        <w:tc>
          <w:tcPr>
            <w:tcW w:w="8638" w:type="dxa"/>
            <w:gridSpan w:val="2"/>
            <w:vAlign w:val="center"/>
          </w:tcPr>
          <w:p w14:paraId="768F8E26">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3.1</w:t>
            </w:r>
            <w:r>
              <w:rPr>
                <w:rFonts w:hint="eastAsia"/>
                <w:color w:val="000000" w:themeColor="text1"/>
                <w:sz w:val="24"/>
                <w:szCs w:val="21"/>
                <w:highlight w:val="none"/>
                <w14:textFill>
                  <w14:solidFill>
                    <w14:schemeClr w14:val="tx1"/>
                  </w14:solidFill>
                </w14:textFill>
              </w:rPr>
              <w:t>大气环境质量现状</w:t>
            </w:r>
          </w:p>
          <w:p w14:paraId="7C4D47B4">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lang w:val="en-US" w:eastAsia="zh-CN"/>
                <w14:textFill>
                  <w14:solidFill>
                    <w14:schemeClr w14:val="tx1"/>
                  </w14:solidFill>
                </w14:textFill>
              </w:rPr>
              <w:t>1</w:t>
            </w: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14:textFill>
                  <w14:solidFill>
                    <w14:schemeClr w14:val="tx1"/>
                  </w14:solidFill>
                </w14:textFill>
              </w:rPr>
              <w:t>区域环境质量达标分析</w:t>
            </w:r>
          </w:p>
          <w:p w14:paraId="667362AA">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项目位于</w:t>
            </w:r>
            <w:r>
              <w:rPr>
                <w:rFonts w:hint="eastAsia" w:cs="宋体"/>
                <w:color w:val="000000" w:themeColor="text1"/>
                <w:sz w:val="24"/>
                <w:szCs w:val="32"/>
                <w:highlight w:val="none"/>
                <w:lang w:val="en-US" w:eastAsia="zh-CN"/>
                <w14:textFill>
                  <w14:solidFill>
                    <w14:schemeClr w14:val="tx1"/>
                  </w14:solidFill>
                </w14:textFill>
              </w:rPr>
              <w:t>福州市</w:t>
            </w:r>
            <w:r>
              <w:rPr>
                <w:rFonts w:hint="eastAsia" w:cs="宋体"/>
                <w:color w:val="000000" w:themeColor="text1"/>
                <w:sz w:val="24"/>
                <w:szCs w:val="32"/>
                <w:highlight w:val="none"/>
                <w:lang w:eastAsia="zh-CN"/>
                <w14:textFill>
                  <w14:solidFill>
                    <w14:schemeClr w14:val="tx1"/>
                  </w14:solidFill>
                </w14:textFill>
              </w:rPr>
              <w:t>闽侯县</w:t>
            </w:r>
            <w:r>
              <w:rPr>
                <w:rFonts w:hint="eastAsia" w:cs="宋体"/>
                <w:color w:val="000000" w:themeColor="text1"/>
                <w:sz w:val="24"/>
                <w:szCs w:val="32"/>
                <w:highlight w:val="none"/>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位于环境空气二类区。</w:t>
            </w:r>
            <w:r>
              <w:rPr>
                <w:rFonts w:hint="eastAsia" w:cs="宋体"/>
                <w:color w:val="000000" w:themeColor="text1"/>
                <w:sz w:val="24"/>
                <w:szCs w:val="32"/>
                <w:highlight w:val="none"/>
                <w14:textFill>
                  <w14:solidFill>
                    <w14:schemeClr w14:val="tx1"/>
                  </w14:solidFill>
                </w14:textFill>
              </w:rPr>
              <w:t>为了解项目所在区域大气环境质量现状</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本次评价收集福州市闽侯县人民政府发布的202</w:t>
            </w:r>
            <w:r>
              <w:rPr>
                <w:rFonts w:hint="eastAsia" w:cs="宋体"/>
                <w:color w:val="000000" w:themeColor="text1"/>
                <w:sz w:val="24"/>
                <w:szCs w:val="32"/>
                <w:highlight w:val="none"/>
                <w:lang w:val="en-US" w:eastAsia="zh-CN"/>
                <w14:textFill>
                  <w14:solidFill>
                    <w14:schemeClr w14:val="tx1"/>
                  </w14:solidFill>
                </w14:textFill>
              </w:rPr>
              <w:t>4</w:t>
            </w:r>
            <w:r>
              <w:rPr>
                <w:rFonts w:hint="eastAsia" w:cs="宋体"/>
                <w:color w:val="000000" w:themeColor="text1"/>
                <w:sz w:val="24"/>
                <w:szCs w:val="32"/>
                <w:highlight w:val="none"/>
                <w14:textFill>
                  <w14:solidFill>
                    <w14:schemeClr w14:val="tx1"/>
                  </w14:solidFill>
                </w14:textFill>
              </w:rPr>
              <w:t>年</w:t>
            </w:r>
            <w:r>
              <w:rPr>
                <w:rFonts w:hint="eastAsia" w:cs="宋体"/>
                <w:color w:val="000000" w:themeColor="text1"/>
                <w:sz w:val="24"/>
                <w:szCs w:val="32"/>
                <w:highlight w:val="none"/>
                <w:lang w:val="en-US" w:eastAsia="zh-CN"/>
                <w14:textFill>
                  <w14:solidFill>
                    <w14:schemeClr w14:val="tx1"/>
                  </w14:solidFill>
                </w14:textFill>
              </w:rPr>
              <w:t>1-</w:t>
            </w:r>
            <w:r>
              <w:rPr>
                <w:rFonts w:hint="eastAsia" w:cs="宋体"/>
                <w:color w:val="000000" w:themeColor="text1"/>
                <w:sz w:val="24"/>
                <w:szCs w:val="32"/>
                <w:highlight w:val="none"/>
                <w14:textFill>
                  <w14:solidFill>
                    <w14:schemeClr w14:val="tx1"/>
                  </w14:solidFill>
                </w14:textFill>
              </w:rPr>
              <w:t>12月空气质量月报</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发布网址</w:t>
            </w:r>
            <w:r>
              <w:rPr>
                <w:rFonts w:hint="eastAsia" w:cs="宋体"/>
                <w:color w:val="000000" w:themeColor="text1"/>
                <w:sz w:val="24"/>
                <w:szCs w:val="32"/>
                <w:highlight w:val="none"/>
                <w:lang w:eastAsia="zh-CN"/>
                <w14:textFill>
                  <w14:solidFill>
                    <w14:schemeClr w14:val="tx1"/>
                  </w14:solidFill>
                </w14:textFill>
              </w:rPr>
              <w:t>：http://www.minhou.gov.cn/xjwz/zwgk/zdlyxxgk/hjxx/kqzlzsaqi/）</w:t>
            </w:r>
            <w:r>
              <w:rPr>
                <w:rFonts w:hint="eastAsia" w:cs="宋体"/>
                <w:color w:val="000000" w:themeColor="text1"/>
                <w:sz w:val="24"/>
                <w:szCs w:val="32"/>
                <w:highlight w:val="none"/>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根据</w:t>
            </w:r>
            <w:r>
              <w:rPr>
                <w:rFonts w:hint="eastAsia" w:cs="宋体"/>
                <w:color w:val="000000" w:themeColor="text1"/>
                <w:sz w:val="24"/>
                <w:szCs w:val="32"/>
                <w:highlight w:val="none"/>
                <w14:textFill>
                  <w14:solidFill>
                    <w14:schemeClr w14:val="tx1"/>
                  </w14:solidFill>
                </w14:textFill>
              </w:rPr>
              <w:t>20</w:t>
            </w:r>
            <w:r>
              <w:rPr>
                <w:rFonts w:hint="eastAsia" w:cs="宋体"/>
                <w:color w:val="000000" w:themeColor="text1"/>
                <w:sz w:val="24"/>
                <w:szCs w:val="32"/>
                <w:highlight w:val="none"/>
                <w:lang w:val="en-US" w:eastAsia="zh-CN"/>
                <w14:textFill>
                  <w14:solidFill>
                    <w14:schemeClr w14:val="tx1"/>
                  </w14:solidFill>
                </w14:textFill>
              </w:rPr>
              <w:t>24</w:t>
            </w:r>
            <w:r>
              <w:rPr>
                <w:rFonts w:hint="eastAsia" w:cs="宋体"/>
                <w:color w:val="000000" w:themeColor="text1"/>
                <w:sz w:val="24"/>
                <w:szCs w:val="32"/>
                <w:highlight w:val="none"/>
                <w14:textFill>
                  <w14:solidFill>
                    <w14:schemeClr w14:val="tx1"/>
                  </w14:solidFill>
                </w14:textFill>
              </w:rPr>
              <w:t>年</w:t>
            </w:r>
            <w:r>
              <w:rPr>
                <w:rFonts w:hint="eastAsia" w:cs="宋体"/>
                <w:color w:val="000000" w:themeColor="text1"/>
                <w:sz w:val="24"/>
                <w:szCs w:val="32"/>
                <w:highlight w:val="none"/>
                <w:lang w:val="en-US" w:eastAsia="zh-CN"/>
                <w14:textFill>
                  <w14:solidFill>
                    <w14:schemeClr w14:val="tx1"/>
                  </w14:solidFill>
                </w14:textFill>
              </w:rPr>
              <w:t>1-</w:t>
            </w:r>
            <w:r>
              <w:rPr>
                <w:rFonts w:hint="eastAsia" w:cs="宋体"/>
                <w:color w:val="000000" w:themeColor="text1"/>
                <w:sz w:val="24"/>
                <w:szCs w:val="32"/>
                <w:highlight w:val="none"/>
                <w14:textFill>
                  <w14:solidFill>
                    <w14:schemeClr w14:val="tx1"/>
                  </w14:solidFill>
                </w14:textFill>
              </w:rPr>
              <w:t>12月县环境监测站公益性常规监测数据统计</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闽侯县县城环境空气质量优</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达到规定的相应功能区标准。县城空气质量SO</w:t>
            </w:r>
            <w:r>
              <w:rPr>
                <w:rFonts w:hint="eastAsia" w:cs="宋体"/>
                <w:color w:val="000000" w:themeColor="text1"/>
                <w:sz w:val="24"/>
                <w:szCs w:val="32"/>
                <w:highlight w:val="none"/>
                <w:vertAlign w:val="subscript"/>
                <w14:textFill>
                  <w14:solidFill>
                    <w14:schemeClr w14:val="tx1"/>
                  </w14:solidFill>
                </w14:textFill>
              </w:rPr>
              <w:t>2</w:t>
            </w:r>
            <w:r>
              <w:rPr>
                <w:rFonts w:hint="eastAsia" w:cs="宋体"/>
                <w:color w:val="000000" w:themeColor="text1"/>
                <w:sz w:val="24"/>
                <w:szCs w:val="32"/>
                <w:highlight w:val="none"/>
                <w14:textFill>
                  <w14:solidFill>
                    <w14:schemeClr w14:val="tx1"/>
                  </w14:solidFill>
                </w14:textFill>
              </w:rPr>
              <w:t>、NO</w:t>
            </w:r>
            <w:r>
              <w:rPr>
                <w:rFonts w:hint="eastAsia" w:cs="宋体"/>
                <w:color w:val="000000" w:themeColor="text1"/>
                <w:sz w:val="24"/>
                <w:szCs w:val="32"/>
                <w:highlight w:val="none"/>
                <w:vertAlign w:val="subscript"/>
                <w14:textFill>
                  <w14:solidFill>
                    <w14:schemeClr w14:val="tx1"/>
                  </w14:solidFill>
                </w14:textFill>
              </w:rPr>
              <w:t>2</w:t>
            </w:r>
            <w:r>
              <w:rPr>
                <w:rFonts w:hint="eastAsia" w:cs="宋体"/>
                <w:color w:val="000000" w:themeColor="text1"/>
                <w:sz w:val="24"/>
                <w:szCs w:val="32"/>
                <w:highlight w:val="none"/>
                <w14:textFill>
                  <w14:solidFill>
                    <w14:schemeClr w14:val="tx1"/>
                  </w14:solidFill>
                </w14:textFill>
              </w:rPr>
              <w:t>、PM</w:t>
            </w:r>
            <w:r>
              <w:rPr>
                <w:rFonts w:hint="eastAsia" w:cs="宋体"/>
                <w:color w:val="000000" w:themeColor="text1"/>
                <w:sz w:val="24"/>
                <w:szCs w:val="32"/>
                <w:highlight w:val="none"/>
                <w:vertAlign w:val="subscript"/>
                <w:lang w:val="en-US" w:eastAsia="zh-CN"/>
                <w14:textFill>
                  <w14:solidFill>
                    <w14:schemeClr w14:val="tx1"/>
                  </w14:solidFill>
                </w14:textFill>
              </w:rPr>
              <w:t>10</w:t>
            </w:r>
            <w:r>
              <w:rPr>
                <w:rFonts w:hint="eastAsia" w:cs="宋体"/>
                <w:color w:val="000000" w:themeColor="text1"/>
                <w:sz w:val="24"/>
                <w:szCs w:val="32"/>
                <w:highlight w:val="none"/>
                <w14:textFill>
                  <w14:solidFill>
                    <w14:schemeClr w14:val="tx1"/>
                  </w14:solidFill>
                </w14:textFill>
              </w:rPr>
              <w:t>、PM</w:t>
            </w:r>
            <w:r>
              <w:rPr>
                <w:rFonts w:hint="eastAsia" w:cs="宋体"/>
                <w:color w:val="000000" w:themeColor="text1"/>
                <w:sz w:val="24"/>
                <w:szCs w:val="32"/>
                <w:highlight w:val="none"/>
                <w:vertAlign w:val="subscript"/>
                <w:lang w:val="en-US" w:eastAsia="zh-CN"/>
                <w14:textFill>
                  <w14:solidFill>
                    <w14:schemeClr w14:val="tx1"/>
                  </w14:solidFill>
                </w14:textFill>
              </w:rPr>
              <w:t>2.5</w:t>
            </w:r>
            <w:r>
              <w:rPr>
                <w:rFonts w:hint="eastAsia" w:cs="宋体"/>
                <w:color w:val="000000" w:themeColor="text1"/>
                <w:sz w:val="24"/>
                <w:szCs w:val="32"/>
                <w:highlight w:val="none"/>
                <w14:textFill>
                  <w14:solidFill>
                    <w14:schemeClr w14:val="tx1"/>
                  </w14:solidFill>
                </w14:textFill>
              </w:rPr>
              <w:t>、CO、</w:t>
            </w:r>
            <w:r>
              <w:rPr>
                <w:rFonts w:hint="eastAsia" w:cs="宋体"/>
                <w:color w:val="000000" w:themeColor="text1"/>
                <w:sz w:val="24"/>
                <w:szCs w:val="32"/>
                <w:highlight w:val="none"/>
                <w:lang w:val="en-US" w:eastAsia="zh-CN"/>
                <w14:textFill>
                  <w14:solidFill>
                    <w14:schemeClr w14:val="tx1"/>
                  </w14:solidFill>
                </w14:textFill>
              </w:rPr>
              <w:t>O</w:t>
            </w:r>
            <w:r>
              <w:rPr>
                <w:rFonts w:hint="eastAsia" w:cs="宋体"/>
                <w:color w:val="000000" w:themeColor="text1"/>
                <w:sz w:val="24"/>
                <w:szCs w:val="32"/>
                <w:highlight w:val="none"/>
                <w:vertAlign w:val="subscript"/>
                <w14:textFill>
                  <w14:solidFill>
                    <w14:schemeClr w14:val="tx1"/>
                  </w14:solidFill>
                </w14:textFill>
              </w:rPr>
              <w:t>3</w:t>
            </w:r>
            <w:r>
              <w:rPr>
                <w:rFonts w:hint="eastAsia" w:cs="宋体"/>
                <w:color w:val="000000" w:themeColor="text1"/>
                <w:sz w:val="24"/>
                <w:szCs w:val="32"/>
                <w:highlight w:val="none"/>
                <w14:textFill>
                  <w14:solidFill>
                    <w14:schemeClr w14:val="tx1"/>
                  </w14:solidFill>
                </w14:textFill>
              </w:rPr>
              <w:t xml:space="preserve">等6项污染物浓度指标的24小时均值(其中 </w:t>
            </w:r>
            <w:r>
              <w:rPr>
                <w:rFonts w:hint="eastAsia" w:cs="宋体"/>
                <w:color w:val="000000" w:themeColor="text1"/>
                <w:sz w:val="24"/>
                <w:szCs w:val="32"/>
                <w:highlight w:val="none"/>
                <w:lang w:val="en-US" w:eastAsia="zh-CN"/>
                <w14:textFill>
                  <w14:solidFill>
                    <w14:schemeClr w14:val="tx1"/>
                  </w14:solidFill>
                </w14:textFill>
              </w:rPr>
              <w:t>O</w:t>
            </w:r>
            <w:r>
              <w:rPr>
                <w:rFonts w:hint="eastAsia" w:cs="宋体"/>
                <w:color w:val="000000" w:themeColor="text1"/>
                <w:sz w:val="24"/>
                <w:szCs w:val="32"/>
                <w:highlight w:val="none"/>
                <w:vertAlign w:val="subscript"/>
                <w14:textFill>
                  <w14:solidFill>
                    <w14:schemeClr w14:val="tx1"/>
                  </w14:solidFill>
                </w14:textFill>
              </w:rPr>
              <w:t>3</w:t>
            </w:r>
            <w:r>
              <w:rPr>
                <w:rFonts w:hint="eastAsia" w:cs="宋体"/>
                <w:color w:val="000000" w:themeColor="text1"/>
                <w:sz w:val="24"/>
                <w:szCs w:val="32"/>
                <w:highlight w:val="none"/>
                <w14:textFill>
                  <w14:solidFill>
                    <w14:schemeClr w14:val="tx1"/>
                  </w14:solidFill>
                </w14:textFill>
              </w:rPr>
              <w:t>为日最大8小时平均)达到国家环境空气质量标准(GB3095-2012)一级水平。因此，项目所在区域空气质量状况优，属于达标区。</w:t>
            </w:r>
          </w:p>
          <w:p w14:paraId="35FFC9A6">
            <w:pPr>
              <w:spacing w:line="360" w:lineRule="auto"/>
              <w:rPr>
                <w:color w:val="000000" w:themeColor="text1"/>
                <w:sz w:val="24"/>
                <w:szCs w:val="32"/>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344795" cy="3714115"/>
                  <wp:effectExtent l="9525" t="9525" r="17780" b="1016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20"/>
                          <a:stretch>
                            <a:fillRect/>
                          </a:stretch>
                        </pic:blipFill>
                        <pic:spPr>
                          <a:xfrm>
                            <a:off x="0" y="0"/>
                            <a:ext cx="5344795" cy="3714115"/>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40350" cy="3685540"/>
                  <wp:effectExtent l="9525" t="9525" r="22225" b="19685"/>
                  <wp:docPr id="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
                          <pic:cNvPicPr>
                            <a:picLocks noChangeAspect="1"/>
                          </pic:cNvPicPr>
                        </pic:nvPicPr>
                        <pic:blipFill>
                          <a:blip r:embed="rId21"/>
                          <a:stretch>
                            <a:fillRect/>
                          </a:stretch>
                        </pic:blipFill>
                        <pic:spPr>
                          <a:xfrm>
                            <a:off x="0" y="0"/>
                            <a:ext cx="5340350" cy="3685540"/>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44795" cy="3698240"/>
                  <wp:effectExtent l="9525" t="9525" r="17780" b="26035"/>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22"/>
                          <a:stretch>
                            <a:fillRect/>
                          </a:stretch>
                        </pic:blipFill>
                        <pic:spPr>
                          <a:xfrm>
                            <a:off x="0" y="0"/>
                            <a:ext cx="5344795" cy="3698240"/>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36540" cy="3726180"/>
                  <wp:effectExtent l="9525" t="9525" r="26035" b="1714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23"/>
                          <a:stretch>
                            <a:fillRect/>
                          </a:stretch>
                        </pic:blipFill>
                        <pic:spPr>
                          <a:xfrm>
                            <a:off x="0" y="0"/>
                            <a:ext cx="5336540" cy="3726180"/>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35905" cy="3696970"/>
                  <wp:effectExtent l="9525" t="9525" r="26670" b="27305"/>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24"/>
                          <a:stretch>
                            <a:fillRect/>
                          </a:stretch>
                        </pic:blipFill>
                        <pic:spPr>
                          <a:xfrm>
                            <a:off x="0" y="0"/>
                            <a:ext cx="5335905" cy="3696970"/>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44795" cy="3693795"/>
                  <wp:effectExtent l="9525" t="9525" r="17780" b="1143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25"/>
                          <a:stretch>
                            <a:fillRect/>
                          </a:stretch>
                        </pic:blipFill>
                        <pic:spPr>
                          <a:xfrm>
                            <a:off x="0" y="0"/>
                            <a:ext cx="5344795" cy="3693795"/>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44795" cy="3673475"/>
                  <wp:effectExtent l="9525" t="9525" r="17780" b="1270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26"/>
                          <a:stretch>
                            <a:fillRect/>
                          </a:stretch>
                        </pic:blipFill>
                        <pic:spPr>
                          <a:xfrm>
                            <a:off x="0" y="0"/>
                            <a:ext cx="5344795" cy="3673475"/>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36540" cy="3669030"/>
                  <wp:effectExtent l="9525" t="9525" r="26035" b="17145"/>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27"/>
                          <a:stretch>
                            <a:fillRect/>
                          </a:stretch>
                        </pic:blipFill>
                        <pic:spPr>
                          <a:xfrm>
                            <a:off x="0" y="0"/>
                            <a:ext cx="5336540" cy="3669030"/>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44795" cy="3665220"/>
                  <wp:effectExtent l="9525" t="9525" r="17780" b="20955"/>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28"/>
                          <a:stretch>
                            <a:fillRect/>
                          </a:stretch>
                        </pic:blipFill>
                        <pic:spPr>
                          <a:xfrm>
                            <a:off x="0" y="0"/>
                            <a:ext cx="5344795" cy="3665220"/>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44795" cy="3689350"/>
                  <wp:effectExtent l="9525" t="9525" r="17780" b="15875"/>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29"/>
                          <a:stretch>
                            <a:fillRect/>
                          </a:stretch>
                        </pic:blipFill>
                        <pic:spPr>
                          <a:xfrm>
                            <a:off x="0" y="0"/>
                            <a:ext cx="5344795" cy="3689350"/>
                          </a:xfrm>
                          <a:prstGeom prst="rect">
                            <a:avLst/>
                          </a:prstGeom>
                          <a:noFill/>
                          <a:ln>
                            <a:solidFill>
                              <a:schemeClr val="tx1"/>
                            </a:solidFill>
                          </a:ln>
                        </pic:spPr>
                      </pic:pic>
                    </a:graphicData>
                  </a:graphic>
                </wp:inline>
              </w:drawing>
            </w:r>
            <w:r>
              <w:rPr>
                <w:color w:val="000000" w:themeColor="text1"/>
                <w:highlight w:val="none"/>
                <w14:textFill>
                  <w14:solidFill>
                    <w14:schemeClr w14:val="tx1"/>
                  </w14:solidFill>
                </w14:textFill>
              </w:rPr>
              <w:drawing>
                <wp:inline distT="0" distB="0" distL="114300" distR="114300">
                  <wp:extent cx="5340985" cy="3689985"/>
                  <wp:effectExtent l="9525" t="9525" r="21590" b="1524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30"/>
                          <a:stretch>
                            <a:fillRect/>
                          </a:stretch>
                        </pic:blipFill>
                        <pic:spPr>
                          <a:xfrm>
                            <a:off x="0" y="0"/>
                            <a:ext cx="5340985" cy="3689985"/>
                          </a:xfrm>
                          <a:prstGeom prst="rect">
                            <a:avLst/>
                          </a:prstGeom>
                          <a:noFill/>
                          <a:ln>
                            <a:solidFill>
                              <a:schemeClr val="tx1"/>
                            </a:solidFill>
                          </a:ln>
                        </pic:spPr>
                      </pic:pic>
                    </a:graphicData>
                  </a:graphic>
                </wp:inline>
              </w:drawing>
            </w:r>
            <w:r>
              <w:rPr>
                <w:color w:val="000000" w:themeColor="text1"/>
                <w:sz w:val="24"/>
                <w:szCs w:val="32"/>
                <w:highlight w:val="none"/>
                <w14:textFill>
                  <w14:solidFill>
                    <w14:schemeClr w14:val="tx1"/>
                  </w14:solidFill>
                </w14:textFill>
              </w:rPr>
              <w:drawing>
                <wp:inline distT="0" distB="0" distL="114300" distR="114300">
                  <wp:extent cx="5374005" cy="3749040"/>
                  <wp:effectExtent l="9525" t="9525" r="26670" b="1333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31"/>
                          <a:stretch>
                            <a:fillRect/>
                          </a:stretch>
                        </pic:blipFill>
                        <pic:spPr>
                          <a:xfrm>
                            <a:off x="0" y="0"/>
                            <a:ext cx="5374005" cy="3749040"/>
                          </a:xfrm>
                          <a:prstGeom prst="rect">
                            <a:avLst/>
                          </a:prstGeom>
                          <a:noFill/>
                          <a:ln>
                            <a:solidFill>
                              <a:schemeClr val="tx1"/>
                            </a:solidFill>
                          </a:ln>
                        </pic:spPr>
                      </pic:pic>
                    </a:graphicData>
                  </a:graphic>
                </wp:inline>
              </w:drawing>
            </w:r>
          </w:p>
          <w:p w14:paraId="13988F1F">
            <w:pPr>
              <w:spacing w:line="360" w:lineRule="auto"/>
              <w:jc w:val="center"/>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w:t>
            </w:r>
            <w:r>
              <w:rPr>
                <w:rFonts w:hint="eastAsia"/>
                <w:b/>
                <w:bCs/>
                <w:color w:val="000000" w:themeColor="text1"/>
                <w:sz w:val="24"/>
                <w:szCs w:val="24"/>
                <w:highlight w:val="none"/>
                <w:lang w:val="en-US" w:eastAsia="zh-CN"/>
                <w14:textFill>
                  <w14:solidFill>
                    <w14:schemeClr w14:val="tx1"/>
                  </w14:solidFill>
                </w14:textFill>
              </w:rPr>
              <w:t xml:space="preserve">3-1 </w:t>
            </w:r>
            <w:r>
              <w:rPr>
                <w:rFonts w:hint="eastAsia"/>
                <w:b/>
                <w:bCs/>
                <w:color w:val="000000" w:themeColor="text1"/>
                <w:sz w:val="24"/>
                <w:szCs w:val="24"/>
                <w:highlight w:val="none"/>
                <w14:textFill>
                  <w14:solidFill>
                    <w14:schemeClr w14:val="tx1"/>
                  </w14:solidFill>
                </w14:textFill>
              </w:rPr>
              <w:t>闽侯县202</w:t>
            </w:r>
            <w:r>
              <w:rPr>
                <w:rFonts w:hint="eastAsia"/>
                <w:b/>
                <w:bCs/>
                <w:color w:val="000000" w:themeColor="text1"/>
                <w:sz w:val="24"/>
                <w:szCs w:val="24"/>
                <w:highlight w:val="none"/>
                <w:lang w:val="en-US" w:eastAsia="zh-CN"/>
                <w14:textFill>
                  <w14:solidFill>
                    <w14:schemeClr w14:val="tx1"/>
                  </w14:solidFill>
                </w14:textFill>
              </w:rPr>
              <w:t>4</w:t>
            </w:r>
            <w:r>
              <w:rPr>
                <w:rFonts w:hint="eastAsia"/>
                <w:b/>
                <w:bCs/>
                <w:color w:val="000000" w:themeColor="text1"/>
                <w:sz w:val="24"/>
                <w:szCs w:val="24"/>
                <w:highlight w:val="none"/>
                <w14:textFill>
                  <w14:solidFill>
                    <w14:schemeClr w14:val="tx1"/>
                  </w14:solidFill>
                </w14:textFill>
              </w:rPr>
              <w:t>年</w:t>
            </w:r>
            <w:r>
              <w:rPr>
                <w:rFonts w:hint="eastAsia"/>
                <w:b/>
                <w:bCs/>
                <w:color w:val="000000" w:themeColor="text1"/>
                <w:sz w:val="24"/>
                <w:szCs w:val="24"/>
                <w:highlight w:val="none"/>
                <w:lang w:val="en-US" w:eastAsia="zh-CN"/>
                <w14:textFill>
                  <w14:solidFill>
                    <w14:schemeClr w14:val="tx1"/>
                  </w14:solidFill>
                </w14:textFill>
              </w:rPr>
              <w:t>1-</w:t>
            </w:r>
            <w:r>
              <w:rPr>
                <w:rFonts w:hint="eastAsia"/>
                <w:b/>
                <w:bCs/>
                <w:color w:val="000000" w:themeColor="text1"/>
                <w:sz w:val="24"/>
                <w:szCs w:val="24"/>
                <w:highlight w:val="none"/>
                <w14:textFill>
                  <w14:solidFill>
                    <w14:schemeClr w14:val="tx1"/>
                  </w14:solidFill>
                </w14:textFill>
              </w:rPr>
              <w:t>12月空气质量月报截图</w:t>
            </w:r>
          </w:p>
          <w:p w14:paraId="30AEE864">
            <w:pPr>
              <w:spacing w:before="120" w:beforeLines="50"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lang w:val="en-US" w:eastAsia="zh-CN"/>
                <w14:textFill>
                  <w14:solidFill>
                    <w14:schemeClr w14:val="tx1"/>
                  </w14:solidFill>
                </w14:textFill>
              </w:rPr>
              <w:t>2</w:t>
            </w: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lang w:val="en-US" w:eastAsia="zh-CN"/>
                <w14:textFill>
                  <w14:solidFill>
                    <w14:schemeClr w14:val="tx1"/>
                  </w14:solidFill>
                </w14:textFill>
              </w:rPr>
              <w:t>其他污染物</w:t>
            </w:r>
          </w:p>
          <w:p w14:paraId="72F8C75B">
            <w:pPr>
              <w:spacing w:line="360" w:lineRule="auto"/>
              <w:ind w:firstLine="480" w:firstLineChars="200"/>
              <w:rPr>
                <w:rFonts w:hint="eastAsia" w:eastAsia="宋体" w:cs="宋体"/>
                <w:color w:val="000000" w:themeColor="text1"/>
                <w:sz w:val="24"/>
                <w:szCs w:val="24"/>
                <w:highlight w:val="none"/>
                <w:lang w:val="en-US" w:eastAsia="zh-CN"/>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根据环境影响评价网(生态环境部环境工程评估中心)关于《建设项目环境影响报告表》内容、格式及编制技术指南常见问题解答</w:t>
            </w: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14:textFill>
                  <w14:solidFill>
                    <w14:schemeClr w14:val="tx1"/>
                  </w14:solidFill>
                </w14:textFill>
              </w:rPr>
              <w:t>技术指南中提到“排放国家、地方环境空气质量标准中有标准限值要求的特征污染物”，其中环境空气质量标准指《环境空气质量标准》(GB3095)和地方的环境空气质量标准，不包括《环境影响评价技术导则 大气环境》(</w:t>
            </w:r>
            <w:r>
              <w:rPr>
                <w:rFonts w:hint="eastAsia" w:cs="宋体"/>
                <w:color w:val="000000" w:themeColor="text1"/>
                <w:sz w:val="24"/>
                <w:szCs w:val="24"/>
                <w:highlight w:val="none"/>
                <w:lang w:val="en-US" w:eastAsia="zh-CN"/>
                <w14:textFill>
                  <w14:solidFill>
                    <w14:schemeClr w14:val="tx1"/>
                  </w14:solidFill>
                </w14:textFill>
              </w:rPr>
              <w:t>HJ</w:t>
            </w:r>
            <w:r>
              <w:rPr>
                <w:rFonts w:hint="eastAsia" w:cs="宋体"/>
                <w:color w:val="000000" w:themeColor="text1"/>
                <w:sz w:val="24"/>
                <w:szCs w:val="24"/>
                <w:highlight w:val="none"/>
                <w14:textFill>
                  <w14:solidFill>
                    <w14:schemeClr w14:val="tx1"/>
                  </w14:solidFill>
                </w14:textFill>
              </w:rPr>
              <w:t>2.2-2018)附录 D、《工业企业设计卫生标准》(TJ36-97)、《前苏联居住区标准》(CH245-71)、《环境影响评价技术导则 制药建设项目》</w:t>
            </w:r>
            <w:r>
              <w:rPr>
                <w:rFonts w:hint="eastAsia" w:cs="宋体"/>
                <w:color w:val="000000" w:themeColor="text1"/>
                <w:sz w:val="24"/>
                <w:szCs w:val="24"/>
                <w:highlight w:val="none"/>
                <w:lang w:val="en-US" w:eastAsia="zh-CN"/>
                <w14:textFill>
                  <w14:solidFill>
                    <w14:schemeClr w14:val="tx1"/>
                  </w14:solidFill>
                </w14:textFill>
              </w:rPr>
              <w:t>(HJ</w:t>
            </w:r>
            <w:r>
              <w:rPr>
                <w:rFonts w:hint="eastAsia" w:cs="宋体"/>
                <w:color w:val="000000" w:themeColor="text1"/>
                <w:sz w:val="24"/>
                <w:szCs w:val="24"/>
                <w:highlight w:val="none"/>
                <w14:textFill>
                  <w14:solidFill>
                    <w14:schemeClr w14:val="tx1"/>
                  </w14:solidFill>
                </w14:textFill>
              </w:rPr>
              <w:t>611-2011)、《大气污染物综合排放标准详解》等导则或参考资料。排放的特征污染物需要在国家、地方环境空气质量标准中有限值要求才涉及现状监测，且优先引用现有监测数据”</w:t>
            </w:r>
            <w:r>
              <w:rPr>
                <w:rFonts w:hint="eastAsia" w:cs="宋体"/>
                <w:color w:val="000000" w:themeColor="text1"/>
                <w:sz w:val="24"/>
                <w:szCs w:val="24"/>
                <w:highlight w:val="none"/>
                <w:lang w:eastAsia="zh-CN"/>
                <w14:textFill>
                  <w14:solidFill>
                    <w14:schemeClr w14:val="tx1"/>
                  </w14:solidFill>
                </w14:textFill>
              </w:rPr>
              <w:t>。</w:t>
            </w:r>
          </w:p>
          <w:p w14:paraId="57A58813">
            <w:pPr>
              <w:spacing w:line="360" w:lineRule="auto"/>
              <w:ind w:firstLine="480" w:firstLineChars="200"/>
              <w:rPr>
                <w:rFonts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本项目排放的其他</w:t>
            </w:r>
            <w:r>
              <w:rPr>
                <w:rFonts w:hint="eastAsia" w:cs="宋体"/>
                <w:color w:val="000000" w:themeColor="text1"/>
                <w:sz w:val="24"/>
                <w:szCs w:val="24"/>
                <w:highlight w:val="none"/>
                <w:lang w:eastAsia="zh-CN"/>
                <w14:textFill>
                  <w14:solidFill>
                    <w14:schemeClr w14:val="tx1"/>
                  </w14:solidFill>
                </w14:textFill>
              </w:rPr>
              <w:t>污染物</w:t>
            </w:r>
            <w:r>
              <w:rPr>
                <w:rFonts w:hint="eastAsia" w:cs="宋体"/>
                <w:color w:val="000000" w:themeColor="text1"/>
                <w:sz w:val="24"/>
                <w:szCs w:val="24"/>
                <w:highlight w:val="none"/>
                <w14:textFill>
                  <w14:solidFill>
                    <w14:schemeClr w14:val="tx1"/>
                  </w14:solidFill>
                </w14:textFill>
              </w:rPr>
              <w:t>为非甲烷总烃，不属于《环境空气质量标准》(GB3095-2012)和地方的环境空气质量中有标准限值要求的污染物，因此，不进行现状检测评价。</w:t>
            </w:r>
          </w:p>
          <w:p w14:paraId="04623665">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3.2</w:t>
            </w:r>
            <w:r>
              <w:rPr>
                <w:rFonts w:hint="eastAsia"/>
                <w:color w:val="000000" w:themeColor="text1"/>
                <w:sz w:val="24"/>
                <w:szCs w:val="21"/>
                <w:highlight w:val="none"/>
                <w14:textFill>
                  <w14:solidFill>
                    <w14:schemeClr w14:val="tx1"/>
                  </w14:solidFill>
                </w14:textFill>
              </w:rPr>
              <w:t>地表水环境质量现状</w:t>
            </w:r>
          </w:p>
          <w:p w14:paraId="2B4AEFA7">
            <w:pPr>
              <w:spacing w:line="360" w:lineRule="auto"/>
              <w:ind w:firstLine="480" w:firstLineChars="200"/>
              <w:rPr>
                <w:rFonts w:hint="default" w:cs="宋体"/>
                <w:color w:val="000000" w:themeColor="text1"/>
                <w:sz w:val="24"/>
                <w:szCs w:val="24"/>
                <w:highlight w:val="none"/>
                <w:lang w:val="en-US" w:eastAsia="zh-CN"/>
                <w14:textFill>
                  <w14:solidFill>
                    <w14:schemeClr w14:val="tx1"/>
                  </w14:solidFill>
                </w14:textFill>
              </w:rPr>
            </w:pP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lang w:val="en-US" w:eastAsia="zh-CN"/>
                <w14:textFill>
                  <w14:solidFill>
                    <w14:schemeClr w14:val="tx1"/>
                  </w14:solidFill>
                </w14:textFill>
              </w:rPr>
              <w:t>1</w:t>
            </w: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lang w:val="en-US" w:eastAsia="zh-CN"/>
                <w14:textFill>
                  <w14:solidFill>
                    <w14:schemeClr w14:val="tx1"/>
                  </w14:solidFill>
                </w14:textFill>
              </w:rPr>
              <w:t>水环境功能区划</w:t>
            </w:r>
          </w:p>
          <w:p w14:paraId="7FD3634E">
            <w:pPr>
              <w:spacing w:line="360" w:lineRule="auto"/>
              <w:ind w:firstLine="480" w:firstLineChars="200"/>
              <w:rPr>
                <w:rFonts w:hint="eastAsia" w:cs="宋体"/>
                <w:color w:val="000000" w:themeColor="text1"/>
                <w:sz w:val="24"/>
                <w:szCs w:val="24"/>
                <w:highlight w:val="none"/>
                <w:lang w:eastAsia="zh-CN"/>
                <w14:textFill>
                  <w14:solidFill>
                    <w14:schemeClr w14:val="tx1"/>
                  </w14:solidFill>
                </w14:textFill>
              </w:rPr>
            </w:pPr>
            <w:r>
              <w:rPr>
                <w:rFonts w:hint="eastAsia" w:cs="宋体"/>
                <w:color w:val="000000" w:themeColor="text1"/>
                <w:sz w:val="24"/>
                <w:szCs w:val="24"/>
                <w:highlight w:val="none"/>
                <w:lang w:eastAsia="zh-CN"/>
                <w14:textFill>
                  <w14:solidFill>
                    <w14:schemeClr w14:val="tx1"/>
                  </w14:solidFill>
                </w14:textFill>
              </w:rPr>
              <w:t>项目生活污水经处理后通过市政污水管网送往福建青口海峡环保有限公司(青口新区污水处理厂)进行处理，污水厂尾水排入</w:t>
            </w:r>
            <w:r>
              <w:rPr>
                <w:rFonts w:hint="eastAsia" w:cs="宋体"/>
                <w:color w:val="000000" w:themeColor="text1"/>
                <w:sz w:val="24"/>
                <w:szCs w:val="24"/>
                <w:highlight w:val="none"/>
                <w:lang w:val="en-US" w:eastAsia="zh-CN"/>
                <w14:textFill>
                  <w14:solidFill>
                    <w14:schemeClr w14:val="tx1"/>
                  </w14:solidFill>
                </w14:textFill>
              </w:rPr>
              <w:t>三溪河</w:t>
            </w:r>
            <w:r>
              <w:rPr>
                <w:rFonts w:hint="eastAsia" w:cs="宋体"/>
                <w:color w:val="000000" w:themeColor="text1"/>
                <w:sz w:val="24"/>
                <w:szCs w:val="24"/>
                <w:highlight w:val="none"/>
                <w:lang w:eastAsia="zh-CN"/>
                <w14:textFill>
                  <w14:solidFill>
                    <w14:schemeClr w14:val="tx1"/>
                  </w14:solidFill>
                </w14:textFill>
              </w:rPr>
              <w:t>汇入陶江（中房溪）最终汇入闽江。纳污水域为“梅溪桥与中房溪汇合口断面”，根据福州市人民政府榕政综[2019]316号批准《福州市水功能区划》，该断面功能为工业、景观，水质保护目标为</w:t>
            </w:r>
            <w:r>
              <w:rPr>
                <w:rFonts w:hint="eastAsia" w:cs="宋体"/>
                <w:color w:val="000000" w:themeColor="text1"/>
                <w:sz w:val="24"/>
                <w:szCs w:val="24"/>
                <w:highlight w:val="none"/>
                <w:lang w:val="en-US" w:eastAsia="zh-CN"/>
                <w14:textFill>
                  <w14:solidFill>
                    <w14:schemeClr w14:val="tx1"/>
                  </w14:solidFill>
                </w14:textFill>
              </w:rPr>
              <w:t>Ⅲ</w:t>
            </w:r>
            <w:r>
              <w:rPr>
                <w:rFonts w:hint="eastAsia" w:cs="宋体"/>
                <w:color w:val="000000" w:themeColor="text1"/>
                <w:sz w:val="24"/>
                <w:szCs w:val="24"/>
                <w:highlight w:val="none"/>
                <w:lang w:eastAsia="zh-CN"/>
                <w14:textFill>
                  <w14:solidFill>
                    <w14:schemeClr w14:val="tx1"/>
                  </w14:solidFill>
                </w14:textFill>
              </w:rPr>
              <w:t>类，区划主要依据工业、景观用水，水质执行《地表水环境质量标准》(GB3838-2002)中</w:t>
            </w:r>
            <w:r>
              <w:rPr>
                <w:rFonts w:hint="eastAsia" w:cs="宋体"/>
                <w:color w:val="000000" w:themeColor="text1"/>
                <w:sz w:val="24"/>
                <w:szCs w:val="24"/>
                <w:highlight w:val="none"/>
                <w:lang w:val="en-US" w:eastAsia="zh-CN"/>
                <w14:textFill>
                  <w14:solidFill>
                    <w14:schemeClr w14:val="tx1"/>
                  </w14:solidFill>
                </w14:textFill>
              </w:rPr>
              <w:t>Ⅲ</w:t>
            </w:r>
            <w:r>
              <w:rPr>
                <w:rFonts w:hint="eastAsia" w:cs="宋体"/>
                <w:color w:val="000000" w:themeColor="text1"/>
                <w:sz w:val="24"/>
                <w:szCs w:val="24"/>
                <w:highlight w:val="none"/>
                <w:lang w:eastAsia="zh-CN"/>
                <w14:textFill>
                  <w14:solidFill>
                    <w14:schemeClr w14:val="tx1"/>
                  </w14:solidFill>
                </w14:textFill>
              </w:rPr>
              <w:t>类标准。</w:t>
            </w:r>
          </w:p>
          <w:p w14:paraId="51292547">
            <w:pPr>
              <w:spacing w:line="360" w:lineRule="auto"/>
              <w:ind w:firstLine="480" w:firstLineChars="200"/>
              <w:rPr>
                <w:rFonts w:hint="eastAsia" w:eastAsia="宋体" w:cs="宋体"/>
                <w:color w:val="000000" w:themeColor="text1"/>
                <w:sz w:val="24"/>
                <w:szCs w:val="24"/>
                <w:highlight w:val="none"/>
                <w:lang w:eastAsia="zh-CN"/>
                <w14:textFill>
                  <w14:solidFill>
                    <w14:schemeClr w14:val="tx1"/>
                  </w14:solidFill>
                </w14:textFill>
              </w:rPr>
            </w:pP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lang w:val="en-US" w:eastAsia="zh-CN"/>
                <w14:textFill>
                  <w14:solidFill>
                    <w14:schemeClr w14:val="tx1"/>
                  </w14:solidFill>
                </w14:textFill>
              </w:rPr>
              <w:t>2</w:t>
            </w:r>
            <w:r>
              <w:rPr>
                <w:rFonts w:hint="eastAsia" w:cs="宋体"/>
                <w:color w:val="000000" w:themeColor="text1"/>
                <w:sz w:val="24"/>
                <w:szCs w:val="24"/>
                <w:highlight w:val="none"/>
                <w:lang w:eastAsia="zh-CN"/>
                <w14:textFill>
                  <w14:solidFill>
                    <w14:schemeClr w14:val="tx1"/>
                  </w14:solidFill>
                </w14:textFill>
              </w:rPr>
              <w:t>）地表水环境质量现状</w:t>
            </w:r>
          </w:p>
          <w:p w14:paraId="728E32E8">
            <w:pPr>
              <w:spacing w:line="360" w:lineRule="auto"/>
              <w:ind w:firstLine="480" w:firstLineChars="200"/>
              <w:rPr>
                <w:rFonts w:hint="eastAsia" w:eastAsia="宋体" w:cs="宋体"/>
                <w:color w:val="000000" w:themeColor="text1"/>
                <w:sz w:val="24"/>
                <w:szCs w:val="24"/>
                <w:highlight w:val="none"/>
                <w:lang w:eastAsia="zh-CN"/>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为了解项目地表水水质环境质量现状，根据福州市人民政府网站发布的《2024年福州市环境状况公报》</w:t>
            </w: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14:textFill>
                  <w14:solidFill>
                    <w14:schemeClr w14:val="tx1"/>
                  </w14:solidFill>
                </w14:textFill>
              </w:rPr>
              <w:t>2024年，福州市主要流域总体水质为优的水平。主要流域国省控断面和小流域省控断面优良水质比例、集中式饮用水水源地水质达标率保持100%，闽江干流4个国控断面“十四五”以来首次实现优质水比例100%</w:t>
            </w:r>
            <w:r>
              <w:rPr>
                <w:rFonts w:hint="eastAsia" w:cs="宋体"/>
                <w:color w:val="000000" w:themeColor="text1"/>
                <w:sz w:val="24"/>
                <w:szCs w:val="24"/>
                <w:highlight w:val="none"/>
                <w:lang w:eastAsia="zh-CN"/>
                <w14:textFill>
                  <w14:solidFill>
                    <w14:schemeClr w14:val="tx1"/>
                  </w14:solidFill>
                </w14:textFill>
              </w:rPr>
              <w:t>。</w:t>
            </w:r>
          </w:p>
          <w:p w14:paraId="0D1AD6A3">
            <w:pPr>
              <w:spacing w:line="360" w:lineRule="auto"/>
              <w:ind w:firstLine="480" w:firstLineChars="200"/>
              <w:rPr>
                <w:rFonts w:hint="eastAsia" w:cs="宋体"/>
                <w:color w:val="000000" w:themeColor="text1"/>
                <w:sz w:val="24"/>
                <w:szCs w:val="24"/>
                <w:highlight w:val="none"/>
                <w:lang w:eastAsia="zh-CN"/>
                <w14:textFill>
                  <w14:solidFill>
                    <w14:schemeClr w14:val="tx1"/>
                  </w14:solidFill>
                </w14:textFill>
              </w:rPr>
            </w:pP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lang w:val="en-US" w:eastAsia="zh-CN"/>
                <w14:textFill>
                  <w14:solidFill>
                    <w14:schemeClr w14:val="tx1"/>
                  </w14:solidFill>
                </w14:textFill>
              </w:rPr>
              <w:t>3</w:t>
            </w:r>
            <w:r>
              <w:rPr>
                <w:rFonts w:hint="eastAsia" w:cs="宋体"/>
                <w:color w:val="000000" w:themeColor="text1"/>
                <w:sz w:val="24"/>
                <w:szCs w:val="24"/>
                <w:highlight w:val="none"/>
                <w:lang w:eastAsia="zh-CN"/>
                <w14:textFill>
                  <w14:solidFill>
                    <w14:schemeClr w14:val="tx1"/>
                  </w14:solidFill>
                </w14:textFill>
              </w:rPr>
              <w:t>）引用资料的有效性分析</w:t>
            </w:r>
          </w:p>
          <w:p w14:paraId="4CF272B2">
            <w:pPr>
              <w:spacing w:line="360" w:lineRule="auto"/>
              <w:ind w:firstLine="480" w:firstLineChars="200"/>
              <w:rPr>
                <w:rFonts w:hint="eastAsia" w:cs="宋体"/>
                <w:color w:val="000000" w:themeColor="text1"/>
                <w:sz w:val="24"/>
                <w:szCs w:val="24"/>
                <w:highlight w:val="none"/>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根据《建设项目环境影响报告表编制技术指南(污染影响类)(试行)》(环办环评</w:t>
            </w:r>
            <w:r>
              <w:rPr>
                <w:rFonts w:hint="eastAsia"/>
                <w:color w:val="000000" w:themeColor="text1"/>
                <w:sz w:val="24"/>
                <w:szCs w:val="24"/>
                <w:highlight w:val="none"/>
                <w:lang w:eastAsia="zh-CN"/>
                <w14:textFill>
                  <w14:solidFill>
                    <w14:schemeClr w14:val="tx1"/>
                  </w14:solidFill>
                </w14:textFill>
              </w:rPr>
              <w:t>〔20</w:t>
            </w:r>
            <w:r>
              <w:rPr>
                <w:rFonts w:hint="eastAsia"/>
                <w:color w:val="000000" w:themeColor="text1"/>
                <w:sz w:val="24"/>
                <w:szCs w:val="24"/>
                <w:highlight w:val="none"/>
                <w:lang w:val="en-US" w:eastAsia="zh-CN"/>
                <w14:textFill>
                  <w14:solidFill>
                    <w14:schemeClr w14:val="tx1"/>
                  </w14:solidFill>
                </w14:textFill>
              </w:rPr>
              <w:t>20</w:t>
            </w:r>
            <w:r>
              <w:rPr>
                <w:rFonts w:hint="eastAsia"/>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14:textFill>
                  <w14:solidFill>
                    <w14:schemeClr w14:val="tx1"/>
                  </w14:solidFill>
                </w14:textFill>
              </w:rPr>
              <w:t>33号)的要求</w:t>
            </w:r>
            <w:r>
              <w:rPr>
                <w:rFonts w:hint="eastAsia" w:cs="宋体"/>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14:textFill>
                  <w14:solidFill>
                    <w14:schemeClr w14:val="tx1"/>
                  </w14:solidFill>
                </w14:textFill>
              </w:rPr>
              <w:t>“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本次评价选取福州市人民政府发布的近3年内的水环境质量状况，符合《建设项目环境影响报告表编制技术指南(污染影响类)(试行)》(环办环评</w:t>
            </w:r>
            <w:r>
              <w:rPr>
                <w:rFonts w:hint="eastAsia"/>
                <w:color w:val="000000" w:themeColor="text1"/>
                <w:sz w:val="24"/>
                <w:szCs w:val="24"/>
                <w:highlight w:val="none"/>
                <w:lang w:eastAsia="zh-CN"/>
                <w14:textFill>
                  <w14:solidFill>
                    <w14:schemeClr w14:val="tx1"/>
                  </w14:solidFill>
                </w14:textFill>
              </w:rPr>
              <w:t>〔20</w:t>
            </w:r>
            <w:r>
              <w:rPr>
                <w:rFonts w:hint="eastAsia"/>
                <w:color w:val="000000" w:themeColor="text1"/>
                <w:sz w:val="24"/>
                <w:szCs w:val="24"/>
                <w:highlight w:val="none"/>
                <w:lang w:val="en-US" w:eastAsia="zh-CN"/>
                <w14:textFill>
                  <w14:solidFill>
                    <w14:schemeClr w14:val="tx1"/>
                  </w14:solidFill>
                </w14:textFill>
              </w:rPr>
              <w:t>20</w:t>
            </w:r>
            <w:r>
              <w:rPr>
                <w:rFonts w:hint="eastAsia"/>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14:textFill>
                  <w14:solidFill>
                    <w14:schemeClr w14:val="tx1"/>
                  </w14:solidFill>
                </w14:textFill>
              </w:rPr>
              <w:t>33号)的要求。</w:t>
            </w:r>
          </w:p>
          <w:p w14:paraId="3A48C124">
            <w:pPr>
              <w:spacing w:line="360" w:lineRule="auto"/>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drawing>
                <wp:inline distT="0" distB="0" distL="114300" distR="114300">
                  <wp:extent cx="5400040" cy="3411855"/>
                  <wp:effectExtent l="0" t="0" r="10160" b="17145"/>
                  <wp:docPr id="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pic:cNvPicPr>
                            <a:picLocks noChangeAspect="1"/>
                          </pic:cNvPicPr>
                        </pic:nvPicPr>
                        <pic:blipFill>
                          <a:blip r:embed="rId32"/>
                          <a:srcRect r="5466"/>
                          <a:stretch>
                            <a:fillRect/>
                          </a:stretch>
                        </pic:blipFill>
                        <pic:spPr>
                          <a:xfrm>
                            <a:off x="0" y="0"/>
                            <a:ext cx="5400040" cy="3411855"/>
                          </a:xfrm>
                          <a:prstGeom prst="rect">
                            <a:avLst/>
                          </a:prstGeom>
                          <a:noFill/>
                          <a:ln>
                            <a:noFill/>
                          </a:ln>
                        </pic:spPr>
                      </pic:pic>
                    </a:graphicData>
                  </a:graphic>
                </wp:inline>
              </w:drawing>
            </w:r>
          </w:p>
          <w:p w14:paraId="237797CB">
            <w:pPr>
              <w:spacing w:line="360" w:lineRule="auto"/>
              <w:jc w:val="center"/>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w:t>
            </w:r>
            <w:r>
              <w:rPr>
                <w:rFonts w:hint="eastAsia"/>
                <w:b/>
                <w:bCs/>
                <w:color w:val="000000" w:themeColor="text1"/>
                <w:sz w:val="24"/>
                <w:szCs w:val="24"/>
                <w:highlight w:val="none"/>
                <w:lang w:val="en-US" w:eastAsia="zh-CN"/>
                <w14:textFill>
                  <w14:solidFill>
                    <w14:schemeClr w14:val="tx1"/>
                  </w14:solidFill>
                </w14:textFill>
              </w:rPr>
              <w:t>3-2 《2024年福州市环境状况公报》</w:t>
            </w:r>
            <w:r>
              <w:rPr>
                <w:rFonts w:hint="eastAsia"/>
                <w:b/>
                <w:bCs/>
                <w:color w:val="000000" w:themeColor="text1"/>
                <w:sz w:val="24"/>
                <w:szCs w:val="24"/>
                <w:highlight w:val="none"/>
                <w14:textFill>
                  <w14:solidFill>
                    <w14:schemeClr w14:val="tx1"/>
                  </w14:solidFill>
                </w14:textFill>
              </w:rPr>
              <w:t>截图</w:t>
            </w:r>
          </w:p>
          <w:p w14:paraId="73B04D35">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3.</w:t>
            </w:r>
            <w:r>
              <w:rPr>
                <w:rFonts w:hint="eastAsia"/>
                <w:color w:val="000000" w:themeColor="text1"/>
                <w:sz w:val="24"/>
                <w:szCs w:val="21"/>
                <w:highlight w:val="none"/>
                <w:lang w:val="en-US" w:eastAsia="zh-CN"/>
                <w14:textFill>
                  <w14:solidFill>
                    <w14:schemeClr w14:val="tx1"/>
                  </w14:solidFill>
                </w14:textFill>
              </w:rPr>
              <w:t>3</w:t>
            </w:r>
            <w:r>
              <w:rPr>
                <w:color w:val="000000" w:themeColor="text1"/>
                <w:sz w:val="24"/>
                <w:szCs w:val="21"/>
                <w:highlight w:val="none"/>
                <w14:textFill>
                  <w14:solidFill>
                    <w14:schemeClr w14:val="tx1"/>
                  </w14:solidFill>
                </w14:textFill>
              </w:rPr>
              <w:t xml:space="preserve"> 声环境质量现状</w:t>
            </w:r>
          </w:p>
          <w:p w14:paraId="2B32283C">
            <w:pPr>
              <w:spacing w:line="360" w:lineRule="auto"/>
              <w:ind w:firstLine="480" w:firstLineChars="200"/>
              <w:rPr>
                <w:bCs/>
                <w:color w:val="000000" w:themeColor="text1"/>
                <w:sz w:val="24"/>
                <w:szCs w:val="32"/>
                <w:highlight w:val="none"/>
                <w14:textFill>
                  <w14:solidFill>
                    <w14:schemeClr w14:val="tx1"/>
                  </w14:solidFill>
                </w14:textFill>
              </w:rPr>
            </w:pPr>
            <w:r>
              <w:rPr>
                <w:rFonts w:hint="eastAsia"/>
                <w:color w:val="000000" w:themeColor="text1"/>
                <w:sz w:val="24"/>
                <w:highlight w:val="none"/>
                <w:lang w:val="en-US" w:eastAsia="zh-CN"/>
                <w14:textFill>
                  <w14:solidFill>
                    <w14:schemeClr w14:val="tx1"/>
                  </w14:solidFill>
                </w14:textFill>
              </w:rPr>
              <w:t>根据</w:t>
            </w:r>
            <w:r>
              <w:rPr>
                <w:rFonts w:hint="eastAsia"/>
                <w:color w:val="000000" w:themeColor="text1"/>
                <w:sz w:val="24"/>
                <w:highlight w:val="none"/>
                <w14:textFill>
                  <w14:solidFill>
                    <w14:schemeClr w14:val="tx1"/>
                  </w14:solidFill>
                </w14:textFill>
              </w:rPr>
              <w:t>生态环境部环境工程评估中心“《建设项目环境影响报告表》内容、格式及编制技术指南常见问题解答”：“厂界外周边50米范围内存在声环境保护目标的建设项目，应监测声环境质量现状，监测点位为声环境保护目标处。厂界外周边50米范围内无声环境保护目标的建设项目，不再要求提供声环境质量现状监测数据。”</w:t>
            </w:r>
            <w:r>
              <w:rPr>
                <w:bCs/>
                <w:color w:val="000000" w:themeColor="text1"/>
                <w:sz w:val="24"/>
                <w:szCs w:val="32"/>
                <w:highlight w:val="none"/>
                <w14:textFill>
                  <w14:solidFill>
                    <w14:schemeClr w14:val="tx1"/>
                  </w14:solidFill>
                </w14:textFill>
              </w:rPr>
              <w:t>本项目厂界外50m范围内不存在声环境保护目标，不进行声环境质量现状监测。</w:t>
            </w:r>
          </w:p>
          <w:p w14:paraId="39EE47AD">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3.</w:t>
            </w:r>
            <w:r>
              <w:rPr>
                <w:rFonts w:hint="eastAsia"/>
                <w:color w:val="000000" w:themeColor="text1"/>
                <w:sz w:val="24"/>
                <w:szCs w:val="21"/>
                <w:highlight w:val="none"/>
                <w:lang w:val="en-US" w:eastAsia="zh-CN"/>
                <w14:textFill>
                  <w14:solidFill>
                    <w14:schemeClr w14:val="tx1"/>
                  </w14:solidFill>
                </w14:textFill>
              </w:rPr>
              <w:t>4</w:t>
            </w:r>
            <w:r>
              <w:rPr>
                <w:color w:val="000000" w:themeColor="text1"/>
                <w:sz w:val="24"/>
                <w:szCs w:val="21"/>
                <w:highlight w:val="none"/>
                <w14:textFill>
                  <w14:solidFill>
                    <w14:schemeClr w14:val="tx1"/>
                  </w14:solidFill>
                </w14:textFill>
              </w:rPr>
              <w:t xml:space="preserve"> </w:t>
            </w:r>
            <w:r>
              <w:rPr>
                <w:rFonts w:hint="eastAsia"/>
                <w:color w:val="000000" w:themeColor="text1"/>
                <w:sz w:val="24"/>
                <w:szCs w:val="21"/>
                <w:highlight w:val="none"/>
                <w:lang w:val="en-US" w:eastAsia="zh-CN"/>
                <w14:textFill>
                  <w14:solidFill>
                    <w14:schemeClr w14:val="tx1"/>
                  </w14:solidFill>
                </w14:textFill>
              </w:rPr>
              <w:t>地下水、土壤</w:t>
            </w:r>
            <w:r>
              <w:rPr>
                <w:color w:val="000000" w:themeColor="text1"/>
                <w:sz w:val="24"/>
                <w:szCs w:val="21"/>
                <w:highlight w:val="none"/>
                <w14:textFill>
                  <w14:solidFill>
                    <w14:schemeClr w14:val="tx1"/>
                  </w14:solidFill>
                </w14:textFill>
              </w:rPr>
              <w:t>环境质量现状</w:t>
            </w:r>
          </w:p>
          <w:p w14:paraId="5AF7A745">
            <w:pPr>
              <w:spacing w:line="360" w:lineRule="auto"/>
              <w:ind w:firstLine="480" w:firstLineChars="200"/>
              <w:rPr>
                <w:rFonts w:hint="eastAsia"/>
                <w:bCs/>
                <w:color w:val="000000" w:themeColor="text1"/>
                <w:sz w:val="24"/>
                <w:szCs w:val="32"/>
                <w:highlight w:val="none"/>
                <w14:textFill>
                  <w14:solidFill>
                    <w14:schemeClr w14:val="tx1"/>
                  </w14:solidFill>
                </w14:textFill>
              </w:rPr>
            </w:pPr>
            <w:r>
              <w:rPr>
                <w:rFonts w:hint="eastAsia"/>
                <w:bCs/>
                <w:color w:val="000000" w:themeColor="text1"/>
                <w:sz w:val="24"/>
                <w:szCs w:val="32"/>
                <w:highlight w:val="none"/>
                <w14:textFill>
                  <w14:solidFill>
                    <w14:schemeClr w14:val="tx1"/>
                  </w14:solidFill>
                </w14:textFill>
              </w:rPr>
              <w:t>根据《建设项目环境影响报告表编制技术指南(污染影响类)(试行)》(环办环评</w:t>
            </w:r>
            <w:r>
              <w:rPr>
                <w:rFonts w:hint="eastAsia"/>
                <w:color w:val="000000" w:themeColor="text1"/>
                <w:sz w:val="24"/>
                <w:szCs w:val="24"/>
                <w:highlight w:val="none"/>
                <w:lang w:eastAsia="zh-CN"/>
                <w14:textFill>
                  <w14:solidFill>
                    <w14:schemeClr w14:val="tx1"/>
                  </w14:solidFill>
                </w14:textFill>
              </w:rPr>
              <w:t>〔20</w:t>
            </w:r>
            <w:r>
              <w:rPr>
                <w:rFonts w:hint="eastAsia"/>
                <w:color w:val="000000" w:themeColor="text1"/>
                <w:sz w:val="24"/>
                <w:szCs w:val="24"/>
                <w:highlight w:val="none"/>
                <w:lang w:val="en-US" w:eastAsia="zh-CN"/>
                <w14:textFill>
                  <w14:solidFill>
                    <w14:schemeClr w14:val="tx1"/>
                  </w14:solidFill>
                </w14:textFill>
              </w:rPr>
              <w:t>20</w:t>
            </w:r>
            <w:r>
              <w:rPr>
                <w:rFonts w:hint="eastAsia"/>
                <w:color w:val="000000" w:themeColor="text1"/>
                <w:sz w:val="24"/>
                <w:szCs w:val="24"/>
                <w:highlight w:val="none"/>
                <w:lang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33 号)规定，“原则上不开展环境质量现状调查。建设项目存在土壤、地下水环境污染途径的，应结合污染源、保护目标分布情况开展现状调查以留作背景值。</w:t>
            </w:r>
          </w:p>
          <w:p w14:paraId="353101FD">
            <w:pPr>
              <w:spacing w:line="360" w:lineRule="auto"/>
              <w:ind w:firstLine="480" w:firstLineChars="200"/>
              <w:rPr>
                <w:bCs/>
                <w:color w:val="000000" w:themeColor="text1"/>
                <w:sz w:val="24"/>
                <w:szCs w:val="32"/>
                <w:highlight w:val="none"/>
                <w14:textFill>
                  <w14:solidFill>
                    <w14:schemeClr w14:val="tx1"/>
                  </w14:solidFill>
                </w14:textFill>
              </w:rPr>
            </w:pPr>
            <w:r>
              <w:rPr>
                <w:rFonts w:hint="eastAsia"/>
                <w:bCs/>
                <w:color w:val="000000" w:themeColor="text1"/>
                <w:sz w:val="24"/>
                <w:szCs w:val="32"/>
                <w:highlight w:val="none"/>
                <w14:textFill>
                  <w14:solidFill>
                    <w14:schemeClr w14:val="tx1"/>
                  </w14:solidFill>
                </w14:textFill>
              </w:rPr>
              <w:t>根据现场勘查，周边以工业企业为主</w:t>
            </w: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项目周边地下水、土壤环境相对不敏感，采取有效的防渗措施后，项目对地下水、土壤环境影响很小，基本不存在</w:t>
            </w:r>
            <w:r>
              <w:rPr>
                <w:rFonts w:hint="eastAsia"/>
                <w:bCs/>
                <w:color w:val="000000" w:themeColor="text1"/>
                <w:sz w:val="24"/>
                <w:szCs w:val="32"/>
                <w:highlight w:val="none"/>
                <w:lang w:val="en-US" w:eastAsia="zh-CN"/>
                <w14:textFill>
                  <w14:solidFill>
                    <w14:schemeClr w14:val="tx1"/>
                  </w14:solidFill>
                </w14:textFill>
              </w:rPr>
              <w:t>土壤</w:t>
            </w:r>
            <w:r>
              <w:rPr>
                <w:rFonts w:hint="eastAsia"/>
                <w:bCs/>
                <w:color w:val="000000" w:themeColor="text1"/>
                <w:sz w:val="24"/>
                <w:szCs w:val="32"/>
                <w:highlight w:val="none"/>
                <w14:textFill>
                  <w14:solidFill>
                    <w14:schemeClr w14:val="tx1"/>
                  </w14:solidFill>
                </w14:textFill>
              </w:rPr>
              <w:t>、地下水环境污染途径，因此，本评价不对项目地下水、土壤环境质量进行补充监测。</w:t>
            </w:r>
          </w:p>
          <w:p w14:paraId="73C28103">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3.</w:t>
            </w:r>
            <w:r>
              <w:rPr>
                <w:rFonts w:hint="eastAsia"/>
                <w:color w:val="000000" w:themeColor="text1"/>
                <w:sz w:val="24"/>
                <w:szCs w:val="21"/>
                <w:highlight w:val="none"/>
                <w:lang w:val="en-US" w:eastAsia="zh-CN"/>
                <w14:textFill>
                  <w14:solidFill>
                    <w14:schemeClr w14:val="tx1"/>
                  </w14:solidFill>
                </w14:textFill>
              </w:rPr>
              <w:t>5</w:t>
            </w:r>
            <w:r>
              <w:rPr>
                <w:color w:val="000000" w:themeColor="text1"/>
                <w:sz w:val="24"/>
                <w:szCs w:val="21"/>
                <w:highlight w:val="none"/>
                <w14:textFill>
                  <w14:solidFill>
                    <w14:schemeClr w14:val="tx1"/>
                  </w14:solidFill>
                </w14:textFill>
              </w:rPr>
              <w:t xml:space="preserve"> </w:t>
            </w:r>
            <w:r>
              <w:rPr>
                <w:rFonts w:hint="eastAsia"/>
                <w:color w:val="000000" w:themeColor="text1"/>
                <w:sz w:val="24"/>
                <w:szCs w:val="21"/>
                <w:highlight w:val="none"/>
                <w:lang w:val="en-US" w:eastAsia="zh-CN"/>
                <w14:textFill>
                  <w14:solidFill>
                    <w14:schemeClr w14:val="tx1"/>
                  </w14:solidFill>
                </w14:textFill>
              </w:rPr>
              <w:t>生态</w:t>
            </w:r>
            <w:r>
              <w:rPr>
                <w:color w:val="000000" w:themeColor="text1"/>
                <w:sz w:val="24"/>
                <w:szCs w:val="21"/>
                <w:highlight w:val="none"/>
                <w14:textFill>
                  <w14:solidFill>
                    <w14:schemeClr w14:val="tx1"/>
                  </w14:solidFill>
                </w14:textFill>
              </w:rPr>
              <w:t>环境</w:t>
            </w:r>
            <w:r>
              <w:rPr>
                <w:rFonts w:hint="eastAsia"/>
                <w:color w:val="000000" w:themeColor="text1"/>
                <w:sz w:val="24"/>
                <w:szCs w:val="21"/>
                <w:highlight w:val="none"/>
                <w:lang w:val="en-US" w:eastAsia="zh-CN"/>
                <w14:textFill>
                  <w14:solidFill>
                    <w14:schemeClr w14:val="tx1"/>
                  </w14:solidFill>
                </w14:textFill>
              </w:rPr>
              <w:t>现状调查</w:t>
            </w:r>
          </w:p>
          <w:p w14:paraId="2F02BE35">
            <w:pPr>
              <w:spacing w:line="360" w:lineRule="auto"/>
              <w:ind w:firstLine="480" w:firstLineChars="200"/>
              <w:rPr>
                <w:rFonts w:hint="eastAsia"/>
                <w:bCs/>
                <w:color w:val="000000" w:themeColor="text1"/>
                <w:sz w:val="24"/>
                <w:szCs w:val="32"/>
                <w:highlight w:val="none"/>
                <w14:textFill>
                  <w14:solidFill>
                    <w14:schemeClr w14:val="tx1"/>
                  </w14:solidFill>
                </w14:textFill>
              </w:rPr>
            </w:pPr>
            <w:r>
              <w:rPr>
                <w:rFonts w:hint="eastAsia"/>
                <w:bCs/>
                <w:color w:val="000000" w:themeColor="text1"/>
                <w:sz w:val="24"/>
                <w:szCs w:val="32"/>
                <w:highlight w:val="none"/>
                <w14:textFill>
                  <w14:solidFill>
                    <w14:schemeClr w14:val="tx1"/>
                  </w14:solidFill>
                </w14:textFill>
              </w:rPr>
              <w:t>本项目租用</w:t>
            </w:r>
            <w:r>
              <w:rPr>
                <w:rFonts w:hint="eastAsia"/>
                <w:bCs/>
                <w:color w:val="000000" w:themeColor="text1"/>
                <w:sz w:val="24"/>
                <w:szCs w:val="32"/>
                <w:highlight w:val="none"/>
                <w:lang w:val="en-US" w:eastAsia="zh-CN"/>
                <w14:textFill>
                  <w14:solidFill>
                    <w14:schemeClr w14:val="tx1"/>
                  </w14:solidFill>
                </w14:textFill>
              </w:rPr>
              <w:t>福建西诚电子有限公司</w:t>
            </w:r>
            <w:r>
              <w:rPr>
                <w:rFonts w:hint="eastAsia"/>
                <w:bCs/>
                <w:color w:val="000000" w:themeColor="text1"/>
                <w:sz w:val="24"/>
                <w:szCs w:val="32"/>
                <w:highlight w:val="none"/>
                <w14:textFill>
                  <w14:solidFill>
                    <w14:schemeClr w14:val="tx1"/>
                  </w14:solidFill>
                </w14:textFill>
              </w:rPr>
              <w:t>已建厂房，不新增用地，且项目用地周边</w:t>
            </w:r>
            <w:r>
              <w:rPr>
                <w:rFonts w:hint="eastAsia"/>
                <w:bCs/>
                <w:color w:val="000000" w:themeColor="text1"/>
                <w:sz w:val="24"/>
                <w:szCs w:val="32"/>
                <w:highlight w:val="none"/>
                <w:lang w:val="en-US" w:eastAsia="zh-CN"/>
                <w14:textFill>
                  <w14:solidFill>
                    <w14:schemeClr w14:val="tx1"/>
                  </w14:solidFill>
                </w14:textFill>
              </w:rPr>
              <w:t>以</w:t>
            </w:r>
            <w:r>
              <w:rPr>
                <w:rFonts w:hint="eastAsia"/>
                <w:bCs/>
                <w:color w:val="000000" w:themeColor="text1"/>
                <w:sz w:val="24"/>
                <w:szCs w:val="32"/>
                <w:highlight w:val="none"/>
                <w14:textFill>
                  <w14:solidFill>
                    <w14:schemeClr w14:val="tx1"/>
                  </w14:solidFill>
                </w14:textFill>
              </w:rPr>
              <w:t>城市道路、其他工业企业等为主，项目评价区域主要植被为草坪、行道树等景观树种，主要动物为常见的蛙类、鸟类和昆虫类等，评价区域内无珍稀濒危物种、自然保护区、风景名胜区等生态敏感目标，调查区域也未发现国家重点保护的野生动植物等</w:t>
            </w: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因此本项目不属于“环办环评</w:t>
            </w:r>
            <w:r>
              <w:rPr>
                <w:rFonts w:hint="eastAsia"/>
                <w:bCs/>
                <w:color w:val="000000" w:themeColor="text1"/>
                <w:sz w:val="24"/>
                <w:szCs w:val="32"/>
                <w:highlight w:val="none"/>
                <w:lang w:eastAsia="zh-CN"/>
                <w14:textFill>
                  <w14:solidFill>
                    <w14:schemeClr w14:val="tx1"/>
                  </w14:solidFill>
                </w14:textFill>
              </w:rPr>
              <w:t>〔20</w:t>
            </w:r>
            <w:r>
              <w:rPr>
                <w:rFonts w:hint="eastAsia"/>
                <w:bCs/>
                <w:color w:val="000000" w:themeColor="text1"/>
                <w:sz w:val="24"/>
                <w:szCs w:val="32"/>
                <w:highlight w:val="none"/>
                <w:lang w:val="en-US" w:eastAsia="zh-CN"/>
                <w14:textFill>
                  <w14:solidFill>
                    <w14:schemeClr w14:val="tx1"/>
                  </w14:solidFill>
                </w14:textFill>
              </w:rPr>
              <w:t>20</w:t>
            </w: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33号”中“产业园区外建设项目新增用地且用地范围内含有生态环境保护目标”的情况，无需对生态环境现状</w:t>
            </w:r>
            <w:r>
              <w:rPr>
                <w:rFonts w:hint="eastAsia"/>
                <w:bCs/>
                <w:color w:val="000000" w:themeColor="text1"/>
                <w:sz w:val="24"/>
                <w:szCs w:val="32"/>
                <w:highlight w:val="none"/>
                <w:lang w:eastAsia="zh-CN"/>
                <w14:textFill>
                  <w14:solidFill>
                    <w14:schemeClr w14:val="tx1"/>
                  </w14:solidFill>
                </w14:textFill>
              </w:rPr>
              <w:t>进行</w:t>
            </w:r>
            <w:r>
              <w:rPr>
                <w:rFonts w:hint="eastAsia"/>
                <w:bCs/>
                <w:color w:val="000000" w:themeColor="text1"/>
                <w:sz w:val="24"/>
                <w:szCs w:val="32"/>
                <w:highlight w:val="none"/>
                <w14:textFill>
                  <w14:solidFill>
                    <w14:schemeClr w14:val="tx1"/>
                  </w14:solidFill>
                </w14:textFill>
              </w:rPr>
              <w:t>调查和评价。</w:t>
            </w:r>
          </w:p>
          <w:p w14:paraId="5BA99E22">
            <w:pPr>
              <w:rPr>
                <w:rFonts w:cs="宋体"/>
                <w:color w:val="000000" w:themeColor="text1"/>
                <w:sz w:val="24"/>
                <w:szCs w:val="21"/>
                <w:highlight w:val="none"/>
                <w14:textFill>
                  <w14:solidFill>
                    <w14:schemeClr w14:val="tx1"/>
                  </w14:solidFill>
                </w14:textFill>
              </w:rPr>
            </w:pPr>
          </w:p>
        </w:tc>
      </w:tr>
      <w:tr w14:paraId="231BF5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2" w:type="dxa"/>
          <w:trHeight w:val="4749" w:hRule="atLeast"/>
          <w:jc w:val="center"/>
        </w:trPr>
        <w:tc>
          <w:tcPr>
            <w:tcW w:w="423" w:type="dxa"/>
            <w:tcMar>
              <w:left w:w="28" w:type="dxa"/>
              <w:right w:w="28" w:type="dxa"/>
            </w:tcMar>
            <w:vAlign w:val="center"/>
          </w:tcPr>
          <w:p w14:paraId="1B6E7101">
            <w:pPr>
              <w:pStyle w:val="26"/>
              <w:adjustRightInd w:val="0"/>
              <w:snapToGrid w:val="0"/>
              <w:spacing w:before="0" w:beforeAutospacing="0" w:after="0" w:afterAutospacing="0"/>
              <w:jc w:val="center"/>
              <w:rPr>
                <w:rFonts w:cs="宋体"/>
                <w:bCs/>
                <w:color w:val="000000" w:themeColor="text1"/>
                <w:kern w:val="2"/>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环境保护目标</w:t>
            </w:r>
          </w:p>
        </w:tc>
        <w:tc>
          <w:tcPr>
            <w:tcW w:w="8606" w:type="dxa"/>
            <w:vAlign w:val="center"/>
          </w:tcPr>
          <w:p w14:paraId="76F202EF">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 xml:space="preserve">3.6 </w:t>
            </w:r>
            <w:r>
              <w:rPr>
                <w:rFonts w:hint="eastAsia"/>
                <w:color w:val="000000" w:themeColor="text1"/>
                <w:sz w:val="24"/>
                <w:szCs w:val="21"/>
                <w:highlight w:val="none"/>
                <w14:textFill>
                  <w14:solidFill>
                    <w14:schemeClr w14:val="tx1"/>
                  </w14:solidFill>
                </w14:textFill>
              </w:rPr>
              <w:t>环境保护目标</w:t>
            </w:r>
          </w:p>
          <w:p w14:paraId="3D678748">
            <w:pPr>
              <w:spacing w:line="360" w:lineRule="auto"/>
              <w:ind w:firstLine="480" w:firstLineChars="200"/>
              <w:rPr>
                <w:rFonts w:hint="default" w:eastAsia="宋体" w:cs="宋体"/>
                <w:color w:val="000000" w:themeColor="text1"/>
                <w:sz w:val="24"/>
                <w:szCs w:val="24"/>
                <w:highlight w:val="none"/>
                <w:lang w:val="en-US" w:eastAsia="zh-CN"/>
                <w14:textFill>
                  <w14:solidFill>
                    <w14:schemeClr w14:val="tx1"/>
                  </w14:solidFill>
                </w14:textFill>
              </w:rPr>
            </w:pPr>
            <w:r>
              <w:rPr>
                <w:rFonts w:hint="eastAsia" w:cs="宋体"/>
                <w:color w:val="000000" w:themeColor="text1"/>
                <w:sz w:val="24"/>
                <w:szCs w:val="24"/>
                <w:highlight w:val="none"/>
                <w14:textFill>
                  <w14:solidFill>
                    <w14:schemeClr w14:val="tx1"/>
                  </w14:solidFill>
                </w14:textFill>
              </w:rPr>
              <w:t>根据</w:t>
            </w:r>
            <w:r>
              <w:rPr>
                <w:rFonts w:hint="eastAsia" w:cs="宋体"/>
                <w:color w:val="000000" w:themeColor="text1"/>
                <w:sz w:val="24"/>
                <w:szCs w:val="24"/>
                <w:highlight w:val="none"/>
                <w:lang w:eastAsia="zh-CN"/>
                <w14:textFill>
                  <w14:solidFill>
                    <w14:schemeClr w14:val="tx1"/>
                  </w14:solidFill>
                </w14:textFill>
              </w:rPr>
              <w:t>现场勘查</w:t>
            </w:r>
            <w:r>
              <w:rPr>
                <w:rFonts w:hint="eastAsia" w:cs="宋体"/>
                <w:color w:val="000000" w:themeColor="text1"/>
                <w:sz w:val="24"/>
                <w:szCs w:val="24"/>
                <w:highlight w:val="none"/>
                <w14:textFill>
                  <w14:solidFill>
                    <w14:schemeClr w14:val="tx1"/>
                  </w14:solidFill>
                </w14:textFill>
              </w:rPr>
              <w:t>，项目周边</w:t>
            </w:r>
            <w:r>
              <w:rPr>
                <w:rFonts w:cs="宋体"/>
                <w:color w:val="000000" w:themeColor="text1"/>
                <w:sz w:val="24"/>
                <w:szCs w:val="24"/>
                <w:highlight w:val="none"/>
                <w14:textFill>
                  <w14:solidFill>
                    <w14:schemeClr w14:val="tx1"/>
                  </w14:solidFill>
                </w14:textFill>
              </w:rPr>
              <w:t>50m</w:t>
            </w:r>
            <w:r>
              <w:rPr>
                <w:rFonts w:hint="eastAsia" w:cs="宋体"/>
                <w:color w:val="000000" w:themeColor="text1"/>
                <w:sz w:val="24"/>
                <w:szCs w:val="24"/>
                <w:highlight w:val="none"/>
                <w14:textFill>
                  <w14:solidFill>
                    <w14:schemeClr w14:val="tx1"/>
                  </w14:solidFill>
                </w14:textFill>
              </w:rPr>
              <w:t>内不存在声环境保护目标；</w:t>
            </w:r>
            <w:r>
              <w:rPr>
                <w:rFonts w:cs="宋体"/>
                <w:color w:val="000000" w:themeColor="text1"/>
                <w:sz w:val="24"/>
                <w:szCs w:val="24"/>
                <w:highlight w:val="none"/>
                <w14:textFill>
                  <w14:solidFill>
                    <w14:schemeClr w14:val="tx1"/>
                  </w14:solidFill>
                </w14:textFill>
              </w:rPr>
              <w:t>500m</w:t>
            </w:r>
            <w:r>
              <w:rPr>
                <w:rFonts w:hint="eastAsia" w:cs="宋体"/>
                <w:color w:val="000000" w:themeColor="text1"/>
                <w:sz w:val="24"/>
                <w:szCs w:val="24"/>
                <w:highlight w:val="none"/>
                <w14:textFill>
                  <w14:solidFill>
                    <w14:schemeClr w14:val="tx1"/>
                  </w14:solidFill>
                </w14:textFill>
              </w:rPr>
              <w:t>范围内不</w:t>
            </w:r>
            <w:r>
              <w:rPr>
                <w:rFonts w:hint="eastAsia" w:ascii="宋体" w:cs="宋体"/>
                <w:color w:val="000000" w:themeColor="text1"/>
                <w:kern w:val="0"/>
                <w:sz w:val="24"/>
                <w:szCs w:val="24"/>
                <w:highlight w:val="none"/>
                <w14:textFill>
                  <w14:solidFill>
                    <w14:schemeClr w14:val="tx1"/>
                  </w14:solidFill>
                </w14:textFill>
              </w:rPr>
              <w:t>存在地下水集中式饮用水水源和热水、矿泉水、温泉等</w:t>
            </w:r>
            <w:r>
              <w:rPr>
                <w:rFonts w:hint="eastAsia" w:ascii="宋体" w:cs="宋体"/>
                <w:color w:val="000000" w:themeColor="text1"/>
                <w:kern w:val="0"/>
                <w:sz w:val="24"/>
                <w:szCs w:val="24"/>
                <w:highlight w:val="none"/>
                <w:lang w:eastAsia="zh-CN"/>
                <w14:textFill>
                  <w14:solidFill>
                    <w14:schemeClr w14:val="tx1"/>
                  </w14:solidFill>
                </w14:textFill>
              </w:rPr>
              <w:t>特殊</w:t>
            </w:r>
            <w:r>
              <w:rPr>
                <w:rFonts w:hint="eastAsia" w:ascii="宋体" w:cs="宋体"/>
                <w:color w:val="000000" w:themeColor="text1"/>
                <w:kern w:val="0"/>
                <w:sz w:val="24"/>
                <w:szCs w:val="24"/>
                <w:highlight w:val="none"/>
                <w14:textFill>
                  <w14:solidFill>
                    <w14:schemeClr w14:val="tx1"/>
                  </w14:solidFill>
                </w14:textFill>
              </w:rPr>
              <w:t>地下水资源，不</w:t>
            </w:r>
            <w:r>
              <w:rPr>
                <w:rFonts w:hint="eastAsia" w:cs="宋体"/>
                <w:color w:val="000000" w:themeColor="text1"/>
                <w:sz w:val="24"/>
                <w:szCs w:val="24"/>
                <w:highlight w:val="none"/>
                <w14:textFill>
                  <w14:solidFill>
                    <w14:schemeClr w14:val="tx1"/>
                  </w14:solidFill>
                </w14:textFill>
              </w:rPr>
              <w:t>涉及生态敏感目标。项目</w:t>
            </w:r>
            <w:r>
              <w:rPr>
                <w:color w:val="000000" w:themeColor="text1"/>
                <w:sz w:val="24"/>
                <w:szCs w:val="24"/>
                <w:highlight w:val="none"/>
                <w14:textFill>
                  <w14:solidFill>
                    <w14:schemeClr w14:val="tx1"/>
                  </w14:solidFill>
                </w14:textFill>
              </w:rPr>
              <w:t>500m</w:t>
            </w:r>
            <w:r>
              <w:rPr>
                <w:rFonts w:hint="eastAsia" w:cs="宋体"/>
                <w:color w:val="000000" w:themeColor="text1"/>
                <w:sz w:val="24"/>
                <w:szCs w:val="24"/>
                <w:highlight w:val="none"/>
                <w14:textFill>
                  <w14:solidFill>
                    <w14:schemeClr w14:val="tx1"/>
                  </w14:solidFill>
                </w14:textFill>
              </w:rPr>
              <w:t>范围内涉及的环境保护目标见</w:t>
            </w:r>
            <w:r>
              <w:rPr>
                <w:rFonts w:hint="eastAsia" w:cs="宋体"/>
                <w:color w:val="000000" w:themeColor="text1"/>
                <w:sz w:val="24"/>
                <w:szCs w:val="24"/>
                <w:highlight w:val="none"/>
                <w:lang w:val="en-US" w:eastAsia="zh-CN"/>
                <w14:textFill>
                  <w14:solidFill>
                    <w14:schemeClr w14:val="tx1"/>
                  </w14:solidFill>
                </w14:textFill>
              </w:rPr>
              <w:t>下</w:t>
            </w:r>
            <w:r>
              <w:rPr>
                <w:rFonts w:hint="eastAsia" w:cs="宋体"/>
                <w:color w:val="000000" w:themeColor="text1"/>
                <w:sz w:val="24"/>
                <w:szCs w:val="24"/>
                <w:highlight w:val="none"/>
                <w14:textFill>
                  <w14:solidFill>
                    <w14:schemeClr w14:val="tx1"/>
                  </w14:solidFill>
                </w14:textFill>
              </w:rPr>
              <w:t>表。</w:t>
            </w:r>
            <w:r>
              <w:rPr>
                <w:rFonts w:hint="eastAsia" w:cs="宋体"/>
                <w:color w:val="000000" w:themeColor="text1"/>
                <w:sz w:val="24"/>
                <w:szCs w:val="24"/>
                <w:highlight w:val="none"/>
                <w:lang w:val="en-US" w:eastAsia="zh-CN"/>
                <w14:textFill>
                  <w14:solidFill>
                    <w14:schemeClr w14:val="tx1"/>
                  </w14:solidFill>
                </w14:textFill>
              </w:rPr>
              <w:t>环保目标图见附图4。</w:t>
            </w:r>
          </w:p>
          <w:p w14:paraId="47BDA3C2">
            <w:pPr>
              <w:spacing w:line="360" w:lineRule="auto"/>
              <w:jc w:val="center"/>
              <w:rPr>
                <w:b/>
                <w:color w:val="000000" w:themeColor="text1"/>
                <w:sz w:val="24"/>
                <w:szCs w:val="24"/>
                <w:highlight w:val="none"/>
                <w14:textFill>
                  <w14:solidFill>
                    <w14:schemeClr w14:val="tx1"/>
                  </w14:solidFill>
                </w14:textFill>
              </w:rPr>
            </w:pPr>
            <w:r>
              <w:rPr>
                <w:rFonts w:hint="eastAsia" w:cs="宋体"/>
                <w:b/>
                <w:color w:val="000000" w:themeColor="text1"/>
                <w:sz w:val="24"/>
                <w:szCs w:val="24"/>
                <w:highlight w:val="none"/>
                <w14:textFill>
                  <w14:solidFill>
                    <w14:schemeClr w14:val="tx1"/>
                  </w14:solidFill>
                </w14:textFill>
              </w:rPr>
              <w:t>表</w:t>
            </w:r>
            <w:r>
              <w:rPr>
                <w:b/>
                <w:color w:val="000000" w:themeColor="text1"/>
                <w:sz w:val="24"/>
                <w:szCs w:val="24"/>
                <w:highlight w:val="none"/>
                <w14:textFill>
                  <w14:solidFill>
                    <w14:schemeClr w14:val="tx1"/>
                  </w14:solidFill>
                </w14:textFill>
              </w:rPr>
              <w:t>3-</w:t>
            </w:r>
            <w:r>
              <w:rPr>
                <w:rFonts w:hint="eastAsia"/>
                <w:b/>
                <w:color w:val="000000" w:themeColor="text1"/>
                <w:sz w:val="24"/>
                <w:szCs w:val="24"/>
                <w:highlight w:val="none"/>
                <w:lang w:val="en-US" w:eastAsia="zh-CN"/>
                <w14:textFill>
                  <w14:solidFill>
                    <w14:schemeClr w14:val="tx1"/>
                  </w14:solidFill>
                </w14:textFill>
              </w:rPr>
              <w:t>1</w:t>
            </w:r>
            <w:r>
              <w:rPr>
                <w:b/>
                <w:color w:val="000000" w:themeColor="text1"/>
                <w:sz w:val="24"/>
                <w:szCs w:val="24"/>
                <w:highlight w:val="none"/>
                <w14:textFill>
                  <w14:solidFill>
                    <w14:schemeClr w14:val="tx1"/>
                  </w14:solidFill>
                </w14:textFill>
              </w:rPr>
              <w:t xml:space="preserve">  </w:t>
            </w:r>
            <w:r>
              <w:rPr>
                <w:rFonts w:hint="eastAsia"/>
                <w:b/>
                <w:color w:val="000000" w:themeColor="text1"/>
                <w:sz w:val="24"/>
                <w:szCs w:val="24"/>
                <w:highlight w:val="none"/>
                <w14:textFill>
                  <w14:solidFill>
                    <w14:schemeClr w14:val="tx1"/>
                  </w14:solidFill>
                </w14:textFill>
              </w:rPr>
              <w:t>本项目环境保护目标</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21"/>
              <w:gridCol w:w="990"/>
              <w:gridCol w:w="1785"/>
              <w:gridCol w:w="1455"/>
              <w:gridCol w:w="2929"/>
            </w:tblGrid>
            <w:tr w14:paraId="09355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05" w:hRule="atLeast"/>
              </w:trPr>
              <w:tc>
                <w:tcPr>
                  <w:tcW w:w="1221" w:type="dxa"/>
                  <w:shd w:val="clear" w:color="auto" w:fill="auto"/>
                  <w:vAlign w:val="center"/>
                </w:tcPr>
                <w:p w14:paraId="514011B5">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环境要素</w:t>
                  </w:r>
                </w:p>
              </w:tc>
              <w:tc>
                <w:tcPr>
                  <w:tcW w:w="990" w:type="dxa"/>
                  <w:shd w:val="clear" w:color="auto" w:fill="auto"/>
                  <w:vAlign w:val="center"/>
                </w:tcPr>
                <w:p w14:paraId="21F42A7E">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名称</w:t>
                  </w:r>
                </w:p>
              </w:tc>
              <w:tc>
                <w:tcPr>
                  <w:tcW w:w="1785" w:type="dxa"/>
                  <w:shd w:val="clear" w:color="auto" w:fill="auto"/>
                  <w:vAlign w:val="center"/>
                </w:tcPr>
                <w:p w14:paraId="68BA9488">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与项目厂界的方位和最近距离</w:t>
                  </w:r>
                </w:p>
              </w:tc>
              <w:tc>
                <w:tcPr>
                  <w:tcW w:w="1455" w:type="dxa"/>
                  <w:shd w:val="clear" w:color="auto" w:fill="auto"/>
                  <w:vAlign w:val="center"/>
                </w:tcPr>
                <w:p w14:paraId="58E1071D">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保护对象</w:t>
                  </w:r>
                </w:p>
              </w:tc>
              <w:tc>
                <w:tcPr>
                  <w:tcW w:w="2929" w:type="dxa"/>
                  <w:shd w:val="clear" w:color="auto" w:fill="auto"/>
                  <w:vAlign w:val="center"/>
                </w:tcPr>
                <w:p w14:paraId="4BDAB7FB">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环境保护要求</w:t>
                  </w:r>
                </w:p>
              </w:tc>
            </w:tr>
            <w:tr w14:paraId="04DDD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83" w:hRule="atLeast"/>
              </w:trPr>
              <w:tc>
                <w:tcPr>
                  <w:tcW w:w="1221" w:type="dxa"/>
                  <w:shd w:val="clear" w:color="auto" w:fill="auto"/>
                  <w:vAlign w:val="center"/>
                </w:tcPr>
                <w:p w14:paraId="18264E98">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环境空气</w:t>
                  </w:r>
                </w:p>
              </w:tc>
              <w:tc>
                <w:tcPr>
                  <w:tcW w:w="990" w:type="dxa"/>
                  <w:shd w:val="clear" w:color="auto" w:fill="auto"/>
                  <w:vAlign w:val="center"/>
                </w:tcPr>
                <w:p w14:paraId="2EF79E7D">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卜洲村</w:t>
                  </w:r>
                </w:p>
              </w:tc>
              <w:tc>
                <w:tcPr>
                  <w:tcW w:w="1785" w:type="dxa"/>
                  <w:shd w:val="clear" w:color="auto" w:fill="auto"/>
                  <w:vAlign w:val="center"/>
                </w:tcPr>
                <w:p w14:paraId="33634A1A">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东</w:t>
                  </w:r>
                  <w:r>
                    <w:rPr>
                      <w:rFonts w:hint="eastAsia"/>
                      <w:color w:val="000000" w:themeColor="text1"/>
                      <w:sz w:val="21"/>
                      <w:szCs w:val="21"/>
                      <w:highlight w:val="none"/>
                      <w:lang w:val="en-US" w:eastAsia="zh-CN"/>
                      <w14:textFill>
                        <w14:solidFill>
                          <w14:schemeClr w14:val="tx1"/>
                        </w14:solidFill>
                      </w14:textFill>
                    </w:rPr>
                    <w:t>南侧，95m</w:t>
                  </w:r>
                </w:p>
              </w:tc>
              <w:tc>
                <w:tcPr>
                  <w:tcW w:w="1455" w:type="dxa"/>
                  <w:shd w:val="clear" w:color="auto" w:fill="auto"/>
                  <w:vAlign w:val="center"/>
                </w:tcPr>
                <w:p w14:paraId="031E94B3">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居民</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2300</w:t>
                  </w:r>
                  <w:r>
                    <w:rPr>
                      <w:rFonts w:hint="eastAsia"/>
                      <w:color w:val="000000" w:themeColor="text1"/>
                      <w:sz w:val="21"/>
                      <w:szCs w:val="21"/>
                      <w:highlight w:val="none"/>
                      <w14:textFill>
                        <w14:solidFill>
                          <w14:schemeClr w14:val="tx1"/>
                        </w14:solidFill>
                      </w14:textFill>
                    </w:rPr>
                    <w:t>人</w:t>
                  </w:r>
                </w:p>
              </w:tc>
              <w:tc>
                <w:tcPr>
                  <w:tcW w:w="2929" w:type="dxa"/>
                  <w:shd w:val="clear" w:color="auto" w:fill="auto"/>
                  <w:vAlign w:val="center"/>
                </w:tcPr>
                <w:p w14:paraId="473B54EB">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《环境空气质量标准》</w:t>
                  </w:r>
                  <w:r>
                    <w:rPr>
                      <w:color w:val="000000" w:themeColor="text1"/>
                      <w:sz w:val="21"/>
                      <w:szCs w:val="21"/>
                      <w:highlight w:val="none"/>
                      <w14:textFill>
                        <w14:solidFill>
                          <w14:schemeClr w14:val="tx1"/>
                        </w14:solidFill>
                      </w14:textFill>
                    </w:rPr>
                    <w:t>GB3095-2012</w:t>
                  </w:r>
                  <w:r>
                    <w:rPr>
                      <w:rFonts w:hint="eastAsia"/>
                      <w:color w:val="000000" w:themeColor="text1"/>
                      <w:sz w:val="21"/>
                      <w:szCs w:val="21"/>
                      <w:highlight w:val="none"/>
                      <w14:textFill>
                        <w14:solidFill>
                          <w14:schemeClr w14:val="tx1"/>
                        </w14:solidFill>
                      </w14:textFill>
                    </w:rPr>
                    <w:t>）中的二级标准</w:t>
                  </w:r>
                </w:p>
              </w:tc>
            </w:tr>
            <w:tr w14:paraId="219BF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221" w:type="dxa"/>
                  <w:shd w:val="clear" w:color="auto" w:fill="auto"/>
                  <w:vAlign w:val="center"/>
                </w:tcPr>
                <w:p w14:paraId="3AC1F611">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地表水</w:t>
                  </w:r>
                </w:p>
              </w:tc>
              <w:tc>
                <w:tcPr>
                  <w:tcW w:w="990" w:type="dxa"/>
                  <w:shd w:val="clear" w:color="auto" w:fill="auto"/>
                  <w:vAlign w:val="center"/>
                </w:tcPr>
                <w:p w14:paraId="4C9C0293">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淘江支流</w:t>
                  </w:r>
                </w:p>
              </w:tc>
              <w:tc>
                <w:tcPr>
                  <w:tcW w:w="1785" w:type="dxa"/>
                  <w:shd w:val="clear" w:color="auto" w:fill="auto"/>
                  <w:vAlign w:val="center"/>
                </w:tcPr>
                <w:p w14:paraId="41422902">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东</w:t>
                  </w:r>
                  <w:r>
                    <w:rPr>
                      <w:rFonts w:hint="eastAsia"/>
                      <w:color w:val="000000" w:themeColor="text1"/>
                      <w:sz w:val="21"/>
                      <w:szCs w:val="21"/>
                      <w:highlight w:val="none"/>
                      <w:lang w:val="en-US" w:eastAsia="zh-CN"/>
                      <w14:textFill>
                        <w14:solidFill>
                          <w14:schemeClr w14:val="tx1"/>
                        </w14:solidFill>
                      </w14:textFill>
                    </w:rPr>
                    <w:t>南侧，26m</w:t>
                  </w:r>
                </w:p>
              </w:tc>
              <w:tc>
                <w:tcPr>
                  <w:tcW w:w="1455" w:type="dxa"/>
                  <w:shd w:val="clear" w:color="auto" w:fill="auto"/>
                  <w:vAlign w:val="center"/>
                </w:tcPr>
                <w:p w14:paraId="0F6A0E8D">
                  <w:pPr>
                    <w:jc w:val="center"/>
                    <w:rPr>
                      <w:rFonts w:hint="default"/>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淘江支流水质</w:t>
                  </w:r>
                </w:p>
              </w:tc>
              <w:tc>
                <w:tcPr>
                  <w:tcW w:w="2929" w:type="dxa"/>
                  <w:shd w:val="clear" w:color="auto" w:fill="auto"/>
                  <w:vAlign w:val="center"/>
                </w:tcPr>
                <w:p w14:paraId="7BC97574">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《地表水环境质量标准》(GB3838-2002)</w:t>
                  </w:r>
                  <w:r>
                    <w:rPr>
                      <w:rFonts w:hint="eastAsia"/>
                      <w:color w:val="000000" w:themeColor="text1"/>
                      <w:sz w:val="21"/>
                      <w:szCs w:val="21"/>
                      <w:highlight w:val="none"/>
                      <w:lang w:val="en-US" w:eastAsia="zh-CN"/>
                      <w14:textFill>
                        <w14:solidFill>
                          <w14:schemeClr w14:val="tx1"/>
                        </w14:solidFill>
                      </w14:textFill>
                    </w:rPr>
                    <w:t>Ⅲ</w:t>
                  </w:r>
                  <w:r>
                    <w:rPr>
                      <w:rFonts w:hint="eastAsia"/>
                      <w:color w:val="000000" w:themeColor="text1"/>
                      <w:sz w:val="21"/>
                      <w:szCs w:val="21"/>
                      <w:highlight w:val="none"/>
                      <w:lang w:eastAsia="zh-CN"/>
                      <w14:textFill>
                        <w14:solidFill>
                          <w14:schemeClr w14:val="tx1"/>
                        </w14:solidFill>
                      </w14:textFill>
                    </w:rPr>
                    <w:t>类标准</w:t>
                  </w:r>
                </w:p>
              </w:tc>
            </w:tr>
            <w:tr w14:paraId="55868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221" w:type="dxa"/>
                  <w:shd w:val="clear" w:color="auto" w:fill="auto"/>
                  <w:vAlign w:val="center"/>
                </w:tcPr>
                <w:p w14:paraId="7E475F07">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声环境</w:t>
                  </w:r>
                </w:p>
              </w:tc>
              <w:tc>
                <w:tcPr>
                  <w:tcW w:w="7159" w:type="dxa"/>
                  <w:gridSpan w:val="4"/>
                  <w:shd w:val="clear" w:color="auto" w:fill="auto"/>
                  <w:vAlign w:val="center"/>
                </w:tcPr>
                <w:p w14:paraId="322104E7">
                  <w:pPr>
                    <w:jc w:val="cente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项目周边 50m 范围内无</w:t>
                  </w:r>
                  <w:r>
                    <w:rPr>
                      <w:rFonts w:hint="eastAsia"/>
                      <w:color w:val="000000" w:themeColor="text1"/>
                      <w:sz w:val="21"/>
                      <w:szCs w:val="21"/>
                      <w:highlight w:val="none"/>
                      <w:lang w:val="en-US" w:eastAsia="zh-CN"/>
                      <w14:textFill>
                        <w14:solidFill>
                          <w14:schemeClr w14:val="tx1"/>
                        </w14:solidFill>
                      </w14:textFill>
                    </w:rPr>
                    <w:t>声</w:t>
                  </w:r>
                  <w:r>
                    <w:rPr>
                      <w:rFonts w:hint="eastAsia"/>
                      <w:color w:val="000000" w:themeColor="text1"/>
                      <w:sz w:val="21"/>
                      <w:szCs w:val="21"/>
                      <w:highlight w:val="none"/>
                      <w:lang w:eastAsia="zh-CN"/>
                      <w14:textFill>
                        <w14:solidFill>
                          <w14:schemeClr w14:val="tx1"/>
                        </w14:solidFill>
                      </w14:textFill>
                    </w:rPr>
                    <w:t>环境保护目标</w:t>
                  </w:r>
                </w:p>
              </w:tc>
            </w:tr>
            <w:tr w14:paraId="4FFEB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221" w:type="dxa"/>
                  <w:shd w:val="clear" w:color="auto" w:fill="auto"/>
                  <w:vAlign w:val="center"/>
                </w:tcPr>
                <w:p w14:paraId="54DCA2C2">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地下水环境</w:t>
                  </w:r>
                </w:p>
              </w:tc>
              <w:tc>
                <w:tcPr>
                  <w:tcW w:w="7159" w:type="dxa"/>
                  <w:gridSpan w:val="4"/>
                  <w:shd w:val="clear" w:color="auto" w:fill="auto"/>
                  <w:vAlign w:val="center"/>
                </w:tcPr>
                <w:p w14:paraId="0A03F486">
                  <w:pPr>
                    <w:jc w:val="cente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项目厂界外 500m 范围内无特殊地下水资源。</w:t>
                  </w:r>
                </w:p>
              </w:tc>
            </w:tr>
            <w:tr w14:paraId="469C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221" w:type="dxa"/>
                  <w:shd w:val="clear" w:color="auto" w:fill="auto"/>
                  <w:vAlign w:val="center"/>
                </w:tcPr>
                <w:p w14:paraId="4C8AAD2C">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生态环境</w:t>
                  </w:r>
                </w:p>
              </w:tc>
              <w:tc>
                <w:tcPr>
                  <w:tcW w:w="7159" w:type="dxa"/>
                  <w:gridSpan w:val="4"/>
                  <w:shd w:val="clear" w:color="auto" w:fill="auto"/>
                  <w:vAlign w:val="center"/>
                </w:tcPr>
                <w:p w14:paraId="2A7929E5">
                  <w:pPr>
                    <w:jc w:val="center"/>
                    <w:rPr>
                      <w:rFonts w:hint="eastAsia"/>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eastAsia="zh-CN"/>
                      <w14:textFill>
                        <w14:solidFill>
                          <w14:schemeClr w14:val="tx1"/>
                        </w14:solidFill>
                      </w14:textFill>
                    </w:rPr>
                    <w:t>本项目不属于产业园区外建设项目新增用地的。</w:t>
                  </w:r>
                </w:p>
              </w:tc>
            </w:tr>
          </w:tbl>
          <w:p w14:paraId="5DFA6188">
            <w:pPr>
              <w:spacing w:line="360" w:lineRule="auto"/>
              <w:rPr>
                <w:rFonts w:cs="宋体"/>
                <w:color w:val="000000" w:themeColor="text1"/>
                <w:sz w:val="24"/>
                <w:highlight w:val="none"/>
                <w14:textFill>
                  <w14:solidFill>
                    <w14:schemeClr w14:val="tx1"/>
                  </w14:solidFill>
                </w14:textFill>
              </w:rPr>
            </w:pPr>
          </w:p>
        </w:tc>
      </w:tr>
      <w:tr w14:paraId="359F1C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2" w:type="dxa"/>
          <w:trHeight w:val="4001" w:hRule="atLeast"/>
          <w:jc w:val="center"/>
        </w:trPr>
        <w:tc>
          <w:tcPr>
            <w:tcW w:w="423" w:type="dxa"/>
            <w:tcMar>
              <w:left w:w="28" w:type="dxa"/>
              <w:right w:w="28" w:type="dxa"/>
            </w:tcMar>
            <w:vAlign w:val="center"/>
          </w:tcPr>
          <w:p w14:paraId="02AF2CAE">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污染</w:t>
            </w:r>
          </w:p>
          <w:p w14:paraId="1551BA99">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物排</w:t>
            </w:r>
          </w:p>
          <w:p w14:paraId="7B703993">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放控</w:t>
            </w:r>
          </w:p>
          <w:p w14:paraId="1B5DC3E0">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制标</w:t>
            </w:r>
          </w:p>
          <w:p w14:paraId="77302B6F">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准</w:t>
            </w:r>
          </w:p>
        </w:tc>
        <w:tc>
          <w:tcPr>
            <w:tcW w:w="8606" w:type="dxa"/>
            <w:vAlign w:val="center"/>
          </w:tcPr>
          <w:p w14:paraId="0DFF30F9">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 xml:space="preserve">3.7 </w:t>
            </w:r>
            <w:r>
              <w:rPr>
                <w:rFonts w:hint="eastAsia"/>
                <w:color w:val="000000" w:themeColor="text1"/>
                <w:sz w:val="24"/>
                <w:szCs w:val="21"/>
                <w:highlight w:val="none"/>
                <w14:textFill>
                  <w14:solidFill>
                    <w14:schemeClr w14:val="tx1"/>
                  </w14:solidFill>
                </w14:textFill>
              </w:rPr>
              <w:t>大气污染物排放标准</w:t>
            </w:r>
          </w:p>
          <w:p w14:paraId="60E703FE">
            <w:pPr>
              <w:spacing w:line="360" w:lineRule="auto"/>
              <w:ind w:firstLine="480" w:firstLineChars="200"/>
              <w:rPr>
                <w:rFonts w:hint="default" w:eastAsia="宋体" w:cs="宋体"/>
                <w:bCs/>
                <w:color w:val="000000" w:themeColor="text1"/>
                <w:sz w:val="24"/>
                <w:szCs w:val="24"/>
                <w:highlight w:val="none"/>
                <w:lang w:val="en-US" w:eastAsia="zh-CN"/>
                <w14:textFill>
                  <w14:solidFill>
                    <w14:schemeClr w14:val="tx1"/>
                  </w14:solidFill>
                </w14:textFill>
              </w:rPr>
            </w:pPr>
            <w:r>
              <w:rPr>
                <w:rFonts w:hint="eastAsia" w:cs="宋体"/>
                <w:bCs/>
                <w:color w:val="000000" w:themeColor="text1"/>
                <w:sz w:val="24"/>
                <w:szCs w:val="24"/>
                <w:highlight w:val="none"/>
                <w:lang w:val="en-US" w:eastAsia="zh-CN"/>
                <w14:textFill>
                  <w14:solidFill>
                    <w14:schemeClr w14:val="tx1"/>
                  </w14:solidFill>
                </w14:textFill>
              </w:rPr>
              <w:t>（1）有组织</w:t>
            </w:r>
          </w:p>
          <w:p w14:paraId="5C8F476A">
            <w:pPr>
              <w:spacing w:line="360" w:lineRule="auto"/>
              <w:ind w:firstLine="480" w:firstLineChars="200"/>
              <w:rPr>
                <w:rFonts w:hint="eastAsia" w:cs="宋体"/>
                <w:bCs/>
                <w:color w:val="000000" w:themeColor="text1"/>
                <w:sz w:val="24"/>
                <w:szCs w:val="24"/>
                <w:highlight w:val="none"/>
                <w:lang w:val="en-US" w:eastAsia="zh-CN"/>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项目原辅材料涉及</w:t>
            </w:r>
            <w:r>
              <w:rPr>
                <w:rFonts w:hint="eastAsia" w:cs="宋体"/>
                <w:bCs/>
                <w:color w:val="000000" w:themeColor="text1"/>
                <w:sz w:val="24"/>
                <w:szCs w:val="24"/>
                <w:highlight w:val="none"/>
                <w:lang w:val="en-US" w:eastAsia="zh-CN"/>
                <w14:textFill>
                  <w14:solidFill>
                    <w14:schemeClr w14:val="tx1"/>
                  </w14:solidFill>
                </w14:textFill>
              </w:rPr>
              <w:t>聚乙烯</w:t>
            </w:r>
            <w:r>
              <w:rPr>
                <w:rFonts w:hint="eastAsia" w:cs="宋体"/>
                <w:bCs/>
                <w:color w:val="000000" w:themeColor="text1"/>
                <w:sz w:val="24"/>
                <w:szCs w:val="24"/>
                <w:highlight w:val="none"/>
                <w14:textFill>
                  <w14:solidFill>
                    <w14:schemeClr w14:val="tx1"/>
                  </w14:solidFill>
                </w14:textFill>
              </w:rPr>
              <w:t>，属于以合成树脂为原料的生产企业，</w:t>
            </w:r>
            <w:r>
              <w:rPr>
                <w:rFonts w:hint="eastAsia" w:cs="宋体"/>
                <w:bCs/>
                <w:color w:val="000000" w:themeColor="text1"/>
                <w:sz w:val="24"/>
                <w:szCs w:val="24"/>
                <w:highlight w:val="none"/>
                <w:lang w:val="en-US" w:eastAsia="zh-CN"/>
                <w14:textFill>
                  <w14:solidFill>
                    <w14:schemeClr w14:val="tx1"/>
                  </w14:solidFill>
                </w14:textFill>
              </w:rPr>
              <w:t>项目位于福州市闽侯县，根据《关于执行大气污染物特别排放限值的公告》（公告2013年 第14号），福州属于重点控制区，</w:t>
            </w:r>
            <w:r>
              <w:rPr>
                <w:rFonts w:hint="eastAsia" w:cs="宋体"/>
                <w:bCs/>
                <w:color w:val="000000" w:themeColor="text1"/>
                <w:sz w:val="24"/>
                <w:szCs w:val="24"/>
                <w:highlight w:val="none"/>
                <w14:textFill>
                  <w14:solidFill>
                    <w14:schemeClr w14:val="tx1"/>
                  </w14:solidFill>
                </w14:textFill>
              </w:rPr>
              <w:t>因此运营期产生的有机废气(以非甲烷总烃表征)</w:t>
            </w:r>
            <w:r>
              <w:rPr>
                <w:rFonts w:hint="eastAsia" w:cs="宋体"/>
                <w:bCs/>
                <w:color w:val="000000" w:themeColor="text1"/>
                <w:sz w:val="24"/>
                <w:szCs w:val="24"/>
                <w:highlight w:val="none"/>
                <w:lang w:val="en-US" w:eastAsia="zh-CN"/>
                <w14:textFill>
                  <w14:solidFill>
                    <w14:schemeClr w14:val="tx1"/>
                  </w14:solidFill>
                </w14:textFill>
              </w:rPr>
              <w:t>参照</w:t>
            </w:r>
            <w:r>
              <w:rPr>
                <w:rFonts w:hint="eastAsia" w:cs="宋体"/>
                <w:bCs/>
                <w:color w:val="000000" w:themeColor="text1"/>
                <w:sz w:val="24"/>
                <w:szCs w:val="24"/>
                <w:highlight w:val="none"/>
                <w14:textFill>
                  <w14:solidFill>
                    <w14:schemeClr w14:val="tx1"/>
                  </w14:solidFill>
                </w14:textFill>
              </w:rPr>
              <w:t>执行《合成树脂工业污染物排放标准》</w:t>
            </w:r>
            <w:r>
              <w:rPr>
                <w:rFonts w:hint="eastAsia" w:cs="宋体"/>
                <w:bCs/>
                <w:color w:val="000000" w:themeColor="text1"/>
                <w:sz w:val="24"/>
                <w:szCs w:val="24"/>
                <w:highlight w:val="none"/>
                <w:lang w:val="en-US" w:eastAsia="zh-CN"/>
                <w14:textFill>
                  <w14:solidFill>
                    <w14:schemeClr w14:val="tx1"/>
                  </w14:solidFill>
                </w14:textFill>
              </w:rPr>
              <w:t>(</w:t>
            </w:r>
            <w:r>
              <w:rPr>
                <w:rFonts w:hint="eastAsia" w:cs="宋体"/>
                <w:bCs/>
                <w:color w:val="000000" w:themeColor="text1"/>
                <w:sz w:val="24"/>
                <w:szCs w:val="24"/>
                <w:highlight w:val="none"/>
                <w14:textFill>
                  <w14:solidFill>
                    <w14:schemeClr w14:val="tx1"/>
                  </w14:solidFill>
                </w14:textFill>
              </w:rPr>
              <w:t>GB31572-2015)及修改单表</w:t>
            </w:r>
            <w:r>
              <w:rPr>
                <w:rFonts w:hint="eastAsia" w:cs="宋体"/>
                <w:bCs/>
                <w:color w:val="000000" w:themeColor="text1"/>
                <w:sz w:val="24"/>
                <w:szCs w:val="24"/>
                <w:highlight w:val="none"/>
                <w:lang w:val="en-US" w:eastAsia="zh-CN"/>
                <w14:textFill>
                  <w14:solidFill>
                    <w14:schemeClr w14:val="tx1"/>
                  </w14:solidFill>
                </w14:textFill>
              </w:rPr>
              <w:t>5</w:t>
            </w:r>
            <w:r>
              <w:rPr>
                <w:rFonts w:hint="eastAsia" w:cs="宋体"/>
                <w:bCs/>
                <w:color w:val="000000" w:themeColor="text1"/>
                <w:sz w:val="24"/>
                <w:szCs w:val="24"/>
                <w:highlight w:val="none"/>
                <w14:textFill>
                  <w14:solidFill>
                    <w14:schemeClr w14:val="tx1"/>
                  </w14:solidFill>
                </w14:textFill>
              </w:rPr>
              <w:t>的大气污染物</w:t>
            </w:r>
            <w:r>
              <w:rPr>
                <w:rFonts w:hint="eastAsia" w:cs="宋体"/>
                <w:bCs/>
                <w:color w:val="000000" w:themeColor="text1"/>
                <w:sz w:val="24"/>
                <w:szCs w:val="24"/>
                <w:highlight w:val="none"/>
                <w:lang w:val="en-US" w:eastAsia="zh-CN"/>
                <w14:textFill>
                  <w14:solidFill>
                    <w14:schemeClr w14:val="tx1"/>
                  </w14:solidFill>
                </w14:textFill>
              </w:rPr>
              <w:t>特别</w:t>
            </w:r>
            <w:r>
              <w:rPr>
                <w:rFonts w:hint="eastAsia" w:cs="宋体"/>
                <w:bCs/>
                <w:color w:val="000000" w:themeColor="text1"/>
                <w:sz w:val="24"/>
                <w:szCs w:val="24"/>
                <w:highlight w:val="none"/>
                <w14:textFill>
                  <w14:solidFill>
                    <w14:schemeClr w14:val="tx1"/>
                  </w14:solidFill>
                </w14:textFill>
              </w:rPr>
              <w:t>排放限值</w:t>
            </w:r>
            <w:r>
              <w:rPr>
                <w:rFonts w:hint="eastAsia" w:cs="宋体"/>
                <w:bCs/>
                <w:color w:val="000000" w:themeColor="text1"/>
                <w:sz w:val="24"/>
                <w:szCs w:val="24"/>
                <w:highlight w:val="none"/>
                <w:lang w:eastAsia="zh-CN"/>
                <w14:textFill>
                  <w14:solidFill>
                    <w14:schemeClr w14:val="tx1"/>
                  </w14:solidFill>
                </w14:textFill>
              </w:rPr>
              <w:t>，</w:t>
            </w:r>
            <w:r>
              <w:rPr>
                <w:rFonts w:hint="eastAsia" w:cs="宋体"/>
                <w:bCs/>
                <w:color w:val="000000" w:themeColor="text1"/>
                <w:sz w:val="24"/>
                <w:szCs w:val="24"/>
                <w:highlight w:val="none"/>
                <w:lang w:val="en-US" w:eastAsia="zh-CN"/>
                <w14:textFill>
                  <w14:solidFill>
                    <w14:schemeClr w14:val="tx1"/>
                  </w14:solidFill>
                </w14:textFill>
              </w:rPr>
              <w:t>具体见下表。</w:t>
            </w:r>
          </w:p>
          <w:p w14:paraId="20AC5D96">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表3-2  本项目大气污染物有组织排放浓度限值</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403"/>
              <w:gridCol w:w="2623"/>
              <w:gridCol w:w="802"/>
              <w:gridCol w:w="1171"/>
              <w:gridCol w:w="1003"/>
              <w:gridCol w:w="1211"/>
              <w:gridCol w:w="1167"/>
            </w:tblGrid>
            <w:tr w14:paraId="73D42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blHeader/>
                <w:jc w:val="center"/>
              </w:trPr>
              <w:tc>
                <w:tcPr>
                  <w:tcW w:w="241" w:type="pct"/>
                  <w:shd w:val="clear" w:color="auto" w:fill="auto"/>
                  <w:vAlign w:val="center"/>
                </w:tcPr>
                <w:p w14:paraId="4EBF8BF6">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序号</w:t>
                  </w:r>
                </w:p>
              </w:tc>
              <w:tc>
                <w:tcPr>
                  <w:tcW w:w="1564" w:type="pct"/>
                  <w:shd w:val="clear" w:color="auto" w:fill="auto"/>
                  <w:vAlign w:val="center"/>
                </w:tcPr>
                <w:p w14:paraId="4747B997">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标准</w:t>
                  </w:r>
                </w:p>
              </w:tc>
              <w:tc>
                <w:tcPr>
                  <w:tcW w:w="478" w:type="pct"/>
                  <w:shd w:val="clear" w:color="auto" w:fill="auto"/>
                  <w:vAlign w:val="center"/>
                </w:tcPr>
                <w:p w14:paraId="1BB3FD14">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污染物项目</w:t>
                  </w:r>
                </w:p>
              </w:tc>
              <w:tc>
                <w:tcPr>
                  <w:tcW w:w="698" w:type="pct"/>
                  <w:shd w:val="clear" w:color="auto" w:fill="auto"/>
                  <w:vAlign w:val="center"/>
                </w:tcPr>
                <w:p w14:paraId="4F6B61F7">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w:t>
                  </w:r>
                  <w:r>
                    <w:rPr>
                      <w:rFonts w:hint="eastAsia"/>
                      <w:color w:val="000000" w:themeColor="text1"/>
                      <w:sz w:val="21"/>
                      <w:szCs w:val="21"/>
                      <w:highlight w:val="none"/>
                      <w14:textFill>
                        <w14:solidFill>
                          <w14:schemeClr w14:val="tx1"/>
                        </w14:solidFill>
                      </w14:textFill>
                    </w:rPr>
                    <w:t>限值</w:t>
                  </w:r>
                  <w:r>
                    <w:rPr>
                      <w:rFonts w:hint="eastAsia"/>
                      <w:color w:val="000000" w:themeColor="text1"/>
                      <w:sz w:val="21"/>
                      <w:szCs w:val="21"/>
                      <w:highlight w:val="none"/>
                      <w:lang w:eastAsia="zh-CN"/>
                      <w14:textFill>
                        <w14:solidFill>
                          <w14:schemeClr w14:val="tx1"/>
                        </w14:solidFill>
                      </w14:textFill>
                    </w:rPr>
                    <w:t>（</w:t>
                  </w:r>
                  <w:r>
                    <w:rPr>
                      <w:color w:val="000000" w:themeColor="text1"/>
                      <w:sz w:val="24"/>
                      <w:szCs w:val="24"/>
                      <w:highlight w:val="none"/>
                      <w14:textFill>
                        <w14:solidFill>
                          <w14:schemeClr w14:val="tx1"/>
                        </w14:solidFill>
                      </w14:textFill>
                    </w:rPr>
                    <w:t>mg/m</w:t>
                  </w:r>
                  <w:r>
                    <w:rPr>
                      <w:color w:val="000000" w:themeColor="text1"/>
                      <w:sz w:val="24"/>
                      <w:szCs w:val="24"/>
                      <w:highlight w:val="none"/>
                      <w:vertAlign w:val="superscript"/>
                      <w14:textFill>
                        <w14:solidFill>
                          <w14:schemeClr w14:val="tx1"/>
                        </w14:solidFill>
                      </w14:textFill>
                    </w:rPr>
                    <w:t>3</w:t>
                  </w:r>
                  <w:r>
                    <w:rPr>
                      <w:rFonts w:hint="eastAsia"/>
                      <w:color w:val="000000" w:themeColor="text1"/>
                      <w:sz w:val="21"/>
                      <w:szCs w:val="21"/>
                      <w:highlight w:val="none"/>
                      <w:lang w:eastAsia="zh-CN"/>
                      <w14:textFill>
                        <w14:solidFill>
                          <w14:schemeClr w14:val="tx1"/>
                        </w14:solidFill>
                      </w14:textFill>
                    </w:rPr>
                    <w:t>）</w:t>
                  </w:r>
                </w:p>
              </w:tc>
              <w:tc>
                <w:tcPr>
                  <w:tcW w:w="598" w:type="pct"/>
                  <w:shd w:val="clear" w:color="auto" w:fill="auto"/>
                  <w:vAlign w:val="center"/>
                </w:tcPr>
                <w:p w14:paraId="629A2959">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排气筒高度</w:t>
                  </w:r>
                </w:p>
              </w:tc>
              <w:tc>
                <w:tcPr>
                  <w:tcW w:w="722" w:type="pct"/>
                  <w:shd w:val="clear" w:color="auto" w:fill="auto"/>
                  <w:vAlign w:val="center"/>
                </w:tcPr>
                <w:p w14:paraId="6E612A79">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适用的合成树脂类型</w:t>
                  </w:r>
                </w:p>
              </w:tc>
              <w:tc>
                <w:tcPr>
                  <w:tcW w:w="696" w:type="pct"/>
                  <w:shd w:val="clear" w:color="auto" w:fill="auto"/>
                  <w:vAlign w:val="center"/>
                </w:tcPr>
                <w:p w14:paraId="12288979">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污染物排放监控位置</w:t>
                  </w:r>
                </w:p>
              </w:tc>
            </w:tr>
            <w:tr w14:paraId="0D824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jc w:val="center"/>
              </w:trPr>
              <w:tc>
                <w:tcPr>
                  <w:tcW w:w="241" w:type="pct"/>
                  <w:shd w:val="clear" w:color="auto" w:fill="auto"/>
                  <w:vAlign w:val="center"/>
                </w:tcPr>
                <w:p w14:paraId="44A9D30A">
                  <w:pPr>
                    <w:pStyle w:val="70"/>
                    <w:adjustRightInd/>
                    <w:snapToGrid/>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1564" w:type="pct"/>
                  <w:shd w:val="clear" w:color="auto" w:fill="auto"/>
                  <w:vAlign w:val="center"/>
                </w:tcPr>
                <w:p w14:paraId="235235BC">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《合成树脂工业污染物排放标准》</w:t>
                  </w:r>
                  <w:r>
                    <w:rPr>
                      <w:rFonts w:hint="eastAsia"/>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14:textFill>
                        <w14:solidFill>
                          <w14:schemeClr w14:val="tx1"/>
                        </w14:solidFill>
                      </w14:textFill>
                    </w:rPr>
                    <w:t>GB31572-2015)及修改单的表4的大气污染物排放限值</w:t>
                  </w:r>
                </w:p>
              </w:tc>
              <w:tc>
                <w:tcPr>
                  <w:tcW w:w="478" w:type="pct"/>
                  <w:shd w:val="clear" w:color="auto" w:fill="auto"/>
                  <w:vAlign w:val="center"/>
                </w:tcPr>
                <w:p w14:paraId="55B414A8">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非甲烷总烃</w:t>
                  </w:r>
                </w:p>
              </w:tc>
              <w:tc>
                <w:tcPr>
                  <w:tcW w:w="698" w:type="pct"/>
                  <w:shd w:val="clear" w:color="auto" w:fill="auto"/>
                  <w:vAlign w:val="center"/>
                </w:tcPr>
                <w:p w14:paraId="619FA857">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60</w:t>
                  </w:r>
                </w:p>
              </w:tc>
              <w:tc>
                <w:tcPr>
                  <w:tcW w:w="598" w:type="pct"/>
                  <w:shd w:val="clear" w:color="auto" w:fill="auto"/>
                  <w:vAlign w:val="center"/>
                </w:tcPr>
                <w:p w14:paraId="585562DB">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≥15m</w:t>
                  </w:r>
                </w:p>
              </w:tc>
              <w:tc>
                <w:tcPr>
                  <w:tcW w:w="722" w:type="pct"/>
                  <w:shd w:val="clear" w:color="auto" w:fill="auto"/>
                  <w:vAlign w:val="center"/>
                </w:tcPr>
                <w:p w14:paraId="756D13DF">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所有合成树脂</w:t>
                  </w:r>
                </w:p>
              </w:tc>
              <w:tc>
                <w:tcPr>
                  <w:tcW w:w="696" w:type="pct"/>
                  <w:shd w:val="clear" w:color="auto" w:fill="auto"/>
                  <w:vAlign w:val="center"/>
                </w:tcPr>
                <w:p w14:paraId="1A171BD7">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车间或生产设施排气筒</w:t>
                  </w:r>
                </w:p>
              </w:tc>
            </w:tr>
          </w:tbl>
          <w:p w14:paraId="2C86B6E8">
            <w:pPr>
              <w:spacing w:line="360" w:lineRule="auto"/>
              <w:ind w:firstLine="440" w:firstLineChars="200"/>
              <w:rPr>
                <w:rFonts w:hint="eastAsia" w:cs="宋体"/>
                <w:bCs/>
                <w:color w:val="000000" w:themeColor="text1"/>
                <w:sz w:val="22"/>
                <w:szCs w:val="22"/>
                <w:highlight w:val="none"/>
                <w:lang w:eastAsia="zh-CN"/>
                <w14:textFill>
                  <w14:solidFill>
                    <w14:schemeClr w14:val="tx1"/>
                  </w14:solidFill>
                </w14:textFill>
              </w:rPr>
            </w:pPr>
            <w:r>
              <w:rPr>
                <w:rFonts w:hint="eastAsia" w:cs="宋体"/>
                <w:bCs/>
                <w:color w:val="000000" w:themeColor="text1"/>
                <w:sz w:val="22"/>
                <w:szCs w:val="22"/>
                <w:highlight w:val="none"/>
                <w:lang w:val="en-US" w:eastAsia="zh-CN"/>
                <w14:textFill>
                  <w14:solidFill>
                    <w14:schemeClr w14:val="tx1"/>
                  </w14:solidFill>
                </w14:textFill>
              </w:rPr>
              <w:t>注：根据</w:t>
            </w:r>
            <w:r>
              <w:rPr>
                <w:rFonts w:hint="eastAsia" w:cs="宋体"/>
                <w:bCs/>
                <w:color w:val="000000" w:themeColor="text1"/>
                <w:sz w:val="22"/>
                <w:szCs w:val="22"/>
                <w:highlight w:val="none"/>
                <w:lang w:eastAsia="zh-CN"/>
                <w14:textFill>
                  <w14:solidFill>
                    <w14:schemeClr w14:val="tx1"/>
                  </w14:solidFill>
                </w14:textFill>
              </w:rPr>
              <w:t>《合成树脂工业污染物排放标准》(GB31572-2015)及修改单</w:t>
            </w:r>
            <w:r>
              <w:rPr>
                <w:rFonts w:hint="eastAsia" w:cs="宋体"/>
                <w:bCs/>
                <w:color w:val="000000" w:themeColor="text1"/>
                <w:sz w:val="22"/>
                <w:szCs w:val="22"/>
                <w:highlight w:val="none"/>
                <w:lang w:val="en-US" w:eastAsia="zh-CN"/>
                <w14:textFill>
                  <w14:solidFill>
                    <w14:schemeClr w14:val="tx1"/>
                  </w14:solidFill>
                </w14:textFill>
              </w:rPr>
              <w:t>的5.6条规定</w:t>
            </w:r>
            <w:r>
              <w:rPr>
                <w:rFonts w:hint="eastAsia" w:cs="宋体"/>
                <w:bCs/>
                <w:color w:val="000000" w:themeColor="text1"/>
                <w:sz w:val="22"/>
                <w:szCs w:val="22"/>
                <w:highlight w:val="none"/>
                <w:lang w:eastAsia="zh-CN"/>
                <w14:textFill>
                  <w14:solidFill>
                    <w14:schemeClr w14:val="tx1"/>
                  </w14:solidFill>
                </w14:textFill>
              </w:rPr>
              <w:t>，塑料制品</w:t>
            </w:r>
            <w:r>
              <w:rPr>
                <w:rFonts w:hint="eastAsia" w:cs="宋体"/>
                <w:bCs/>
                <w:color w:val="000000" w:themeColor="text1"/>
                <w:sz w:val="22"/>
                <w:szCs w:val="22"/>
                <w:highlight w:val="none"/>
                <w:lang w:val="en-US" w:eastAsia="zh-CN"/>
                <w14:textFill>
                  <w14:solidFill>
                    <w14:schemeClr w14:val="tx1"/>
                  </w14:solidFill>
                </w14:textFill>
              </w:rPr>
              <w:t>工业企业</w:t>
            </w:r>
            <w:r>
              <w:rPr>
                <w:rFonts w:hint="eastAsia" w:cs="宋体"/>
                <w:bCs/>
                <w:color w:val="000000" w:themeColor="text1"/>
                <w:sz w:val="22"/>
                <w:szCs w:val="22"/>
                <w:highlight w:val="none"/>
                <w:lang w:eastAsia="zh-CN"/>
                <w14:textFill>
                  <w14:solidFill>
                    <w14:schemeClr w14:val="tx1"/>
                  </w14:solidFill>
                </w14:textFill>
              </w:rPr>
              <w:t>不</w:t>
            </w:r>
            <w:r>
              <w:rPr>
                <w:rFonts w:hint="eastAsia" w:cs="宋体"/>
                <w:bCs/>
                <w:color w:val="000000" w:themeColor="text1"/>
                <w:sz w:val="22"/>
                <w:szCs w:val="22"/>
                <w:highlight w:val="none"/>
                <w:lang w:val="en-US" w:eastAsia="zh-CN"/>
                <w14:textFill>
                  <w14:solidFill>
                    <w14:schemeClr w14:val="tx1"/>
                  </w14:solidFill>
                </w14:textFill>
              </w:rPr>
              <w:t>执行</w:t>
            </w:r>
            <w:r>
              <w:rPr>
                <w:rFonts w:hint="eastAsia" w:cs="宋体"/>
                <w:bCs/>
                <w:color w:val="000000" w:themeColor="text1"/>
                <w:sz w:val="22"/>
                <w:szCs w:val="22"/>
                <w:highlight w:val="none"/>
                <w:lang w:eastAsia="zh-CN"/>
                <w14:textFill>
                  <w14:solidFill>
                    <w14:schemeClr w14:val="tx1"/>
                  </w14:solidFill>
                </w14:textFill>
              </w:rPr>
              <w:t>单位产品非甲烷总烃排放量</w:t>
            </w:r>
            <w:r>
              <w:rPr>
                <w:rFonts w:hint="eastAsia" w:cs="宋体"/>
                <w:bCs/>
                <w:color w:val="000000" w:themeColor="text1"/>
                <w:sz w:val="22"/>
                <w:szCs w:val="22"/>
                <w:highlight w:val="none"/>
                <w:lang w:val="en-US" w:eastAsia="zh-CN"/>
                <w14:textFill>
                  <w14:solidFill>
                    <w14:schemeClr w14:val="tx1"/>
                  </w14:solidFill>
                </w14:textFill>
              </w:rPr>
              <w:t>的限值</w:t>
            </w:r>
            <w:r>
              <w:rPr>
                <w:rFonts w:hint="eastAsia" w:cs="宋体"/>
                <w:bCs/>
                <w:color w:val="000000" w:themeColor="text1"/>
                <w:sz w:val="22"/>
                <w:szCs w:val="22"/>
                <w:highlight w:val="none"/>
                <w:lang w:eastAsia="zh-CN"/>
                <w14:textFill>
                  <w14:solidFill>
                    <w14:schemeClr w14:val="tx1"/>
                  </w14:solidFill>
                </w14:textFill>
              </w:rPr>
              <w:t>。</w:t>
            </w:r>
          </w:p>
          <w:p w14:paraId="0EE16BDC">
            <w:pPr>
              <w:spacing w:line="360" w:lineRule="auto"/>
              <w:ind w:firstLine="480" w:firstLineChars="200"/>
              <w:rPr>
                <w:rFonts w:hint="default" w:eastAsia="宋体" w:cs="宋体"/>
                <w:bCs/>
                <w:color w:val="000000" w:themeColor="text1"/>
                <w:sz w:val="24"/>
                <w:szCs w:val="24"/>
                <w:highlight w:val="none"/>
                <w:lang w:val="en-US" w:eastAsia="zh-CN"/>
                <w14:textFill>
                  <w14:solidFill>
                    <w14:schemeClr w14:val="tx1"/>
                  </w14:solidFill>
                </w14:textFill>
              </w:rPr>
            </w:pPr>
            <w:r>
              <w:rPr>
                <w:rFonts w:hint="eastAsia" w:cs="宋体"/>
                <w:bCs/>
                <w:color w:val="000000" w:themeColor="text1"/>
                <w:sz w:val="24"/>
                <w:szCs w:val="24"/>
                <w:highlight w:val="none"/>
                <w:lang w:eastAsia="zh-CN"/>
                <w14:textFill>
                  <w14:solidFill>
                    <w14:schemeClr w14:val="tx1"/>
                  </w14:solidFill>
                </w14:textFill>
              </w:rPr>
              <w:t>（</w:t>
            </w:r>
            <w:r>
              <w:rPr>
                <w:rFonts w:hint="eastAsia" w:cs="宋体"/>
                <w:bCs/>
                <w:color w:val="000000" w:themeColor="text1"/>
                <w:sz w:val="24"/>
                <w:szCs w:val="24"/>
                <w:highlight w:val="none"/>
                <w:lang w:val="en-US" w:eastAsia="zh-CN"/>
                <w14:textFill>
                  <w14:solidFill>
                    <w14:schemeClr w14:val="tx1"/>
                  </w14:solidFill>
                </w14:textFill>
              </w:rPr>
              <w:t>2</w:t>
            </w:r>
            <w:r>
              <w:rPr>
                <w:rFonts w:hint="eastAsia" w:cs="宋体"/>
                <w:bCs/>
                <w:color w:val="000000" w:themeColor="text1"/>
                <w:sz w:val="24"/>
                <w:szCs w:val="24"/>
                <w:highlight w:val="none"/>
                <w:lang w:eastAsia="zh-CN"/>
                <w14:textFill>
                  <w14:solidFill>
                    <w14:schemeClr w14:val="tx1"/>
                  </w14:solidFill>
                </w14:textFill>
              </w:rPr>
              <w:t>）</w:t>
            </w:r>
            <w:r>
              <w:rPr>
                <w:rFonts w:hint="eastAsia" w:cs="宋体"/>
                <w:bCs/>
                <w:color w:val="000000" w:themeColor="text1"/>
                <w:sz w:val="24"/>
                <w:szCs w:val="24"/>
                <w:highlight w:val="none"/>
                <w:lang w:val="en-US" w:eastAsia="zh-CN"/>
                <w14:textFill>
                  <w14:solidFill>
                    <w14:schemeClr w14:val="tx1"/>
                  </w14:solidFill>
                </w14:textFill>
              </w:rPr>
              <w:t>无组织</w:t>
            </w:r>
          </w:p>
          <w:p w14:paraId="3C530142">
            <w:pPr>
              <w:spacing w:line="360" w:lineRule="auto"/>
              <w:ind w:firstLine="480" w:firstLineChars="200"/>
              <w:rPr>
                <w:rFonts w:hint="default" w:eastAsia="宋体" w:cs="宋体"/>
                <w:bCs/>
                <w:color w:val="000000" w:themeColor="text1"/>
                <w:sz w:val="24"/>
                <w:szCs w:val="24"/>
                <w:highlight w:val="none"/>
                <w:lang w:val="en-US" w:eastAsia="zh-CN"/>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项目厂界无组织排放的非甲烷总烃执行《合成树脂工业污染物排放标准》(GB31572-2015)及修改单中表9企业边界大气污染物</w:t>
            </w:r>
            <w:r>
              <w:rPr>
                <w:rFonts w:hint="eastAsia" w:cs="宋体"/>
                <w:bCs/>
                <w:color w:val="000000" w:themeColor="text1"/>
                <w:sz w:val="24"/>
                <w:szCs w:val="24"/>
                <w:highlight w:val="none"/>
                <w:lang w:val="en-US" w:eastAsia="zh-CN"/>
                <w14:textFill>
                  <w14:solidFill>
                    <w14:schemeClr w14:val="tx1"/>
                  </w14:solidFill>
                </w14:textFill>
              </w:rPr>
              <w:t>浓</w:t>
            </w:r>
            <w:r>
              <w:rPr>
                <w:rFonts w:hint="eastAsia" w:cs="宋体"/>
                <w:bCs/>
                <w:color w:val="000000" w:themeColor="text1"/>
                <w:sz w:val="24"/>
                <w:szCs w:val="24"/>
                <w:highlight w:val="none"/>
                <w14:textFill>
                  <w14:solidFill>
                    <w14:schemeClr w14:val="tx1"/>
                  </w14:solidFill>
                </w14:textFill>
              </w:rPr>
              <w:t>度限值</w:t>
            </w:r>
            <w:r>
              <w:rPr>
                <w:rFonts w:hint="eastAsia" w:cs="宋体"/>
                <w:bCs/>
                <w:color w:val="000000" w:themeColor="text1"/>
                <w:sz w:val="24"/>
                <w:szCs w:val="24"/>
                <w:highlight w:val="none"/>
                <w:lang w:eastAsia="zh-CN"/>
                <w14:textFill>
                  <w14:solidFill>
                    <w14:schemeClr w14:val="tx1"/>
                  </w14:solidFill>
                </w14:textFill>
              </w:rPr>
              <w:t>，</w:t>
            </w:r>
            <w:r>
              <w:rPr>
                <w:rFonts w:hint="eastAsia" w:cs="宋体"/>
                <w:bCs/>
                <w:color w:val="000000" w:themeColor="text1"/>
                <w:sz w:val="24"/>
                <w:szCs w:val="24"/>
                <w:highlight w:val="none"/>
                <w:lang w:val="en-US" w:eastAsia="zh-CN"/>
                <w14:textFill>
                  <w14:solidFill>
                    <w14:schemeClr w14:val="tx1"/>
                  </w14:solidFill>
                </w14:textFill>
              </w:rPr>
              <w:t>具体见下表。厂区内监控点执行《挥发性有机物无组织排放控制标准（GB37822-2019）》附录A表A.1厂区内VOCs无组织特别排放限值。</w:t>
            </w:r>
          </w:p>
          <w:p w14:paraId="4CA97003">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表3-3  本项目大气污染物无组织排放浓度限值</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57" w:type="dxa"/>
                <w:bottom w:w="28" w:type="dxa"/>
                <w:right w:w="57" w:type="dxa"/>
              </w:tblCellMar>
            </w:tblPr>
            <w:tblGrid>
              <w:gridCol w:w="548"/>
              <w:gridCol w:w="2706"/>
              <w:gridCol w:w="840"/>
              <w:gridCol w:w="555"/>
              <w:gridCol w:w="2505"/>
              <w:gridCol w:w="1226"/>
            </w:tblGrid>
            <w:tr w14:paraId="5E279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blHeader/>
                <w:jc w:val="center"/>
              </w:trPr>
              <w:tc>
                <w:tcPr>
                  <w:tcW w:w="326" w:type="pct"/>
                  <w:shd w:val="clear" w:color="auto" w:fill="auto"/>
                  <w:vAlign w:val="center"/>
                </w:tcPr>
                <w:p w14:paraId="7AD93BEE">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序号</w:t>
                  </w:r>
                </w:p>
              </w:tc>
              <w:tc>
                <w:tcPr>
                  <w:tcW w:w="1614" w:type="pct"/>
                  <w:shd w:val="clear" w:color="auto" w:fill="auto"/>
                  <w:vAlign w:val="center"/>
                </w:tcPr>
                <w:p w14:paraId="73C596EF">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标准</w:t>
                  </w:r>
                </w:p>
              </w:tc>
              <w:tc>
                <w:tcPr>
                  <w:tcW w:w="501" w:type="pct"/>
                  <w:shd w:val="clear" w:color="auto" w:fill="auto"/>
                  <w:vAlign w:val="center"/>
                </w:tcPr>
                <w:p w14:paraId="1A3A1A99">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污染物项目</w:t>
                  </w:r>
                </w:p>
              </w:tc>
              <w:tc>
                <w:tcPr>
                  <w:tcW w:w="1825" w:type="pct"/>
                  <w:gridSpan w:val="2"/>
                  <w:shd w:val="clear" w:color="auto" w:fill="auto"/>
                  <w:vAlign w:val="center"/>
                </w:tcPr>
                <w:p w14:paraId="367D1B75">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w:t>
                  </w:r>
                  <w:r>
                    <w:rPr>
                      <w:rFonts w:hint="eastAsia"/>
                      <w:color w:val="000000" w:themeColor="text1"/>
                      <w:sz w:val="21"/>
                      <w:szCs w:val="21"/>
                      <w:highlight w:val="none"/>
                      <w14:textFill>
                        <w14:solidFill>
                          <w14:schemeClr w14:val="tx1"/>
                        </w14:solidFill>
                      </w14:textFill>
                    </w:rPr>
                    <w:t>限值</w:t>
                  </w:r>
                  <w:r>
                    <w:rPr>
                      <w:rFonts w:hint="eastAsia"/>
                      <w:color w:val="000000" w:themeColor="text1"/>
                      <w:sz w:val="21"/>
                      <w:szCs w:val="21"/>
                      <w:highlight w:val="none"/>
                      <w:lang w:eastAsia="zh-CN"/>
                      <w14:textFill>
                        <w14:solidFill>
                          <w14:schemeClr w14:val="tx1"/>
                        </w14:solidFill>
                      </w14:textFill>
                    </w:rPr>
                    <w:t>（</w:t>
                  </w:r>
                  <w:r>
                    <w:rPr>
                      <w:color w:val="000000" w:themeColor="text1"/>
                      <w:sz w:val="24"/>
                      <w:szCs w:val="24"/>
                      <w:highlight w:val="none"/>
                      <w14:textFill>
                        <w14:solidFill>
                          <w14:schemeClr w14:val="tx1"/>
                        </w14:solidFill>
                      </w14:textFill>
                    </w:rPr>
                    <w:t>mg/m</w:t>
                  </w:r>
                  <w:r>
                    <w:rPr>
                      <w:color w:val="000000" w:themeColor="text1"/>
                      <w:sz w:val="24"/>
                      <w:szCs w:val="24"/>
                      <w:highlight w:val="none"/>
                      <w:vertAlign w:val="superscript"/>
                      <w14:textFill>
                        <w14:solidFill>
                          <w14:schemeClr w14:val="tx1"/>
                        </w14:solidFill>
                      </w14:textFill>
                    </w:rPr>
                    <w:t>3</w:t>
                  </w:r>
                  <w:r>
                    <w:rPr>
                      <w:rFonts w:hint="eastAsia"/>
                      <w:color w:val="000000" w:themeColor="text1"/>
                      <w:sz w:val="21"/>
                      <w:szCs w:val="21"/>
                      <w:highlight w:val="none"/>
                      <w:lang w:eastAsia="zh-CN"/>
                      <w14:textFill>
                        <w14:solidFill>
                          <w14:schemeClr w14:val="tx1"/>
                        </w14:solidFill>
                      </w14:textFill>
                    </w:rPr>
                    <w:t>）</w:t>
                  </w:r>
                </w:p>
              </w:tc>
              <w:tc>
                <w:tcPr>
                  <w:tcW w:w="731" w:type="pct"/>
                  <w:shd w:val="clear" w:color="auto" w:fill="auto"/>
                  <w:vAlign w:val="center"/>
                </w:tcPr>
                <w:p w14:paraId="2FE54C50">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污染物排放监控位置</w:t>
                  </w:r>
                </w:p>
              </w:tc>
            </w:tr>
            <w:tr w14:paraId="5393A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jc w:val="center"/>
              </w:trPr>
              <w:tc>
                <w:tcPr>
                  <w:tcW w:w="326" w:type="pct"/>
                  <w:shd w:val="clear" w:color="auto" w:fill="auto"/>
                  <w:vAlign w:val="center"/>
                </w:tcPr>
                <w:p w14:paraId="69ABA253">
                  <w:pPr>
                    <w:pStyle w:val="70"/>
                    <w:adjustRightInd/>
                    <w:snapToGrid/>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1614" w:type="pct"/>
                  <w:shd w:val="clear" w:color="auto" w:fill="auto"/>
                  <w:vAlign w:val="center"/>
                </w:tcPr>
                <w:p w14:paraId="79476BA2">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《合成树脂工业污染物排放标准》(GB31572-2015)及修改单中表9</w:t>
                  </w:r>
                  <w:r>
                    <w:rPr>
                      <w:rFonts w:hint="eastAsia"/>
                      <w:color w:val="000000" w:themeColor="text1"/>
                      <w:sz w:val="21"/>
                      <w:szCs w:val="21"/>
                      <w:highlight w:val="none"/>
                      <w:lang w:val="en-US" w:eastAsia="zh-CN"/>
                      <w14:textFill>
                        <w14:solidFill>
                          <w14:schemeClr w14:val="tx1"/>
                        </w14:solidFill>
                      </w14:textFill>
                    </w:rPr>
                    <w:t>中的限值</w:t>
                  </w:r>
                </w:p>
              </w:tc>
              <w:tc>
                <w:tcPr>
                  <w:tcW w:w="501" w:type="pct"/>
                  <w:vMerge w:val="restart"/>
                  <w:shd w:val="clear" w:color="auto" w:fill="auto"/>
                  <w:vAlign w:val="center"/>
                </w:tcPr>
                <w:p w14:paraId="170CE6EF">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非甲烷总烃</w:t>
                  </w:r>
                </w:p>
              </w:tc>
              <w:tc>
                <w:tcPr>
                  <w:tcW w:w="1825" w:type="pct"/>
                  <w:gridSpan w:val="2"/>
                  <w:shd w:val="clear" w:color="auto" w:fill="auto"/>
                  <w:vAlign w:val="center"/>
                </w:tcPr>
                <w:p w14:paraId="47360486">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p>
              </w:tc>
              <w:tc>
                <w:tcPr>
                  <w:tcW w:w="731" w:type="pct"/>
                  <w:shd w:val="clear" w:color="auto" w:fill="auto"/>
                  <w:vAlign w:val="center"/>
                </w:tcPr>
                <w:p w14:paraId="7F8ADA61">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企业边界</w:t>
                  </w:r>
                </w:p>
              </w:tc>
            </w:tr>
            <w:tr w14:paraId="22166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jc w:val="center"/>
              </w:trPr>
              <w:tc>
                <w:tcPr>
                  <w:tcW w:w="326" w:type="pct"/>
                  <w:vMerge w:val="restart"/>
                  <w:shd w:val="clear" w:color="auto" w:fill="auto"/>
                  <w:vAlign w:val="center"/>
                </w:tcPr>
                <w:p w14:paraId="7A41768D">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1614" w:type="pct"/>
                  <w:vMerge w:val="restart"/>
                  <w:shd w:val="clear" w:color="auto" w:fill="auto"/>
                  <w:vAlign w:val="center"/>
                </w:tcPr>
                <w:p w14:paraId="7E7FBBAB">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《挥发性有机物无组织排放控制标准（GB37822-2019）》</w:t>
                  </w:r>
                </w:p>
              </w:tc>
              <w:tc>
                <w:tcPr>
                  <w:tcW w:w="501" w:type="pct"/>
                  <w:vMerge w:val="continue"/>
                  <w:shd w:val="clear" w:color="auto" w:fill="auto"/>
                  <w:vAlign w:val="center"/>
                </w:tcPr>
                <w:p w14:paraId="56B9BFD1">
                  <w:pPr>
                    <w:pStyle w:val="70"/>
                    <w:adjustRightInd/>
                    <w:snapToGrid/>
                    <w:rPr>
                      <w:rFonts w:hint="eastAsia"/>
                      <w:color w:val="000000" w:themeColor="text1"/>
                      <w:sz w:val="21"/>
                      <w:szCs w:val="21"/>
                      <w:highlight w:val="none"/>
                      <w14:textFill>
                        <w14:solidFill>
                          <w14:schemeClr w14:val="tx1"/>
                        </w14:solidFill>
                      </w14:textFill>
                    </w:rPr>
                  </w:pPr>
                </w:p>
              </w:tc>
              <w:tc>
                <w:tcPr>
                  <w:tcW w:w="331" w:type="pct"/>
                  <w:shd w:val="clear" w:color="auto" w:fill="auto"/>
                  <w:vAlign w:val="center"/>
                </w:tcPr>
                <w:p w14:paraId="67B9B82D">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w:t>
                  </w:r>
                </w:p>
              </w:tc>
              <w:tc>
                <w:tcPr>
                  <w:tcW w:w="1494" w:type="pct"/>
                  <w:shd w:val="clear" w:color="auto" w:fill="auto"/>
                  <w:vAlign w:val="center"/>
                </w:tcPr>
                <w:p w14:paraId="7231ADFC">
                  <w:pPr>
                    <w:pStyle w:val="70"/>
                    <w:adjustRightInd/>
                    <w:snapToGrid/>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监控点处1h平均浓度值</w:t>
                  </w:r>
                </w:p>
              </w:tc>
              <w:tc>
                <w:tcPr>
                  <w:tcW w:w="731" w:type="pct"/>
                  <w:vMerge w:val="restart"/>
                  <w:shd w:val="clear" w:color="auto" w:fill="auto"/>
                  <w:vAlign w:val="center"/>
                </w:tcPr>
                <w:p w14:paraId="4CA6A44E">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在厂房外设置监控点</w:t>
                  </w:r>
                </w:p>
              </w:tc>
            </w:tr>
            <w:tr w14:paraId="09E85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jc w:val="center"/>
              </w:trPr>
              <w:tc>
                <w:tcPr>
                  <w:tcW w:w="326" w:type="pct"/>
                  <w:vMerge w:val="continue"/>
                  <w:shd w:val="clear" w:color="auto" w:fill="auto"/>
                  <w:vAlign w:val="center"/>
                </w:tcPr>
                <w:p w14:paraId="6533959D">
                  <w:pPr>
                    <w:pStyle w:val="70"/>
                    <w:adjustRightInd/>
                    <w:snapToGrid/>
                    <w:rPr>
                      <w:rFonts w:hint="eastAsia"/>
                      <w:color w:val="000000" w:themeColor="text1"/>
                      <w:sz w:val="21"/>
                      <w:szCs w:val="21"/>
                      <w:highlight w:val="none"/>
                      <w:lang w:val="en-US" w:eastAsia="zh-CN"/>
                      <w14:textFill>
                        <w14:solidFill>
                          <w14:schemeClr w14:val="tx1"/>
                        </w14:solidFill>
                      </w14:textFill>
                    </w:rPr>
                  </w:pPr>
                </w:p>
              </w:tc>
              <w:tc>
                <w:tcPr>
                  <w:tcW w:w="1614" w:type="pct"/>
                  <w:vMerge w:val="continue"/>
                  <w:shd w:val="clear" w:color="auto" w:fill="auto"/>
                  <w:vAlign w:val="center"/>
                </w:tcPr>
                <w:p w14:paraId="0E43E807">
                  <w:pPr>
                    <w:pStyle w:val="70"/>
                    <w:adjustRightInd/>
                    <w:snapToGrid/>
                    <w:rPr>
                      <w:rFonts w:hint="eastAsia"/>
                      <w:color w:val="000000" w:themeColor="text1"/>
                      <w:sz w:val="21"/>
                      <w:szCs w:val="21"/>
                      <w:highlight w:val="none"/>
                      <w14:textFill>
                        <w14:solidFill>
                          <w14:schemeClr w14:val="tx1"/>
                        </w14:solidFill>
                      </w14:textFill>
                    </w:rPr>
                  </w:pPr>
                </w:p>
              </w:tc>
              <w:tc>
                <w:tcPr>
                  <w:tcW w:w="501" w:type="pct"/>
                  <w:vMerge w:val="continue"/>
                  <w:shd w:val="clear" w:color="auto" w:fill="auto"/>
                  <w:vAlign w:val="center"/>
                </w:tcPr>
                <w:p w14:paraId="6FC618CA">
                  <w:pPr>
                    <w:pStyle w:val="70"/>
                    <w:adjustRightInd/>
                    <w:snapToGrid/>
                    <w:rPr>
                      <w:rFonts w:hint="eastAsia"/>
                      <w:color w:val="000000" w:themeColor="text1"/>
                      <w:sz w:val="21"/>
                      <w:szCs w:val="21"/>
                      <w:highlight w:val="none"/>
                      <w14:textFill>
                        <w14:solidFill>
                          <w14:schemeClr w14:val="tx1"/>
                        </w14:solidFill>
                      </w14:textFill>
                    </w:rPr>
                  </w:pPr>
                </w:p>
              </w:tc>
              <w:tc>
                <w:tcPr>
                  <w:tcW w:w="331" w:type="pct"/>
                  <w:shd w:val="clear" w:color="auto" w:fill="auto"/>
                  <w:vAlign w:val="center"/>
                </w:tcPr>
                <w:p w14:paraId="3ED024F3">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20</w:t>
                  </w:r>
                </w:p>
              </w:tc>
              <w:tc>
                <w:tcPr>
                  <w:tcW w:w="1494" w:type="pct"/>
                  <w:shd w:val="clear" w:color="auto" w:fill="auto"/>
                  <w:vAlign w:val="center"/>
                </w:tcPr>
                <w:p w14:paraId="2317783C">
                  <w:pPr>
                    <w:pStyle w:val="70"/>
                    <w:adjustRightInd/>
                    <w:snapToGrid/>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监控点处任意一次浓度值</w:t>
                  </w:r>
                </w:p>
              </w:tc>
              <w:tc>
                <w:tcPr>
                  <w:tcW w:w="731" w:type="pct"/>
                  <w:vMerge w:val="continue"/>
                  <w:shd w:val="clear" w:color="auto" w:fill="auto"/>
                  <w:vAlign w:val="center"/>
                </w:tcPr>
                <w:p w14:paraId="5BD6885B">
                  <w:pPr>
                    <w:pStyle w:val="70"/>
                    <w:adjustRightInd/>
                    <w:snapToGrid/>
                    <w:rPr>
                      <w:rFonts w:hint="eastAsia"/>
                      <w:color w:val="000000" w:themeColor="text1"/>
                      <w:sz w:val="21"/>
                      <w:szCs w:val="21"/>
                      <w:highlight w:val="none"/>
                      <w:lang w:val="en-US" w:eastAsia="zh-CN"/>
                      <w14:textFill>
                        <w14:solidFill>
                          <w14:schemeClr w14:val="tx1"/>
                        </w14:solidFill>
                      </w14:textFill>
                    </w:rPr>
                  </w:pPr>
                </w:p>
              </w:tc>
            </w:tr>
          </w:tbl>
          <w:p w14:paraId="39FFD651">
            <w:pPr>
              <w:pStyle w:val="37"/>
              <w:spacing w:before="120" w:beforeLines="50"/>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 xml:space="preserve">3.8 </w:t>
            </w:r>
            <w:r>
              <w:rPr>
                <w:rFonts w:hint="eastAsia"/>
                <w:color w:val="000000" w:themeColor="text1"/>
                <w:sz w:val="24"/>
                <w:szCs w:val="21"/>
                <w:highlight w:val="none"/>
                <w14:textFill>
                  <w14:solidFill>
                    <w14:schemeClr w14:val="tx1"/>
                  </w14:solidFill>
                </w14:textFill>
              </w:rPr>
              <w:t>污水排放标准</w:t>
            </w:r>
          </w:p>
          <w:p w14:paraId="43BB4EE6">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本项目生活污水经</w:t>
            </w:r>
            <w:r>
              <w:rPr>
                <w:rFonts w:hint="eastAsia" w:cs="宋体"/>
                <w:bCs/>
                <w:color w:val="000000" w:themeColor="text1"/>
                <w:sz w:val="24"/>
                <w:szCs w:val="24"/>
                <w:highlight w:val="none"/>
                <w:lang w:val="en-US" w:eastAsia="zh-CN"/>
                <w14:textFill>
                  <w14:solidFill>
                    <w14:schemeClr w14:val="tx1"/>
                  </w14:solidFill>
                </w14:textFill>
              </w:rPr>
              <w:t>隔油+化粪池</w:t>
            </w:r>
            <w:r>
              <w:rPr>
                <w:rFonts w:hint="eastAsia" w:cs="宋体"/>
                <w:bCs/>
                <w:color w:val="000000" w:themeColor="text1"/>
                <w:sz w:val="24"/>
                <w:szCs w:val="24"/>
                <w:highlight w:val="none"/>
                <w14:textFill>
                  <w14:solidFill>
                    <w14:schemeClr w14:val="tx1"/>
                  </w14:solidFill>
                </w14:textFill>
              </w:rPr>
              <w:t>预处理后排入市政污水管网，送往福建青口海峡环保有限公司(</w:t>
            </w:r>
            <w:r>
              <w:rPr>
                <w:rFonts w:hint="eastAsia" w:cs="宋体"/>
                <w:bCs/>
                <w:color w:val="000000" w:themeColor="text1"/>
                <w:sz w:val="24"/>
                <w:szCs w:val="24"/>
                <w:highlight w:val="none"/>
                <w:lang w:eastAsia="zh-CN"/>
                <w14:textFill>
                  <w14:solidFill>
                    <w14:schemeClr w14:val="tx1"/>
                  </w14:solidFill>
                </w14:textFill>
              </w:rPr>
              <w:t>青口新区污水处理厂</w:t>
            </w:r>
            <w:r>
              <w:rPr>
                <w:rFonts w:hint="eastAsia" w:cs="宋体"/>
                <w:bCs/>
                <w:color w:val="000000" w:themeColor="text1"/>
                <w:sz w:val="24"/>
                <w:szCs w:val="24"/>
                <w:highlight w:val="none"/>
                <w14:textFill>
                  <w14:solidFill>
                    <w14:schemeClr w14:val="tx1"/>
                  </w14:solidFill>
                </w14:textFill>
              </w:rPr>
              <w:t>)集中处理，项目废水污染物排放执行《污水综合排放标准》(GB8978-1996)表4中三级标准，其中氨氮参照执行《污水排入城镇下水道水质标准》(GBT 31962-2015)表1中B级标准限值，具体详见</w:t>
            </w:r>
            <w:r>
              <w:rPr>
                <w:rFonts w:hint="eastAsia" w:cs="宋体"/>
                <w:bCs/>
                <w:color w:val="000000" w:themeColor="text1"/>
                <w:sz w:val="24"/>
                <w:szCs w:val="24"/>
                <w:highlight w:val="none"/>
                <w:lang w:val="en-US" w:eastAsia="zh-CN"/>
                <w14:textFill>
                  <w14:solidFill>
                    <w14:schemeClr w14:val="tx1"/>
                  </w14:solidFill>
                </w14:textFill>
              </w:rPr>
              <w:t>下</w:t>
            </w:r>
            <w:r>
              <w:rPr>
                <w:rFonts w:hint="eastAsia" w:cs="宋体"/>
                <w:bCs/>
                <w:color w:val="000000" w:themeColor="text1"/>
                <w:sz w:val="24"/>
                <w:szCs w:val="24"/>
                <w:highlight w:val="none"/>
                <w14:textFill>
                  <w14:solidFill>
                    <w14:schemeClr w14:val="tx1"/>
                  </w14:solidFill>
                </w14:textFill>
              </w:rPr>
              <w:t>表。</w:t>
            </w:r>
          </w:p>
          <w:p w14:paraId="322E74A3">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表3-4  项目废水污染物排放标准  单位：mg/L，pH无量纲</w:t>
            </w:r>
          </w:p>
          <w:tbl>
            <w:tblPr>
              <w:tblStyle w:val="30"/>
              <w:tblW w:w="49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729"/>
              <w:gridCol w:w="1618"/>
              <w:gridCol w:w="1675"/>
              <w:gridCol w:w="4298"/>
            </w:tblGrid>
            <w:tr w14:paraId="59A81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48" w:hRule="atLeast"/>
                <w:tblHeader/>
                <w:jc w:val="center"/>
              </w:trPr>
              <w:tc>
                <w:tcPr>
                  <w:tcW w:w="438" w:type="pct"/>
                  <w:shd w:val="clear" w:color="auto" w:fill="auto"/>
                  <w:vAlign w:val="center"/>
                </w:tcPr>
                <w:p w14:paraId="5A35894B">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序号</w:t>
                  </w:r>
                </w:p>
              </w:tc>
              <w:tc>
                <w:tcPr>
                  <w:tcW w:w="972" w:type="pct"/>
                  <w:shd w:val="clear" w:color="auto" w:fill="auto"/>
                  <w:vAlign w:val="center"/>
                </w:tcPr>
                <w:p w14:paraId="46DD03E0">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污染物</w:t>
                  </w:r>
                </w:p>
              </w:tc>
              <w:tc>
                <w:tcPr>
                  <w:tcW w:w="1006" w:type="pct"/>
                  <w:shd w:val="clear" w:color="auto" w:fill="auto"/>
                  <w:vAlign w:val="center"/>
                </w:tcPr>
                <w:p w14:paraId="33B9869E">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三级标准限值</w:t>
                  </w:r>
                </w:p>
              </w:tc>
              <w:tc>
                <w:tcPr>
                  <w:tcW w:w="2582" w:type="pct"/>
                  <w:vAlign w:val="center"/>
                </w:tcPr>
                <w:p w14:paraId="2CA6BA7D">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标准来源</w:t>
                  </w:r>
                </w:p>
              </w:tc>
            </w:tr>
            <w:tr w14:paraId="371B0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1980B0BA">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972" w:type="pct"/>
                  <w:shd w:val="clear" w:color="auto" w:fill="auto"/>
                  <w:vAlign w:val="center"/>
                </w:tcPr>
                <w:p w14:paraId="1FEEA5E5">
                  <w:pPr>
                    <w:pStyle w:val="70"/>
                    <w:adjustRightInd/>
                    <w:snapToGrid/>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pH</w:t>
                  </w:r>
                </w:p>
              </w:tc>
              <w:tc>
                <w:tcPr>
                  <w:tcW w:w="1006" w:type="pct"/>
                  <w:shd w:val="clear" w:color="auto" w:fill="auto"/>
                  <w:vAlign w:val="center"/>
                </w:tcPr>
                <w:p w14:paraId="7A6C0AC3">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w:t>
                  </w:r>
                  <w:r>
                    <w:rPr>
                      <w:color w:val="000000" w:themeColor="text1"/>
                      <w:sz w:val="21"/>
                      <w:szCs w:val="21"/>
                      <w:highlight w:val="none"/>
                      <w14:textFill>
                        <w14:solidFill>
                          <w14:schemeClr w14:val="tx1"/>
                        </w14:solidFill>
                      </w14:textFill>
                    </w:rPr>
                    <w:t>~9</w:t>
                  </w:r>
                </w:p>
              </w:tc>
              <w:tc>
                <w:tcPr>
                  <w:tcW w:w="2582" w:type="pct"/>
                  <w:vMerge w:val="restart"/>
                  <w:vAlign w:val="center"/>
                </w:tcPr>
                <w:p w14:paraId="316A5B67">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《污水综合排放标准》(GB8978-1996)表4</w:t>
                  </w:r>
                </w:p>
              </w:tc>
            </w:tr>
            <w:tr w14:paraId="0806B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6B749ED0">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972" w:type="pct"/>
                  <w:shd w:val="clear" w:color="auto" w:fill="auto"/>
                  <w:vAlign w:val="center"/>
                </w:tcPr>
                <w:p w14:paraId="0CC32595">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悬浮物</w:t>
                  </w:r>
                </w:p>
              </w:tc>
              <w:tc>
                <w:tcPr>
                  <w:tcW w:w="1006" w:type="pct"/>
                  <w:shd w:val="clear" w:color="auto" w:fill="auto"/>
                  <w:vAlign w:val="center"/>
                </w:tcPr>
                <w:p w14:paraId="2389E785">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400</w:t>
                  </w:r>
                </w:p>
              </w:tc>
              <w:tc>
                <w:tcPr>
                  <w:tcW w:w="2582" w:type="pct"/>
                  <w:vMerge w:val="continue"/>
                  <w:vAlign w:val="center"/>
                </w:tcPr>
                <w:p w14:paraId="2C7A75C8">
                  <w:pPr>
                    <w:pStyle w:val="70"/>
                    <w:adjustRightInd/>
                    <w:snapToGrid/>
                    <w:rPr>
                      <w:rFonts w:hint="eastAsia"/>
                      <w:color w:val="000000" w:themeColor="text1"/>
                      <w:sz w:val="21"/>
                      <w:szCs w:val="21"/>
                      <w:highlight w:val="none"/>
                      <w14:textFill>
                        <w14:solidFill>
                          <w14:schemeClr w14:val="tx1"/>
                        </w14:solidFill>
                      </w14:textFill>
                    </w:rPr>
                  </w:pPr>
                </w:p>
              </w:tc>
            </w:tr>
            <w:tr w14:paraId="5F6DA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51E54626">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p>
              </w:tc>
              <w:tc>
                <w:tcPr>
                  <w:tcW w:w="972" w:type="pct"/>
                  <w:shd w:val="clear" w:color="auto" w:fill="auto"/>
                  <w:vAlign w:val="center"/>
                </w:tcPr>
                <w:p w14:paraId="33F06369">
                  <w:pPr>
                    <w:pStyle w:val="70"/>
                    <w:adjustRightInd/>
                    <w:snapToGrid/>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COD</w:t>
                  </w:r>
                </w:p>
              </w:tc>
              <w:tc>
                <w:tcPr>
                  <w:tcW w:w="1006" w:type="pct"/>
                  <w:shd w:val="clear" w:color="auto" w:fill="auto"/>
                  <w:vAlign w:val="center"/>
                </w:tcPr>
                <w:p w14:paraId="481C522C">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500</w:t>
                  </w:r>
                </w:p>
              </w:tc>
              <w:tc>
                <w:tcPr>
                  <w:tcW w:w="2582" w:type="pct"/>
                  <w:vMerge w:val="continue"/>
                  <w:vAlign w:val="center"/>
                </w:tcPr>
                <w:p w14:paraId="2B16D1B8">
                  <w:pPr>
                    <w:pStyle w:val="70"/>
                    <w:adjustRightInd/>
                    <w:snapToGrid/>
                    <w:rPr>
                      <w:rFonts w:hint="eastAsia"/>
                      <w:color w:val="000000" w:themeColor="text1"/>
                      <w:sz w:val="21"/>
                      <w:szCs w:val="21"/>
                      <w:highlight w:val="none"/>
                      <w14:textFill>
                        <w14:solidFill>
                          <w14:schemeClr w14:val="tx1"/>
                        </w14:solidFill>
                      </w14:textFill>
                    </w:rPr>
                  </w:pPr>
                </w:p>
              </w:tc>
            </w:tr>
            <w:tr w14:paraId="125B8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540A54B5">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p>
              </w:tc>
              <w:tc>
                <w:tcPr>
                  <w:tcW w:w="972" w:type="pct"/>
                  <w:shd w:val="clear" w:color="auto" w:fill="auto"/>
                  <w:vAlign w:val="center"/>
                </w:tcPr>
                <w:p w14:paraId="70180541">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BOD</w:t>
                  </w:r>
                  <w:r>
                    <w:rPr>
                      <w:rFonts w:hint="eastAsia"/>
                      <w:color w:val="000000" w:themeColor="text1"/>
                      <w:sz w:val="21"/>
                      <w:szCs w:val="21"/>
                      <w:highlight w:val="none"/>
                      <w:vertAlign w:val="subscript"/>
                      <w:lang w:val="en-US" w:eastAsia="zh-CN"/>
                      <w14:textFill>
                        <w14:solidFill>
                          <w14:schemeClr w14:val="tx1"/>
                        </w14:solidFill>
                      </w14:textFill>
                    </w:rPr>
                    <w:t>5</w:t>
                  </w:r>
                </w:p>
              </w:tc>
              <w:tc>
                <w:tcPr>
                  <w:tcW w:w="1006" w:type="pct"/>
                  <w:shd w:val="clear" w:color="auto" w:fill="auto"/>
                  <w:vAlign w:val="center"/>
                </w:tcPr>
                <w:p w14:paraId="2C806ECE">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300</w:t>
                  </w:r>
                </w:p>
              </w:tc>
              <w:tc>
                <w:tcPr>
                  <w:tcW w:w="2582" w:type="pct"/>
                  <w:vMerge w:val="continue"/>
                  <w:vAlign w:val="center"/>
                </w:tcPr>
                <w:p w14:paraId="5B32E7B7">
                  <w:pPr>
                    <w:pStyle w:val="70"/>
                    <w:adjustRightInd/>
                    <w:snapToGrid/>
                    <w:rPr>
                      <w:rFonts w:hint="eastAsia"/>
                      <w:color w:val="000000" w:themeColor="text1"/>
                      <w:sz w:val="21"/>
                      <w:szCs w:val="21"/>
                      <w:highlight w:val="none"/>
                      <w14:textFill>
                        <w14:solidFill>
                          <w14:schemeClr w14:val="tx1"/>
                        </w14:solidFill>
                      </w14:textFill>
                    </w:rPr>
                  </w:pPr>
                </w:p>
              </w:tc>
            </w:tr>
            <w:tr w14:paraId="0735D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3FE14D6C">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972" w:type="pct"/>
                  <w:shd w:val="clear" w:color="auto" w:fill="auto"/>
                  <w:vAlign w:val="center"/>
                </w:tcPr>
                <w:p w14:paraId="195B9666">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石油类</w:t>
                  </w:r>
                </w:p>
              </w:tc>
              <w:tc>
                <w:tcPr>
                  <w:tcW w:w="1006" w:type="pct"/>
                  <w:shd w:val="clear" w:color="auto" w:fill="auto"/>
                  <w:vAlign w:val="center"/>
                </w:tcPr>
                <w:p w14:paraId="23F64E81">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20</w:t>
                  </w:r>
                </w:p>
              </w:tc>
              <w:tc>
                <w:tcPr>
                  <w:tcW w:w="2582" w:type="pct"/>
                  <w:vMerge w:val="continue"/>
                  <w:vAlign w:val="center"/>
                </w:tcPr>
                <w:p w14:paraId="3DF7F01F">
                  <w:pPr>
                    <w:pStyle w:val="70"/>
                    <w:adjustRightInd/>
                    <w:snapToGrid/>
                    <w:rPr>
                      <w:rFonts w:hint="eastAsia"/>
                      <w:color w:val="000000" w:themeColor="text1"/>
                      <w:sz w:val="21"/>
                      <w:szCs w:val="21"/>
                      <w:highlight w:val="none"/>
                      <w14:textFill>
                        <w14:solidFill>
                          <w14:schemeClr w14:val="tx1"/>
                        </w14:solidFill>
                      </w14:textFill>
                    </w:rPr>
                  </w:pPr>
                </w:p>
              </w:tc>
            </w:tr>
            <w:tr w14:paraId="5F46F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29D77F0E">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w:t>
                  </w:r>
                </w:p>
              </w:tc>
              <w:tc>
                <w:tcPr>
                  <w:tcW w:w="972" w:type="pct"/>
                  <w:shd w:val="clear" w:color="auto" w:fill="auto"/>
                  <w:vAlign w:val="center"/>
                </w:tcPr>
                <w:p w14:paraId="2BAAAECB">
                  <w:pPr>
                    <w:pStyle w:val="70"/>
                    <w:adjustRightInd/>
                    <w:snapToGrid/>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动植物油</w:t>
                  </w:r>
                </w:p>
              </w:tc>
              <w:tc>
                <w:tcPr>
                  <w:tcW w:w="1006" w:type="pct"/>
                  <w:shd w:val="clear" w:color="auto" w:fill="auto"/>
                  <w:vAlign w:val="center"/>
                </w:tcPr>
                <w:p w14:paraId="24F9F574">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w:t>
                  </w:r>
                </w:p>
              </w:tc>
              <w:tc>
                <w:tcPr>
                  <w:tcW w:w="2582" w:type="pct"/>
                  <w:vMerge w:val="continue"/>
                  <w:vAlign w:val="center"/>
                </w:tcPr>
                <w:p w14:paraId="6CA16EA0">
                  <w:pPr>
                    <w:pStyle w:val="70"/>
                    <w:adjustRightInd/>
                    <w:snapToGrid/>
                    <w:rPr>
                      <w:rFonts w:hint="eastAsia"/>
                      <w:color w:val="000000" w:themeColor="text1"/>
                      <w:sz w:val="21"/>
                      <w:szCs w:val="21"/>
                      <w:highlight w:val="none"/>
                      <w14:textFill>
                        <w14:solidFill>
                          <w14:schemeClr w14:val="tx1"/>
                        </w14:solidFill>
                      </w14:textFill>
                    </w:rPr>
                  </w:pPr>
                </w:p>
              </w:tc>
            </w:tr>
            <w:tr w14:paraId="6D0F2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20AAAAED">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w:t>
                  </w:r>
                </w:p>
              </w:tc>
              <w:tc>
                <w:tcPr>
                  <w:tcW w:w="972" w:type="pct"/>
                  <w:shd w:val="clear" w:color="auto" w:fill="auto"/>
                  <w:vAlign w:val="center"/>
                </w:tcPr>
                <w:p w14:paraId="79F49E45">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氨氮（以氮计）</w:t>
                  </w:r>
                </w:p>
              </w:tc>
              <w:tc>
                <w:tcPr>
                  <w:tcW w:w="1006" w:type="pct"/>
                  <w:shd w:val="clear" w:color="auto" w:fill="auto"/>
                  <w:vAlign w:val="center"/>
                </w:tcPr>
                <w:p w14:paraId="6089ACF2">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45</w:t>
                  </w:r>
                </w:p>
              </w:tc>
              <w:tc>
                <w:tcPr>
                  <w:tcW w:w="2582" w:type="pct"/>
                  <w:vAlign w:val="center"/>
                </w:tcPr>
                <w:p w14:paraId="42C54801">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《污水排入城镇下水道水质标准》(GB/T31962-2015)表1中B级标准限值</w:t>
                  </w:r>
                </w:p>
              </w:tc>
            </w:tr>
          </w:tbl>
          <w:p w14:paraId="4F66B8F6">
            <w:pPr>
              <w:spacing w:line="360" w:lineRule="auto"/>
              <w:ind w:firstLine="480" w:firstLineChars="200"/>
              <w:rPr>
                <w:rFonts w:hint="default" w:eastAsia="宋体" w:cs="宋体"/>
                <w:bCs/>
                <w:color w:val="000000" w:themeColor="text1"/>
                <w:sz w:val="24"/>
                <w:szCs w:val="24"/>
                <w:highlight w:val="none"/>
                <w:lang w:val="en-US" w:eastAsia="zh-CN"/>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根据调查，</w:t>
            </w:r>
            <w:r>
              <w:rPr>
                <w:rFonts w:hint="eastAsia"/>
                <w:color w:val="000000" w:themeColor="text1"/>
                <w:sz w:val="24"/>
                <w:szCs w:val="24"/>
                <w:highlight w:val="none"/>
                <w14:textFill>
                  <w14:solidFill>
                    <w14:schemeClr w14:val="tx1"/>
                  </w14:solidFill>
                </w14:textFill>
              </w:rPr>
              <w:t>福建青口海峡环保有限公司(</w:t>
            </w:r>
            <w:r>
              <w:rPr>
                <w:rFonts w:hint="eastAsia"/>
                <w:color w:val="000000" w:themeColor="text1"/>
                <w:sz w:val="24"/>
                <w:szCs w:val="24"/>
                <w:highlight w:val="none"/>
                <w:lang w:eastAsia="zh-CN"/>
                <w14:textFill>
                  <w14:solidFill>
                    <w14:schemeClr w14:val="tx1"/>
                  </w14:solidFill>
                </w14:textFill>
              </w:rPr>
              <w:t>青口新区污水处理厂</w:t>
            </w:r>
            <w:r>
              <w:rPr>
                <w:rFonts w:hint="eastAsia"/>
                <w:color w:val="000000" w:themeColor="text1"/>
                <w:sz w:val="24"/>
                <w:szCs w:val="24"/>
                <w:highlight w:val="none"/>
                <w14:textFill>
                  <w14:solidFill>
                    <w14:schemeClr w14:val="tx1"/>
                  </w14:solidFill>
                </w14:textFill>
              </w:rPr>
              <w:t>)</w:t>
            </w:r>
            <w:r>
              <w:rPr>
                <w:rFonts w:hint="eastAsia" w:cs="宋体"/>
                <w:bCs/>
                <w:color w:val="000000" w:themeColor="text1"/>
                <w:sz w:val="24"/>
                <w:szCs w:val="24"/>
                <w:highlight w:val="none"/>
                <w14:textFill>
                  <w14:solidFill>
                    <w14:schemeClr w14:val="tx1"/>
                  </w14:solidFill>
                </w14:textFill>
              </w:rPr>
              <w:t>尾水排放执行《城镇污水处理厂污染物排放标准》(GB18918-2002)及其修改单表1中一级</w:t>
            </w:r>
            <w:r>
              <w:rPr>
                <w:rFonts w:hint="eastAsia" w:cs="宋体"/>
                <w:bCs/>
                <w:color w:val="000000" w:themeColor="text1"/>
                <w:sz w:val="24"/>
                <w:szCs w:val="24"/>
                <w:highlight w:val="none"/>
                <w:lang w:val="en-US" w:eastAsia="zh-CN"/>
                <w14:textFill>
                  <w14:solidFill>
                    <w14:schemeClr w14:val="tx1"/>
                  </w14:solidFill>
                </w14:textFill>
              </w:rPr>
              <w:t>A</w:t>
            </w:r>
            <w:r>
              <w:rPr>
                <w:rFonts w:hint="eastAsia" w:cs="宋体"/>
                <w:bCs/>
                <w:color w:val="000000" w:themeColor="text1"/>
                <w:sz w:val="24"/>
                <w:szCs w:val="24"/>
                <w:highlight w:val="none"/>
                <w14:textFill>
                  <w14:solidFill>
                    <w14:schemeClr w14:val="tx1"/>
                  </w14:solidFill>
                </w14:textFill>
              </w:rPr>
              <w:t>标准</w:t>
            </w:r>
            <w:r>
              <w:rPr>
                <w:rFonts w:hint="eastAsia" w:cs="宋体"/>
                <w:bCs/>
                <w:color w:val="000000" w:themeColor="text1"/>
                <w:sz w:val="24"/>
                <w:szCs w:val="24"/>
                <w:highlight w:val="none"/>
                <w:lang w:eastAsia="zh-CN"/>
                <w14:textFill>
                  <w14:solidFill>
                    <w14:schemeClr w14:val="tx1"/>
                  </w14:solidFill>
                </w14:textFill>
              </w:rPr>
              <w:t>，</w:t>
            </w:r>
            <w:r>
              <w:rPr>
                <w:rFonts w:hint="eastAsia" w:cs="宋体"/>
                <w:bCs/>
                <w:color w:val="000000" w:themeColor="text1"/>
                <w:sz w:val="24"/>
                <w:szCs w:val="24"/>
                <w:highlight w:val="none"/>
                <w:lang w:val="en-US" w:eastAsia="zh-CN"/>
                <w14:textFill>
                  <w14:solidFill>
                    <w14:schemeClr w14:val="tx1"/>
                  </w14:solidFill>
                </w14:textFill>
              </w:rPr>
              <w:t>具体详见下表。</w:t>
            </w:r>
          </w:p>
          <w:p w14:paraId="535114A4">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表3-5  污水处理厂尾水排放标准  单位：mg/L，pH无量纲</w:t>
            </w:r>
          </w:p>
          <w:tbl>
            <w:tblPr>
              <w:tblStyle w:val="30"/>
              <w:tblW w:w="496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108" w:type="dxa"/>
                <w:bottom w:w="28" w:type="dxa"/>
                <w:right w:w="108" w:type="dxa"/>
              </w:tblCellMar>
            </w:tblPr>
            <w:tblGrid>
              <w:gridCol w:w="729"/>
              <w:gridCol w:w="2022"/>
              <w:gridCol w:w="1440"/>
              <w:gridCol w:w="4129"/>
            </w:tblGrid>
            <w:tr w14:paraId="4972E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548" w:hRule="atLeast"/>
                <w:tblHeader/>
                <w:jc w:val="center"/>
              </w:trPr>
              <w:tc>
                <w:tcPr>
                  <w:tcW w:w="438" w:type="pct"/>
                  <w:shd w:val="clear" w:color="auto" w:fill="auto"/>
                  <w:vAlign w:val="center"/>
                </w:tcPr>
                <w:p w14:paraId="45AC2BAA">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序号</w:t>
                  </w:r>
                </w:p>
              </w:tc>
              <w:tc>
                <w:tcPr>
                  <w:tcW w:w="1215" w:type="pct"/>
                  <w:shd w:val="clear" w:color="auto" w:fill="auto"/>
                  <w:vAlign w:val="center"/>
                </w:tcPr>
                <w:p w14:paraId="4866D75A">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污染物</w:t>
                  </w:r>
                </w:p>
              </w:tc>
              <w:tc>
                <w:tcPr>
                  <w:tcW w:w="865" w:type="pct"/>
                  <w:shd w:val="clear" w:color="auto" w:fill="auto"/>
                  <w:vAlign w:val="center"/>
                </w:tcPr>
                <w:p w14:paraId="17992912">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一级A标准</w:t>
                  </w:r>
                </w:p>
              </w:tc>
              <w:tc>
                <w:tcPr>
                  <w:tcW w:w="2481" w:type="pct"/>
                  <w:vAlign w:val="center"/>
                </w:tcPr>
                <w:p w14:paraId="421695FC">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标准来源</w:t>
                  </w:r>
                </w:p>
              </w:tc>
            </w:tr>
            <w:tr w14:paraId="31D62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585D2FDD">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1215" w:type="pct"/>
                  <w:shd w:val="clear" w:color="auto" w:fill="auto"/>
                  <w:vAlign w:val="center"/>
                </w:tcPr>
                <w:p w14:paraId="11E5FCBC">
                  <w:pPr>
                    <w:pStyle w:val="70"/>
                    <w:adjustRightInd/>
                    <w:snapToGrid/>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pH</w:t>
                  </w:r>
                </w:p>
              </w:tc>
              <w:tc>
                <w:tcPr>
                  <w:tcW w:w="865" w:type="pct"/>
                  <w:shd w:val="clear" w:color="auto" w:fill="auto"/>
                  <w:vAlign w:val="center"/>
                </w:tcPr>
                <w:p w14:paraId="0200C8B8">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w:t>
                  </w:r>
                  <w:r>
                    <w:rPr>
                      <w:color w:val="000000" w:themeColor="text1"/>
                      <w:sz w:val="21"/>
                      <w:szCs w:val="21"/>
                      <w:highlight w:val="none"/>
                      <w14:textFill>
                        <w14:solidFill>
                          <w14:schemeClr w14:val="tx1"/>
                        </w14:solidFill>
                      </w14:textFill>
                    </w:rPr>
                    <w:t>~9</w:t>
                  </w:r>
                </w:p>
              </w:tc>
              <w:tc>
                <w:tcPr>
                  <w:tcW w:w="2481" w:type="pct"/>
                  <w:vMerge w:val="restart"/>
                  <w:vAlign w:val="center"/>
                </w:tcPr>
                <w:p w14:paraId="308FAD1D">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《城镇污水处理厂污染物排放标准》(GB18918-2002)及其修改单表1中一级</w:t>
                  </w:r>
                  <w:r>
                    <w:rPr>
                      <w:rFonts w:hint="eastAsia"/>
                      <w:color w:val="000000" w:themeColor="text1"/>
                      <w:sz w:val="21"/>
                      <w:szCs w:val="21"/>
                      <w:highlight w:val="none"/>
                      <w:lang w:val="en-US" w:eastAsia="zh-CN"/>
                      <w14:textFill>
                        <w14:solidFill>
                          <w14:schemeClr w14:val="tx1"/>
                        </w14:solidFill>
                      </w14:textFill>
                    </w:rPr>
                    <w:t>A</w:t>
                  </w:r>
                  <w:r>
                    <w:rPr>
                      <w:rFonts w:hint="eastAsia"/>
                      <w:color w:val="000000" w:themeColor="text1"/>
                      <w:sz w:val="21"/>
                      <w:szCs w:val="21"/>
                      <w:highlight w:val="none"/>
                      <w14:textFill>
                        <w14:solidFill>
                          <w14:schemeClr w14:val="tx1"/>
                        </w14:solidFill>
                      </w14:textFill>
                    </w:rPr>
                    <w:t>标准</w:t>
                  </w:r>
                </w:p>
              </w:tc>
            </w:tr>
            <w:tr w14:paraId="4D705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5CF19931">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1215" w:type="pct"/>
                  <w:shd w:val="clear" w:color="auto" w:fill="auto"/>
                  <w:vAlign w:val="center"/>
                </w:tcPr>
                <w:p w14:paraId="3870D61A">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悬浮物</w:t>
                  </w:r>
                </w:p>
              </w:tc>
              <w:tc>
                <w:tcPr>
                  <w:tcW w:w="865" w:type="pct"/>
                  <w:shd w:val="clear" w:color="auto" w:fill="auto"/>
                  <w:vAlign w:val="center"/>
                </w:tcPr>
                <w:p w14:paraId="402CB512">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2481" w:type="pct"/>
                  <w:vMerge w:val="continue"/>
                  <w:vAlign w:val="center"/>
                </w:tcPr>
                <w:p w14:paraId="696CDF34">
                  <w:pPr>
                    <w:pStyle w:val="70"/>
                    <w:adjustRightInd/>
                    <w:snapToGrid/>
                    <w:rPr>
                      <w:rFonts w:hint="eastAsia"/>
                      <w:color w:val="000000" w:themeColor="text1"/>
                      <w:sz w:val="21"/>
                      <w:szCs w:val="21"/>
                      <w:highlight w:val="none"/>
                      <w14:textFill>
                        <w14:solidFill>
                          <w14:schemeClr w14:val="tx1"/>
                        </w14:solidFill>
                      </w14:textFill>
                    </w:rPr>
                  </w:pPr>
                </w:p>
              </w:tc>
            </w:tr>
            <w:tr w14:paraId="60462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0AB2CCA0">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p>
              </w:tc>
              <w:tc>
                <w:tcPr>
                  <w:tcW w:w="1215" w:type="pct"/>
                  <w:shd w:val="clear" w:color="auto" w:fill="auto"/>
                  <w:vAlign w:val="center"/>
                </w:tcPr>
                <w:p w14:paraId="4BEF43F2">
                  <w:pPr>
                    <w:pStyle w:val="70"/>
                    <w:adjustRightInd/>
                    <w:snapToGrid/>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COD</w:t>
                  </w:r>
                </w:p>
              </w:tc>
              <w:tc>
                <w:tcPr>
                  <w:tcW w:w="865" w:type="pct"/>
                  <w:shd w:val="clear" w:color="auto" w:fill="auto"/>
                  <w:vAlign w:val="center"/>
                </w:tcPr>
                <w:p w14:paraId="4F3C6817">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w:t>
                  </w:r>
                </w:p>
              </w:tc>
              <w:tc>
                <w:tcPr>
                  <w:tcW w:w="2481" w:type="pct"/>
                  <w:vMerge w:val="continue"/>
                  <w:vAlign w:val="center"/>
                </w:tcPr>
                <w:p w14:paraId="799C42BF">
                  <w:pPr>
                    <w:pStyle w:val="70"/>
                    <w:adjustRightInd/>
                    <w:snapToGrid/>
                    <w:rPr>
                      <w:rFonts w:hint="eastAsia"/>
                      <w:color w:val="000000" w:themeColor="text1"/>
                      <w:sz w:val="21"/>
                      <w:szCs w:val="21"/>
                      <w:highlight w:val="none"/>
                      <w14:textFill>
                        <w14:solidFill>
                          <w14:schemeClr w14:val="tx1"/>
                        </w14:solidFill>
                      </w14:textFill>
                    </w:rPr>
                  </w:pPr>
                </w:p>
              </w:tc>
            </w:tr>
            <w:tr w14:paraId="6049D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3F4EC45E">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w:t>
                  </w:r>
                </w:p>
              </w:tc>
              <w:tc>
                <w:tcPr>
                  <w:tcW w:w="1215" w:type="pct"/>
                  <w:shd w:val="clear" w:color="auto" w:fill="auto"/>
                  <w:vAlign w:val="center"/>
                </w:tcPr>
                <w:p w14:paraId="03A9714C">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BOD</w:t>
                  </w:r>
                  <w:r>
                    <w:rPr>
                      <w:rFonts w:hint="eastAsia"/>
                      <w:color w:val="000000" w:themeColor="text1"/>
                      <w:sz w:val="21"/>
                      <w:szCs w:val="21"/>
                      <w:highlight w:val="none"/>
                      <w:vertAlign w:val="subscript"/>
                      <w:lang w:val="en-US" w:eastAsia="zh-CN"/>
                      <w14:textFill>
                        <w14:solidFill>
                          <w14:schemeClr w14:val="tx1"/>
                        </w14:solidFill>
                      </w14:textFill>
                    </w:rPr>
                    <w:t>5</w:t>
                  </w:r>
                </w:p>
              </w:tc>
              <w:tc>
                <w:tcPr>
                  <w:tcW w:w="865" w:type="pct"/>
                  <w:shd w:val="clear" w:color="auto" w:fill="auto"/>
                  <w:vAlign w:val="center"/>
                </w:tcPr>
                <w:p w14:paraId="1415EAA6">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2481" w:type="pct"/>
                  <w:vMerge w:val="continue"/>
                  <w:vAlign w:val="center"/>
                </w:tcPr>
                <w:p w14:paraId="1CD93895">
                  <w:pPr>
                    <w:pStyle w:val="70"/>
                    <w:adjustRightInd/>
                    <w:snapToGrid/>
                    <w:rPr>
                      <w:rFonts w:hint="eastAsia"/>
                      <w:color w:val="000000" w:themeColor="text1"/>
                      <w:sz w:val="21"/>
                      <w:szCs w:val="21"/>
                      <w:highlight w:val="none"/>
                      <w14:textFill>
                        <w14:solidFill>
                          <w14:schemeClr w14:val="tx1"/>
                        </w14:solidFill>
                      </w14:textFill>
                    </w:rPr>
                  </w:pPr>
                </w:p>
              </w:tc>
            </w:tr>
            <w:tr w14:paraId="36923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63D0B5F9">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1215" w:type="pct"/>
                  <w:shd w:val="clear" w:color="auto" w:fill="auto"/>
                  <w:vAlign w:val="center"/>
                </w:tcPr>
                <w:p w14:paraId="526F528E">
                  <w:pPr>
                    <w:pStyle w:val="70"/>
                    <w:adjustRightInd/>
                    <w:snapToGrid/>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石油类</w:t>
                  </w:r>
                </w:p>
              </w:tc>
              <w:tc>
                <w:tcPr>
                  <w:tcW w:w="865" w:type="pct"/>
                  <w:shd w:val="clear" w:color="auto" w:fill="auto"/>
                  <w:vAlign w:val="center"/>
                </w:tcPr>
                <w:p w14:paraId="6B568C76">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481" w:type="pct"/>
                  <w:vMerge w:val="continue"/>
                  <w:vAlign w:val="center"/>
                </w:tcPr>
                <w:p w14:paraId="7DE3E2F8">
                  <w:pPr>
                    <w:pStyle w:val="70"/>
                    <w:adjustRightInd/>
                    <w:snapToGrid/>
                    <w:rPr>
                      <w:rFonts w:hint="eastAsia"/>
                      <w:color w:val="000000" w:themeColor="text1"/>
                      <w:sz w:val="21"/>
                      <w:szCs w:val="21"/>
                      <w:highlight w:val="none"/>
                      <w14:textFill>
                        <w14:solidFill>
                          <w14:schemeClr w14:val="tx1"/>
                        </w14:solidFill>
                      </w14:textFill>
                    </w:rPr>
                  </w:pPr>
                </w:p>
              </w:tc>
            </w:tr>
            <w:tr w14:paraId="7D8A1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502AE629">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6</w:t>
                  </w:r>
                </w:p>
              </w:tc>
              <w:tc>
                <w:tcPr>
                  <w:tcW w:w="1215" w:type="pct"/>
                  <w:shd w:val="clear" w:color="auto" w:fill="auto"/>
                  <w:vAlign w:val="center"/>
                </w:tcPr>
                <w:p w14:paraId="0D4FA506">
                  <w:pPr>
                    <w:pStyle w:val="70"/>
                    <w:adjustRightInd/>
                    <w:snapToGrid/>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动植物油</w:t>
                  </w:r>
                </w:p>
              </w:tc>
              <w:tc>
                <w:tcPr>
                  <w:tcW w:w="865" w:type="pct"/>
                  <w:shd w:val="clear" w:color="auto" w:fill="auto"/>
                  <w:vAlign w:val="center"/>
                </w:tcPr>
                <w:p w14:paraId="7D189D9A">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2481" w:type="pct"/>
                  <w:vMerge w:val="continue"/>
                  <w:vAlign w:val="center"/>
                </w:tcPr>
                <w:p w14:paraId="1A7B8372">
                  <w:pPr>
                    <w:pStyle w:val="70"/>
                    <w:adjustRightInd/>
                    <w:snapToGrid/>
                    <w:rPr>
                      <w:rFonts w:hint="eastAsia"/>
                      <w:color w:val="000000" w:themeColor="text1"/>
                      <w:sz w:val="21"/>
                      <w:szCs w:val="21"/>
                      <w:highlight w:val="none"/>
                      <w14:textFill>
                        <w14:solidFill>
                          <w14:schemeClr w14:val="tx1"/>
                        </w14:solidFill>
                      </w14:textFill>
                    </w:rPr>
                  </w:pPr>
                </w:p>
              </w:tc>
            </w:tr>
            <w:tr w14:paraId="35DAC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016004CD">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7</w:t>
                  </w:r>
                </w:p>
              </w:tc>
              <w:tc>
                <w:tcPr>
                  <w:tcW w:w="1215" w:type="pct"/>
                  <w:shd w:val="clear" w:color="auto" w:fill="auto"/>
                  <w:vAlign w:val="center"/>
                </w:tcPr>
                <w:p w14:paraId="7C15B3C0">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总氮</w:t>
                  </w:r>
                  <w:r>
                    <w:rPr>
                      <w:rFonts w:hint="eastAsia"/>
                      <w:color w:val="000000" w:themeColor="text1"/>
                      <w:sz w:val="21"/>
                      <w:szCs w:val="21"/>
                      <w:highlight w:val="none"/>
                      <w14:textFill>
                        <w14:solidFill>
                          <w14:schemeClr w14:val="tx1"/>
                        </w14:solidFill>
                      </w14:textFill>
                    </w:rPr>
                    <w:t>（以</w:t>
                  </w:r>
                  <w:r>
                    <w:rPr>
                      <w:rFonts w:hint="eastAsia"/>
                      <w:color w:val="000000" w:themeColor="text1"/>
                      <w:sz w:val="21"/>
                      <w:szCs w:val="21"/>
                      <w:highlight w:val="none"/>
                      <w:lang w:val="en-US" w:eastAsia="zh-CN"/>
                      <w14:textFill>
                        <w14:solidFill>
                          <w14:schemeClr w14:val="tx1"/>
                        </w14:solidFill>
                      </w14:textFill>
                    </w:rPr>
                    <w:t>N</w:t>
                  </w:r>
                  <w:r>
                    <w:rPr>
                      <w:rFonts w:hint="eastAsia"/>
                      <w:color w:val="000000" w:themeColor="text1"/>
                      <w:sz w:val="21"/>
                      <w:szCs w:val="21"/>
                      <w:highlight w:val="none"/>
                      <w14:textFill>
                        <w14:solidFill>
                          <w14:schemeClr w14:val="tx1"/>
                        </w14:solidFill>
                      </w14:textFill>
                    </w:rPr>
                    <w:t>计）</w:t>
                  </w:r>
                </w:p>
              </w:tc>
              <w:tc>
                <w:tcPr>
                  <w:tcW w:w="865" w:type="pct"/>
                  <w:shd w:val="clear" w:color="auto" w:fill="auto"/>
                  <w:vAlign w:val="center"/>
                </w:tcPr>
                <w:p w14:paraId="1FDAE11E">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2481" w:type="pct"/>
                  <w:vMerge w:val="continue"/>
                  <w:vAlign w:val="center"/>
                </w:tcPr>
                <w:p w14:paraId="4BB989A7">
                  <w:pPr>
                    <w:pStyle w:val="70"/>
                    <w:adjustRightInd/>
                    <w:snapToGrid/>
                    <w:rPr>
                      <w:rFonts w:hint="eastAsia"/>
                      <w:color w:val="000000" w:themeColor="text1"/>
                      <w:sz w:val="21"/>
                      <w:szCs w:val="21"/>
                      <w:highlight w:val="none"/>
                      <w14:textFill>
                        <w14:solidFill>
                          <w14:schemeClr w14:val="tx1"/>
                        </w14:solidFill>
                      </w14:textFill>
                    </w:rPr>
                  </w:pPr>
                </w:p>
              </w:tc>
            </w:tr>
            <w:tr w14:paraId="4872D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417CE1AE">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w:t>
                  </w:r>
                </w:p>
              </w:tc>
              <w:tc>
                <w:tcPr>
                  <w:tcW w:w="1215" w:type="pct"/>
                  <w:shd w:val="clear" w:color="auto" w:fill="auto"/>
                  <w:vAlign w:val="center"/>
                </w:tcPr>
                <w:p w14:paraId="7DCB68E0">
                  <w:pPr>
                    <w:pStyle w:val="70"/>
                    <w:adjustRightInd/>
                    <w:snapToGrid/>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氨氮（以</w:t>
                  </w:r>
                  <w:r>
                    <w:rPr>
                      <w:rFonts w:hint="eastAsia"/>
                      <w:color w:val="000000" w:themeColor="text1"/>
                      <w:sz w:val="21"/>
                      <w:szCs w:val="21"/>
                      <w:highlight w:val="none"/>
                      <w:lang w:val="en-US" w:eastAsia="zh-CN"/>
                      <w14:textFill>
                        <w14:solidFill>
                          <w14:schemeClr w14:val="tx1"/>
                        </w14:solidFill>
                      </w14:textFill>
                    </w:rPr>
                    <w:t>N</w:t>
                  </w:r>
                  <w:r>
                    <w:rPr>
                      <w:rFonts w:hint="eastAsia"/>
                      <w:color w:val="000000" w:themeColor="text1"/>
                      <w:sz w:val="21"/>
                      <w:szCs w:val="21"/>
                      <w:highlight w:val="none"/>
                      <w14:textFill>
                        <w14:solidFill>
                          <w14:schemeClr w14:val="tx1"/>
                        </w14:solidFill>
                      </w14:textFill>
                    </w:rPr>
                    <w:t>计）</w:t>
                  </w:r>
                </w:p>
              </w:tc>
              <w:tc>
                <w:tcPr>
                  <w:tcW w:w="865" w:type="pct"/>
                  <w:shd w:val="clear" w:color="auto" w:fill="auto"/>
                  <w:vAlign w:val="center"/>
                </w:tcPr>
                <w:p w14:paraId="0E8FC783">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2481" w:type="pct"/>
                  <w:vMerge w:val="continue"/>
                  <w:vAlign w:val="center"/>
                </w:tcPr>
                <w:p w14:paraId="12AD0142">
                  <w:pPr>
                    <w:pStyle w:val="70"/>
                    <w:adjustRightInd/>
                    <w:snapToGrid/>
                    <w:rPr>
                      <w:rFonts w:hint="eastAsia"/>
                      <w:color w:val="000000" w:themeColor="text1"/>
                      <w:sz w:val="21"/>
                      <w:szCs w:val="21"/>
                      <w:highlight w:val="none"/>
                      <w14:textFill>
                        <w14:solidFill>
                          <w14:schemeClr w14:val="tx1"/>
                        </w14:solidFill>
                      </w14:textFill>
                    </w:rPr>
                  </w:pPr>
                </w:p>
              </w:tc>
            </w:tr>
            <w:tr w14:paraId="35614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688416CC">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9</w:t>
                  </w:r>
                </w:p>
              </w:tc>
              <w:tc>
                <w:tcPr>
                  <w:tcW w:w="1215" w:type="pct"/>
                  <w:shd w:val="clear" w:color="auto" w:fill="auto"/>
                  <w:vAlign w:val="center"/>
                </w:tcPr>
                <w:p w14:paraId="2E3CD61F">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总磷（</w:t>
                  </w:r>
                  <w:r>
                    <w:rPr>
                      <w:rFonts w:hint="eastAsia"/>
                      <w:color w:val="000000" w:themeColor="text1"/>
                      <w:sz w:val="21"/>
                      <w:szCs w:val="21"/>
                      <w:highlight w:val="none"/>
                      <w14:textFill>
                        <w14:solidFill>
                          <w14:schemeClr w14:val="tx1"/>
                        </w14:solidFill>
                      </w14:textFill>
                    </w:rPr>
                    <w:t>以</w:t>
                  </w:r>
                  <w:r>
                    <w:rPr>
                      <w:rFonts w:hint="eastAsia"/>
                      <w:color w:val="000000" w:themeColor="text1"/>
                      <w:sz w:val="21"/>
                      <w:szCs w:val="21"/>
                      <w:highlight w:val="none"/>
                      <w:lang w:val="en-US" w:eastAsia="zh-CN"/>
                      <w14:textFill>
                        <w14:solidFill>
                          <w14:schemeClr w14:val="tx1"/>
                        </w14:solidFill>
                      </w14:textFill>
                    </w:rPr>
                    <w:t>P</w:t>
                  </w:r>
                  <w:r>
                    <w:rPr>
                      <w:rFonts w:hint="eastAsia"/>
                      <w:color w:val="000000" w:themeColor="text1"/>
                      <w:sz w:val="21"/>
                      <w:szCs w:val="21"/>
                      <w:highlight w:val="none"/>
                      <w14:textFill>
                        <w14:solidFill>
                          <w14:schemeClr w14:val="tx1"/>
                        </w14:solidFill>
                      </w14:textFill>
                    </w:rPr>
                    <w:t>计</w:t>
                  </w:r>
                  <w:r>
                    <w:rPr>
                      <w:rFonts w:hint="eastAsia"/>
                      <w:color w:val="000000" w:themeColor="text1"/>
                      <w:sz w:val="21"/>
                      <w:szCs w:val="21"/>
                      <w:highlight w:val="none"/>
                      <w:lang w:val="en-US" w:eastAsia="zh-CN"/>
                      <w14:textFill>
                        <w14:solidFill>
                          <w14:schemeClr w14:val="tx1"/>
                        </w14:solidFill>
                      </w14:textFill>
                    </w:rPr>
                    <w:t>）</w:t>
                  </w:r>
                </w:p>
              </w:tc>
              <w:tc>
                <w:tcPr>
                  <w:tcW w:w="865" w:type="pct"/>
                  <w:shd w:val="clear" w:color="auto" w:fill="auto"/>
                  <w:vAlign w:val="center"/>
                </w:tcPr>
                <w:p w14:paraId="0E8E377C">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2481" w:type="pct"/>
                  <w:vMerge w:val="continue"/>
                  <w:vAlign w:val="center"/>
                </w:tcPr>
                <w:p w14:paraId="7DA52BCC">
                  <w:pPr>
                    <w:pStyle w:val="70"/>
                    <w:adjustRightInd/>
                    <w:snapToGrid/>
                    <w:rPr>
                      <w:rFonts w:hint="eastAsia"/>
                      <w:color w:val="000000" w:themeColor="text1"/>
                      <w:sz w:val="21"/>
                      <w:szCs w:val="21"/>
                      <w:highlight w:val="none"/>
                      <w14:textFill>
                        <w14:solidFill>
                          <w14:schemeClr w14:val="tx1"/>
                        </w14:solidFill>
                      </w14:textFill>
                    </w:rPr>
                  </w:pPr>
                </w:p>
              </w:tc>
            </w:tr>
            <w:tr w14:paraId="46CC1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5140EDA5">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1215" w:type="pct"/>
                  <w:shd w:val="clear" w:color="auto" w:fill="auto"/>
                  <w:vAlign w:val="center"/>
                </w:tcPr>
                <w:p w14:paraId="06FEF562">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色度（稀释倍数）</w:t>
                  </w:r>
                </w:p>
              </w:tc>
              <w:tc>
                <w:tcPr>
                  <w:tcW w:w="865" w:type="pct"/>
                  <w:shd w:val="clear" w:color="auto" w:fill="auto"/>
                  <w:vAlign w:val="center"/>
                </w:tcPr>
                <w:p w14:paraId="4251AB85">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w:t>
                  </w:r>
                </w:p>
              </w:tc>
              <w:tc>
                <w:tcPr>
                  <w:tcW w:w="2481" w:type="pct"/>
                  <w:vMerge w:val="continue"/>
                  <w:vAlign w:val="center"/>
                </w:tcPr>
                <w:p w14:paraId="658042AA">
                  <w:pPr>
                    <w:pStyle w:val="70"/>
                    <w:adjustRightInd/>
                    <w:snapToGrid/>
                    <w:rPr>
                      <w:rFonts w:hint="eastAsia"/>
                      <w:color w:val="000000" w:themeColor="text1"/>
                      <w:sz w:val="21"/>
                      <w:szCs w:val="21"/>
                      <w:highlight w:val="none"/>
                      <w14:textFill>
                        <w14:solidFill>
                          <w14:schemeClr w14:val="tx1"/>
                        </w14:solidFill>
                      </w14:textFill>
                    </w:rPr>
                  </w:pPr>
                </w:p>
              </w:tc>
            </w:tr>
            <w:tr w14:paraId="0A8A4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13" w:hRule="atLeast"/>
                <w:jc w:val="center"/>
              </w:trPr>
              <w:tc>
                <w:tcPr>
                  <w:tcW w:w="438" w:type="pct"/>
                  <w:shd w:val="clear" w:color="auto" w:fill="auto"/>
                  <w:vAlign w:val="center"/>
                </w:tcPr>
                <w:p w14:paraId="74D7A0AC">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11</w:t>
                  </w:r>
                </w:p>
              </w:tc>
              <w:tc>
                <w:tcPr>
                  <w:tcW w:w="1215" w:type="pct"/>
                  <w:shd w:val="clear" w:color="auto" w:fill="auto"/>
                  <w:vAlign w:val="center"/>
                </w:tcPr>
                <w:p w14:paraId="4356B0FC">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粪大肠菌群（个/L）</w:t>
                  </w:r>
                </w:p>
              </w:tc>
              <w:tc>
                <w:tcPr>
                  <w:tcW w:w="865" w:type="pct"/>
                  <w:shd w:val="clear" w:color="auto" w:fill="auto"/>
                  <w:vAlign w:val="center"/>
                </w:tcPr>
                <w:p w14:paraId="0D2A82A3">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1000</w:t>
                  </w:r>
                </w:p>
              </w:tc>
              <w:tc>
                <w:tcPr>
                  <w:tcW w:w="2481" w:type="pct"/>
                  <w:vMerge w:val="continue"/>
                  <w:vAlign w:val="center"/>
                </w:tcPr>
                <w:p w14:paraId="11FEC81C">
                  <w:pPr>
                    <w:pStyle w:val="70"/>
                    <w:adjustRightInd/>
                    <w:snapToGrid/>
                    <w:rPr>
                      <w:rFonts w:hint="eastAsia"/>
                      <w:color w:val="000000" w:themeColor="text1"/>
                      <w:sz w:val="21"/>
                      <w:szCs w:val="21"/>
                      <w:highlight w:val="none"/>
                      <w14:textFill>
                        <w14:solidFill>
                          <w14:schemeClr w14:val="tx1"/>
                        </w14:solidFill>
                      </w14:textFill>
                    </w:rPr>
                  </w:pPr>
                </w:p>
              </w:tc>
            </w:tr>
          </w:tbl>
          <w:p w14:paraId="6ED371B6">
            <w:pPr>
              <w:pStyle w:val="37"/>
              <w:spacing w:before="120" w:beforeLines="50"/>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 xml:space="preserve">3.9 </w:t>
            </w:r>
            <w:r>
              <w:rPr>
                <w:rFonts w:hint="eastAsia"/>
                <w:color w:val="000000" w:themeColor="text1"/>
                <w:sz w:val="24"/>
                <w:szCs w:val="21"/>
                <w:highlight w:val="none"/>
                <w14:textFill>
                  <w14:solidFill>
                    <w14:schemeClr w14:val="tx1"/>
                  </w14:solidFill>
                </w14:textFill>
              </w:rPr>
              <w:t>噪声标准</w:t>
            </w:r>
          </w:p>
          <w:p w14:paraId="40BE5844">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项目所在声环境功能区划为3类区，因此，营运期厂界噪声排放执行《工业企业厂界环境噪声排放标准》(GB12348-2008)中3类标准，具体详见</w:t>
            </w:r>
            <w:r>
              <w:rPr>
                <w:rFonts w:hint="eastAsia" w:cs="宋体"/>
                <w:bCs/>
                <w:color w:val="000000" w:themeColor="text1"/>
                <w:sz w:val="24"/>
                <w:szCs w:val="24"/>
                <w:highlight w:val="none"/>
                <w:lang w:val="en-US" w:eastAsia="zh-CN"/>
                <w14:textFill>
                  <w14:solidFill>
                    <w14:schemeClr w14:val="tx1"/>
                  </w14:solidFill>
                </w14:textFill>
              </w:rPr>
              <w:t>下</w:t>
            </w:r>
            <w:r>
              <w:rPr>
                <w:rFonts w:hint="eastAsia" w:cs="宋体"/>
                <w:bCs/>
                <w:color w:val="000000" w:themeColor="text1"/>
                <w:sz w:val="24"/>
                <w:szCs w:val="24"/>
                <w:highlight w:val="none"/>
                <w14:textFill>
                  <w14:solidFill>
                    <w14:schemeClr w14:val="tx1"/>
                  </w14:solidFill>
                </w14:textFill>
              </w:rPr>
              <w:t>表。</w:t>
            </w:r>
          </w:p>
          <w:p w14:paraId="614CFA00">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表3-6  噪声排放标准 单位：dB（A）</w:t>
            </w:r>
          </w:p>
          <w:tbl>
            <w:tblPr>
              <w:tblStyle w:val="3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108" w:type="dxa"/>
                <w:bottom w:w="28" w:type="dxa"/>
                <w:right w:w="108" w:type="dxa"/>
              </w:tblCellMar>
            </w:tblPr>
            <w:tblGrid>
              <w:gridCol w:w="1626"/>
              <w:gridCol w:w="1297"/>
              <w:gridCol w:w="1876"/>
              <w:gridCol w:w="3591"/>
            </w:tblGrid>
            <w:tr w14:paraId="0562A6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jc w:val="center"/>
              </w:trPr>
              <w:tc>
                <w:tcPr>
                  <w:tcW w:w="969" w:type="pct"/>
                  <w:tcBorders>
                    <w:top w:val="single" w:color="auto" w:sz="4" w:space="0"/>
                    <w:left w:val="single" w:color="auto" w:sz="4" w:space="0"/>
                    <w:bottom w:val="single" w:color="auto" w:sz="4" w:space="0"/>
                    <w:tl2br w:val="single" w:color="auto" w:sz="4" w:space="0"/>
                  </w:tcBorders>
                  <w:shd w:val="clear" w:color="auto" w:fill="auto"/>
                  <w:vAlign w:val="center"/>
                </w:tcPr>
                <w:p w14:paraId="611FAEE9">
                  <w:pPr>
                    <w:pStyle w:val="70"/>
                    <w:adjustRightInd/>
                    <w:snapToGrid/>
                    <w:jc w:val="right"/>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时段</w:t>
                  </w:r>
                </w:p>
                <w:p w14:paraId="1786037A">
                  <w:pPr>
                    <w:pStyle w:val="70"/>
                    <w:adjustRightInd/>
                    <w:snapToGrid/>
                    <w:jc w:val="left"/>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声功能区</w:t>
                  </w:r>
                </w:p>
              </w:tc>
              <w:tc>
                <w:tcPr>
                  <w:tcW w:w="773" w:type="pct"/>
                  <w:tcBorders>
                    <w:top w:val="single" w:color="auto" w:sz="4" w:space="0"/>
                    <w:bottom w:val="single" w:color="auto" w:sz="4" w:space="0"/>
                  </w:tcBorders>
                  <w:shd w:val="clear" w:color="auto" w:fill="auto"/>
                  <w:vAlign w:val="center"/>
                </w:tcPr>
                <w:p w14:paraId="0B402934">
                  <w:pPr>
                    <w:pStyle w:val="70"/>
                    <w:adjustRightInd/>
                    <w:snapToGrid/>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昼间</w:t>
                  </w:r>
                </w:p>
              </w:tc>
              <w:tc>
                <w:tcPr>
                  <w:tcW w:w="1118" w:type="pct"/>
                  <w:tcBorders>
                    <w:top w:val="single" w:color="auto" w:sz="4" w:space="0"/>
                    <w:bottom w:val="single" w:color="auto" w:sz="4" w:space="0"/>
                  </w:tcBorders>
                  <w:shd w:val="clear" w:color="auto" w:fill="auto"/>
                  <w:vAlign w:val="center"/>
                </w:tcPr>
                <w:p w14:paraId="3779671D">
                  <w:pPr>
                    <w:pStyle w:val="70"/>
                    <w:adjustRightInd/>
                    <w:snapToGrid/>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夜间</w:t>
                  </w:r>
                </w:p>
              </w:tc>
              <w:tc>
                <w:tcPr>
                  <w:tcW w:w="2139" w:type="pct"/>
                  <w:tcBorders>
                    <w:top w:val="single" w:color="auto" w:sz="4" w:space="0"/>
                    <w:bottom w:val="single" w:color="auto" w:sz="4" w:space="0"/>
                    <w:right w:val="single" w:color="auto" w:sz="4" w:space="0"/>
                  </w:tcBorders>
                  <w:shd w:val="clear" w:color="auto" w:fill="auto"/>
                  <w:vAlign w:val="center"/>
                </w:tcPr>
                <w:p w14:paraId="4775985B">
                  <w:pPr>
                    <w:pStyle w:val="70"/>
                    <w:adjustRightInd/>
                    <w:snapToGrid/>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执行标准</w:t>
                  </w:r>
                </w:p>
              </w:tc>
            </w:tr>
            <w:tr w14:paraId="429F1C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108" w:type="dxa"/>
                  <w:bottom w:w="28" w:type="dxa"/>
                  <w:right w:w="108" w:type="dxa"/>
                </w:tblCellMar>
              </w:tblPrEx>
              <w:trPr>
                <w:jc w:val="center"/>
              </w:trPr>
              <w:tc>
                <w:tcPr>
                  <w:tcW w:w="969" w:type="pct"/>
                  <w:tcBorders>
                    <w:top w:val="single" w:color="auto" w:sz="4" w:space="0"/>
                    <w:left w:val="single" w:color="auto" w:sz="4" w:space="0"/>
                    <w:bottom w:val="single" w:color="auto" w:sz="4" w:space="0"/>
                  </w:tcBorders>
                  <w:shd w:val="clear" w:color="auto" w:fill="auto"/>
                  <w:vAlign w:val="center"/>
                </w:tcPr>
                <w:p w14:paraId="348F4693">
                  <w:pPr>
                    <w:pStyle w:val="70"/>
                    <w:adjustRightInd/>
                    <w:snapToGrid/>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3</w:t>
                  </w:r>
                </w:p>
              </w:tc>
              <w:tc>
                <w:tcPr>
                  <w:tcW w:w="773" w:type="pct"/>
                  <w:tcBorders>
                    <w:top w:val="single" w:color="auto" w:sz="4" w:space="0"/>
                    <w:bottom w:val="single" w:color="auto" w:sz="4" w:space="0"/>
                  </w:tcBorders>
                  <w:shd w:val="clear" w:color="auto" w:fill="auto"/>
                  <w:vAlign w:val="center"/>
                </w:tcPr>
                <w:p w14:paraId="779350E3">
                  <w:pPr>
                    <w:pStyle w:val="70"/>
                    <w:adjustRightInd/>
                    <w:snapToGrid/>
                    <w:rPr>
                      <w:color w:val="000000" w:themeColor="text1"/>
                      <w:sz w:val="21"/>
                      <w:szCs w:val="24"/>
                      <w:highlight w:val="none"/>
                      <w14:textFill>
                        <w14:solidFill>
                          <w14:schemeClr w14:val="tx1"/>
                        </w14:solidFill>
                      </w14:textFill>
                    </w:rPr>
                  </w:pPr>
                  <w:r>
                    <w:rPr>
                      <w:color w:val="000000" w:themeColor="text1"/>
                      <w:sz w:val="21"/>
                      <w:szCs w:val="24"/>
                      <w:highlight w:val="none"/>
                      <w14:textFill>
                        <w14:solidFill>
                          <w14:schemeClr w14:val="tx1"/>
                        </w14:solidFill>
                      </w14:textFill>
                    </w:rPr>
                    <w:t>65</w:t>
                  </w:r>
                </w:p>
              </w:tc>
              <w:tc>
                <w:tcPr>
                  <w:tcW w:w="1118" w:type="pct"/>
                  <w:tcBorders>
                    <w:top w:val="single" w:color="auto" w:sz="4" w:space="0"/>
                    <w:bottom w:val="single" w:color="auto" w:sz="4" w:space="0"/>
                  </w:tcBorders>
                  <w:shd w:val="clear" w:color="auto" w:fill="auto"/>
                  <w:vAlign w:val="center"/>
                </w:tcPr>
                <w:p w14:paraId="69930C59">
                  <w:pPr>
                    <w:pStyle w:val="70"/>
                    <w:adjustRightInd/>
                    <w:snapToGrid/>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5</w:t>
                  </w:r>
                  <w:r>
                    <w:rPr>
                      <w:color w:val="000000" w:themeColor="text1"/>
                      <w:sz w:val="21"/>
                      <w:szCs w:val="24"/>
                      <w:highlight w:val="none"/>
                      <w14:textFill>
                        <w14:solidFill>
                          <w14:schemeClr w14:val="tx1"/>
                        </w14:solidFill>
                      </w14:textFill>
                    </w:rPr>
                    <w:t>5</w:t>
                  </w:r>
                </w:p>
              </w:tc>
              <w:tc>
                <w:tcPr>
                  <w:tcW w:w="2139" w:type="pct"/>
                  <w:tcBorders>
                    <w:top w:val="single" w:color="auto" w:sz="4" w:space="0"/>
                    <w:bottom w:val="single" w:color="auto" w:sz="4" w:space="0"/>
                    <w:right w:val="single" w:color="auto" w:sz="4" w:space="0"/>
                  </w:tcBorders>
                  <w:shd w:val="clear" w:color="auto" w:fill="auto"/>
                  <w:vAlign w:val="center"/>
                </w:tcPr>
                <w:p w14:paraId="494DA426">
                  <w:pPr>
                    <w:pStyle w:val="70"/>
                    <w:adjustRightInd/>
                    <w:snapToGrid/>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《工业企业厂界环境噪声排放标准》（GB12348-2008）中3类标准</w:t>
                  </w:r>
                </w:p>
              </w:tc>
            </w:tr>
          </w:tbl>
          <w:p w14:paraId="462D9DB4">
            <w:pPr>
              <w:pStyle w:val="37"/>
              <w:spacing w:before="120" w:beforeLines="50"/>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 xml:space="preserve">3.10 </w:t>
            </w:r>
            <w:r>
              <w:rPr>
                <w:rFonts w:hint="eastAsia"/>
                <w:color w:val="000000" w:themeColor="text1"/>
                <w:sz w:val="24"/>
                <w:szCs w:val="21"/>
                <w:highlight w:val="none"/>
                <w14:textFill>
                  <w14:solidFill>
                    <w14:schemeClr w14:val="tx1"/>
                  </w14:solidFill>
                </w14:textFill>
              </w:rPr>
              <w:t>固废标准</w:t>
            </w:r>
          </w:p>
          <w:p w14:paraId="5F07D6E8">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固体废物应分类收集，能够回收利用的应当充分回收利用。</w:t>
            </w:r>
          </w:p>
          <w:p w14:paraId="4ACC7E4A">
            <w:pPr>
              <w:spacing w:line="360" w:lineRule="auto"/>
              <w:ind w:firstLine="480" w:firstLineChars="200"/>
              <w:rPr>
                <w:rFonts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一般工业固体废物参照《一般工业固体废物贮存和填埋污染控制标准》（GB18599-2020）要求进行处置，处理和处置执行《</w:t>
            </w:r>
            <w:r>
              <w:rPr>
                <w:rFonts w:hint="eastAsia" w:cs="宋体"/>
                <w:bCs/>
                <w:color w:val="000000" w:themeColor="text1"/>
                <w:sz w:val="24"/>
                <w:szCs w:val="24"/>
                <w:highlight w:val="none"/>
                <w:lang w:val="en-US" w:eastAsia="zh-CN"/>
                <w14:textFill>
                  <w14:solidFill>
                    <w14:schemeClr w14:val="tx1"/>
                  </w14:solidFill>
                </w14:textFill>
              </w:rPr>
              <w:t>中华</w:t>
            </w:r>
            <w:r>
              <w:rPr>
                <w:rFonts w:hint="eastAsia" w:cs="宋体"/>
                <w:bCs/>
                <w:color w:val="000000" w:themeColor="text1"/>
                <w:sz w:val="24"/>
                <w:szCs w:val="24"/>
                <w:highlight w:val="none"/>
                <w14:textFill>
                  <w14:solidFill>
                    <w14:schemeClr w14:val="tx1"/>
                  </w14:solidFill>
                </w14:textFill>
              </w:rPr>
              <w:t>人民共和国固体废物污染环境防治法》中的有关规定。一般工业固体废物采用库房、包装工具（罐、桶、包装袋等）贮存一般工业固体废物过程的污染控制，其贮存过程应满足相应防渗漏、防雨淋、防扬尘等环境保护要求。</w:t>
            </w:r>
          </w:p>
          <w:p w14:paraId="33D9625B">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r>
              <w:rPr>
                <w:rFonts w:hint="eastAsia" w:cs="宋体"/>
                <w:bCs/>
                <w:color w:val="000000" w:themeColor="text1"/>
                <w:sz w:val="24"/>
                <w:szCs w:val="24"/>
                <w:highlight w:val="none"/>
                <w14:textFill>
                  <w14:solidFill>
                    <w14:schemeClr w14:val="tx1"/>
                  </w14:solidFill>
                </w14:textFill>
              </w:rPr>
              <w:t>危险废物按《国家危险废物名录》（202</w:t>
            </w:r>
            <w:r>
              <w:rPr>
                <w:rFonts w:hint="eastAsia" w:cs="宋体"/>
                <w:bCs/>
                <w:color w:val="000000" w:themeColor="text1"/>
                <w:sz w:val="24"/>
                <w:szCs w:val="24"/>
                <w:highlight w:val="none"/>
                <w:lang w:val="en-US" w:eastAsia="zh-CN"/>
                <w14:textFill>
                  <w14:solidFill>
                    <w14:schemeClr w14:val="tx1"/>
                  </w14:solidFill>
                </w14:textFill>
              </w:rPr>
              <w:t>5</w:t>
            </w:r>
            <w:r>
              <w:rPr>
                <w:rFonts w:hint="eastAsia" w:cs="宋体"/>
                <w:bCs/>
                <w:color w:val="000000" w:themeColor="text1"/>
                <w:sz w:val="24"/>
                <w:szCs w:val="24"/>
                <w:highlight w:val="none"/>
                <w14:textFill>
                  <w14:solidFill>
                    <w14:schemeClr w14:val="tx1"/>
                  </w14:solidFill>
                </w14:textFill>
              </w:rPr>
              <w:t>年</w:t>
            </w:r>
            <w:r>
              <w:rPr>
                <w:rFonts w:hint="eastAsia" w:cs="宋体"/>
                <w:bCs/>
                <w:color w:val="000000" w:themeColor="text1"/>
                <w:sz w:val="24"/>
                <w:szCs w:val="24"/>
                <w:highlight w:val="none"/>
                <w:lang w:val="en-US" w:eastAsia="zh-CN"/>
                <w14:textFill>
                  <w14:solidFill>
                    <w14:schemeClr w14:val="tx1"/>
                  </w14:solidFill>
                </w14:textFill>
              </w:rPr>
              <w:t>版</w:t>
            </w:r>
            <w:r>
              <w:rPr>
                <w:rFonts w:hint="eastAsia" w:cs="宋体"/>
                <w:bCs/>
                <w:color w:val="000000" w:themeColor="text1"/>
                <w:sz w:val="24"/>
                <w:szCs w:val="24"/>
                <w:highlight w:val="none"/>
                <w14:textFill>
                  <w14:solidFill>
                    <w14:schemeClr w14:val="tx1"/>
                  </w14:solidFill>
                </w14:textFill>
              </w:rPr>
              <w:t>）、《危险废物鉴别标准 通则》（GB5085.7-2019）认定，并按《危险废物贮存污染控制标准》（GB18597-2023）、《危险废物焚烧污染控制标准》（GB18484-2020）、《危险废物填埋污染控制标准》（GB18598-2019）要求进行处置。</w:t>
            </w:r>
          </w:p>
          <w:p w14:paraId="73390F83">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43B3AD8C">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42825EF1">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7571FF33">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79EF09EF">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4FA0B2ED">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613AB0AC">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648F07AC">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226E0058">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05645B34">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p w14:paraId="11EC8303">
            <w:pPr>
              <w:spacing w:line="360" w:lineRule="auto"/>
              <w:ind w:firstLine="480" w:firstLineChars="200"/>
              <w:rPr>
                <w:rFonts w:hint="eastAsia" w:cs="宋体"/>
                <w:bCs/>
                <w:color w:val="000000" w:themeColor="text1"/>
                <w:sz w:val="24"/>
                <w:szCs w:val="24"/>
                <w:highlight w:val="none"/>
                <w14:textFill>
                  <w14:solidFill>
                    <w14:schemeClr w14:val="tx1"/>
                  </w14:solidFill>
                </w14:textFill>
              </w:rPr>
            </w:pPr>
          </w:p>
        </w:tc>
      </w:tr>
      <w:tr w14:paraId="7A2B3F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32" w:type="dxa"/>
          <w:trHeight w:val="6810" w:hRule="atLeast"/>
          <w:jc w:val="center"/>
        </w:trPr>
        <w:tc>
          <w:tcPr>
            <w:tcW w:w="423" w:type="dxa"/>
            <w:tcMar>
              <w:left w:w="28" w:type="dxa"/>
              <w:right w:w="28" w:type="dxa"/>
            </w:tcMar>
            <w:vAlign w:val="center"/>
          </w:tcPr>
          <w:p w14:paraId="341B9D45">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总量控制指标</w:t>
            </w:r>
          </w:p>
        </w:tc>
        <w:tc>
          <w:tcPr>
            <w:tcW w:w="8606" w:type="dxa"/>
            <w:vAlign w:val="center"/>
          </w:tcPr>
          <w:p w14:paraId="2AEB84AB">
            <w:pPr>
              <w:spacing w:line="360" w:lineRule="auto"/>
              <w:ind w:firstLine="480" w:firstLineChars="200"/>
              <w:rPr>
                <w:rFonts w:hint="eastAsia"/>
                <w:bCs/>
                <w:color w:val="000000" w:themeColor="text1"/>
                <w:sz w:val="24"/>
                <w:szCs w:val="32"/>
                <w:highlight w:val="none"/>
                <w:lang w:eastAsia="zh-CN"/>
                <w14:textFill>
                  <w14:solidFill>
                    <w14:schemeClr w14:val="tx1"/>
                  </w14:solidFill>
                </w14:textFill>
              </w:rPr>
            </w:pPr>
            <w:r>
              <w:rPr>
                <w:rFonts w:hint="eastAsia"/>
                <w:bCs/>
                <w:color w:val="000000" w:themeColor="text1"/>
                <w:sz w:val="24"/>
                <w:szCs w:val="32"/>
                <w:highlight w:val="none"/>
                <w14:textFill>
                  <w14:solidFill>
                    <w14:schemeClr w14:val="tx1"/>
                  </w14:solidFill>
                </w14:textFill>
              </w:rPr>
              <w:t>根据《福建省建设项目主要污染物排放总量控制指标管理办法》《福建省人民政府关于全面实施排污权有偿使用和交易工作的意见》（闽政〔2016〕54号）等有关文件要求，排污权核定因子COD</w:t>
            </w:r>
            <w:r>
              <w:rPr>
                <w:rFonts w:hint="eastAsia"/>
                <w:bCs/>
                <w:color w:val="000000" w:themeColor="text1"/>
                <w:sz w:val="24"/>
                <w:szCs w:val="32"/>
                <w:highlight w:val="none"/>
                <w:vertAlign w:val="subscript"/>
                <w14:textFill>
                  <w14:solidFill>
                    <w14:schemeClr w14:val="tx1"/>
                  </w14:solidFill>
                </w14:textFill>
              </w:rPr>
              <w:t>Cr</w:t>
            </w:r>
            <w:r>
              <w:rPr>
                <w:rFonts w:hint="eastAsia"/>
                <w:bCs/>
                <w:color w:val="000000" w:themeColor="text1"/>
                <w:sz w:val="24"/>
                <w:szCs w:val="32"/>
                <w:highlight w:val="none"/>
                <w14:textFill>
                  <w14:solidFill>
                    <w14:schemeClr w14:val="tx1"/>
                  </w14:solidFill>
                </w14:textFill>
              </w:rPr>
              <w:t>、NH</w:t>
            </w:r>
            <w:r>
              <w:rPr>
                <w:rFonts w:hint="eastAsia"/>
                <w:bCs/>
                <w:color w:val="000000" w:themeColor="text1"/>
                <w:sz w:val="24"/>
                <w:szCs w:val="32"/>
                <w:highlight w:val="none"/>
                <w:vertAlign w:val="subscript"/>
                <w14:textFill>
                  <w14:solidFill>
                    <w14:schemeClr w14:val="tx1"/>
                  </w14:solidFill>
                </w14:textFill>
              </w:rPr>
              <w:t>3</w:t>
            </w:r>
            <w:r>
              <w:rPr>
                <w:rFonts w:hint="eastAsia"/>
                <w:bCs/>
                <w:color w:val="000000" w:themeColor="text1"/>
                <w:sz w:val="24"/>
                <w:szCs w:val="32"/>
                <w:highlight w:val="none"/>
                <w14:textFill>
                  <w14:solidFill>
                    <w14:schemeClr w14:val="tx1"/>
                  </w14:solidFill>
                </w14:textFill>
              </w:rPr>
              <w:t>-N、SO</w:t>
            </w:r>
            <w:r>
              <w:rPr>
                <w:rFonts w:hint="eastAsia"/>
                <w:bCs/>
                <w:color w:val="000000" w:themeColor="text1"/>
                <w:sz w:val="24"/>
                <w:szCs w:val="32"/>
                <w:highlight w:val="none"/>
                <w:vertAlign w:val="subscript"/>
                <w14:textFill>
                  <w14:solidFill>
                    <w14:schemeClr w14:val="tx1"/>
                  </w14:solidFill>
                </w14:textFill>
              </w:rPr>
              <w:t>2</w:t>
            </w:r>
            <w:r>
              <w:rPr>
                <w:rFonts w:hint="eastAsia"/>
                <w:bCs/>
                <w:color w:val="000000" w:themeColor="text1"/>
                <w:sz w:val="24"/>
                <w:szCs w:val="32"/>
                <w:highlight w:val="none"/>
                <w14:textFill>
                  <w14:solidFill>
                    <w14:schemeClr w14:val="tx1"/>
                  </w14:solidFill>
                </w14:textFill>
              </w:rPr>
              <w:t>、NO</w:t>
            </w:r>
            <w:r>
              <w:rPr>
                <w:rFonts w:hint="eastAsia"/>
                <w:bCs/>
                <w:color w:val="000000" w:themeColor="text1"/>
                <w:sz w:val="24"/>
                <w:szCs w:val="32"/>
                <w:highlight w:val="none"/>
                <w:vertAlign w:val="subscript"/>
                <w14:textFill>
                  <w14:solidFill>
                    <w14:schemeClr w14:val="tx1"/>
                  </w14:solidFill>
                </w14:textFill>
              </w:rPr>
              <w:t>X</w:t>
            </w:r>
            <w:r>
              <w:rPr>
                <w:rFonts w:hint="eastAsia"/>
                <w:bCs/>
                <w:color w:val="000000" w:themeColor="text1"/>
                <w:sz w:val="24"/>
                <w:szCs w:val="32"/>
                <w:highlight w:val="none"/>
                <w14:textFill>
                  <w14:solidFill>
                    <w14:schemeClr w14:val="tx1"/>
                  </w14:solidFill>
                </w14:textFill>
              </w:rPr>
              <w:t>。</w:t>
            </w:r>
          </w:p>
          <w:p w14:paraId="6629ABE8">
            <w:pPr>
              <w:spacing w:line="360" w:lineRule="auto"/>
              <w:ind w:firstLine="480" w:firstLineChars="200"/>
              <w:rPr>
                <w:rFonts w:hint="default" w:eastAsia="宋体"/>
                <w:bCs/>
                <w:color w:val="000000" w:themeColor="text1"/>
                <w:sz w:val="24"/>
                <w:szCs w:val="32"/>
                <w:highlight w:val="none"/>
                <w:lang w:val="en-US" w:eastAsia="zh-CN"/>
                <w14:textFill>
                  <w14:solidFill>
                    <w14:schemeClr w14:val="tx1"/>
                  </w14:solidFill>
                </w14:textFill>
              </w:rPr>
            </w:pP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lang w:val="en-US" w:eastAsia="zh-CN"/>
                <w14:textFill>
                  <w14:solidFill>
                    <w14:schemeClr w14:val="tx1"/>
                  </w14:solidFill>
                </w14:textFill>
              </w:rPr>
              <w:t>1</w:t>
            </w: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lang w:val="en-US" w:eastAsia="zh-CN"/>
                <w14:textFill>
                  <w14:solidFill>
                    <w14:schemeClr w14:val="tx1"/>
                  </w14:solidFill>
                </w14:textFill>
              </w:rPr>
              <w:t>废水总量</w:t>
            </w:r>
          </w:p>
          <w:p w14:paraId="3356386E">
            <w:pPr>
              <w:spacing w:line="360" w:lineRule="auto"/>
              <w:ind w:firstLine="480" w:firstLineChars="200"/>
              <w:rPr>
                <w:rFonts w:hint="eastAsia"/>
                <w:bCs/>
                <w:color w:val="000000" w:themeColor="text1"/>
                <w:sz w:val="24"/>
                <w:szCs w:val="32"/>
                <w:highlight w:val="none"/>
                <w14:textFill>
                  <w14:solidFill>
                    <w14:schemeClr w14:val="tx1"/>
                  </w14:solidFill>
                </w14:textFill>
              </w:rPr>
            </w:pPr>
            <w:r>
              <w:rPr>
                <w:rFonts w:hint="eastAsia"/>
                <w:bCs/>
                <w:color w:val="000000" w:themeColor="text1"/>
                <w:sz w:val="24"/>
                <w:szCs w:val="32"/>
                <w:highlight w:val="none"/>
                <w14:textFill>
                  <w14:solidFill>
                    <w14:schemeClr w14:val="tx1"/>
                  </w14:solidFill>
                </w14:textFill>
              </w:rPr>
              <w:t>项目无生产废水排放，生活污水依托厂区内已建</w:t>
            </w:r>
            <w:r>
              <w:rPr>
                <w:rFonts w:hint="eastAsia"/>
                <w:bCs/>
                <w:color w:val="000000" w:themeColor="text1"/>
                <w:sz w:val="24"/>
                <w:szCs w:val="32"/>
                <w:highlight w:val="none"/>
                <w:lang w:val="en-US" w:eastAsia="zh-CN"/>
                <w14:textFill>
                  <w14:solidFill>
                    <w14:schemeClr w14:val="tx1"/>
                  </w14:solidFill>
                </w14:textFill>
              </w:rPr>
              <w:t>隔油+</w:t>
            </w:r>
            <w:r>
              <w:rPr>
                <w:rFonts w:hint="eastAsia"/>
                <w:bCs/>
                <w:color w:val="000000" w:themeColor="text1"/>
                <w:sz w:val="24"/>
                <w:szCs w:val="32"/>
                <w:highlight w:val="none"/>
                <w14:textFill>
                  <w14:solidFill>
                    <w14:schemeClr w14:val="tx1"/>
                  </w14:solidFill>
                </w14:textFill>
              </w:rPr>
              <w:t>化粪池处理后排入市政污水管网，进入</w:t>
            </w:r>
            <w:r>
              <w:rPr>
                <w:rFonts w:hint="eastAsia"/>
                <w:color w:val="000000" w:themeColor="text1"/>
                <w:sz w:val="24"/>
                <w:szCs w:val="24"/>
                <w:highlight w:val="none"/>
                <w14:textFill>
                  <w14:solidFill>
                    <w14:schemeClr w14:val="tx1"/>
                  </w14:solidFill>
                </w14:textFill>
              </w:rPr>
              <w:t>福建青口海峡环保有限公司(</w:t>
            </w:r>
            <w:r>
              <w:rPr>
                <w:rFonts w:hint="eastAsia"/>
                <w:color w:val="000000" w:themeColor="text1"/>
                <w:sz w:val="24"/>
                <w:szCs w:val="24"/>
                <w:highlight w:val="none"/>
                <w:lang w:eastAsia="zh-CN"/>
                <w14:textFill>
                  <w14:solidFill>
                    <w14:schemeClr w14:val="tx1"/>
                  </w14:solidFill>
                </w14:textFill>
              </w:rPr>
              <w:t>青口新区污水处理厂</w:t>
            </w:r>
            <w:r>
              <w:rPr>
                <w:rFonts w:hint="eastAsia"/>
                <w:color w:val="000000" w:themeColor="text1"/>
                <w:sz w:val="24"/>
                <w:szCs w:val="24"/>
                <w:highlight w:val="none"/>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集中处理。根据《福建省环保厅关于进一步加快推进排污权有偿使用和交易工作的意见》(闽环发〔201</w:t>
            </w:r>
            <w:r>
              <w:rPr>
                <w:rFonts w:hint="eastAsia"/>
                <w:bCs/>
                <w:color w:val="000000" w:themeColor="text1"/>
                <w:sz w:val="24"/>
                <w:szCs w:val="32"/>
                <w:highlight w:val="none"/>
                <w:lang w:val="en-US" w:eastAsia="zh-CN"/>
                <w14:textFill>
                  <w14:solidFill>
                    <w14:schemeClr w14:val="tx1"/>
                  </w14:solidFill>
                </w14:textFill>
              </w:rPr>
              <w:t>5</w:t>
            </w:r>
            <w:r>
              <w:rPr>
                <w:rFonts w:hint="eastAsia"/>
                <w:bCs/>
                <w:color w:val="000000" w:themeColor="text1"/>
                <w:sz w:val="24"/>
                <w:szCs w:val="32"/>
                <w:highlight w:val="none"/>
                <w14:textFill>
                  <w14:solidFill>
                    <w14:schemeClr w14:val="tx1"/>
                  </w14:solidFill>
                </w14:textFill>
              </w:rPr>
              <w:t>〕6号)的规定“对水污染物，仅核定工业废水部分”，项目生活污水排放暂不需购买相应的排污权指标。本项目外排的生活污水允许排放量由</w:t>
            </w:r>
            <w:r>
              <w:rPr>
                <w:rFonts w:hint="eastAsia"/>
                <w:color w:val="000000" w:themeColor="text1"/>
                <w:sz w:val="24"/>
                <w:szCs w:val="24"/>
                <w:highlight w:val="none"/>
                <w14:textFill>
                  <w14:solidFill>
                    <w14:schemeClr w14:val="tx1"/>
                  </w14:solidFill>
                </w14:textFill>
              </w:rPr>
              <w:t>福建青口海峡环保有限公司(</w:t>
            </w:r>
            <w:r>
              <w:rPr>
                <w:rFonts w:hint="eastAsia"/>
                <w:color w:val="000000" w:themeColor="text1"/>
                <w:sz w:val="24"/>
                <w:szCs w:val="24"/>
                <w:highlight w:val="none"/>
                <w:lang w:eastAsia="zh-CN"/>
                <w14:textFill>
                  <w14:solidFill>
                    <w14:schemeClr w14:val="tx1"/>
                  </w14:solidFill>
                </w14:textFill>
              </w:rPr>
              <w:t>青口新区污水处理厂</w:t>
            </w:r>
            <w:r>
              <w:rPr>
                <w:rFonts w:hint="eastAsia"/>
                <w:color w:val="000000" w:themeColor="text1"/>
                <w:sz w:val="24"/>
                <w:szCs w:val="24"/>
                <w:highlight w:val="none"/>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统计在内，由</w:t>
            </w:r>
            <w:r>
              <w:rPr>
                <w:rFonts w:hint="eastAsia"/>
                <w:color w:val="000000" w:themeColor="text1"/>
                <w:sz w:val="24"/>
                <w:szCs w:val="24"/>
                <w:highlight w:val="none"/>
                <w14:textFill>
                  <w14:solidFill>
                    <w14:schemeClr w14:val="tx1"/>
                  </w14:solidFill>
                </w14:textFill>
              </w:rPr>
              <w:t>福建青口海峡环保有限公司(</w:t>
            </w:r>
            <w:r>
              <w:rPr>
                <w:rFonts w:hint="eastAsia"/>
                <w:color w:val="000000" w:themeColor="text1"/>
                <w:sz w:val="24"/>
                <w:szCs w:val="24"/>
                <w:highlight w:val="none"/>
                <w:lang w:eastAsia="zh-CN"/>
                <w14:textFill>
                  <w14:solidFill>
                    <w14:schemeClr w14:val="tx1"/>
                  </w14:solidFill>
                </w14:textFill>
              </w:rPr>
              <w:t>青口新区污水处理厂</w:t>
            </w:r>
            <w:r>
              <w:rPr>
                <w:rFonts w:hint="eastAsia"/>
                <w:color w:val="000000" w:themeColor="text1"/>
                <w:sz w:val="24"/>
                <w:szCs w:val="24"/>
                <w:highlight w:val="none"/>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统一削减控制。因此，项目不涉及废水总量要求。</w:t>
            </w:r>
          </w:p>
          <w:p w14:paraId="1E59CAB7">
            <w:pPr>
              <w:spacing w:line="360" w:lineRule="auto"/>
              <w:ind w:firstLine="480" w:firstLineChars="200"/>
              <w:rPr>
                <w:rFonts w:hint="default" w:eastAsia="宋体"/>
                <w:bCs/>
                <w:color w:val="000000" w:themeColor="text1"/>
                <w:sz w:val="24"/>
                <w:szCs w:val="32"/>
                <w:highlight w:val="none"/>
                <w:lang w:val="en-US" w:eastAsia="zh-CN"/>
                <w14:textFill>
                  <w14:solidFill>
                    <w14:schemeClr w14:val="tx1"/>
                  </w14:solidFill>
                </w14:textFill>
              </w:rPr>
            </w:pP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lang w:val="en-US" w:eastAsia="zh-CN"/>
                <w14:textFill>
                  <w14:solidFill>
                    <w14:schemeClr w14:val="tx1"/>
                  </w14:solidFill>
                </w14:textFill>
              </w:rPr>
              <w:t>2</w:t>
            </w: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lang w:val="en-US" w:eastAsia="zh-CN"/>
                <w14:textFill>
                  <w14:solidFill>
                    <w14:schemeClr w14:val="tx1"/>
                  </w14:solidFill>
                </w14:textFill>
              </w:rPr>
              <w:t>废气总量</w:t>
            </w:r>
          </w:p>
          <w:p w14:paraId="54518F4E">
            <w:pPr>
              <w:spacing w:line="360" w:lineRule="auto"/>
              <w:ind w:firstLine="480" w:firstLineChars="200"/>
              <w:rPr>
                <w:rFonts w:hint="eastAsia" w:eastAsia="宋体"/>
                <w:bCs/>
                <w:color w:val="000000" w:themeColor="text1"/>
                <w:sz w:val="24"/>
                <w:szCs w:val="32"/>
                <w:highlight w:val="none"/>
                <w:lang w:eastAsia="zh-CN"/>
                <w14:textFill>
                  <w14:solidFill>
                    <w14:schemeClr w14:val="tx1"/>
                  </w14:solidFill>
                </w14:textFill>
              </w:rPr>
            </w:pPr>
            <w:r>
              <w:rPr>
                <w:rFonts w:hint="eastAsia"/>
                <w:bCs/>
                <w:color w:val="000000" w:themeColor="text1"/>
                <w:sz w:val="24"/>
                <w:szCs w:val="32"/>
                <w:highlight w:val="none"/>
                <w14:textFill>
                  <w14:solidFill>
                    <w14:schemeClr w14:val="tx1"/>
                  </w14:solidFill>
                </w14:textFill>
              </w:rPr>
              <w:t>项目不涉及污染物SO、NOx排放，</w:t>
            </w:r>
            <w:r>
              <w:rPr>
                <w:rFonts w:hint="eastAsia"/>
                <w:bCs/>
                <w:color w:val="000000" w:themeColor="text1"/>
                <w:sz w:val="24"/>
                <w:szCs w:val="32"/>
                <w:highlight w:val="none"/>
                <w:lang w:val="en-US" w:eastAsia="zh-CN"/>
                <w14:textFill>
                  <w14:solidFill>
                    <w14:schemeClr w14:val="tx1"/>
                  </w14:solidFill>
                </w14:textFill>
              </w:rPr>
              <w:t>生产过程中</w:t>
            </w:r>
            <w:r>
              <w:rPr>
                <w:rFonts w:hint="eastAsia"/>
                <w:bCs/>
                <w:color w:val="000000" w:themeColor="text1"/>
                <w:sz w:val="24"/>
                <w:szCs w:val="32"/>
                <w:highlight w:val="none"/>
                <w14:textFill>
                  <w14:solidFill>
                    <w14:schemeClr w14:val="tx1"/>
                  </w14:solidFill>
                </w14:textFill>
              </w:rPr>
              <w:t>将产生VOCs废气排放</w:t>
            </w: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因此项目废气总量控制指标为VOCs。根据核算</w:t>
            </w: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项目VOCs(以非甲烷总烃表征)排放总量为</w:t>
            </w:r>
            <w:r>
              <w:rPr>
                <w:rFonts w:hint="eastAsia"/>
                <w:bCs/>
                <w:color w:val="000000" w:themeColor="text1"/>
                <w:sz w:val="24"/>
                <w:szCs w:val="32"/>
                <w:highlight w:val="none"/>
                <w:lang w:val="en-US" w:eastAsia="zh-CN"/>
                <w14:textFill>
                  <w14:solidFill>
                    <w14:schemeClr w14:val="tx1"/>
                  </w14:solidFill>
                </w14:textFill>
              </w:rPr>
              <w:t>0.0624</w:t>
            </w:r>
            <w:r>
              <w:rPr>
                <w:rFonts w:hint="eastAsia"/>
                <w:bCs/>
                <w:color w:val="000000" w:themeColor="text1"/>
                <w:sz w:val="24"/>
                <w:szCs w:val="32"/>
                <w:highlight w:val="none"/>
                <w14:textFill>
                  <w14:solidFill>
                    <w14:schemeClr w14:val="tx1"/>
                  </w14:solidFill>
                </w14:textFill>
              </w:rPr>
              <w:t>t</w:t>
            </w:r>
            <w:r>
              <w:rPr>
                <w:rFonts w:hint="eastAsia"/>
                <w:bCs/>
                <w:color w:val="000000" w:themeColor="text1"/>
                <w:sz w:val="24"/>
                <w:szCs w:val="32"/>
                <w:highlight w:val="none"/>
                <w:lang w:val="en-US"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a(其中有组织排放</w:t>
            </w:r>
            <w:r>
              <w:rPr>
                <w:rFonts w:hint="eastAsia"/>
                <w:bCs/>
                <w:color w:val="000000" w:themeColor="text1"/>
                <w:sz w:val="24"/>
                <w:szCs w:val="32"/>
                <w:highlight w:val="none"/>
                <w:lang w:val="en-US" w:eastAsia="zh-CN"/>
                <w14:textFill>
                  <w14:solidFill>
                    <w14:schemeClr w14:val="tx1"/>
                  </w14:solidFill>
                </w14:textFill>
              </w:rPr>
              <w:t>0.0368</w:t>
            </w:r>
            <w:r>
              <w:rPr>
                <w:rFonts w:hint="eastAsia"/>
                <w:bCs/>
                <w:color w:val="000000" w:themeColor="text1"/>
                <w:sz w:val="24"/>
                <w:szCs w:val="32"/>
                <w:highlight w:val="none"/>
                <w14:textFill>
                  <w14:solidFill>
                    <w14:schemeClr w14:val="tx1"/>
                  </w14:solidFill>
                </w14:textFill>
              </w:rPr>
              <w:t>t</w:t>
            </w:r>
            <w:r>
              <w:rPr>
                <w:rFonts w:hint="eastAsia"/>
                <w:bCs/>
                <w:color w:val="000000" w:themeColor="text1"/>
                <w:sz w:val="24"/>
                <w:szCs w:val="32"/>
                <w:highlight w:val="none"/>
                <w:lang w:val="en-US"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a，无组织排放</w:t>
            </w:r>
            <w:r>
              <w:rPr>
                <w:rFonts w:hint="eastAsia"/>
                <w:bCs/>
                <w:color w:val="000000" w:themeColor="text1"/>
                <w:sz w:val="24"/>
                <w:szCs w:val="32"/>
                <w:highlight w:val="none"/>
                <w:lang w:val="en-US" w:eastAsia="zh-CN"/>
                <w14:textFill>
                  <w14:solidFill>
                    <w14:schemeClr w14:val="tx1"/>
                  </w14:solidFill>
                </w14:textFill>
              </w:rPr>
              <w:t>0.0256</w:t>
            </w:r>
            <w:r>
              <w:rPr>
                <w:rFonts w:hint="eastAsia"/>
                <w:bCs/>
                <w:color w:val="000000" w:themeColor="text1"/>
                <w:sz w:val="24"/>
                <w:szCs w:val="32"/>
                <w:highlight w:val="none"/>
                <w14:textFill>
                  <w14:solidFill>
                    <w14:schemeClr w14:val="tx1"/>
                  </w14:solidFill>
                </w14:textFill>
              </w:rPr>
              <w:t>t</w:t>
            </w:r>
            <w:r>
              <w:rPr>
                <w:rFonts w:hint="eastAsia"/>
                <w:bCs/>
                <w:color w:val="000000" w:themeColor="text1"/>
                <w:sz w:val="24"/>
                <w:szCs w:val="32"/>
                <w:highlight w:val="none"/>
                <w:lang w:val="en-US"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a)</w:t>
            </w:r>
            <w:r>
              <w:rPr>
                <w:rFonts w:hint="eastAsia"/>
                <w:bCs/>
                <w:color w:val="000000" w:themeColor="text1"/>
                <w:sz w:val="24"/>
                <w:szCs w:val="32"/>
                <w:highlight w:val="none"/>
                <w:lang w:eastAsia="zh-CN"/>
                <w14:textFill>
                  <w14:solidFill>
                    <w14:schemeClr w14:val="tx1"/>
                  </w14:solidFill>
                </w14:textFill>
              </w:rPr>
              <w:t>。</w:t>
            </w:r>
          </w:p>
          <w:p w14:paraId="17357DE4">
            <w:pPr>
              <w:spacing w:line="360" w:lineRule="auto"/>
              <w:ind w:firstLine="480" w:firstLineChars="200"/>
              <w:rPr>
                <w:rFonts w:hint="eastAsia"/>
                <w:bCs/>
                <w:color w:val="000000" w:themeColor="text1"/>
                <w:sz w:val="24"/>
                <w:szCs w:val="32"/>
                <w:highlight w:val="none"/>
                <w:lang w:eastAsia="zh-CN"/>
                <w14:textFill>
                  <w14:solidFill>
                    <w14:schemeClr w14:val="tx1"/>
                  </w14:solidFill>
                </w14:textFill>
              </w:rPr>
            </w:pPr>
            <w:r>
              <w:rPr>
                <w:rFonts w:hint="eastAsia"/>
                <w:bCs/>
                <w:color w:val="000000" w:themeColor="text1"/>
                <w:sz w:val="24"/>
                <w:szCs w:val="32"/>
                <w:highlight w:val="none"/>
                <w14:textFill>
                  <w14:solidFill>
                    <w14:schemeClr w14:val="tx1"/>
                  </w14:solidFill>
                </w14:textFill>
              </w:rPr>
              <w:t>根据《福州市环境保护局关于印发福州市大气污染联防联控联治工作方案的通知》榕环保综[2018]386号)，VOCs排放实行区域内倍量替代。根据《2022年度福州市蓝天碧海净土保卫行动计划》(榕环委办〔20</w:t>
            </w:r>
            <w:r>
              <w:rPr>
                <w:rFonts w:hint="eastAsia"/>
                <w:bCs/>
                <w:color w:val="000000" w:themeColor="text1"/>
                <w:sz w:val="24"/>
                <w:szCs w:val="32"/>
                <w:highlight w:val="none"/>
                <w:lang w:val="en-US" w:eastAsia="zh-CN"/>
                <w14:textFill>
                  <w14:solidFill>
                    <w14:schemeClr w14:val="tx1"/>
                  </w14:solidFill>
                </w14:textFill>
              </w:rPr>
              <w:t>22</w:t>
            </w:r>
            <w:r>
              <w:rPr>
                <w:rFonts w:hint="eastAsia"/>
                <w:bCs/>
                <w:color w:val="000000" w:themeColor="text1"/>
                <w:sz w:val="24"/>
                <w:szCs w:val="32"/>
                <w:highlight w:val="none"/>
                <w14:textFill>
                  <w14:solidFill>
                    <w14:schemeClr w14:val="tx1"/>
                  </w14:solidFill>
                </w14:textFill>
              </w:rPr>
              <w:t>〕49号)</w:t>
            </w:r>
            <w:r>
              <w:rPr>
                <w:rFonts w:hint="eastAsia"/>
                <w:bCs/>
                <w:color w:val="000000" w:themeColor="text1"/>
                <w:sz w:val="24"/>
                <w:szCs w:val="32"/>
                <w:highlight w:val="none"/>
                <w:lang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实施新建项目VOCs排放区域内1.2及以上倍量替代。因此项目排放的VOCs总量</w:t>
            </w:r>
            <w:r>
              <w:rPr>
                <w:rFonts w:hint="eastAsia"/>
                <w:bCs/>
                <w:color w:val="000000" w:themeColor="text1"/>
                <w:sz w:val="24"/>
                <w:szCs w:val="32"/>
                <w:highlight w:val="none"/>
                <w:lang w:val="en-US" w:eastAsia="zh-CN"/>
                <w14:textFill>
                  <w14:solidFill>
                    <w14:schemeClr w14:val="tx1"/>
                  </w14:solidFill>
                </w14:textFill>
              </w:rPr>
              <w:t>0.0624</w:t>
            </w:r>
            <w:r>
              <w:rPr>
                <w:rFonts w:hint="eastAsia"/>
                <w:bCs/>
                <w:color w:val="000000" w:themeColor="text1"/>
                <w:sz w:val="24"/>
                <w:szCs w:val="32"/>
                <w:highlight w:val="none"/>
                <w14:textFill>
                  <w14:solidFill>
                    <w14:schemeClr w14:val="tx1"/>
                  </w14:solidFill>
                </w14:textFill>
              </w:rPr>
              <w:t>t</w:t>
            </w:r>
            <w:r>
              <w:rPr>
                <w:rFonts w:hint="eastAsia"/>
                <w:bCs/>
                <w:color w:val="000000" w:themeColor="text1"/>
                <w:sz w:val="24"/>
                <w:szCs w:val="32"/>
                <w:highlight w:val="none"/>
                <w:lang w:val="en-US" w:eastAsia="zh-CN"/>
                <w14:textFill>
                  <w14:solidFill>
                    <w14:schemeClr w14:val="tx1"/>
                  </w14:solidFill>
                </w14:textFill>
              </w:rPr>
              <w:t>/</w:t>
            </w:r>
            <w:r>
              <w:rPr>
                <w:rFonts w:hint="eastAsia"/>
                <w:bCs/>
                <w:color w:val="000000" w:themeColor="text1"/>
                <w:sz w:val="24"/>
                <w:szCs w:val="32"/>
                <w:highlight w:val="none"/>
                <w14:textFill>
                  <w14:solidFill>
                    <w14:schemeClr w14:val="tx1"/>
                  </w14:solidFill>
                </w14:textFill>
              </w:rPr>
              <w:t>a由建设单位向福州市</w:t>
            </w:r>
            <w:r>
              <w:rPr>
                <w:rFonts w:hint="eastAsia"/>
                <w:bCs/>
                <w:color w:val="000000" w:themeColor="text1"/>
                <w:sz w:val="24"/>
                <w:szCs w:val="32"/>
                <w:highlight w:val="none"/>
                <w:lang w:val="en-US" w:eastAsia="zh-CN"/>
                <w14:textFill>
                  <w14:solidFill>
                    <w14:schemeClr w14:val="tx1"/>
                  </w14:solidFill>
                </w14:textFill>
              </w:rPr>
              <w:t>闽侯</w:t>
            </w:r>
            <w:r>
              <w:rPr>
                <w:rFonts w:hint="eastAsia"/>
                <w:bCs/>
                <w:color w:val="000000" w:themeColor="text1"/>
                <w:sz w:val="24"/>
                <w:szCs w:val="32"/>
                <w:highlight w:val="none"/>
                <w14:textFill>
                  <w14:solidFill>
                    <w14:schemeClr w14:val="tx1"/>
                  </w14:solidFill>
                </w14:textFill>
              </w:rPr>
              <w:t>生态环境局申请区域倍量替代</w:t>
            </w:r>
            <w:r>
              <w:rPr>
                <w:rFonts w:hint="eastAsia"/>
                <w:bCs/>
                <w:color w:val="000000" w:themeColor="text1"/>
                <w:sz w:val="24"/>
                <w:szCs w:val="32"/>
                <w:highlight w:val="none"/>
                <w:lang w:eastAsia="zh-CN"/>
                <w14:textFill>
                  <w14:solidFill>
                    <w14:schemeClr w14:val="tx1"/>
                  </w14:solidFill>
                </w14:textFill>
              </w:rPr>
              <w:t>。</w:t>
            </w:r>
          </w:p>
          <w:p w14:paraId="225F561F">
            <w:pPr>
              <w:spacing w:line="360" w:lineRule="auto"/>
              <w:rPr>
                <w:rFonts w:hint="eastAsia"/>
                <w:bCs/>
                <w:color w:val="000000" w:themeColor="text1"/>
                <w:sz w:val="24"/>
                <w:szCs w:val="32"/>
                <w:highlight w:val="none"/>
                <w:lang w:eastAsia="zh-CN"/>
                <w14:textFill>
                  <w14:solidFill>
                    <w14:schemeClr w14:val="tx1"/>
                  </w14:solidFill>
                </w14:textFill>
              </w:rPr>
            </w:pPr>
          </w:p>
          <w:p w14:paraId="4BDB7D8C">
            <w:pPr>
              <w:spacing w:line="360" w:lineRule="auto"/>
              <w:rPr>
                <w:rFonts w:hint="eastAsia"/>
                <w:bCs/>
                <w:color w:val="000000" w:themeColor="text1"/>
                <w:sz w:val="24"/>
                <w:szCs w:val="32"/>
                <w:highlight w:val="none"/>
                <w:lang w:eastAsia="zh-CN"/>
                <w14:textFill>
                  <w14:solidFill>
                    <w14:schemeClr w14:val="tx1"/>
                  </w14:solidFill>
                </w14:textFill>
              </w:rPr>
            </w:pPr>
          </w:p>
          <w:p w14:paraId="7F941BE4">
            <w:pPr>
              <w:spacing w:line="360" w:lineRule="auto"/>
              <w:rPr>
                <w:rFonts w:hint="eastAsia"/>
                <w:bCs/>
                <w:color w:val="000000" w:themeColor="text1"/>
                <w:sz w:val="24"/>
                <w:szCs w:val="32"/>
                <w:highlight w:val="none"/>
                <w:lang w:eastAsia="zh-CN"/>
                <w14:textFill>
                  <w14:solidFill>
                    <w14:schemeClr w14:val="tx1"/>
                  </w14:solidFill>
                </w14:textFill>
              </w:rPr>
            </w:pPr>
          </w:p>
          <w:p w14:paraId="560BB620">
            <w:pPr>
              <w:spacing w:line="360" w:lineRule="auto"/>
              <w:rPr>
                <w:rFonts w:hint="eastAsia"/>
                <w:bCs/>
                <w:color w:val="000000" w:themeColor="text1"/>
                <w:sz w:val="24"/>
                <w:szCs w:val="32"/>
                <w:highlight w:val="none"/>
                <w:lang w:eastAsia="zh-CN"/>
                <w14:textFill>
                  <w14:solidFill>
                    <w14:schemeClr w14:val="tx1"/>
                  </w14:solidFill>
                </w14:textFill>
              </w:rPr>
            </w:pPr>
          </w:p>
          <w:p w14:paraId="50000CCB">
            <w:pPr>
              <w:spacing w:line="360" w:lineRule="auto"/>
              <w:rPr>
                <w:rFonts w:hint="eastAsia"/>
                <w:bCs/>
                <w:color w:val="000000" w:themeColor="text1"/>
                <w:sz w:val="24"/>
                <w:szCs w:val="32"/>
                <w:highlight w:val="none"/>
                <w:lang w:eastAsia="zh-CN"/>
                <w14:textFill>
                  <w14:solidFill>
                    <w14:schemeClr w14:val="tx1"/>
                  </w14:solidFill>
                </w14:textFill>
              </w:rPr>
            </w:pPr>
          </w:p>
          <w:p w14:paraId="66847E9C">
            <w:pPr>
              <w:spacing w:line="360" w:lineRule="auto"/>
              <w:rPr>
                <w:rFonts w:hint="eastAsia"/>
                <w:bCs/>
                <w:color w:val="000000" w:themeColor="text1"/>
                <w:sz w:val="24"/>
                <w:szCs w:val="32"/>
                <w:highlight w:val="none"/>
                <w:lang w:eastAsia="zh-CN"/>
                <w14:textFill>
                  <w14:solidFill>
                    <w14:schemeClr w14:val="tx1"/>
                  </w14:solidFill>
                </w14:textFill>
              </w:rPr>
            </w:pPr>
          </w:p>
          <w:p w14:paraId="5C6C979E">
            <w:pPr>
              <w:spacing w:line="360" w:lineRule="auto"/>
              <w:rPr>
                <w:rFonts w:hint="eastAsia"/>
                <w:bCs/>
                <w:color w:val="000000" w:themeColor="text1"/>
                <w:sz w:val="24"/>
                <w:szCs w:val="32"/>
                <w:highlight w:val="none"/>
                <w:lang w:eastAsia="zh-CN"/>
                <w14:textFill>
                  <w14:solidFill>
                    <w14:schemeClr w14:val="tx1"/>
                  </w14:solidFill>
                </w14:textFill>
              </w:rPr>
            </w:pPr>
          </w:p>
          <w:p w14:paraId="074B4A94">
            <w:pPr>
              <w:spacing w:line="360" w:lineRule="auto"/>
              <w:rPr>
                <w:rFonts w:hint="eastAsia"/>
                <w:bCs/>
                <w:color w:val="000000" w:themeColor="text1"/>
                <w:sz w:val="24"/>
                <w:szCs w:val="32"/>
                <w:highlight w:val="none"/>
                <w:lang w:eastAsia="zh-CN"/>
                <w14:textFill>
                  <w14:solidFill>
                    <w14:schemeClr w14:val="tx1"/>
                  </w14:solidFill>
                </w14:textFill>
              </w:rPr>
            </w:pPr>
          </w:p>
        </w:tc>
      </w:tr>
    </w:tbl>
    <w:p w14:paraId="683BD9F0">
      <w:pPr>
        <w:pStyle w:val="26"/>
        <w:widowControl w:val="0"/>
        <w:spacing w:before="0" w:beforeAutospacing="0" w:after="0" w:afterAutospacing="0" w:line="360" w:lineRule="auto"/>
        <w:jc w:val="both"/>
        <w:rPr>
          <w:rFonts w:ascii="Times New Roman" w:hAnsi="Times New Roman"/>
          <w:color w:val="000000" w:themeColor="text1"/>
          <w:kern w:val="2"/>
          <w:szCs w:val="36"/>
          <w:highlight w:val="none"/>
          <w14:textFill>
            <w14:solidFill>
              <w14:schemeClr w14:val="tx1"/>
            </w14:solidFill>
          </w14:textFill>
        </w:rPr>
      </w:pPr>
    </w:p>
    <w:p w14:paraId="381AA5F7">
      <w:pPr>
        <w:pStyle w:val="26"/>
        <w:widowControl w:val="0"/>
        <w:spacing w:before="0" w:beforeAutospacing="0" w:after="0" w:afterAutospacing="0" w:line="360" w:lineRule="auto"/>
        <w:ind w:firstLine="480" w:firstLineChars="200"/>
        <w:jc w:val="both"/>
        <w:rPr>
          <w:rFonts w:ascii="Times New Roman" w:hAnsi="Times New Roman"/>
          <w:color w:val="000000" w:themeColor="text1"/>
          <w:kern w:val="2"/>
          <w:szCs w:val="36"/>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2C3AFB97">
      <w:pPr>
        <w:pStyle w:val="26"/>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11" w:name="_Toc22147"/>
      <w:r>
        <w:rPr>
          <w:rFonts w:hint="eastAsia" w:ascii="黑体" w:hAnsi="黑体" w:eastAsia="黑体"/>
          <w:snapToGrid w:val="0"/>
          <w:color w:val="000000" w:themeColor="text1"/>
          <w:sz w:val="30"/>
          <w:szCs w:val="30"/>
          <w:highlight w:val="none"/>
          <w14:textFill>
            <w14:solidFill>
              <w14:schemeClr w14:val="tx1"/>
            </w14:solidFill>
          </w14:textFill>
        </w:rPr>
        <w:t>四、主要环境影响和保护措施</w:t>
      </w:r>
      <w:bookmarkEnd w:id="11"/>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35"/>
        <w:gridCol w:w="8346"/>
      </w:tblGrid>
      <w:tr w14:paraId="38F635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47" w:hRule="atLeast"/>
          <w:jc w:val="center"/>
        </w:trPr>
        <w:tc>
          <w:tcPr>
            <w:tcW w:w="635" w:type="dxa"/>
            <w:tcMar>
              <w:left w:w="28" w:type="dxa"/>
              <w:right w:w="28" w:type="dxa"/>
            </w:tcMar>
            <w:vAlign w:val="center"/>
          </w:tcPr>
          <w:p w14:paraId="6DD29A42">
            <w:pPr>
              <w:pStyle w:val="26"/>
              <w:adjustRightInd w:val="0"/>
              <w:snapToGrid w:val="0"/>
              <w:spacing w:before="0" w:beforeAutospacing="0" w:after="0" w:afterAutospacing="0"/>
              <w:jc w:val="center"/>
              <w:rPr>
                <w:rFonts w:cs="宋体"/>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施工</w:t>
            </w:r>
          </w:p>
          <w:p w14:paraId="4374BDFA">
            <w:pPr>
              <w:pStyle w:val="26"/>
              <w:adjustRightInd w:val="0"/>
              <w:snapToGrid w:val="0"/>
              <w:spacing w:before="0" w:beforeAutospacing="0" w:after="0" w:afterAutospacing="0"/>
              <w:jc w:val="center"/>
              <w:rPr>
                <w:rFonts w:cs="宋体"/>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期环</w:t>
            </w:r>
          </w:p>
          <w:p w14:paraId="70A8FE27">
            <w:pPr>
              <w:pStyle w:val="26"/>
              <w:adjustRightInd w:val="0"/>
              <w:snapToGrid w:val="0"/>
              <w:spacing w:before="0" w:beforeAutospacing="0" w:after="0" w:afterAutospacing="0"/>
              <w:jc w:val="center"/>
              <w:rPr>
                <w:rFonts w:cs="宋体"/>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境保</w:t>
            </w:r>
          </w:p>
          <w:p w14:paraId="1E2B124F">
            <w:pPr>
              <w:pStyle w:val="26"/>
              <w:adjustRightInd w:val="0"/>
              <w:snapToGrid w:val="0"/>
              <w:spacing w:before="0" w:beforeAutospacing="0" w:after="0" w:afterAutospacing="0"/>
              <w:jc w:val="center"/>
              <w:rPr>
                <w:rFonts w:cs="宋体"/>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护措</w:t>
            </w:r>
          </w:p>
          <w:p w14:paraId="756A2927">
            <w:pPr>
              <w:pStyle w:val="26"/>
              <w:adjustRightInd w:val="0"/>
              <w:snapToGrid w:val="0"/>
              <w:spacing w:before="0" w:beforeAutospacing="0" w:after="0" w:afterAutospacing="0"/>
              <w:jc w:val="center"/>
              <w:rPr>
                <w:rFonts w:cs="宋体"/>
                <w:bCs/>
                <w:color w:val="000000" w:themeColor="text1"/>
                <w:kern w:val="2"/>
                <w:sz w:val="21"/>
                <w:szCs w:val="21"/>
                <w:highlight w:val="none"/>
                <w14:textFill>
                  <w14:solidFill>
                    <w14:schemeClr w14:val="tx1"/>
                  </w14:solidFill>
                </w14:textFill>
              </w:rPr>
            </w:pPr>
            <w:r>
              <w:rPr>
                <w:rFonts w:hint="eastAsia" w:cs="宋体"/>
                <w:color w:val="000000" w:themeColor="text1"/>
                <w:kern w:val="2"/>
                <w:sz w:val="21"/>
                <w:szCs w:val="21"/>
                <w:highlight w:val="none"/>
                <w14:textFill>
                  <w14:solidFill>
                    <w14:schemeClr w14:val="tx1"/>
                  </w14:solidFill>
                </w14:textFill>
              </w:rPr>
              <w:t>施</w:t>
            </w:r>
          </w:p>
        </w:tc>
        <w:tc>
          <w:tcPr>
            <w:tcW w:w="8346" w:type="dxa"/>
            <w:vAlign w:val="center"/>
          </w:tcPr>
          <w:p w14:paraId="1B86A4EF">
            <w:pPr>
              <w:pStyle w:val="26"/>
              <w:keepNext w:val="0"/>
              <w:keepLines w:val="0"/>
              <w:pageBreakBefore w:val="0"/>
              <w:widowControl w:val="0"/>
              <w:kinsoku/>
              <w:wordWrap/>
              <w:overflowPunct/>
              <w:topLinePunct w:val="0"/>
              <w:autoSpaceDE/>
              <w:autoSpaceDN/>
              <w:bidi w:val="0"/>
              <w:adjustRightInd/>
              <w:snapToGrid/>
              <w:spacing w:before="157" w:beforeLines="50" w:beforeAutospacing="0" w:after="157" w:afterLines="50" w:afterAutospacing="0" w:line="360" w:lineRule="auto"/>
              <w:ind w:firstLine="480" w:firstLineChars="200"/>
              <w:jc w:val="both"/>
              <w:textAlignment w:val="auto"/>
              <w:rPr>
                <w:rFonts w:hint="default" w:eastAsia="宋体" w:cs="宋体"/>
                <w:color w:val="000000" w:themeColor="text1"/>
                <w:sz w:val="24"/>
                <w:highlight w:val="none"/>
                <w:lang w:val="en-US" w:eastAsia="zh-CN"/>
                <w14:textFill>
                  <w14:solidFill>
                    <w14:schemeClr w14:val="tx1"/>
                  </w14:solidFill>
                </w14:textFill>
              </w:rPr>
            </w:pPr>
            <w:r>
              <w:rPr>
                <w:rFonts w:hint="eastAsia" w:ascii="Times New Roman" w:hAnsi="Times New Roman" w:cs="宋体"/>
                <w:color w:val="000000" w:themeColor="text1"/>
                <w:kern w:val="2"/>
                <w:sz w:val="24"/>
                <w:szCs w:val="24"/>
                <w:highlight w:val="none"/>
                <w14:textFill>
                  <w14:solidFill>
                    <w14:schemeClr w14:val="tx1"/>
                  </w14:solidFill>
                </w14:textFill>
              </w:rPr>
              <w:t>项目厂址位于</w:t>
            </w:r>
            <w:r>
              <w:rPr>
                <w:rFonts w:hint="eastAsia" w:ascii="Times New Roman" w:hAnsi="Times New Roman" w:cs="宋体"/>
                <w:color w:val="000000" w:themeColor="text1"/>
                <w:kern w:val="2"/>
                <w:sz w:val="24"/>
                <w:szCs w:val="24"/>
                <w:highlight w:val="none"/>
                <w:lang w:val="en-US" w:eastAsia="zh-CN"/>
                <w14:textFill>
                  <w14:solidFill>
                    <w14:schemeClr w14:val="tx1"/>
                  </w14:solidFill>
                </w14:textFill>
              </w:rPr>
              <w:t>闽侯县祥谦镇辅翼村、卜洲村福建西诚电子工业园第三座厂房内</w:t>
            </w:r>
            <w:r>
              <w:rPr>
                <w:rFonts w:hint="eastAsia" w:ascii="Times New Roman" w:hAnsi="Times New Roman" w:cs="宋体"/>
                <w:color w:val="000000" w:themeColor="text1"/>
                <w:kern w:val="2"/>
                <w:sz w:val="24"/>
                <w:szCs w:val="24"/>
                <w:highlight w:val="none"/>
                <w14:textFill>
                  <w14:solidFill>
                    <w14:schemeClr w14:val="tx1"/>
                  </w14:solidFill>
                </w14:textFill>
              </w:rPr>
              <w:t>，</w:t>
            </w:r>
            <w:r>
              <w:rPr>
                <w:rFonts w:hint="eastAsia" w:ascii="Times New Roman" w:hAnsi="Times New Roman" w:cs="宋体"/>
                <w:color w:val="000000" w:themeColor="text1"/>
                <w:kern w:val="2"/>
                <w:sz w:val="24"/>
                <w:szCs w:val="24"/>
                <w:highlight w:val="none"/>
                <w:lang w:val="en-US" w:eastAsia="zh-CN"/>
                <w14:textFill>
                  <w14:solidFill>
                    <w14:schemeClr w14:val="tx1"/>
                  </w14:solidFill>
                </w14:textFill>
              </w:rPr>
              <w:t>厂房已建成，本项目利用现有车间生产，不新增用地，不进行厂房建设，因此不存在厂房等主体工程施工期环境影响</w:t>
            </w:r>
            <w:r>
              <w:rPr>
                <w:rFonts w:hint="eastAsia" w:ascii="Times New Roman" w:hAnsi="Times New Roman" w:cs="宋体"/>
                <w:color w:val="000000" w:themeColor="text1"/>
                <w:kern w:val="2"/>
                <w:sz w:val="24"/>
                <w:szCs w:val="24"/>
                <w:highlight w:val="none"/>
                <w14:textFill>
                  <w14:solidFill>
                    <w14:schemeClr w14:val="tx1"/>
                  </w14:solidFill>
                </w14:textFill>
              </w:rPr>
              <w:t>。</w:t>
            </w:r>
            <w:r>
              <w:rPr>
                <w:rFonts w:hint="eastAsia"/>
                <w:bCs/>
                <w:color w:val="000000" w:themeColor="text1"/>
                <w:sz w:val="24"/>
                <w:szCs w:val="24"/>
                <w:highlight w:val="none"/>
                <w:u w:val="single"/>
                <w:lang w:val="en-US" w:eastAsia="zh-CN"/>
                <w14:textFill>
                  <w14:solidFill>
                    <w14:schemeClr w14:val="tx1"/>
                  </w14:solidFill>
                </w14:textFill>
              </w:rPr>
              <w:t>本项目</w:t>
            </w:r>
            <w:r>
              <w:rPr>
                <w:rFonts w:hint="eastAsia" w:ascii="Times New Roman" w:hAnsi="Times New Roman" w:cs="宋体"/>
                <w:color w:val="000000" w:themeColor="text1"/>
                <w:kern w:val="2"/>
                <w:sz w:val="24"/>
                <w:szCs w:val="24"/>
                <w:highlight w:val="none"/>
                <w14:textFill>
                  <w14:solidFill>
                    <w14:schemeClr w14:val="tx1"/>
                  </w14:solidFill>
                </w14:textFill>
              </w:rPr>
              <w:t>施工期主要为设备安装、调试阶段产生的环境问题，设备安装、调试简单，且时间较短，因此，随着设备安装、调试完毕后项目施工期也将结束，施工期环境影响也随着消失，</w:t>
            </w:r>
            <w:r>
              <w:rPr>
                <w:rFonts w:hint="default" w:ascii="Times New Roman" w:hAnsi="Times New Roman" w:cs="宋体"/>
                <w:color w:val="000000" w:themeColor="text1"/>
                <w:kern w:val="2"/>
                <w:sz w:val="24"/>
                <w:szCs w:val="24"/>
                <w:highlight w:val="none"/>
                <w:lang w:val="en-US"/>
                <w14:textFill>
                  <w14:solidFill>
                    <w14:schemeClr w14:val="tx1"/>
                  </w14:solidFill>
                </w14:textFill>
              </w:rPr>
              <w:t>不会</w:t>
            </w:r>
            <w:r>
              <w:rPr>
                <w:rFonts w:hint="eastAsia" w:ascii="Times New Roman" w:hAnsi="Times New Roman" w:cs="宋体"/>
                <w:color w:val="000000" w:themeColor="text1"/>
                <w:kern w:val="2"/>
                <w:sz w:val="24"/>
                <w:szCs w:val="24"/>
                <w:highlight w:val="none"/>
                <w14:textFill>
                  <w14:solidFill>
                    <w14:schemeClr w14:val="tx1"/>
                  </w14:solidFill>
                </w14:textFill>
              </w:rPr>
              <w:t>对周边环境</w:t>
            </w:r>
            <w:r>
              <w:rPr>
                <w:rFonts w:hint="eastAsia" w:ascii="Times New Roman" w:hAnsi="Times New Roman" w:cs="宋体"/>
                <w:color w:val="000000" w:themeColor="text1"/>
                <w:kern w:val="2"/>
                <w:sz w:val="24"/>
                <w:szCs w:val="24"/>
                <w:highlight w:val="none"/>
                <w:lang w:val="en-US" w:eastAsia="zh-CN"/>
                <w14:textFill>
                  <w14:solidFill>
                    <w14:schemeClr w14:val="tx1"/>
                  </w14:solidFill>
                </w14:textFill>
              </w:rPr>
              <w:t>产生影响</w:t>
            </w:r>
            <w:r>
              <w:rPr>
                <w:rFonts w:hint="eastAsia" w:ascii="Times New Roman" w:hAnsi="Times New Roman" w:cs="宋体"/>
                <w:color w:val="000000" w:themeColor="text1"/>
                <w:kern w:val="2"/>
                <w:sz w:val="24"/>
                <w:szCs w:val="24"/>
                <w:highlight w:val="none"/>
                <w14:textFill>
                  <w14:solidFill>
                    <w14:schemeClr w14:val="tx1"/>
                  </w14:solidFill>
                </w14:textFill>
              </w:rPr>
              <w:t>。</w:t>
            </w:r>
          </w:p>
        </w:tc>
      </w:tr>
      <w:tr w14:paraId="5EB674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635" w:type="dxa"/>
            <w:tcMar>
              <w:left w:w="28" w:type="dxa"/>
              <w:right w:w="28" w:type="dxa"/>
            </w:tcMar>
            <w:vAlign w:val="center"/>
          </w:tcPr>
          <w:p w14:paraId="58642A83">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运营</w:t>
            </w:r>
          </w:p>
          <w:p w14:paraId="15BFD1E3">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期环</w:t>
            </w:r>
          </w:p>
          <w:p w14:paraId="7AE3B353">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境影</w:t>
            </w:r>
          </w:p>
          <w:p w14:paraId="0C636A65">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响和</w:t>
            </w:r>
          </w:p>
          <w:p w14:paraId="5CF56641">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保护</w:t>
            </w:r>
          </w:p>
          <w:p w14:paraId="4D60A2FB">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措施</w:t>
            </w:r>
          </w:p>
        </w:tc>
        <w:tc>
          <w:tcPr>
            <w:tcW w:w="8346" w:type="dxa"/>
            <w:vAlign w:val="center"/>
          </w:tcPr>
          <w:p w14:paraId="5F1F693B">
            <w:pPr>
              <w:pStyle w:val="37"/>
              <w:rPr>
                <w:color w:val="000000" w:themeColor="text1"/>
                <w:sz w:val="24"/>
                <w:szCs w:val="21"/>
                <w:highlight w:val="none"/>
                <w14:textFill>
                  <w14:solidFill>
                    <w14:schemeClr w14:val="tx1"/>
                  </w14:solidFill>
                </w14:textFill>
              </w:rPr>
            </w:pPr>
            <w:r>
              <w:rPr>
                <w:rFonts w:hint="eastAsia"/>
                <w:color w:val="000000" w:themeColor="text1"/>
                <w:sz w:val="24"/>
                <w:szCs w:val="21"/>
                <w:highlight w:val="none"/>
                <w14:textFill>
                  <w14:solidFill>
                    <w14:schemeClr w14:val="tx1"/>
                  </w14:solidFill>
                </w14:textFill>
              </w:rPr>
              <w:t>4.1 运营期大气环境影响分析和污染防治措施</w:t>
            </w:r>
          </w:p>
          <w:p w14:paraId="6CE5342E">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4.1.1废气源强核算</w:t>
            </w:r>
          </w:p>
          <w:p w14:paraId="69C6A839">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根据生产工艺流程图可知，项目运营期产生的废气主要为</w:t>
            </w:r>
            <w:r>
              <w:rPr>
                <w:rFonts w:hint="eastAsia" w:cs="宋体"/>
                <w:color w:val="000000" w:themeColor="text1"/>
                <w:sz w:val="24"/>
                <w:szCs w:val="32"/>
                <w:highlight w:val="none"/>
                <w:lang w:val="en-US" w:eastAsia="zh-CN"/>
                <w14:textFill>
                  <w14:solidFill>
                    <w14:schemeClr w14:val="tx1"/>
                  </w14:solidFill>
                </w14:textFill>
              </w:rPr>
              <w:t>加热与吹塑过程产生的</w:t>
            </w:r>
            <w:r>
              <w:rPr>
                <w:rFonts w:hint="eastAsia" w:cs="宋体"/>
                <w:color w:val="000000" w:themeColor="text1"/>
                <w:sz w:val="24"/>
                <w:szCs w:val="32"/>
                <w:highlight w:val="none"/>
                <w14:textFill>
                  <w14:solidFill>
                    <w14:schemeClr w14:val="tx1"/>
                  </w14:solidFill>
                </w14:textFill>
              </w:rPr>
              <w:t>有机废气</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以</w:t>
            </w:r>
            <w:r>
              <w:rPr>
                <w:rFonts w:hint="eastAsia" w:cs="宋体"/>
                <w:color w:val="000000" w:themeColor="text1"/>
                <w:sz w:val="24"/>
                <w:szCs w:val="32"/>
                <w:highlight w:val="none"/>
                <w14:textFill>
                  <w14:solidFill>
                    <w14:schemeClr w14:val="tx1"/>
                  </w14:solidFill>
                </w14:textFill>
              </w:rPr>
              <w:t>非甲烷总烃</w:t>
            </w:r>
            <w:r>
              <w:rPr>
                <w:rFonts w:hint="eastAsia" w:cs="宋体"/>
                <w:color w:val="000000" w:themeColor="text1"/>
                <w:sz w:val="24"/>
                <w:szCs w:val="32"/>
                <w:highlight w:val="none"/>
                <w:lang w:val="en-US" w:eastAsia="zh-CN"/>
                <w14:textFill>
                  <w14:solidFill>
                    <w14:schemeClr w14:val="tx1"/>
                  </w14:solidFill>
                </w14:textFill>
              </w:rPr>
              <w:t>计</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w:t>
            </w:r>
          </w:p>
          <w:p w14:paraId="00615B93">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b w:val="0"/>
                <w:bCs w:val="0"/>
                <w:color w:val="000000" w:themeColor="text1"/>
                <w:sz w:val="24"/>
                <w:szCs w:val="32"/>
                <w:highlight w:val="none"/>
                <w14:textFill>
                  <w14:solidFill>
                    <w14:schemeClr w14:val="tx1"/>
                  </w14:solidFill>
                </w14:textFill>
              </w:rPr>
              <w:t>产生源强</w:t>
            </w:r>
            <w:r>
              <w:rPr>
                <w:rFonts w:hint="eastAsia" w:cs="宋体"/>
                <w:b w:val="0"/>
                <w:bCs w:val="0"/>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经查《排放源统计调查产排污核算方法和系数手册》，</w:t>
            </w:r>
            <w:r>
              <w:rPr>
                <w:rFonts w:hint="eastAsia" w:cs="宋体"/>
                <w:color w:val="000000" w:themeColor="text1"/>
                <w:sz w:val="24"/>
                <w:szCs w:val="32"/>
                <w:highlight w:val="none"/>
                <w:lang w:val="en-US" w:eastAsia="zh-CN"/>
                <w14:textFill>
                  <w14:solidFill>
                    <w14:schemeClr w14:val="tx1"/>
                  </w14:solidFill>
                </w14:textFill>
              </w:rPr>
              <w:t>塑料袋</w:t>
            </w:r>
            <w:r>
              <w:rPr>
                <w:rFonts w:hint="eastAsia" w:cs="宋体"/>
                <w:color w:val="000000" w:themeColor="text1"/>
                <w:sz w:val="24"/>
                <w:szCs w:val="32"/>
                <w:highlight w:val="none"/>
                <w14:textFill>
                  <w14:solidFill>
                    <w14:schemeClr w14:val="tx1"/>
                  </w14:solidFill>
                </w14:textFill>
              </w:rPr>
              <w:t>生产过程挥发性有机物(以非甲烷总烃计)产生系数为</w:t>
            </w:r>
            <w:r>
              <w:rPr>
                <w:rFonts w:hint="eastAsia" w:cs="宋体"/>
                <w:color w:val="000000" w:themeColor="text1"/>
                <w:sz w:val="24"/>
                <w:szCs w:val="32"/>
                <w:highlight w:val="none"/>
                <w:lang w:val="en-US" w:eastAsia="zh-CN"/>
                <w14:textFill>
                  <w14:solidFill>
                    <w14:schemeClr w14:val="tx1"/>
                  </w14:solidFill>
                </w14:textFill>
              </w:rPr>
              <w:t>3.76</w:t>
            </w:r>
            <w:r>
              <w:rPr>
                <w:rFonts w:hint="eastAsia" w:cs="宋体"/>
                <w:color w:val="000000" w:themeColor="text1"/>
                <w:sz w:val="24"/>
                <w:szCs w:val="32"/>
                <w:highlight w:val="none"/>
                <w14:textFill>
                  <w14:solidFill>
                    <w14:schemeClr w14:val="tx1"/>
                  </w14:solidFill>
                </w14:textFill>
              </w:rPr>
              <w:t>kg/吨产品。本项目塑料袋产量为</w:t>
            </w:r>
            <w:r>
              <w:rPr>
                <w:rFonts w:hint="eastAsia" w:cs="宋体"/>
                <w:color w:val="000000" w:themeColor="text1"/>
                <w:sz w:val="24"/>
                <w:szCs w:val="32"/>
                <w:highlight w:val="none"/>
                <w:lang w:val="en-US" w:eastAsia="zh-CN"/>
                <w14:textFill>
                  <w14:solidFill>
                    <w14:schemeClr w14:val="tx1"/>
                  </w14:solidFill>
                </w14:textFill>
              </w:rPr>
              <w:t>68</w:t>
            </w:r>
            <w:r>
              <w:rPr>
                <w:rFonts w:hint="eastAsia" w:cs="宋体"/>
                <w:color w:val="000000" w:themeColor="text1"/>
                <w:sz w:val="24"/>
                <w:szCs w:val="32"/>
                <w:highlight w:val="none"/>
                <w14:textFill>
                  <w14:solidFill>
                    <w14:schemeClr w14:val="tx1"/>
                  </w14:solidFill>
                </w14:textFill>
              </w:rPr>
              <w:t>t/a，则产生的非甲烷总烃</w:t>
            </w:r>
            <w:r>
              <w:rPr>
                <w:rFonts w:hint="eastAsia" w:cs="宋体"/>
                <w:color w:val="000000" w:themeColor="text1"/>
                <w:sz w:val="24"/>
                <w:szCs w:val="32"/>
                <w:highlight w:val="none"/>
                <w:lang w:val="en-US" w:eastAsia="zh-CN"/>
                <w14:textFill>
                  <w14:solidFill>
                    <w14:schemeClr w14:val="tx1"/>
                  </w14:solidFill>
                </w14:textFill>
              </w:rPr>
              <w:t>总</w:t>
            </w:r>
            <w:r>
              <w:rPr>
                <w:rFonts w:hint="eastAsia" w:cs="宋体"/>
                <w:color w:val="000000" w:themeColor="text1"/>
                <w:sz w:val="24"/>
                <w:szCs w:val="32"/>
                <w:highlight w:val="none"/>
                <w14:textFill>
                  <w14:solidFill>
                    <w14:schemeClr w14:val="tx1"/>
                  </w14:solidFill>
                </w14:textFill>
              </w:rPr>
              <w:t>量为</w:t>
            </w:r>
            <w:r>
              <w:rPr>
                <w:rFonts w:hint="eastAsia" w:cs="宋体"/>
                <w:color w:val="000000" w:themeColor="text1"/>
                <w:sz w:val="24"/>
                <w:szCs w:val="32"/>
                <w:highlight w:val="none"/>
                <w:lang w:val="en-US" w:eastAsia="zh-CN"/>
                <w14:textFill>
                  <w14:solidFill>
                    <w14:schemeClr w14:val="tx1"/>
                  </w14:solidFill>
                </w14:textFill>
              </w:rPr>
              <w:t>0.2557</w:t>
            </w:r>
            <w:r>
              <w:rPr>
                <w:rFonts w:hint="eastAsia" w:cs="宋体"/>
                <w:color w:val="000000" w:themeColor="text1"/>
                <w:sz w:val="24"/>
                <w:szCs w:val="32"/>
                <w:highlight w:val="none"/>
                <w14:textFill>
                  <w14:solidFill>
                    <w14:schemeClr w14:val="tx1"/>
                  </w14:solidFill>
                </w14:textFill>
              </w:rPr>
              <w:t>t/a。</w:t>
            </w:r>
          </w:p>
          <w:p w14:paraId="6F5905C7">
            <w:pPr>
              <w:spacing w:line="360" w:lineRule="auto"/>
              <w:ind w:firstLine="480" w:firstLineChars="200"/>
              <w:rPr>
                <w:rFonts w:hint="eastAsia" w:eastAsia="宋体" w:cs="宋体"/>
                <w:color w:val="000000" w:themeColor="text1"/>
                <w:sz w:val="24"/>
                <w:szCs w:val="32"/>
                <w:highlight w:val="none"/>
                <w:lang w:eastAsia="zh-CN"/>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收集效率、处理效率</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本项目采用</w:t>
            </w:r>
            <w:r>
              <w:rPr>
                <w:rFonts w:hint="eastAsia" w:cs="宋体"/>
                <w:color w:val="000000" w:themeColor="text1"/>
                <w:sz w:val="24"/>
                <w:szCs w:val="32"/>
                <w:highlight w:val="none"/>
                <w:lang w:val="en-US" w:eastAsia="zh-CN"/>
                <w14:textFill>
                  <w14:solidFill>
                    <w14:schemeClr w14:val="tx1"/>
                  </w14:solidFill>
                </w14:textFill>
              </w:rPr>
              <w:t>密闭式</w:t>
            </w:r>
            <w:r>
              <w:rPr>
                <w:rFonts w:hint="eastAsia" w:cs="宋体"/>
                <w:color w:val="000000" w:themeColor="text1"/>
                <w:sz w:val="24"/>
                <w:szCs w:val="32"/>
                <w:highlight w:val="none"/>
                <w14:textFill>
                  <w14:solidFill>
                    <w14:schemeClr w14:val="tx1"/>
                  </w14:solidFill>
                </w14:textFill>
              </w:rPr>
              <w:t>集气罩</w:t>
            </w:r>
            <w:r>
              <w:rPr>
                <w:rFonts w:hint="eastAsia" w:cs="宋体"/>
                <w:color w:val="000000" w:themeColor="text1"/>
                <w:sz w:val="24"/>
                <w:szCs w:val="32"/>
                <w:highlight w:val="none"/>
                <w:lang w:val="en-US" w:eastAsia="zh-CN"/>
                <w14:textFill>
                  <w14:solidFill>
                    <w14:schemeClr w14:val="tx1"/>
                  </w14:solidFill>
                </w14:textFill>
              </w:rPr>
              <w:t>负压收集</w:t>
            </w:r>
            <w:r>
              <w:rPr>
                <w:rFonts w:hint="eastAsia" w:cs="宋体"/>
                <w:color w:val="000000" w:themeColor="text1"/>
                <w:sz w:val="24"/>
                <w:szCs w:val="32"/>
                <w:highlight w:val="none"/>
                <w14:textFill>
                  <w14:solidFill>
                    <w14:schemeClr w14:val="tx1"/>
                  </w14:solidFill>
                </w14:textFill>
              </w:rPr>
              <w:t>+二级活性炭吸附处理产生的废气。</w:t>
            </w:r>
            <w:r>
              <w:rPr>
                <w:rFonts w:hint="eastAsia" w:cs="宋体"/>
                <w:color w:val="000000" w:themeColor="text1"/>
                <w:sz w:val="24"/>
                <w:szCs w:val="32"/>
                <w:highlight w:val="none"/>
                <w:lang w:val="en-US" w:eastAsia="zh-CN"/>
                <w14:textFill>
                  <w14:solidFill>
                    <w14:schemeClr w14:val="tx1"/>
                  </w14:solidFill>
                </w14:textFill>
              </w:rPr>
              <w:t>根据《主要污染物总量减排核算技术指南（2022年修订）》，密闭式集气罩负压收集效率为90%；参照《深圳市工业有机废气治理用活性炭更换技术指引(试行)》(深环办〔2023〕66号)附录A的工业有机废气治理用活性炭技术指标及试验方法，本项目拟设的二级活性炭装置采用比表面积大于850m</w:t>
            </w:r>
            <w:r>
              <w:rPr>
                <w:rFonts w:hint="eastAsia" w:cs="宋体"/>
                <w:color w:val="000000" w:themeColor="text1"/>
                <w:sz w:val="24"/>
                <w:szCs w:val="32"/>
                <w:highlight w:val="none"/>
                <w:vertAlign w:val="superscript"/>
                <w:lang w:val="en-US" w:eastAsia="zh-CN"/>
                <w14:textFill>
                  <w14:solidFill>
                    <w14:schemeClr w14:val="tx1"/>
                  </w14:solidFill>
                </w14:textFill>
              </w:rPr>
              <w:t>2</w:t>
            </w:r>
            <w:r>
              <w:rPr>
                <w:rFonts w:hint="eastAsia" w:cs="宋体"/>
                <w:color w:val="000000" w:themeColor="text1"/>
                <w:sz w:val="24"/>
                <w:szCs w:val="32"/>
                <w:highlight w:val="none"/>
                <w:lang w:val="en-US" w:eastAsia="zh-CN"/>
                <w14:textFill>
                  <w14:solidFill>
                    <w14:schemeClr w14:val="tx1"/>
                  </w14:solidFill>
                </w14:textFill>
              </w:rPr>
              <w:t>/g、碘吸附值大于850mg/g的颗粒活性炭，其单级吸附效率为60%；本项目有机废气主要利用二级活性炭吸附处理，则本项目采用的二级活性炭吸附总处理效率为1-(1-60%)×(1-60%)=84%。</w:t>
            </w:r>
          </w:p>
          <w:p w14:paraId="41E01417">
            <w:pPr>
              <w:spacing w:line="360" w:lineRule="auto"/>
              <w:ind w:firstLine="480" w:firstLineChars="200"/>
              <w:rPr>
                <w:rFonts w:hint="eastAsia" w:eastAsia="宋体"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因此本项目有机废气经</w:t>
            </w:r>
            <w:r>
              <w:rPr>
                <w:rFonts w:hint="eastAsia" w:cs="宋体"/>
                <w:color w:val="000000" w:themeColor="text1"/>
                <w:sz w:val="24"/>
                <w:szCs w:val="32"/>
                <w:highlight w:val="none"/>
                <w14:textFill>
                  <w14:solidFill>
                    <w14:schemeClr w14:val="tx1"/>
                  </w14:solidFill>
                </w14:textFill>
              </w:rPr>
              <w:t>集气罩+二级活性炭吸附处理</w:t>
            </w:r>
            <w:r>
              <w:rPr>
                <w:rFonts w:hint="eastAsia" w:cs="宋体"/>
                <w:color w:val="000000" w:themeColor="text1"/>
                <w:sz w:val="24"/>
                <w:szCs w:val="32"/>
                <w:highlight w:val="none"/>
                <w:lang w:val="en-US" w:eastAsia="zh-CN"/>
                <w14:textFill>
                  <w14:solidFill>
                    <w14:schemeClr w14:val="tx1"/>
                  </w14:solidFill>
                </w14:textFill>
              </w:rPr>
              <w:t>后排放的</w:t>
            </w:r>
            <w:r>
              <w:rPr>
                <w:rFonts w:hint="eastAsia" w:cs="宋体"/>
                <w:color w:val="000000" w:themeColor="text1"/>
                <w:sz w:val="24"/>
                <w:szCs w:val="32"/>
                <w:highlight w:val="none"/>
                <w14:textFill>
                  <w14:solidFill>
                    <w14:schemeClr w14:val="tx1"/>
                  </w14:solidFill>
                </w14:textFill>
              </w:rPr>
              <w:t>非甲烷总烃</w:t>
            </w:r>
            <w:r>
              <w:rPr>
                <w:rFonts w:hint="eastAsia" w:cs="宋体"/>
                <w:color w:val="000000" w:themeColor="text1"/>
                <w:sz w:val="24"/>
                <w:szCs w:val="32"/>
                <w:highlight w:val="none"/>
                <w:lang w:val="en-US" w:eastAsia="zh-CN"/>
                <w14:textFill>
                  <w14:solidFill>
                    <w14:schemeClr w14:val="tx1"/>
                  </w14:solidFill>
                </w14:textFill>
              </w:rPr>
              <w:t>的量为0.0368</w:t>
            </w:r>
            <w:r>
              <w:rPr>
                <w:rFonts w:hint="eastAsia" w:cs="宋体"/>
                <w:color w:val="000000" w:themeColor="text1"/>
                <w:sz w:val="24"/>
                <w:szCs w:val="32"/>
                <w:highlight w:val="none"/>
                <w14:textFill>
                  <w14:solidFill>
                    <w14:schemeClr w14:val="tx1"/>
                  </w14:solidFill>
                </w14:textFill>
              </w:rPr>
              <w:t>t/a</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无组织排放量为0.0256</w:t>
            </w:r>
            <w:r>
              <w:rPr>
                <w:rFonts w:hint="eastAsia" w:cs="宋体"/>
                <w:color w:val="000000" w:themeColor="text1"/>
                <w:sz w:val="24"/>
                <w:szCs w:val="32"/>
                <w:highlight w:val="none"/>
                <w14:textFill>
                  <w14:solidFill>
                    <w14:schemeClr w14:val="tx1"/>
                  </w14:solidFill>
                </w14:textFill>
              </w:rPr>
              <w:t>t/a</w:t>
            </w:r>
            <w:r>
              <w:rPr>
                <w:rFonts w:hint="eastAsia" w:cs="宋体"/>
                <w:color w:val="000000" w:themeColor="text1"/>
                <w:sz w:val="24"/>
                <w:szCs w:val="32"/>
                <w:highlight w:val="none"/>
                <w:lang w:eastAsia="zh-CN"/>
                <w14:textFill>
                  <w14:solidFill>
                    <w14:schemeClr w14:val="tx1"/>
                  </w14:solidFill>
                </w14:textFill>
              </w:rPr>
              <w:t>。</w:t>
            </w:r>
          </w:p>
          <w:p w14:paraId="383ADA4D">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本项目年工作时长按2400h，排气筒风量为5000m</w:t>
            </w:r>
            <w:r>
              <w:rPr>
                <w:rFonts w:hint="eastAsia" w:cs="宋体"/>
                <w:color w:val="000000" w:themeColor="text1"/>
                <w:sz w:val="24"/>
                <w:szCs w:val="32"/>
                <w:highlight w:val="none"/>
                <w:vertAlign w:val="superscript"/>
                <w:lang w:val="en-US" w:eastAsia="zh-CN"/>
                <w14:textFill>
                  <w14:solidFill>
                    <w14:schemeClr w14:val="tx1"/>
                  </w14:solidFill>
                </w14:textFill>
              </w:rPr>
              <w:t>3</w:t>
            </w:r>
            <w:r>
              <w:rPr>
                <w:rFonts w:hint="eastAsia" w:cs="宋体"/>
                <w:color w:val="000000" w:themeColor="text1"/>
                <w:sz w:val="24"/>
                <w:szCs w:val="32"/>
                <w:highlight w:val="none"/>
                <w:lang w:val="en-US" w:eastAsia="zh-CN"/>
                <w14:textFill>
                  <w14:solidFill>
                    <w14:schemeClr w14:val="tx1"/>
                  </w14:solidFill>
                </w14:textFill>
              </w:rPr>
              <w:t>/h，因此本项目有组织废气产生与排放情况见表4-1。</w:t>
            </w:r>
          </w:p>
          <w:p w14:paraId="1F2C68CD">
            <w:pPr>
              <w:spacing w:line="360" w:lineRule="auto"/>
              <w:jc w:val="center"/>
              <w:rPr>
                <w:rFonts w:ascii="宋体" w:cs="宋体"/>
                <w:b/>
                <w:bCs w:val="0"/>
                <w:color w:val="000000" w:themeColor="text1"/>
                <w:kern w:val="0"/>
                <w:sz w:val="24"/>
                <w:szCs w:val="24"/>
                <w:highlight w:val="none"/>
                <w14:textFill>
                  <w14:solidFill>
                    <w14:schemeClr w14:val="tx1"/>
                  </w14:solidFill>
                </w14:textFill>
              </w:rPr>
            </w:pPr>
            <w:r>
              <w:rPr>
                <w:rFonts w:hint="eastAsia" w:cs="宋体"/>
                <w:b/>
                <w:bCs w:val="0"/>
                <w:color w:val="000000" w:themeColor="text1"/>
                <w:sz w:val="24"/>
                <w:szCs w:val="24"/>
                <w:highlight w:val="none"/>
                <w14:textFill>
                  <w14:solidFill>
                    <w14:schemeClr w14:val="tx1"/>
                  </w14:solidFill>
                </w14:textFill>
              </w:rPr>
              <w:t xml:space="preserve">表 </w:t>
            </w:r>
            <w:r>
              <w:rPr>
                <w:b/>
                <w:bCs w:val="0"/>
                <w:color w:val="000000" w:themeColor="text1"/>
                <w:sz w:val="24"/>
                <w:szCs w:val="24"/>
                <w:highlight w:val="none"/>
                <w14:textFill>
                  <w14:solidFill>
                    <w14:schemeClr w14:val="tx1"/>
                  </w14:solidFill>
                </w14:textFill>
              </w:rPr>
              <w:t>4-</w:t>
            </w:r>
            <w:r>
              <w:rPr>
                <w:rFonts w:hint="eastAsia"/>
                <w:b/>
                <w:bCs w:val="0"/>
                <w:color w:val="000000" w:themeColor="text1"/>
                <w:sz w:val="24"/>
                <w:szCs w:val="24"/>
                <w:highlight w:val="none"/>
                <w:lang w:val="en-US" w:eastAsia="zh-CN"/>
                <w14:textFill>
                  <w14:solidFill>
                    <w14:schemeClr w14:val="tx1"/>
                  </w14:solidFill>
                </w14:textFill>
              </w:rPr>
              <w:t>1</w:t>
            </w:r>
            <w:r>
              <w:rPr>
                <w:b/>
                <w:bCs w:val="0"/>
                <w:color w:val="000000" w:themeColor="text1"/>
                <w:sz w:val="24"/>
                <w:szCs w:val="24"/>
                <w:highlight w:val="none"/>
                <w14:textFill>
                  <w14:solidFill>
                    <w14:schemeClr w14:val="tx1"/>
                  </w14:solidFill>
                </w14:textFill>
              </w:rPr>
              <w:t xml:space="preserve">  </w:t>
            </w:r>
            <w:r>
              <w:rPr>
                <w:rFonts w:hint="eastAsia"/>
                <w:b/>
                <w:bCs w:val="0"/>
                <w:color w:val="000000" w:themeColor="text1"/>
                <w:sz w:val="24"/>
                <w:szCs w:val="24"/>
                <w:highlight w:val="none"/>
                <w:lang w:val="en-US" w:eastAsia="zh-CN"/>
                <w14:textFill>
                  <w14:solidFill>
                    <w14:schemeClr w14:val="tx1"/>
                  </w14:solidFill>
                </w14:textFill>
              </w:rPr>
              <w:t>本项目有组织废气产排情况</w:t>
            </w:r>
            <w:r>
              <w:rPr>
                <w:rFonts w:hint="eastAsia"/>
                <w:b/>
                <w:bCs w:val="0"/>
                <w:color w:val="000000" w:themeColor="text1"/>
                <w:sz w:val="24"/>
                <w:szCs w:val="24"/>
                <w:highlight w:val="none"/>
                <w14:textFill>
                  <w14:solidFill>
                    <w14:schemeClr w14:val="tx1"/>
                  </w14:solidFill>
                </w14:textFill>
              </w:rPr>
              <w:t>一览表</w:t>
            </w:r>
          </w:p>
          <w:tbl>
            <w:tblPr>
              <w:tblStyle w:val="31"/>
              <w:tblW w:w="5000" w:type="pct"/>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8"/>
              <w:gridCol w:w="475"/>
              <w:gridCol w:w="550"/>
              <w:gridCol w:w="663"/>
              <w:gridCol w:w="662"/>
              <w:gridCol w:w="654"/>
              <w:gridCol w:w="690"/>
              <w:gridCol w:w="420"/>
              <w:gridCol w:w="600"/>
              <w:gridCol w:w="660"/>
              <w:gridCol w:w="645"/>
              <w:gridCol w:w="420"/>
              <w:gridCol w:w="420"/>
              <w:gridCol w:w="375"/>
              <w:gridCol w:w="368"/>
            </w:tblGrid>
            <w:tr w14:paraId="06510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1" w:hRule="atLeast"/>
              </w:trPr>
              <w:tc>
                <w:tcPr>
                  <w:tcW w:w="518" w:type="dxa"/>
                  <w:vMerge w:val="restart"/>
                  <w:shd w:val="clear" w:color="auto" w:fill="auto"/>
                  <w:vAlign w:val="center"/>
                </w:tcPr>
                <w:p w14:paraId="4523F403">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排气筒名称</w:t>
                  </w:r>
                </w:p>
              </w:tc>
              <w:tc>
                <w:tcPr>
                  <w:tcW w:w="475" w:type="dxa"/>
                  <w:vMerge w:val="restart"/>
                  <w:shd w:val="clear" w:color="auto" w:fill="auto"/>
                  <w:vAlign w:val="center"/>
                </w:tcPr>
                <w:p w14:paraId="1A2F775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排放源名称</w:t>
                  </w:r>
                </w:p>
              </w:tc>
              <w:tc>
                <w:tcPr>
                  <w:tcW w:w="550" w:type="dxa"/>
                  <w:vMerge w:val="restart"/>
                  <w:shd w:val="clear" w:color="auto" w:fill="auto"/>
                  <w:vAlign w:val="center"/>
                </w:tcPr>
                <w:p w14:paraId="04AD80A9">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污染物名称</w:t>
                  </w:r>
                </w:p>
              </w:tc>
              <w:tc>
                <w:tcPr>
                  <w:tcW w:w="1979" w:type="dxa"/>
                  <w:gridSpan w:val="3"/>
                  <w:shd w:val="clear" w:color="auto" w:fill="auto"/>
                  <w:vAlign w:val="center"/>
                </w:tcPr>
                <w:p w14:paraId="50432ECD">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产生情况</w:t>
                  </w:r>
                </w:p>
              </w:tc>
              <w:tc>
                <w:tcPr>
                  <w:tcW w:w="690" w:type="dxa"/>
                  <w:vMerge w:val="restart"/>
                  <w:shd w:val="clear" w:color="auto" w:fill="auto"/>
                  <w:vAlign w:val="center"/>
                </w:tcPr>
                <w:p w14:paraId="0FCAF4EC">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治理措施</w:t>
                  </w:r>
                </w:p>
              </w:tc>
              <w:tc>
                <w:tcPr>
                  <w:tcW w:w="420" w:type="dxa"/>
                  <w:vMerge w:val="restart"/>
                  <w:shd w:val="clear" w:color="auto" w:fill="auto"/>
                  <w:vAlign w:val="center"/>
                </w:tcPr>
                <w:p w14:paraId="09EE2537">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去除率%</w:t>
                  </w:r>
                </w:p>
              </w:tc>
              <w:tc>
                <w:tcPr>
                  <w:tcW w:w="1905" w:type="dxa"/>
                  <w:gridSpan w:val="3"/>
                  <w:shd w:val="clear" w:color="auto" w:fill="auto"/>
                  <w:vAlign w:val="center"/>
                </w:tcPr>
                <w:p w14:paraId="0D87060F">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排放情况</w:t>
                  </w:r>
                </w:p>
              </w:tc>
              <w:tc>
                <w:tcPr>
                  <w:tcW w:w="1583" w:type="dxa"/>
                  <w:gridSpan w:val="4"/>
                  <w:shd w:val="clear" w:color="auto" w:fill="auto"/>
                  <w:vAlign w:val="center"/>
                </w:tcPr>
                <w:p w14:paraId="5CBB7198">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排放口参数</w:t>
                  </w:r>
                </w:p>
              </w:tc>
            </w:tr>
            <w:tr w14:paraId="1DBB2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1" w:hRule="atLeast"/>
              </w:trPr>
              <w:tc>
                <w:tcPr>
                  <w:tcW w:w="518" w:type="dxa"/>
                  <w:vMerge w:val="continue"/>
                  <w:shd w:val="clear" w:color="auto" w:fill="auto"/>
                  <w:vAlign w:val="center"/>
                </w:tcPr>
                <w:p w14:paraId="6782B0C8">
                  <w:pPr>
                    <w:jc w:val="center"/>
                    <w:rPr>
                      <w:rFonts w:hint="default" w:eastAsia="宋体"/>
                      <w:color w:val="000000" w:themeColor="text1"/>
                      <w:sz w:val="21"/>
                      <w:szCs w:val="21"/>
                      <w:highlight w:val="none"/>
                      <w:lang w:val="en-US" w:eastAsia="zh-CN"/>
                      <w14:textFill>
                        <w14:solidFill>
                          <w14:schemeClr w14:val="tx1"/>
                        </w14:solidFill>
                      </w14:textFill>
                    </w:rPr>
                  </w:pPr>
                </w:p>
              </w:tc>
              <w:tc>
                <w:tcPr>
                  <w:tcW w:w="475" w:type="dxa"/>
                  <w:vMerge w:val="continue"/>
                  <w:shd w:val="clear" w:color="auto" w:fill="auto"/>
                  <w:vAlign w:val="center"/>
                </w:tcPr>
                <w:p w14:paraId="6E70BED0">
                  <w:pPr>
                    <w:jc w:val="center"/>
                    <w:rPr>
                      <w:rFonts w:hint="default" w:eastAsia="宋体"/>
                      <w:color w:val="000000" w:themeColor="text1"/>
                      <w:sz w:val="21"/>
                      <w:szCs w:val="21"/>
                      <w:highlight w:val="none"/>
                      <w:lang w:val="en-US" w:eastAsia="zh-CN"/>
                      <w14:textFill>
                        <w14:solidFill>
                          <w14:schemeClr w14:val="tx1"/>
                        </w14:solidFill>
                      </w14:textFill>
                    </w:rPr>
                  </w:pPr>
                </w:p>
              </w:tc>
              <w:tc>
                <w:tcPr>
                  <w:tcW w:w="550" w:type="dxa"/>
                  <w:vMerge w:val="continue"/>
                  <w:shd w:val="clear" w:color="auto" w:fill="auto"/>
                  <w:vAlign w:val="center"/>
                </w:tcPr>
                <w:p w14:paraId="63E3784D">
                  <w:pPr>
                    <w:jc w:val="center"/>
                    <w:rPr>
                      <w:rFonts w:hint="default" w:eastAsia="宋体"/>
                      <w:color w:val="000000" w:themeColor="text1"/>
                      <w:sz w:val="21"/>
                      <w:szCs w:val="21"/>
                      <w:highlight w:val="none"/>
                      <w:lang w:val="en-US" w:eastAsia="zh-CN"/>
                      <w14:textFill>
                        <w14:solidFill>
                          <w14:schemeClr w14:val="tx1"/>
                        </w14:solidFill>
                      </w14:textFill>
                    </w:rPr>
                  </w:pPr>
                </w:p>
              </w:tc>
              <w:tc>
                <w:tcPr>
                  <w:tcW w:w="663" w:type="dxa"/>
                  <w:shd w:val="clear" w:color="auto" w:fill="auto"/>
                  <w:vAlign w:val="center"/>
                </w:tcPr>
                <w:p w14:paraId="7CCF11FD">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浓度mg/m</w:t>
                  </w:r>
                  <w:r>
                    <w:rPr>
                      <w:rFonts w:hint="eastAsia"/>
                      <w:color w:val="000000" w:themeColor="text1"/>
                      <w:sz w:val="21"/>
                      <w:szCs w:val="21"/>
                      <w:highlight w:val="none"/>
                      <w:vertAlign w:val="superscript"/>
                      <w:lang w:val="en-US" w:eastAsia="zh-CN"/>
                      <w14:textFill>
                        <w14:solidFill>
                          <w14:schemeClr w14:val="tx1"/>
                        </w14:solidFill>
                      </w14:textFill>
                    </w:rPr>
                    <w:t>3</w:t>
                  </w:r>
                </w:p>
              </w:tc>
              <w:tc>
                <w:tcPr>
                  <w:tcW w:w="662" w:type="dxa"/>
                  <w:shd w:val="clear" w:color="auto" w:fill="auto"/>
                  <w:vAlign w:val="center"/>
                </w:tcPr>
                <w:p w14:paraId="0B565879">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速率kg/h</w:t>
                  </w:r>
                </w:p>
              </w:tc>
              <w:tc>
                <w:tcPr>
                  <w:tcW w:w="654" w:type="dxa"/>
                  <w:shd w:val="clear" w:color="auto" w:fill="auto"/>
                  <w:vAlign w:val="center"/>
                </w:tcPr>
                <w:p w14:paraId="09D57986">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产生量t/a</w:t>
                  </w:r>
                </w:p>
              </w:tc>
              <w:tc>
                <w:tcPr>
                  <w:tcW w:w="690" w:type="dxa"/>
                  <w:vMerge w:val="continue"/>
                  <w:shd w:val="clear" w:color="auto" w:fill="auto"/>
                  <w:vAlign w:val="center"/>
                </w:tcPr>
                <w:p w14:paraId="5EB69385">
                  <w:pPr>
                    <w:jc w:val="center"/>
                    <w:rPr>
                      <w:color w:val="000000" w:themeColor="text1"/>
                      <w:sz w:val="21"/>
                      <w:szCs w:val="21"/>
                      <w:highlight w:val="none"/>
                      <w14:textFill>
                        <w14:solidFill>
                          <w14:schemeClr w14:val="tx1"/>
                        </w14:solidFill>
                      </w14:textFill>
                    </w:rPr>
                  </w:pPr>
                </w:p>
              </w:tc>
              <w:tc>
                <w:tcPr>
                  <w:tcW w:w="420" w:type="dxa"/>
                  <w:vMerge w:val="continue"/>
                  <w:shd w:val="clear" w:color="auto" w:fill="auto"/>
                  <w:vAlign w:val="center"/>
                </w:tcPr>
                <w:p w14:paraId="3900546D">
                  <w:pPr>
                    <w:jc w:val="center"/>
                    <w:rPr>
                      <w:color w:val="000000" w:themeColor="text1"/>
                      <w:sz w:val="21"/>
                      <w:szCs w:val="21"/>
                      <w:highlight w:val="none"/>
                      <w14:textFill>
                        <w14:solidFill>
                          <w14:schemeClr w14:val="tx1"/>
                        </w14:solidFill>
                      </w14:textFill>
                    </w:rPr>
                  </w:pPr>
                </w:p>
              </w:tc>
              <w:tc>
                <w:tcPr>
                  <w:tcW w:w="600" w:type="dxa"/>
                  <w:shd w:val="clear" w:color="auto" w:fill="auto"/>
                  <w:vAlign w:val="center"/>
                </w:tcPr>
                <w:p w14:paraId="6F16F8D3">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浓度mg/m</w:t>
                  </w:r>
                  <w:r>
                    <w:rPr>
                      <w:rFonts w:hint="eastAsia"/>
                      <w:color w:val="000000" w:themeColor="text1"/>
                      <w:sz w:val="21"/>
                      <w:szCs w:val="21"/>
                      <w:highlight w:val="none"/>
                      <w:vertAlign w:val="superscript"/>
                      <w:lang w:val="en-US" w:eastAsia="zh-CN"/>
                      <w14:textFill>
                        <w14:solidFill>
                          <w14:schemeClr w14:val="tx1"/>
                        </w14:solidFill>
                      </w14:textFill>
                    </w:rPr>
                    <w:t>3</w:t>
                  </w:r>
                </w:p>
              </w:tc>
              <w:tc>
                <w:tcPr>
                  <w:tcW w:w="660" w:type="dxa"/>
                  <w:shd w:val="clear" w:color="auto" w:fill="auto"/>
                  <w:vAlign w:val="center"/>
                </w:tcPr>
                <w:p w14:paraId="28A607A3">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速率kg/h</w:t>
                  </w:r>
                </w:p>
              </w:tc>
              <w:tc>
                <w:tcPr>
                  <w:tcW w:w="645" w:type="dxa"/>
                  <w:shd w:val="clear" w:color="auto" w:fill="auto"/>
                  <w:vAlign w:val="center"/>
                </w:tcPr>
                <w:p w14:paraId="4357ECEA">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排放量t/a</w:t>
                  </w:r>
                </w:p>
              </w:tc>
              <w:tc>
                <w:tcPr>
                  <w:tcW w:w="420" w:type="dxa"/>
                  <w:shd w:val="clear" w:color="auto" w:fill="auto"/>
                  <w:vAlign w:val="center"/>
                </w:tcPr>
                <w:p w14:paraId="10E3EC23">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高度m</w:t>
                  </w:r>
                </w:p>
              </w:tc>
              <w:tc>
                <w:tcPr>
                  <w:tcW w:w="420" w:type="dxa"/>
                  <w:shd w:val="clear" w:color="auto" w:fill="auto"/>
                  <w:vAlign w:val="center"/>
                </w:tcPr>
                <w:p w14:paraId="20A4C01C">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内径m</w:t>
                  </w:r>
                </w:p>
              </w:tc>
              <w:tc>
                <w:tcPr>
                  <w:tcW w:w="375" w:type="dxa"/>
                  <w:shd w:val="clear" w:color="auto" w:fill="auto"/>
                  <w:vAlign w:val="center"/>
                </w:tcPr>
                <w:p w14:paraId="76559421">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温度℃</w:t>
                  </w:r>
                </w:p>
              </w:tc>
              <w:tc>
                <w:tcPr>
                  <w:tcW w:w="368" w:type="dxa"/>
                  <w:shd w:val="clear" w:color="auto" w:fill="auto"/>
                  <w:vAlign w:val="center"/>
                </w:tcPr>
                <w:p w14:paraId="3869413E">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方式</w:t>
                  </w:r>
                </w:p>
              </w:tc>
            </w:tr>
            <w:tr w14:paraId="259CD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518" w:type="dxa"/>
                  <w:shd w:val="clear" w:color="auto" w:fill="auto"/>
                  <w:vAlign w:val="center"/>
                </w:tcPr>
                <w:p w14:paraId="473D452D">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DA001</w:t>
                  </w:r>
                </w:p>
              </w:tc>
              <w:tc>
                <w:tcPr>
                  <w:tcW w:w="475" w:type="dxa"/>
                  <w:shd w:val="clear" w:color="auto" w:fill="auto"/>
                  <w:vAlign w:val="center"/>
                </w:tcPr>
                <w:p w14:paraId="61E26982">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吹塑废气</w:t>
                  </w:r>
                </w:p>
              </w:tc>
              <w:tc>
                <w:tcPr>
                  <w:tcW w:w="550" w:type="dxa"/>
                  <w:shd w:val="clear" w:color="auto" w:fill="auto"/>
                  <w:vAlign w:val="center"/>
                </w:tcPr>
                <w:p w14:paraId="7D92F2F2">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非甲烷总烃</w:t>
                  </w:r>
                </w:p>
              </w:tc>
              <w:tc>
                <w:tcPr>
                  <w:tcW w:w="663" w:type="dxa"/>
                  <w:shd w:val="clear" w:color="auto" w:fill="auto"/>
                  <w:vAlign w:val="center"/>
                </w:tcPr>
                <w:p w14:paraId="78C3F9EC">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19.176</w:t>
                  </w:r>
                </w:p>
              </w:tc>
              <w:tc>
                <w:tcPr>
                  <w:tcW w:w="662" w:type="dxa"/>
                  <w:shd w:val="clear" w:color="auto" w:fill="auto"/>
                  <w:vAlign w:val="center"/>
                </w:tcPr>
                <w:p w14:paraId="65645173">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0.0959 </w:t>
                  </w:r>
                </w:p>
              </w:tc>
              <w:tc>
                <w:tcPr>
                  <w:tcW w:w="654" w:type="dxa"/>
                  <w:shd w:val="clear" w:color="auto" w:fill="auto"/>
                  <w:vAlign w:val="center"/>
                </w:tcPr>
                <w:p w14:paraId="6C38EC21">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0.2301 </w:t>
                  </w:r>
                </w:p>
              </w:tc>
              <w:tc>
                <w:tcPr>
                  <w:tcW w:w="690" w:type="dxa"/>
                  <w:shd w:val="clear" w:color="auto" w:fill="auto"/>
                  <w:vAlign w:val="center"/>
                </w:tcPr>
                <w:p w14:paraId="701404F8">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集气罩+二级活性炭吸附</w:t>
                  </w:r>
                </w:p>
              </w:tc>
              <w:tc>
                <w:tcPr>
                  <w:tcW w:w="420" w:type="dxa"/>
                  <w:shd w:val="clear" w:color="auto" w:fill="auto"/>
                  <w:vAlign w:val="center"/>
                </w:tcPr>
                <w:p w14:paraId="62221F3B">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84</w:t>
                  </w:r>
                </w:p>
              </w:tc>
              <w:tc>
                <w:tcPr>
                  <w:tcW w:w="600" w:type="dxa"/>
                  <w:shd w:val="clear" w:color="auto" w:fill="auto"/>
                  <w:vAlign w:val="center"/>
                </w:tcPr>
                <w:p w14:paraId="0D77F049">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3.07 </w:t>
                  </w:r>
                </w:p>
              </w:tc>
              <w:tc>
                <w:tcPr>
                  <w:tcW w:w="660" w:type="dxa"/>
                  <w:shd w:val="clear" w:color="auto" w:fill="auto"/>
                  <w:vAlign w:val="center"/>
                </w:tcPr>
                <w:p w14:paraId="1906EBE9">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0.0153 </w:t>
                  </w:r>
                </w:p>
              </w:tc>
              <w:tc>
                <w:tcPr>
                  <w:tcW w:w="645" w:type="dxa"/>
                  <w:shd w:val="clear" w:color="auto" w:fill="auto"/>
                  <w:vAlign w:val="center"/>
                </w:tcPr>
                <w:p w14:paraId="08FC5CAC">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0.0368 </w:t>
                  </w:r>
                </w:p>
              </w:tc>
              <w:tc>
                <w:tcPr>
                  <w:tcW w:w="420" w:type="dxa"/>
                  <w:shd w:val="clear" w:color="auto" w:fill="auto"/>
                  <w:vAlign w:val="center"/>
                </w:tcPr>
                <w:p w14:paraId="732C0DA9">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420" w:type="dxa"/>
                  <w:shd w:val="clear" w:color="auto" w:fill="auto"/>
                  <w:vAlign w:val="center"/>
                </w:tcPr>
                <w:p w14:paraId="69D5A2BE">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0.35</w:t>
                  </w:r>
                </w:p>
              </w:tc>
              <w:tc>
                <w:tcPr>
                  <w:tcW w:w="375" w:type="dxa"/>
                  <w:shd w:val="clear" w:color="auto" w:fill="auto"/>
                  <w:vAlign w:val="center"/>
                </w:tcPr>
                <w:p w14:paraId="426A4A11">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25</w:t>
                  </w:r>
                </w:p>
              </w:tc>
              <w:tc>
                <w:tcPr>
                  <w:tcW w:w="368" w:type="dxa"/>
                  <w:shd w:val="clear" w:color="auto" w:fill="auto"/>
                  <w:vAlign w:val="center"/>
                </w:tcPr>
                <w:p w14:paraId="598B39D1">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连续</w:t>
                  </w:r>
                </w:p>
              </w:tc>
            </w:tr>
          </w:tbl>
          <w:p w14:paraId="1CBAB481">
            <w:pPr>
              <w:spacing w:line="360" w:lineRule="auto"/>
              <w:ind w:firstLine="44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2"/>
                <w:szCs w:val="22"/>
                <w:highlight w:val="none"/>
                <w:lang w:val="en-US" w:eastAsia="zh-CN"/>
                <w14:textFill>
                  <w14:solidFill>
                    <w14:schemeClr w14:val="tx1"/>
                  </w14:solidFill>
                </w14:textFill>
              </w:rPr>
              <w:t>注：排放口地理坐标为东经119°20′44.52″，北纬25°54′15.54″。</w:t>
            </w:r>
          </w:p>
          <w:p w14:paraId="5AD7F4CE">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由上表可知，本项目有机废气经</w:t>
            </w:r>
            <w:r>
              <w:rPr>
                <w:rFonts w:hint="eastAsia" w:cs="宋体"/>
                <w:color w:val="000000" w:themeColor="text1"/>
                <w:sz w:val="24"/>
                <w:szCs w:val="32"/>
                <w:highlight w:val="none"/>
                <w14:textFill>
                  <w14:solidFill>
                    <w14:schemeClr w14:val="tx1"/>
                  </w14:solidFill>
                </w14:textFill>
              </w:rPr>
              <w:t>集气罩+二级活性炭吸附处理</w:t>
            </w:r>
            <w:r>
              <w:rPr>
                <w:rFonts w:hint="eastAsia" w:cs="宋体"/>
                <w:color w:val="000000" w:themeColor="text1"/>
                <w:sz w:val="24"/>
                <w:szCs w:val="32"/>
                <w:highlight w:val="none"/>
                <w:lang w:val="en-US" w:eastAsia="zh-CN"/>
                <w14:textFill>
                  <w14:solidFill>
                    <w14:schemeClr w14:val="tx1"/>
                  </w14:solidFill>
                </w14:textFill>
              </w:rPr>
              <w:t>后，</w:t>
            </w:r>
            <w:r>
              <w:rPr>
                <w:rFonts w:hint="eastAsia" w:cs="宋体"/>
                <w:color w:val="000000" w:themeColor="text1"/>
                <w:sz w:val="24"/>
                <w:szCs w:val="32"/>
                <w:highlight w:val="none"/>
                <w14:textFill>
                  <w14:solidFill>
                    <w14:schemeClr w14:val="tx1"/>
                  </w14:solidFill>
                </w14:textFill>
              </w:rPr>
              <w:t>非甲烷总烃</w:t>
            </w:r>
            <w:r>
              <w:rPr>
                <w:rFonts w:hint="eastAsia" w:cs="宋体"/>
                <w:color w:val="000000" w:themeColor="text1"/>
                <w:sz w:val="24"/>
                <w:szCs w:val="32"/>
                <w:highlight w:val="none"/>
                <w:lang w:val="en-US" w:eastAsia="zh-CN"/>
                <w14:textFill>
                  <w14:solidFill>
                    <w14:schemeClr w14:val="tx1"/>
                  </w14:solidFill>
                </w14:textFill>
              </w:rPr>
              <w:t>满足《合成树脂工业污染物排放标准》(GB31572-2015)及修改单的表5的大气污染物排放限值。</w:t>
            </w:r>
          </w:p>
          <w:p w14:paraId="2CFF97FD">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综上，本项目废气污染物排放情况见下表。</w:t>
            </w:r>
          </w:p>
          <w:p w14:paraId="4306F51B">
            <w:pPr>
              <w:spacing w:line="360" w:lineRule="auto"/>
              <w:jc w:val="center"/>
              <w:rPr>
                <w:rFonts w:ascii="宋体" w:cs="宋体"/>
                <w:b/>
                <w:bCs w:val="0"/>
                <w:color w:val="000000" w:themeColor="text1"/>
                <w:kern w:val="0"/>
                <w:sz w:val="24"/>
                <w:szCs w:val="24"/>
                <w:highlight w:val="none"/>
                <w14:textFill>
                  <w14:solidFill>
                    <w14:schemeClr w14:val="tx1"/>
                  </w14:solidFill>
                </w14:textFill>
              </w:rPr>
            </w:pPr>
            <w:r>
              <w:rPr>
                <w:rFonts w:hint="eastAsia" w:cs="宋体"/>
                <w:b/>
                <w:bCs w:val="0"/>
                <w:color w:val="000000" w:themeColor="text1"/>
                <w:sz w:val="24"/>
                <w:szCs w:val="24"/>
                <w:highlight w:val="none"/>
                <w14:textFill>
                  <w14:solidFill>
                    <w14:schemeClr w14:val="tx1"/>
                  </w14:solidFill>
                </w14:textFill>
              </w:rPr>
              <w:t xml:space="preserve">表 </w:t>
            </w:r>
            <w:r>
              <w:rPr>
                <w:b/>
                <w:bCs w:val="0"/>
                <w:color w:val="000000" w:themeColor="text1"/>
                <w:sz w:val="24"/>
                <w:szCs w:val="24"/>
                <w:highlight w:val="none"/>
                <w14:textFill>
                  <w14:solidFill>
                    <w14:schemeClr w14:val="tx1"/>
                  </w14:solidFill>
                </w14:textFill>
              </w:rPr>
              <w:t>4-</w:t>
            </w:r>
            <w:r>
              <w:rPr>
                <w:rFonts w:hint="eastAsia"/>
                <w:b/>
                <w:bCs w:val="0"/>
                <w:color w:val="000000" w:themeColor="text1"/>
                <w:sz w:val="24"/>
                <w:szCs w:val="24"/>
                <w:highlight w:val="none"/>
                <w14:textFill>
                  <w14:solidFill>
                    <w14:schemeClr w14:val="tx1"/>
                  </w14:solidFill>
                </w14:textFill>
              </w:rPr>
              <w:t>2</w:t>
            </w:r>
            <w:r>
              <w:rPr>
                <w:b/>
                <w:bCs w:val="0"/>
                <w:color w:val="000000" w:themeColor="text1"/>
                <w:sz w:val="24"/>
                <w:szCs w:val="24"/>
                <w:highlight w:val="none"/>
                <w14:textFill>
                  <w14:solidFill>
                    <w14:schemeClr w14:val="tx1"/>
                  </w14:solidFill>
                </w14:textFill>
              </w:rPr>
              <w:t xml:space="preserve">  </w:t>
            </w:r>
            <w:r>
              <w:rPr>
                <w:rFonts w:hint="eastAsia"/>
                <w:b/>
                <w:bCs w:val="0"/>
                <w:color w:val="000000" w:themeColor="text1"/>
                <w:sz w:val="24"/>
                <w:szCs w:val="24"/>
                <w:highlight w:val="none"/>
                <w14:textFill>
                  <w14:solidFill>
                    <w14:schemeClr w14:val="tx1"/>
                  </w14:solidFill>
                </w14:textFill>
              </w:rPr>
              <w:t>本项目实施后废气污染物排放情况一览表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618"/>
              <w:gridCol w:w="1350"/>
              <w:gridCol w:w="2532"/>
              <w:gridCol w:w="2620"/>
            </w:tblGrid>
            <w:tr w14:paraId="76176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 w:hRule="atLeast"/>
              </w:trPr>
              <w:tc>
                <w:tcPr>
                  <w:tcW w:w="1618" w:type="dxa"/>
                  <w:shd w:val="clear" w:color="auto" w:fill="auto"/>
                  <w:vAlign w:val="center"/>
                </w:tcPr>
                <w:p w14:paraId="39562AAC">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产生工序</w:t>
                  </w:r>
                </w:p>
              </w:tc>
              <w:tc>
                <w:tcPr>
                  <w:tcW w:w="1350" w:type="dxa"/>
                  <w:shd w:val="clear" w:color="auto" w:fill="auto"/>
                  <w:vAlign w:val="center"/>
                </w:tcPr>
                <w:p w14:paraId="59EDB9DB">
                  <w:pPr>
                    <w:jc w:val="center"/>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污染物</w:t>
                  </w:r>
                </w:p>
              </w:tc>
              <w:tc>
                <w:tcPr>
                  <w:tcW w:w="2532" w:type="dxa"/>
                  <w:shd w:val="clear" w:color="auto" w:fill="auto"/>
                  <w:vAlign w:val="center"/>
                </w:tcPr>
                <w:p w14:paraId="737B8409">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排放方式</w:t>
                  </w:r>
                </w:p>
              </w:tc>
              <w:tc>
                <w:tcPr>
                  <w:tcW w:w="2620" w:type="dxa"/>
                  <w:shd w:val="clear" w:color="auto" w:fill="auto"/>
                  <w:vAlign w:val="center"/>
                </w:tcPr>
                <w:p w14:paraId="2DCC4657">
                  <w:pPr>
                    <w:jc w:val="center"/>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全厂排放量（t/a）</w:t>
                  </w:r>
                </w:p>
              </w:tc>
            </w:tr>
            <w:tr w14:paraId="2FB4F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618" w:type="dxa"/>
                  <w:vMerge w:val="restart"/>
                  <w:shd w:val="clear" w:color="auto" w:fill="auto"/>
                  <w:vAlign w:val="center"/>
                </w:tcPr>
                <w:p w14:paraId="11B41E5E">
                  <w:pPr>
                    <w:jc w:val="center"/>
                    <w:rPr>
                      <w:rFonts w:hint="default" w:eastAsia="宋体"/>
                      <w:color w:val="000000" w:themeColor="text1"/>
                      <w:sz w:val="21"/>
                      <w:szCs w:val="24"/>
                      <w:highlight w:val="none"/>
                      <w:lang w:val="en-US" w:eastAsia="zh-CN"/>
                      <w14:textFill>
                        <w14:solidFill>
                          <w14:schemeClr w14:val="tx1"/>
                        </w14:solidFill>
                      </w14:textFill>
                    </w:rPr>
                  </w:pPr>
                  <w:r>
                    <w:rPr>
                      <w:rFonts w:hint="default" w:eastAsia="宋体"/>
                      <w:color w:val="000000" w:themeColor="text1"/>
                      <w:sz w:val="21"/>
                      <w:szCs w:val="24"/>
                      <w:highlight w:val="none"/>
                      <w:lang w:val="en-US" w:eastAsia="zh-CN"/>
                      <w14:textFill>
                        <w14:solidFill>
                          <w14:schemeClr w14:val="tx1"/>
                        </w14:solidFill>
                      </w14:textFill>
                    </w:rPr>
                    <w:t>加热与吹塑</w:t>
                  </w:r>
                </w:p>
              </w:tc>
              <w:tc>
                <w:tcPr>
                  <w:tcW w:w="1350" w:type="dxa"/>
                  <w:vMerge w:val="restart"/>
                  <w:shd w:val="clear" w:color="auto" w:fill="auto"/>
                  <w:vAlign w:val="center"/>
                </w:tcPr>
                <w:p w14:paraId="752028D8">
                  <w:pPr>
                    <w:jc w:val="center"/>
                    <w:rPr>
                      <w:rFonts w:hint="default" w:eastAsia="宋体"/>
                      <w:color w:val="000000" w:themeColor="text1"/>
                      <w:sz w:val="21"/>
                      <w:szCs w:val="24"/>
                      <w:highlight w:val="none"/>
                      <w:lang w:val="en-US" w:eastAsia="zh-CN"/>
                      <w14:textFill>
                        <w14:solidFill>
                          <w14:schemeClr w14:val="tx1"/>
                        </w14:solidFill>
                      </w14:textFill>
                    </w:rPr>
                  </w:pPr>
                  <w:r>
                    <w:rPr>
                      <w:rFonts w:hint="default" w:eastAsia="宋体"/>
                      <w:color w:val="000000" w:themeColor="text1"/>
                      <w:sz w:val="21"/>
                      <w:szCs w:val="24"/>
                      <w:highlight w:val="none"/>
                      <w:lang w:val="en-US" w:eastAsia="zh-CN"/>
                      <w14:textFill>
                        <w14:solidFill>
                          <w14:schemeClr w14:val="tx1"/>
                        </w14:solidFill>
                      </w14:textFill>
                    </w:rPr>
                    <w:t>非甲烷总烃</w:t>
                  </w:r>
                </w:p>
              </w:tc>
              <w:tc>
                <w:tcPr>
                  <w:tcW w:w="2532" w:type="dxa"/>
                  <w:shd w:val="clear" w:color="auto" w:fill="auto"/>
                  <w:vAlign w:val="center"/>
                </w:tcPr>
                <w:p w14:paraId="07E47C0D">
                  <w:pPr>
                    <w:jc w:val="center"/>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有组织</w:t>
                  </w:r>
                </w:p>
              </w:tc>
              <w:tc>
                <w:tcPr>
                  <w:tcW w:w="2620" w:type="dxa"/>
                  <w:shd w:val="clear" w:color="auto" w:fill="auto"/>
                  <w:vAlign w:val="center"/>
                </w:tcPr>
                <w:p w14:paraId="55B0E130">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w:t>
                  </w: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368</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 </w:t>
                  </w:r>
                </w:p>
              </w:tc>
            </w:tr>
            <w:tr w14:paraId="1092C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 w:hRule="atLeast"/>
              </w:trPr>
              <w:tc>
                <w:tcPr>
                  <w:tcW w:w="1618" w:type="dxa"/>
                  <w:vMerge w:val="continue"/>
                  <w:shd w:val="clear" w:color="auto" w:fill="auto"/>
                  <w:vAlign w:val="center"/>
                </w:tcPr>
                <w:p w14:paraId="3E8A41DB">
                  <w:pPr>
                    <w:jc w:val="center"/>
                    <w:rPr>
                      <w:color w:val="000000" w:themeColor="text1"/>
                      <w:sz w:val="21"/>
                      <w:szCs w:val="24"/>
                      <w:highlight w:val="none"/>
                      <w14:textFill>
                        <w14:solidFill>
                          <w14:schemeClr w14:val="tx1"/>
                        </w14:solidFill>
                      </w14:textFill>
                    </w:rPr>
                  </w:pPr>
                </w:p>
              </w:tc>
              <w:tc>
                <w:tcPr>
                  <w:tcW w:w="1350" w:type="dxa"/>
                  <w:vMerge w:val="continue"/>
                  <w:shd w:val="clear" w:color="auto" w:fill="auto"/>
                  <w:vAlign w:val="center"/>
                </w:tcPr>
                <w:p w14:paraId="114E9168">
                  <w:pPr>
                    <w:jc w:val="center"/>
                    <w:rPr>
                      <w:color w:val="000000" w:themeColor="text1"/>
                      <w:sz w:val="21"/>
                      <w:szCs w:val="24"/>
                      <w:highlight w:val="none"/>
                      <w14:textFill>
                        <w14:solidFill>
                          <w14:schemeClr w14:val="tx1"/>
                        </w14:solidFill>
                      </w14:textFill>
                    </w:rPr>
                  </w:pPr>
                </w:p>
              </w:tc>
              <w:tc>
                <w:tcPr>
                  <w:tcW w:w="2532" w:type="dxa"/>
                  <w:shd w:val="clear" w:color="auto" w:fill="auto"/>
                  <w:vAlign w:val="center"/>
                </w:tcPr>
                <w:p w14:paraId="47CCA24B">
                  <w:pPr>
                    <w:jc w:val="center"/>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无组织</w:t>
                  </w:r>
                </w:p>
              </w:tc>
              <w:tc>
                <w:tcPr>
                  <w:tcW w:w="2620" w:type="dxa"/>
                  <w:shd w:val="clear" w:color="auto" w:fill="auto"/>
                  <w:vAlign w:val="center"/>
                </w:tcPr>
                <w:p w14:paraId="1B35C3E6">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0.0256 </w:t>
                  </w:r>
                </w:p>
              </w:tc>
            </w:tr>
            <w:tr w14:paraId="3A627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618" w:type="dxa"/>
                  <w:vMerge w:val="continue"/>
                  <w:shd w:val="clear" w:color="auto" w:fill="auto"/>
                  <w:vAlign w:val="center"/>
                </w:tcPr>
                <w:p w14:paraId="397B22B2">
                  <w:pPr>
                    <w:jc w:val="center"/>
                    <w:rPr>
                      <w:color w:val="000000" w:themeColor="text1"/>
                      <w:sz w:val="21"/>
                      <w:szCs w:val="24"/>
                      <w:highlight w:val="none"/>
                      <w14:textFill>
                        <w14:solidFill>
                          <w14:schemeClr w14:val="tx1"/>
                        </w14:solidFill>
                      </w14:textFill>
                    </w:rPr>
                  </w:pPr>
                </w:p>
              </w:tc>
              <w:tc>
                <w:tcPr>
                  <w:tcW w:w="1350" w:type="dxa"/>
                  <w:vMerge w:val="continue"/>
                  <w:shd w:val="clear" w:color="auto" w:fill="auto"/>
                  <w:vAlign w:val="center"/>
                </w:tcPr>
                <w:p w14:paraId="1835F70A">
                  <w:pPr>
                    <w:jc w:val="center"/>
                    <w:rPr>
                      <w:color w:val="000000" w:themeColor="text1"/>
                      <w:sz w:val="21"/>
                      <w:szCs w:val="24"/>
                      <w:highlight w:val="none"/>
                      <w14:textFill>
                        <w14:solidFill>
                          <w14:schemeClr w14:val="tx1"/>
                        </w14:solidFill>
                      </w14:textFill>
                    </w:rPr>
                  </w:pPr>
                </w:p>
              </w:tc>
              <w:tc>
                <w:tcPr>
                  <w:tcW w:w="2532" w:type="dxa"/>
                  <w:shd w:val="clear" w:color="auto" w:fill="auto"/>
                  <w:vAlign w:val="center"/>
                </w:tcPr>
                <w:p w14:paraId="4B433FE1">
                  <w:pPr>
                    <w:jc w:val="center"/>
                    <w:rPr>
                      <w:color w:val="000000" w:themeColor="text1"/>
                      <w:sz w:val="21"/>
                      <w:szCs w:val="24"/>
                      <w:highlight w:val="none"/>
                      <w14:textFill>
                        <w14:solidFill>
                          <w14:schemeClr w14:val="tx1"/>
                        </w14:solidFill>
                      </w14:textFill>
                    </w:rPr>
                  </w:pPr>
                  <w:r>
                    <w:rPr>
                      <w:rFonts w:hint="eastAsia"/>
                      <w:color w:val="000000" w:themeColor="text1"/>
                      <w:sz w:val="21"/>
                      <w:szCs w:val="24"/>
                      <w:highlight w:val="none"/>
                      <w14:textFill>
                        <w14:solidFill>
                          <w14:schemeClr w14:val="tx1"/>
                        </w14:solidFill>
                      </w14:textFill>
                    </w:rPr>
                    <w:t>合计</w:t>
                  </w:r>
                </w:p>
              </w:tc>
              <w:tc>
                <w:tcPr>
                  <w:tcW w:w="2620" w:type="dxa"/>
                  <w:shd w:val="clear" w:color="auto" w:fill="auto"/>
                  <w:vAlign w:val="center"/>
                </w:tcPr>
                <w:p w14:paraId="7D6ACA77">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0.0624</w:t>
                  </w:r>
                </w:p>
              </w:tc>
            </w:tr>
          </w:tbl>
          <w:p w14:paraId="6FAEB2BB">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4.1.2非正常排放</w:t>
            </w:r>
          </w:p>
          <w:p w14:paraId="21BDF596">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非正常排放情况考虑废气净化设施发生故障，废气污染物未经处理就直接排放的情景，非正常排放不考虑无组织排放，本项目废气净化设施在风机故障发生时，应立即停产，非正常排放时间按0.5h计算，非正常排放量核算见下表。</w:t>
            </w:r>
          </w:p>
          <w:p w14:paraId="3650D14A">
            <w:pPr>
              <w:spacing w:line="360" w:lineRule="auto"/>
              <w:jc w:val="center"/>
              <w:rPr>
                <w:rFonts w:ascii="宋体" w:cs="宋体"/>
                <w:b/>
                <w:bCs w:val="0"/>
                <w:color w:val="000000" w:themeColor="text1"/>
                <w:kern w:val="0"/>
                <w:sz w:val="24"/>
                <w:szCs w:val="24"/>
                <w:highlight w:val="none"/>
                <w14:textFill>
                  <w14:solidFill>
                    <w14:schemeClr w14:val="tx1"/>
                  </w14:solidFill>
                </w14:textFill>
              </w:rPr>
            </w:pPr>
            <w:r>
              <w:rPr>
                <w:rFonts w:hint="eastAsia" w:cs="宋体"/>
                <w:b/>
                <w:bCs w:val="0"/>
                <w:color w:val="000000" w:themeColor="text1"/>
                <w:sz w:val="24"/>
                <w:szCs w:val="24"/>
                <w:highlight w:val="none"/>
                <w14:textFill>
                  <w14:solidFill>
                    <w14:schemeClr w14:val="tx1"/>
                  </w14:solidFill>
                </w14:textFill>
              </w:rPr>
              <w:t xml:space="preserve">表 </w:t>
            </w:r>
            <w:r>
              <w:rPr>
                <w:b/>
                <w:bCs w:val="0"/>
                <w:color w:val="000000" w:themeColor="text1"/>
                <w:sz w:val="24"/>
                <w:szCs w:val="24"/>
                <w:highlight w:val="none"/>
                <w14:textFill>
                  <w14:solidFill>
                    <w14:schemeClr w14:val="tx1"/>
                  </w14:solidFill>
                </w14:textFill>
              </w:rPr>
              <w:t>4-</w:t>
            </w:r>
            <w:r>
              <w:rPr>
                <w:rFonts w:hint="eastAsia"/>
                <w:b/>
                <w:bCs w:val="0"/>
                <w:color w:val="000000" w:themeColor="text1"/>
                <w:sz w:val="24"/>
                <w:szCs w:val="24"/>
                <w:highlight w:val="none"/>
                <w:lang w:val="en-US" w:eastAsia="zh-CN"/>
                <w14:textFill>
                  <w14:solidFill>
                    <w14:schemeClr w14:val="tx1"/>
                  </w14:solidFill>
                </w14:textFill>
              </w:rPr>
              <w:t>3</w:t>
            </w:r>
            <w:r>
              <w:rPr>
                <w:b/>
                <w:bCs w:val="0"/>
                <w:color w:val="000000" w:themeColor="text1"/>
                <w:sz w:val="24"/>
                <w:szCs w:val="24"/>
                <w:highlight w:val="none"/>
                <w14:textFill>
                  <w14:solidFill>
                    <w14:schemeClr w14:val="tx1"/>
                  </w14:solidFill>
                </w14:textFill>
              </w:rPr>
              <w:t xml:space="preserve">  </w:t>
            </w:r>
            <w:r>
              <w:rPr>
                <w:rFonts w:hint="eastAsia"/>
                <w:b/>
                <w:bCs w:val="0"/>
                <w:color w:val="000000" w:themeColor="text1"/>
                <w:sz w:val="24"/>
                <w:szCs w:val="24"/>
                <w:highlight w:val="none"/>
                <w:lang w:val="en-US" w:eastAsia="zh-CN"/>
                <w14:textFill>
                  <w14:solidFill>
                    <w14:schemeClr w14:val="tx1"/>
                  </w14:solidFill>
                </w14:textFill>
              </w:rPr>
              <w:t>本项目废气污染物非正常排放核算一览</w:t>
            </w:r>
            <w:r>
              <w:rPr>
                <w:rFonts w:hint="eastAsia"/>
                <w:b/>
                <w:bCs w:val="0"/>
                <w:color w:val="000000" w:themeColor="text1"/>
                <w:sz w:val="24"/>
                <w:szCs w:val="24"/>
                <w:highlight w:val="none"/>
                <w14:textFill>
                  <w14:solidFill>
                    <w14:schemeClr w14:val="tx1"/>
                  </w14:solidFill>
                </w14:textFill>
              </w:rPr>
              <w:t>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830"/>
              <w:gridCol w:w="761"/>
              <w:gridCol w:w="881"/>
              <w:gridCol w:w="851"/>
              <w:gridCol w:w="851"/>
              <w:gridCol w:w="851"/>
              <w:gridCol w:w="851"/>
              <w:gridCol w:w="855"/>
              <w:gridCol w:w="1389"/>
            </w:tblGrid>
            <w:tr w14:paraId="52661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 w:hRule="atLeast"/>
              </w:trPr>
              <w:tc>
                <w:tcPr>
                  <w:tcW w:w="830" w:type="dxa"/>
                  <w:vMerge w:val="restart"/>
                  <w:shd w:val="clear" w:color="auto" w:fill="auto"/>
                  <w:vAlign w:val="center"/>
                </w:tcPr>
                <w:p w14:paraId="43A46E49">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排放源名称</w:t>
                  </w:r>
                </w:p>
              </w:tc>
              <w:tc>
                <w:tcPr>
                  <w:tcW w:w="761" w:type="dxa"/>
                  <w:vMerge w:val="restart"/>
                  <w:shd w:val="clear" w:color="auto" w:fill="auto"/>
                  <w:vAlign w:val="center"/>
                </w:tcPr>
                <w:p w14:paraId="44353657">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污染物名称</w:t>
                  </w:r>
                </w:p>
              </w:tc>
              <w:tc>
                <w:tcPr>
                  <w:tcW w:w="881" w:type="dxa"/>
                  <w:vMerge w:val="restart"/>
                  <w:shd w:val="clear" w:color="auto" w:fill="auto"/>
                  <w:vAlign w:val="center"/>
                </w:tcPr>
                <w:p w14:paraId="6F65C9F7">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非正常排放原因</w:t>
                  </w:r>
                </w:p>
              </w:tc>
              <w:tc>
                <w:tcPr>
                  <w:tcW w:w="4259" w:type="dxa"/>
                  <w:gridSpan w:val="5"/>
                  <w:shd w:val="clear" w:color="auto" w:fill="auto"/>
                  <w:vAlign w:val="center"/>
                </w:tcPr>
                <w:p w14:paraId="7330BB6A">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非正常排放情况</w:t>
                  </w:r>
                </w:p>
              </w:tc>
              <w:tc>
                <w:tcPr>
                  <w:tcW w:w="1389" w:type="dxa"/>
                  <w:vMerge w:val="restart"/>
                  <w:shd w:val="clear" w:color="auto" w:fill="auto"/>
                  <w:vAlign w:val="center"/>
                </w:tcPr>
                <w:p w14:paraId="1C378A41">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应对措施</w:t>
                  </w:r>
                </w:p>
              </w:tc>
            </w:tr>
            <w:tr w14:paraId="28AE4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 w:hRule="atLeast"/>
              </w:trPr>
              <w:tc>
                <w:tcPr>
                  <w:tcW w:w="830" w:type="dxa"/>
                  <w:vMerge w:val="continue"/>
                  <w:shd w:val="clear" w:color="auto" w:fill="auto"/>
                  <w:vAlign w:val="center"/>
                </w:tcPr>
                <w:p w14:paraId="4C271B30">
                  <w:pPr>
                    <w:jc w:val="center"/>
                    <w:rPr>
                      <w:rFonts w:hint="default" w:eastAsia="宋体"/>
                      <w:color w:val="000000" w:themeColor="text1"/>
                      <w:sz w:val="21"/>
                      <w:szCs w:val="24"/>
                      <w:highlight w:val="none"/>
                      <w:lang w:val="en-US" w:eastAsia="zh-CN"/>
                      <w14:textFill>
                        <w14:solidFill>
                          <w14:schemeClr w14:val="tx1"/>
                        </w14:solidFill>
                      </w14:textFill>
                    </w:rPr>
                  </w:pPr>
                </w:p>
              </w:tc>
              <w:tc>
                <w:tcPr>
                  <w:tcW w:w="761" w:type="dxa"/>
                  <w:vMerge w:val="continue"/>
                  <w:shd w:val="clear" w:color="auto" w:fill="auto"/>
                  <w:vAlign w:val="center"/>
                </w:tcPr>
                <w:p w14:paraId="1057E4DB">
                  <w:pPr>
                    <w:jc w:val="center"/>
                    <w:rPr>
                      <w:rFonts w:hint="default" w:eastAsia="宋体"/>
                      <w:color w:val="000000" w:themeColor="text1"/>
                      <w:sz w:val="21"/>
                      <w:szCs w:val="24"/>
                      <w:highlight w:val="none"/>
                      <w:lang w:val="en-US" w:eastAsia="zh-CN"/>
                      <w14:textFill>
                        <w14:solidFill>
                          <w14:schemeClr w14:val="tx1"/>
                        </w14:solidFill>
                      </w14:textFill>
                    </w:rPr>
                  </w:pPr>
                </w:p>
              </w:tc>
              <w:tc>
                <w:tcPr>
                  <w:tcW w:w="881" w:type="dxa"/>
                  <w:vMerge w:val="continue"/>
                  <w:shd w:val="clear" w:color="auto" w:fill="auto"/>
                  <w:vAlign w:val="center"/>
                </w:tcPr>
                <w:p w14:paraId="7FA7C387">
                  <w:pPr>
                    <w:jc w:val="center"/>
                    <w:rPr>
                      <w:rFonts w:hint="default" w:eastAsia="宋体"/>
                      <w:color w:val="000000" w:themeColor="text1"/>
                      <w:sz w:val="21"/>
                      <w:szCs w:val="24"/>
                      <w:highlight w:val="none"/>
                      <w:lang w:val="en-US" w:eastAsia="zh-CN"/>
                      <w14:textFill>
                        <w14:solidFill>
                          <w14:schemeClr w14:val="tx1"/>
                        </w14:solidFill>
                      </w14:textFill>
                    </w:rPr>
                  </w:pPr>
                </w:p>
              </w:tc>
              <w:tc>
                <w:tcPr>
                  <w:tcW w:w="851" w:type="dxa"/>
                  <w:shd w:val="clear" w:color="auto" w:fill="auto"/>
                  <w:vAlign w:val="center"/>
                </w:tcPr>
                <w:p w14:paraId="259BA0CE">
                  <w:pPr>
                    <w:jc w:val="center"/>
                    <w:rPr>
                      <w:rFonts w:hint="default"/>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浓度mg/m</w:t>
                  </w:r>
                  <w:r>
                    <w:rPr>
                      <w:rFonts w:hint="eastAsia"/>
                      <w:color w:val="000000" w:themeColor="text1"/>
                      <w:sz w:val="21"/>
                      <w:szCs w:val="24"/>
                      <w:highlight w:val="none"/>
                      <w:vertAlign w:val="superscript"/>
                      <w:lang w:val="en-US" w:eastAsia="zh-CN"/>
                      <w14:textFill>
                        <w14:solidFill>
                          <w14:schemeClr w14:val="tx1"/>
                        </w14:solidFill>
                      </w14:textFill>
                    </w:rPr>
                    <w:t>3</w:t>
                  </w:r>
                </w:p>
              </w:tc>
              <w:tc>
                <w:tcPr>
                  <w:tcW w:w="851" w:type="dxa"/>
                  <w:shd w:val="clear" w:color="auto" w:fill="auto"/>
                  <w:vAlign w:val="center"/>
                </w:tcPr>
                <w:p w14:paraId="54D2D1C6">
                  <w:pPr>
                    <w:jc w:val="center"/>
                    <w:rPr>
                      <w:rFonts w:hint="default"/>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速率kg/h</w:t>
                  </w:r>
                </w:p>
              </w:tc>
              <w:tc>
                <w:tcPr>
                  <w:tcW w:w="851" w:type="dxa"/>
                  <w:shd w:val="clear" w:color="auto" w:fill="auto"/>
                  <w:vAlign w:val="center"/>
                </w:tcPr>
                <w:p w14:paraId="1CF2617F">
                  <w:pPr>
                    <w:jc w:val="center"/>
                    <w:rPr>
                      <w:rFonts w:hint="default"/>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单次持续时间h</w:t>
                  </w:r>
                </w:p>
              </w:tc>
              <w:tc>
                <w:tcPr>
                  <w:tcW w:w="851" w:type="dxa"/>
                  <w:shd w:val="clear" w:color="auto" w:fill="auto"/>
                  <w:vAlign w:val="center"/>
                </w:tcPr>
                <w:p w14:paraId="768B24E8">
                  <w:pPr>
                    <w:jc w:val="center"/>
                    <w:rPr>
                      <w:rFonts w:hint="eastAsia"/>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年发生频次</w:t>
                  </w:r>
                </w:p>
              </w:tc>
              <w:tc>
                <w:tcPr>
                  <w:tcW w:w="855" w:type="dxa"/>
                  <w:shd w:val="clear" w:color="auto" w:fill="auto"/>
                  <w:vAlign w:val="center"/>
                </w:tcPr>
                <w:p w14:paraId="1A22C037">
                  <w:pPr>
                    <w:jc w:val="center"/>
                    <w:rPr>
                      <w:rFonts w:hint="default"/>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排放量kg/a</w:t>
                  </w:r>
                </w:p>
              </w:tc>
              <w:tc>
                <w:tcPr>
                  <w:tcW w:w="1389" w:type="dxa"/>
                  <w:vMerge w:val="continue"/>
                  <w:shd w:val="clear" w:color="auto" w:fill="auto"/>
                  <w:vAlign w:val="center"/>
                </w:tcPr>
                <w:p w14:paraId="7817BE4F">
                  <w:pPr>
                    <w:jc w:val="center"/>
                    <w:rPr>
                      <w:rFonts w:hint="eastAsia" w:eastAsia="宋体"/>
                      <w:color w:val="000000" w:themeColor="text1"/>
                      <w:sz w:val="21"/>
                      <w:szCs w:val="24"/>
                      <w:highlight w:val="none"/>
                      <w:lang w:val="en-US" w:eastAsia="zh-CN"/>
                      <w14:textFill>
                        <w14:solidFill>
                          <w14:schemeClr w14:val="tx1"/>
                        </w14:solidFill>
                      </w14:textFill>
                    </w:rPr>
                  </w:pPr>
                </w:p>
              </w:tc>
            </w:tr>
            <w:tr w14:paraId="1F953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830" w:type="dxa"/>
                  <w:shd w:val="clear" w:color="auto" w:fill="auto"/>
                  <w:vAlign w:val="center"/>
                </w:tcPr>
                <w:p w14:paraId="131433A1">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吹塑废气</w:t>
                  </w:r>
                </w:p>
              </w:tc>
              <w:tc>
                <w:tcPr>
                  <w:tcW w:w="761" w:type="dxa"/>
                  <w:shd w:val="clear" w:color="auto" w:fill="auto"/>
                  <w:vAlign w:val="center"/>
                </w:tcPr>
                <w:p w14:paraId="50F9D48C">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非甲烷总烃</w:t>
                  </w:r>
                </w:p>
              </w:tc>
              <w:tc>
                <w:tcPr>
                  <w:tcW w:w="881" w:type="dxa"/>
                  <w:shd w:val="clear" w:color="auto" w:fill="auto"/>
                  <w:vAlign w:val="center"/>
                </w:tcPr>
                <w:p w14:paraId="18A76D4D">
                  <w:pPr>
                    <w:jc w:val="center"/>
                    <w:rPr>
                      <w:rFonts w:hint="default" w:eastAsia="宋体"/>
                      <w:color w:val="000000" w:themeColor="text1"/>
                      <w:sz w:val="21"/>
                      <w:szCs w:val="24"/>
                      <w:highlight w:val="none"/>
                      <w:lang w:val="en-US" w:eastAsia="zh-CN"/>
                      <w14:textFill>
                        <w14:solidFill>
                          <w14:schemeClr w14:val="tx1"/>
                        </w14:solidFill>
                      </w14:textFill>
                    </w:rPr>
                  </w:pPr>
                  <w:r>
                    <w:rPr>
                      <w:rFonts w:hint="default" w:eastAsia="宋体"/>
                      <w:color w:val="000000" w:themeColor="text1"/>
                      <w:sz w:val="21"/>
                      <w:szCs w:val="24"/>
                      <w:highlight w:val="none"/>
                      <w:lang w:val="en-US" w:eastAsia="zh-CN"/>
                      <w14:textFill>
                        <w14:solidFill>
                          <w14:schemeClr w14:val="tx1"/>
                        </w14:solidFill>
                      </w14:textFill>
                    </w:rPr>
                    <w:t>废气治理设施发生故障</w:t>
                  </w:r>
                </w:p>
              </w:tc>
              <w:tc>
                <w:tcPr>
                  <w:tcW w:w="851" w:type="dxa"/>
                  <w:shd w:val="clear" w:color="auto" w:fill="auto"/>
                  <w:vAlign w:val="center"/>
                </w:tcPr>
                <w:p w14:paraId="4CF11280">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19.176</w:t>
                  </w:r>
                </w:p>
              </w:tc>
              <w:tc>
                <w:tcPr>
                  <w:tcW w:w="851" w:type="dxa"/>
                  <w:shd w:val="clear" w:color="auto" w:fill="auto"/>
                  <w:vAlign w:val="center"/>
                </w:tcPr>
                <w:p w14:paraId="7DDC1F93">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 xml:space="preserve">0.0959 </w:t>
                  </w:r>
                </w:p>
              </w:tc>
              <w:tc>
                <w:tcPr>
                  <w:tcW w:w="851" w:type="dxa"/>
                  <w:shd w:val="clear" w:color="auto" w:fill="auto"/>
                  <w:vAlign w:val="center"/>
                </w:tcPr>
                <w:p w14:paraId="5A49D2E8">
                  <w:pPr>
                    <w:keepNext w:val="0"/>
                    <w:keepLines w:val="0"/>
                    <w:widowControl/>
                    <w:suppressLineNumbers w:val="0"/>
                    <w:jc w:val="center"/>
                    <w:textAlignment w:val="center"/>
                    <w:rPr>
                      <w:rFonts w:hint="default"/>
                      <w:color w:val="000000" w:themeColor="text1"/>
                      <w:sz w:val="21"/>
                      <w:szCs w:val="24"/>
                      <w:highlight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0.5</w:t>
                  </w:r>
                </w:p>
              </w:tc>
              <w:tc>
                <w:tcPr>
                  <w:tcW w:w="851" w:type="dxa"/>
                  <w:shd w:val="clear" w:color="auto" w:fill="auto"/>
                  <w:vAlign w:val="center"/>
                </w:tcPr>
                <w:p w14:paraId="4EF266F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w:t>
                  </w:r>
                </w:p>
              </w:tc>
              <w:tc>
                <w:tcPr>
                  <w:tcW w:w="855" w:type="dxa"/>
                  <w:shd w:val="clear" w:color="auto" w:fill="auto"/>
                  <w:vAlign w:val="center"/>
                </w:tcPr>
                <w:p w14:paraId="3AC74FDF">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0.0480</w:t>
                  </w:r>
                </w:p>
              </w:tc>
              <w:tc>
                <w:tcPr>
                  <w:tcW w:w="1389" w:type="dxa"/>
                  <w:shd w:val="clear" w:color="auto" w:fill="auto"/>
                  <w:vAlign w:val="center"/>
                </w:tcPr>
                <w:p w14:paraId="51AE10AA">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eastAsia="宋体"/>
                      <w:color w:val="000000" w:themeColor="text1"/>
                      <w:sz w:val="21"/>
                      <w:szCs w:val="24"/>
                      <w:highlight w:val="none"/>
                      <w:lang w:val="en-US" w:eastAsia="zh-CN"/>
                      <w14:textFill>
                        <w14:solidFill>
                          <w14:schemeClr w14:val="tx1"/>
                        </w14:solidFill>
                      </w14:textFill>
                    </w:rPr>
                    <w:t>立即</w:t>
                  </w:r>
                  <w:r>
                    <w:rPr>
                      <w:rFonts w:hint="eastAsia"/>
                      <w:color w:val="000000" w:themeColor="text1"/>
                      <w:sz w:val="21"/>
                      <w:szCs w:val="24"/>
                      <w:highlight w:val="none"/>
                      <w:lang w:val="en-US" w:eastAsia="zh-CN"/>
                      <w14:textFill>
                        <w14:solidFill>
                          <w14:schemeClr w14:val="tx1"/>
                        </w14:solidFill>
                      </w14:textFill>
                    </w:rPr>
                    <w:t>停止作业</w:t>
                  </w:r>
                </w:p>
              </w:tc>
            </w:tr>
          </w:tbl>
          <w:p w14:paraId="497CFBD4">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4.1.3大气环境影响和污染防治措施合理性分析</w:t>
            </w:r>
          </w:p>
          <w:p w14:paraId="367E945C">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（1）活性炭吸附</w:t>
            </w:r>
          </w:p>
          <w:p w14:paraId="0BEE559F">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本</w:t>
            </w:r>
            <w:r>
              <w:rPr>
                <w:rFonts w:hint="default" w:cs="宋体"/>
                <w:color w:val="000000" w:themeColor="text1"/>
                <w:sz w:val="24"/>
                <w:szCs w:val="32"/>
                <w:highlight w:val="none"/>
                <w:lang w:val="en-US" w:eastAsia="zh-CN"/>
                <w14:textFill>
                  <w14:solidFill>
                    <w14:schemeClr w14:val="tx1"/>
                  </w14:solidFill>
                </w14:textFill>
              </w:rPr>
              <w:t>项目位于</w:t>
            </w:r>
            <w:r>
              <w:rPr>
                <w:rFonts w:hint="eastAsia"/>
                <w:color w:val="000000" w:themeColor="text1"/>
                <w:sz w:val="24"/>
                <w:szCs w:val="24"/>
                <w:highlight w:val="none"/>
                <w:lang w:val="en-US" w:eastAsia="zh-CN"/>
                <w14:textFill>
                  <w14:solidFill>
                    <w14:schemeClr w14:val="tx1"/>
                  </w14:solidFill>
                </w14:textFill>
              </w:rPr>
              <w:t>闽侯县祥谦镇辅翼村、卜洲村福建西诚电子工业园第三座厂房</w:t>
            </w:r>
            <w:r>
              <w:rPr>
                <w:rFonts w:hint="default" w:cs="宋体"/>
                <w:color w:val="000000" w:themeColor="text1"/>
                <w:sz w:val="24"/>
                <w:szCs w:val="32"/>
                <w:highlight w:val="none"/>
                <w:lang w:val="en-US" w:eastAsia="zh-CN"/>
                <w14:textFill>
                  <w14:solidFill>
                    <w14:schemeClr w14:val="tx1"/>
                  </w14:solidFill>
                </w14:textFill>
              </w:rPr>
              <w:t>，距离本项目最近的环境保护目标为东南</w:t>
            </w:r>
            <w:r>
              <w:rPr>
                <w:rFonts w:hint="eastAsia" w:cs="宋体"/>
                <w:color w:val="000000" w:themeColor="text1"/>
                <w:sz w:val="24"/>
                <w:szCs w:val="32"/>
                <w:highlight w:val="none"/>
                <w:lang w:val="en-US" w:eastAsia="zh-CN"/>
                <w14:textFill>
                  <w14:solidFill>
                    <w14:schemeClr w14:val="tx1"/>
                  </w14:solidFill>
                </w14:textFill>
              </w:rPr>
              <w:t>侧约95</w:t>
            </w:r>
            <w:r>
              <w:rPr>
                <w:rFonts w:hint="default" w:cs="宋体"/>
                <w:color w:val="000000" w:themeColor="text1"/>
                <w:sz w:val="24"/>
                <w:szCs w:val="32"/>
                <w:highlight w:val="none"/>
                <w:lang w:val="en-US" w:eastAsia="zh-CN"/>
                <w14:textFill>
                  <w14:solidFill>
                    <w14:schemeClr w14:val="tx1"/>
                  </w14:solidFill>
                </w14:textFill>
              </w:rPr>
              <w:t>m</w:t>
            </w:r>
            <w:r>
              <w:rPr>
                <w:rFonts w:hint="eastAsia" w:cs="宋体"/>
                <w:color w:val="000000" w:themeColor="text1"/>
                <w:sz w:val="24"/>
                <w:szCs w:val="32"/>
                <w:highlight w:val="none"/>
                <w:lang w:val="en-US" w:eastAsia="zh-CN"/>
                <w14:textFill>
                  <w14:solidFill>
                    <w14:schemeClr w14:val="tx1"/>
                  </w14:solidFill>
                </w14:textFill>
              </w:rPr>
              <w:t>的卜洲村。</w:t>
            </w:r>
            <w:r>
              <w:rPr>
                <w:rFonts w:hint="default" w:cs="宋体"/>
                <w:color w:val="000000" w:themeColor="text1"/>
                <w:sz w:val="24"/>
                <w:szCs w:val="32"/>
                <w:highlight w:val="none"/>
                <w:lang w:val="en-US" w:eastAsia="zh-CN"/>
                <w14:textFill>
                  <w14:solidFill>
                    <w14:schemeClr w14:val="tx1"/>
                  </w14:solidFill>
                </w14:textFill>
              </w:rPr>
              <w:t>本项目废气治理措施采用“集气罩+二级活性炭吸附”</w:t>
            </w:r>
            <w:r>
              <w:rPr>
                <w:rFonts w:hint="eastAsia" w:cs="宋体"/>
                <w:color w:val="000000" w:themeColor="text1"/>
                <w:sz w:val="24"/>
                <w:szCs w:val="32"/>
                <w:highlight w:val="none"/>
                <w:lang w:val="en-US" w:eastAsia="zh-CN"/>
                <w14:textFill>
                  <w14:solidFill>
                    <w14:schemeClr w14:val="tx1"/>
                  </w14:solidFill>
                </w14:textFill>
              </w:rPr>
              <w:t>处理后经25米高排气筒排放。</w:t>
            </w:r>
          </w:p>
          <w:p w14:paraId="5E8C67D4">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活性炭吸附装置是一种高效率、经济实用的有机废气净化装置，具有吸附效率高、适用面广、维护方便，能同时处理多种混合废气等优点，对苯、醇、酮、酯、汽油类等有机溶剂的废气有很好的吸附作用。活性炭具有密集的细孔结构、比表面积大、吸附性能好、化学性质稳定不易破碎、对空气阻力小等性能，在处理有机废气时，可通过物理吸附力和化学吸附力将有机废气吸附到活性炭表面，从而使有机废气得到净化处理。</w:t>
            </w:r>
          </w:p>
          <w:p w14:paraId="487A5F20">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根据《福建省2020年挥发性有机物治理攻坚实施方案》，“采用活性炭吸附技术的，应选择碘值不低于800毫克/克的活性炭，并按设计要求足量添加、及时更换”。本项目活性炭吸附装置的碘值为800mg/g，满足该文件的要求。同时本次评价要求活</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性炭应及时更换，确保活性炭吸附切实起到废气治理效果。</w:t>
            </w:r>
          </w:p>
          <w:p w14:paraId="5DE9C58F">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参照《江苏省生态环境厅关于将排污单位活性炭使用更换纳入排污许可管理的通知》（苏环办〔2021〕218号），活性炭动态吸附量取值10%，即每1kg活性炭吸附0.1kg的挥发性有机物。本项目吸附的挥发性有机物的量为0.1933t/a，则需要的活性炭的量为1.933t/a（0.0053t/d）。本项目活性炭吸附装置填充量为0.1t，则在项目达产的情况下，19天进行一次更换。</w:t>
            </w:r>
          </w:p>
          <w:p w14:paraId="1B3480D2">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对照《排污许可证申请与核发技术规范  橡胶和塑料制品工业》（HJ1122-2020），项目废气治理措施</w:t>
            </w:r>
            <w:r>
              <w:rPr>
                <w:rFonts w:hint="default" w:cs="宋体"/>
                <w:color w:val="000000" w:themeColor="text1"/>
                <w:sz w:val="24"/>
                <w:szCs w:val="32"/>
                <w:highlight w:val="none"/>
                <w:lang w:val="en-US" w:eastAsia="zh-CN"/>
                <w14:textFill>
                  <w14:solidFill>
                    <w14:schemeClr w14:val="tx1"/>
                  </w14:solidFill>
                </w14:textFill>
              </w:rPr>
              <w:t>属于可行技术</w:t>
            </w:r>
            <w:r>
              <w:rPr>
                <w:rFonts w:hint="eastAsia" w:cs="宋体"/>
                <w:color w:val="000000" w:themeColor="text1"/>
                <w:sz w:val="24"/>
                <w:szCs w:val="32"/>
                <w:highlight w:val="none"/>
                <w:lang w:val="en-US" w:eastAsia="zh-CN"/>
                <w14:textFill>
                  <w14:solidFill>
                    <w14:schemeClr w14:val="tx1"/>
                  </w14:solidFill>
                </w14:textFill>
              </w:rPr>
              <w:t>，排气筒高度满足《合成树脂工业污染物排放标准》(GB31572-2015)的要求，非甲烷总烃排放浓度</w:t>
            </w:r>
            <w:r>
              <w:rPr>
                <w:rFonts w:hint="default" w:cs="宋体"/>
                <w:color w:val="000000" w:themeColor="text1"/>
                <w:sz w:val="24"/>
                <w:szCs w:val="32"/>
                <w:highlight w:val="none"/>
                <w:lang w:val="en-US" w:eastAsia="zh-CN"/>
                <w14:textFill>
                  <w14:solidFill>
                    <w14:schemeClr w14:val="tx1"/>
                  </w14:solidFill>
                </w14:textFill>
              </w:rPr>
              <w:t>远低于《合成树脂工业污染物排放标准》(GB31572-2015)及修改单表</w:t>
            </w:r>
            <w:r>
              <w:rPr>
                <w:rFonts w:hint="eastAsia" w:cs="宋体"/>
                <w:color w:val="000000" w:themeColor="text1"/>
                <w:sz w:val="24"/>
                <w:szCs w:val="32"/>
                <w:highlight w:val="none"/>
                <w:lang w:val="en-US" w:eastAsia="zh-CN"/>
                <w14:textFill>
                  <w14:solidFill>
                    <w14:schemeClr w14:val="tx1"/>
                  </w14:solidFill>
                </w14:textFill>
              </w:rPr>
              <w:t>5</w:t>
            </w:r>
            <w:r>
              <w:rPr>
                <w:rFonts w:hint="default" w:cs="宋体"/>
                <w:color w:val="000000" w:themeColor="text1"/>
                <w:sz w:val="24"/>
                <w:szCs w:val="32"/>
                <w:highlight w:val="none"/>
                <w:lang w:val="en-US" w:eastAsia="zh-CN"/>
                <w14:textFill>
                  <w14:solidFill>
                    <w14:schemeClr w14:val="tx1"/>
                  </w14:solidFill>
                </w14:textFill>
              </w:rPr>
              <w:t>的大气污染物排放限值。综上所述，本项目对周边大气环境影响较小。</w:t>
            </w:r>
          </w:p>
          <w:p w14:paraId="51420FE1">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（2）无组织排放控制要求</w:t>
            </w:r>
          </w:p>
          <w:p w14:paraId="167CC89F">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项目无组织废气主要为注塑成型工序未收集到的无组织废气。本评价参照《排污许可证申请与核发技术规范 橡胶和塑料制品工业》(HJ1122-2020)中无组织排放的控制要求，对本项目提出以下建议</w:t>
            </w:r>
            <w:r>
              <w:rPr>
                <w:rFonts w:hint="eastAsia" w:cs="宋体"/>
                <w:color w:val="000000" w:themeColor="text1"/>
                <w:sz w:val="24"/>
                <w:szCs w:val="32"/>
                <w:highlight w:val="none"/>
                <w:lang w:val="en-US" w:eastAsia="zh-CN"/>
                <w14:textFill>
                  <w14:solidFill>
                    <w14:schemeClr w14:val="tx1"/>
                  </w14:solidFill>
                </w14:textFill>
              </w:rPr>
              <w:t>：</w:t>
            </w:r>
          </w:p>
          <w:p w14:paraId="169EA8CD">
            <w:pPr>
              <w:spacing w:line="360" w:lineRule="auto"/>
              <w:ind w:firstLine="480" w:firstLineChars="200"/>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1)注塑成型废气由密闭式集气罩收集，并要求集气罩进口风速在1.0m/</w:t>
            </w:r>
            <w:r>
              <w:rPr>
                <w:rFonts w:hint="eastAsia" w:cs="宋体"/>
                <w:color w:val="000000" w:themeColor="text1"/>
                <w:sz w:val="24"/>
                <w:szCs w:val="32"/>
                <w:highlight w:val="none"/>
                <w:lang w:val="en-US" w:eastAsia="zh-CN"/>
                <w14:textFill>
                  <w14:solidFill>
                    <w14:schemeClr w14:val="tx1"/>
                  </w14:solidFill>
                </w14:textFill>
              </w:rPr>
              <w:t>s</w:t>
            </w:r>
            <w:r>
              <w:rPr>
                <w:rFonts w:hint="default" w:cs="宋体"/>
                <w:color w:val="000000" w:themeColor="text1"/>
                <w:sz w:val="24"/>
                <w:szCs w:val="32"/>
                <w:highlight w:val="none"/>
                <w:lang w:val="en-US" w:eastAsia="zh-CN"/>
                <w14:textFill>
                  <w14:solidFill>
                    <w14:schemeClr w14:val="tx1"/>
                  </w14:solidFill>
                </w14:textFill>
              </w:rPr>
              <w:t>以上，可有效提高废气集气效率从而减少挥发性有机物的无组织排放</w:t>
            </w:r>
            <w:r>
              <w:rPr>
                <w:rFonts w:hint="eastAsia" w:cs="宋体"/>
                <w:color w:val="000000" w:themeColor="text1"/>
                <w:sz w:val="24"/>
                <w:szCs w:val="32"/>
                <w:highlight w:val="none"/>
                <w:lang w:val="en-US" w:eastAsia="zh-CN"/>
                <w14:textFill>
                  <w14:solidFill>
                    <w14:schemeClr w14:val="tx1"/>
                  </w14:solidFill>
                </w14:textFill>
              </w:rPr>
              <w:t>。同时建议</w:t>
            </w:r>
            <w:r>
              <w:rPr>
                <w:rFonts w:hint="default" w:cs="宋体"/>
                <w:color w:val="000000" w:themeColor="text1"/>
                <w:sz w:val="24"/>
                <w:szCs w:val="32"/>
                <w:highlight w:val="none"/>
                <w:lang w:val="en-US" w:eastAsia="zh-CN"/>
                <w14:textFill>
                  <w14:solidFill>
                    <w14:schemeClr w14:val="tx1"/>
                  </w14:solidFill>
                </w14:textFill>
              </w:rPr>
              <w:t>集气罩</w:t>
            </w:r>
            <w:r>
              <w:rPr>
                <w:rFonts w:hint="eastAsia" w:cs="宋体"/>
                <w:color w:val="000000" w:themeColor="text1"/>
                <w:sz w:val="24"/>
                <w:szCs w:val="32"/>
                <w:highlight w:val="none"/>
                <w:lang w:val="en-US" w:eastAsia="zh-CN"/>
                <w14:textFill>
                  <w14:solidFill>
                    <w14:schemeClr w14:val="tx1"/>
                  </w14:solidFill>
                </w14:textFill>
              </w:rPr>
              <w:t>结合</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《排风罩的分类及技术条件》（GB/T 16758）中的要求进行建设：</w:t>
            </w:r>
          </w:p>
          <w:p w14:paraId="138374ED">
            <w:pPr>
              <w:spacing w:line="360" w:lineRule="auto"/>
              <w:ind w:firstLine="480" w:firstLineChars="200"/>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a.排风罩做到罩内负压或罩口风速均匀；</w:t>
            </w:r>
          </w:p>
          <w:p w14:paraId="44B01B25">
            <w:pPr>
              <w:spacing w:line="360" w:lineRule="auto"/>
              <w:ind w:firstLine="480" w:firstLineChars="200"/>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b.排风罩应坚固耐用，其材料应有足够的强度，避免在拆装或受到振动、腐蚀、温度剧烈变化时变形和损坏；</w:t>
            </w:r>
          </w:p>
          <w:p w14:paraId="1BD21328">
            <w:pPr>
              <w:spacing w:line="360" w:lineRule="auto"/>
              <w:ind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c.排风罩的罩体应规则、无缝隙、无毛刺</w:t>
            </w:r>
            <w:r>
              <w:rPr>
                <w:rFonts w:hint="eastAsia" w:cs="Times New Roman"/>
                <w:b w:val="0"/>
                <w:bCs w:val="0"/>
                <w:color w:val="000000" w:themeColor="text1"/>
                <w:kern w:val="0"/>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罩体内壁应平整、光滑。</w:t>
            </w:r>
          </w:p>
          <w:p w14:paraId="36AC4D80">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2)挥发性有机物物料应储存于密闭的容器、包装袋、储库、料仓中</w:t>
            </w:r>
            <w:r>
              <w:rPr>
                <w:rFonts w:hint="eastAsia" w:cs="宋体"/>
                <w:color w:val="000000" w:themeColor="text1"/>
                <w:sz w:val="24"/>
                <w:szCs w:val="32"/>
                <w:highlight w:val="none"/>
                <w:lang w:val="en-US" w:eastAsia="zh-CN"/>
                <w14:textFill>
                  <w14:solidFill>
                    <w14:schemeClr w14:val="tx1"/>
                  </w14:solidFill>
                </w14:textFill>
              </w:rPr>
              <w:t>：</w:t>
            </w:r>
            <w:r>
              <w:rPr>
                <w:rFonts w:hint="default" w:cs="宋体"/>
                <w:color w:val="000000" w:themeColor="text1"/>
                <w:sz w:val="24"/>
                <w:szCs w:val="32"/>
                <w:highlight w:val="none"/>
                <w:lang w:val="en-US" w:eastAsia="zh-CN"/>
                <w14:textFill>
                  <w14:solidFill>
                    <w14:schemeClr w14:val="tx1"/>
                  </w14:solidFill>
                </w14:textFill>
              </w:rPr>
              <w:t>盛装挥发性有机物物料的容器或包装袋应存放于室内，或存放于设置有雨棚、遮阳和防渗设施的专用场地。盛装挥发性有机物物料的容器或包装袋在非取用状态时应加盖、封口，保持密闭。</w:t>
            </w:r>
          </w:p>
          <w:p w14:paraId="57669A68">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3)本项目不涉及液态挥发性有机物物料。本项目原辅材料为粒状的含挥发性有机物物料，故应采用气力输送设备、管状带式输送机、螺旋输送机等密闭输送方式，或者采用密闭的包装袋、容器进行物料转移。</w:t>
            </w:r>
          </w:p>
          <w:p w14:paraId="1ADABF5B">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4)挥发性有机物物料使用过程无法密闭的，应采取局部气体收集措施废气应排放至挥发性有机物废气收集处理系统。</w:t>
            </w:r>
          </w:p>
          <w:p w14:paraId="4AC36EF4">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5)工艺过程无组织排放控制，在注塑成型等作业中应采用密闭式集气罩收集，废气应排至废气收集处理系统，无法密闭的</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部位设置软帘阻隔设施减少废气排放，并</w:t>
            </w:r>
            <w:r>
              <w:rPr>
                <w:rFonts w:hint="default" w:cs="宋体"/>
                <w:color w:val="000000" w:themeColor="text1"/>
                <w:sz w:val="24"/>
                <w:szCs w:val="32"/>
                <w:highlight w:val="none"/>
                <w:lang w:val="en-US" w:eastAsia="zh-CN"/>
                <w14:textFill>
                  <w14:solidFill>
                    <w14:schemeClr w14:val="tx1"/>
                  </w14:solidFill>
                </w14:textFill>
              </w:rPr>
              <w:t>采取局部气体收集措施，废气应排至废气收集处理系统。通过采取设备与场所密闭、工艺改进、废气有效收集等措施，削减无组织排放</w:t>
            </w:r>
            <w:r>
              <w:rPr>
                <w:rFonts w:hint="eastAsia" w:cs="宋体"/>
                <w:color w:val="000000" w:themeColor="text1"/>
                <w:sz w:val="24"/>
                <w:szCs w:val="32"/>
                <w:highlight w:val="none"/>
                <w:lang w:val="en-US" w:eastAsia="zh-CN"/>
                <w14:textFill>
                  <w14:solidFill>
                    <w14:schemeClr w14:val="tx1"/>
                  </w14:solidFill>
                </w14:textFill>
              </w:rPr>
              <w:t>。</w:t>
            </w:r>
          </w:p>
          <w:p w14:paraId="70B3C022">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6)所有废气收集系统应采用技术经济合理的密闭方式，具有耐腐、气密性好的特性，同时考虑具备阻燃和抗静电等性能，并结合其他专业设备的运行、维护需要，设置观察口、呼吸阀等设施。</w:t>
            </w:r>
          </w:p>
          <w:p w14:paraId="003666AF">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7)载有挥发性有机物物料的设备及其管道在开停工(车)、检维修和清洗时，应在退料阶段将残存物料退净，并用密闭容器盛装，退料过程废气应排至挥发性有机物废气收集处理系统。</w:t>
            </w:r>
          </w:p>
          <w:p w14:paraId="7710A395">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（3）VOCs治理设施的运行维护</w:t>
            </w:r>
          </w:p>
          <w:p w14:paraId="0285AEE6">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1)定期检查与维护：活性炭吸附装置应每季度至少进行一次全面检查，包括风机、管道、集气罩、活性炭填充状态等</w:t>
            </w:r>
            <w:r>
              <w:rPr>
                <w:rFonts w:hint="eastAsia" w:cs="宋体"/>
                <w:color w:val="000000" w:themeColor="text1"/>
                <w:sz w:val="24"/>
                <w:szCs w:val="32"/>
                <w:highlight w:val="none"/>
                <w:lang w:val="en-US" w:eastAsia="zh-CN"/>
                <w14:textFill>
                  <w14:solidFill>
                    <w14:schemeClr w14:val="tx1"/>
                  </w14:solidFill>
                </w14:textFill>
              </w:rPr>
              <w:t>；</w:t>
            </w:r>
            <w:r>
              <w:rPr>
                <w:rFonts w:hint="default" w:cs="宋体"/>
                <w:color w:val="000000" w:themeColor="text1"/>
                <w:sz w:val="24"/>
                <w:szCs w:val="32"/>
                <w:highlight w:val="none"/>
                <w:lang w:val="en-US" w:eastAsia="zh-CN"/>
                <w14:textFill>
                  <w14:solidFill>
                    <w14:schemeClr w14:val="tx1"/>
                  </w14:solidFill>
                </w14:textFill>
              </w:rPr>
              <w:t>活性炭应根据吸附饱和情况及时更换，确保吸附效率</w:t>
            </w:r>
            <w:r>
              <w:rPr>
                <w:rFonts w:hint="eastAsia" w:cs="宋体"/>
                <w:color w:val="000000" w:themeColor="text1"/>
                <w:sz w:val="24"/>
                <w:szCs w:val="32"/>
                <w:highlight w:val="none"/>
                <w:lang w:val="en-US" w:eastAsia="zh-CN"/>
                <w14:textFill>
                  <w14:solidFill>
                    <w14:schemeClr w14:val="tx1"/>
                  </w14:solidFill>
                </w14:textFill>
              </w:rPr>
              <w:t>；</w:t>
            </w:r>
            <w:r>
              <w:rPr>
                <w:rFonts w:hint="default" w:cs="宋体"/>
                <w:color w:val="000000" w:themeColor="text1"/>
                <w:sz w:val="24"/>
                <w:szCs w:val="32"/>
                <w:highlight w:val="none"/>
                <w:lang w:val="en-US" w:eastAsia="zh-CN"/>
                <w14:textFill>
                  <w14:solidFill>
                    <w14:schemeClr w14:val="tx1"/>
                  </w14:solidFill>
                </w14:textFill>
              </w:rPr>
              <w:t>更换下来的废活性炭作为危险废物分类贮存、委托有资质单位处置</w:t>
            </w:r>
            <w:r>
              <w:rPr>
                <w:rFonts w:hint="eastAsia" w:cs="宋体"/>
                <w:color w:val="000000" w:themeColor="text1"/>
                <w:sz w:val="24"/>
                <w:szCs w:val="32"/>
                <w:highlight w:val="none"/>
                <w:lang w:val="en-US" w:eastAsia="zh-CN"/>
                <w14:textFill>
                  <w14:solidFill>
                    <w14:schemeClr w14:val="tx1"/>
                  </w14:solidFill>
                </w14:textFill>
              </w:rPr>
              <w:t>。</w:t>
            </w:r>
          </w:p>
          <w:p w14:paraId="0DF49374">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2</w:t>
            </w:r>
            <w:r>
              <w:rPr>
                <w:rFonts w:hint="default" w:cs="宋体"/>
                <w:color w:val="000000" w:themeColor="text1"/>
                <w:sz w:val="24"/>
                <w:szCs w:val="32"/>
                <w:highlight w:val="none"/>
                <w:lang w:val="en-US" w:eastAsia="zh-CN"/>
                <w14:textFill>
                  <w14:solidFill>
                    <w14:schemeClr w14:val="tx1"/>
                  </w14:solidFill>
                </w14:textFill>
              </w:rPr>
              <w:t>)集气系统管理：集气罩应保持负压运行，进口风速不低于1.0 m/s，确保废气收集效率</w:t>
            </w:r>
            <w:r>
              <w:rPr>
                <w:rFonts w:hint="eastAsia" w:cs="宋体"/>
                <w:color w:val="000000" w:themeColor="text1"/>
                <w:sz w:val="24"/>
                <w:szCs w:val="32"/>
                <w:highlight w:val="none"/>
                <w:lang w:val="en-US" w:eastAsia="zh-CN"/>
                <w14:textFill>
                  <w14:solidFill>
                    <w14:schemeClr w14:val="tx1"/>
                  </w14:solidFill>
                </w14:textFill>
              </w:rPr>
              <w:t>；</w:t>
            </w:r>
            <w:r>
              <w:rPr>
                <w:rFonts w:hint="default" w:cs="宋体"/>
                <w:color w:val="000000" w:themeColor="text1"/>
                <w:sz w:val="24"/>
                <w:szCs w:val="32"/>
                <w:highlight w:val="none"/>
                <w:lang w:val="en-US" w:eastAsia="zh-CN"/>
                <w14:textFill>
                  <w14:solidFill>
                    <w14:schemeClr w14:val="tx1"/>
                  </w14:solidFill>
                </w14:textFill>
              </w:rPr>
              <w:t>定期检查软帘、密封条等阻隔设施，确保无组织逸散最小化</w:t>
            </w:r>
            <w:r>
              <w:rPr>
                <w:rFonts w:hint="eastAsia" w:cs="宋体"/>
                <w:color w:val="000000" w:themeColor="text1"/>
                <w:sz w:val="24"/>
                <w:szCs w:val="32"/>
                <w:highlight w:val="none"/>
                <w:lang w:val="en-US" w:eastAsia="zh-CN"/>
                <w14:textFill>
                  <w14:solidFill>
                    <w14:schemeClr w14:val="tx1"/>
                  </w14:solidFill>
                </w14:textFill>
              </w:rPr>
              <w:t>。</w:t>
            </w:r>
          </w:p>
          <w:p w14:paraId="0B65D2B1">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3</w:t>
            </w:r>
            <w:r>
              <w:rPr>
                <w:rFonts w:hint="default" w:cs="宋体"/>
                <w:color w:val="000000" w:themeColor="text1"/>
                <w:sz w:val="24"/>
                <w:szCs w:val="32"/>
                <w:highlight w:val="none"/>
                <w:lang w:val="en-US" w:eastAsia="zh-CN"/>
                <w14:textFill>
                  <w14:solidFill>
                    <w14:schemeClr w14:val="tx1"/>
                  </w14:solidFill>
                </w14:textFill>
              </w:rPr>
              <w:t>)监测与记录：每年至少开展1次有组织废气（非甲烷总烃）排放监测，1次厂界及厂区内无组织排放监测</w:t>
            </w:r>
            <w:r>
              <w:rPr>
                <w:rFonts w:hint="eastAsia" w:cs="宋体"/>
                <w:color w:val="000000" w:themeColor="text1"/>
                <w:sz w:val="24"/>
                <w:szCs w:val="32"/>
                <w:highlight w:val="none"/>
                <w:lang w:val="en-US" w:eastAsia="zh-CN"/>
                <w14:textFill>
                  <w14:solidFill>
                    <w14:schemeClr w14:val="tx1"/>
                  </w14:solidFill>
                </w14:textFill>
              </w:rPr>
              <w:t>；</w:t>
            </w:r>
            <w:r>
              <w:rPr>
                <w:rFonts w:hint="default" w:cs="宋体"/>
                <w:color w:val="000000" w:themeColor="text1"/>
                <w:sz w:val="24"/>
                <w:szCs w:val="32"/>
                <w:highlight w:val="none"/>
                <w:lang w:val="en-US" w:eastAsia="zh-CN"/>
                <w14:textFill>
                  <w14:solidFill>
                    <w14:schemeClr w14:val="tx1"/>
                  </w14:solidFill>
                </w14:textFill>
              </w:rPr>
              <w:t>监测结果应记录并存档，发现异常应及时排查并整改。</w:t>
            </w:r>
          </w:p>
          <w:p w14:paraId="3E60E41E">
            <w:pPr>
              <w:spacing w:line="360" w:lineRule="auto"/>
              <w:ind w:firstLine="480" w:firstLineChars="200"/>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（4）</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VOCs治理设施的环境管理要求</w:t>
            </w:r>
          </w:p>
          <w:p w14:paraId="7B539BB8">
            <w:pPr>
              <w:spacing w:line="360" w:lineRule="auto"/>
              <w:ind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建立VOCs治理设施运行台账，内容包括：</w:t>
            </w:r>
          </w:p>
          <w:p w14:paraId="35BE23CE">
            <w:pPr>
              <w:spacing w:line="360" w:lineRule="auto"/>
              <w:ind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a.</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活性炭更换记录：更换时间、数量、型号、更换原因、责任人等</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p>
          <w:p w14:paraId="04149117">
            <w:pPr>
              <w:spacing w:line="360" w:lineRule="auto"/>
              <w:ind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b.</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设备维护记录：检修时间、内容、更换部件、运行状态等</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p>
          <w:p w14:paraId="2A7D1341">
            <w:pPr>
              <w:spacing w:line="360" w:lineRule="auto"/>
              <w:ind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c.</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废气监测记录：监测时间、点位、因子、浓度、排放量、监测单位等。</w:t>
            </w:r>
          </w:p>
          <w:p w14:paraId="4F79CCB9">
            <w:pPr>
              <w:spacing w:line="360" w:lineRule="auto"/>
              <w:ind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2</w:t>
            </w:r>
            <w:r>
              <w:rPr>
                <w:rFonts w:hint="default" w:cs="宋体"/>
                <w:color w:val="000000" w:themeColor="text1"/>
                <w:sz w:val="24"/>
                <w:szCs w:val="32"/>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建立原辅材料使用台账，记录</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，包括</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聚乙烯塑料米、色母等VOCs物料的使用量、进货批次、供应商信息等</w:t>
            </w:r>
            <w:r>
              <w:rPr>
                <w:rFonts w:hint="eastAsia"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w:t>
            </w:r>
          </w:p>
          <w:p w14:paraId="15CFE37B">
            <w:pPr>
              <w:spacing w:line="360" w:lineRule="auto"/>
              <w:ind w:firstLine="480" w:firstLineChars="200"/>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3</w:t>
            </w:r>
            <w:r>
              <w:rPr>
                <w:rFonts w:hint="default" w:cs="宋体"/>
                <w:color w:val="000000" w:themeColor="text1"/>
                <w:sz w:val="24"/>
                <w:szCs w:val="32"/>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lang w:val="en-US" w:eastAsia="zh-CN"/>
                <w14:textFill>
                  <w14:solidFill>
                    <w14:schemeClr w14:val="tx1"/>
                  </w14:solidFill>
                </w14:textFill>
              </w:rPr>
              <w:t>危险废物管理台账：废活性炭、废润滑油、废油桶等危险废物的产生、贮存、转移记录，严格执行危险废物转移联单制度。</w:t>
            </w:r>
          </w:p>
          <w:p w14:paraId="0F594915">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4.</w:t>
            </w:r>
            <w:r>
              <w:rPr>
                <w:rFonts w:hint="eastAsia"/>
                <w:color w:val="000000" w:themeColor="text1"/>
                <w:sz w:val="24"/>
                <w:szCs w:val="21"/>
                <w:highlight w:val="none"/>
                <w:lang w:val="en-US" w:eastAsia="zh-CN"/>
                <w14:textFill>
                  <w14:solidFill>
                    <w14:schemeClr w14:val="tx1"/>
                  </w14:solidFill>
                </w14:textFill>
              </w:rPr>
              <w:t>2</w:t>
            </w:r>
            <w:r>
              <w:rPr>
                <w:color w:val="000000" w:themeColor="text1"/>
                <w:sz w:val="24"/>
                <w:szCs w:val="21"/>
                <w:highlight w:val="none"/>
                <w14:textFill>
                  <w14:solidFill>
                    <w14:schemeClr w14:val="tx1"/>
                  </w14:solidFill>
                </w14:textFill>
              </w:rPr>
              <w:t xml:space="preserve"> </w:t>
            </w:r>
            <w:r>
              <w:rPr>
                <w:rFonts w:hint="eastAsia"/>
                <w:color w:val="000000" w:themeColor="text1"/>
                <w:sz w:val="24"/>
                <w:szCs w:val="21"/>
                <w:highlight w:val="none"/>
                <w14:textFill>
                  <w14:solidFill>
                    <w14:schemeClr w14:val="tx1"/>
                  </w14:solidFill>
                </w14:textFill>
              </w:rPr>
              <w:t>运营期</w:t>
            </w:r>
            <w:r>
              <w:rPr>
                <w:rFonts w:hint="eastAsia"/>
                <w:color w:val="000000" w:themeColor="text1"/>
                <w:sz w:val="24"/>
                <w:szCs w:val="21"/>
                <w:highlight w:val="none"/>
                <w:lang w:val="en-US" w:eastAsia="zh-CN"/>
                <w14:textFill>
                  <w14:solidFill>
                    <w14:schemeClr w14:val="tx1"/>
                  </w14:solidFill>
                </w14:textFill>
              </w:rPr>
              <w:t>水</w:t>
            </w:r>
            <w:r>
              <w:rPr>
                <w:rFonts w:hint="eastAsia"/>
                <w:color w:val="000000" w:themeColor="text1"/>
                <w:sz w:val="24"/>
                <w:szCs w:val="21"/>
                <w:highlight w:val="none"/>
                <w14:textFill>
                  <w14:solidFill>
                    <w14:schemeClr w14:val="tx1"/>
                  </w14:solidFill>
                </w14:textFill>
              </w:rPr>
              <w:t>环境影响分析和污染防治措施</w:t>
            </w:r>
          </w:p>
          <w:p w14:paraId="1F95B603">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4.2.1废水源强核算</w:t>
            </w:r>
          </w:p>
          <w:p w14:paraId="74789D35">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本项目的废水主要为生活污水，本项目定员8人，年工作300天。员工不在厂内住宿，但在厂内用餐，生活用水量保守按100L/d计，则项目职工生活用水量为0.8t/d（240t/a）。排放系数取0.9，则项目生活污水排放量约0.72t/d（216t/a），主要污染物为COD、SS、氨氮等，生活污水经隔油+化粪池处理后，接市政污水管网进入福建青口海峡环保工程有限公司(青口新区污水处理厂)处理</w:t>
            </w:r>
            <w:r>
              <w:rPr>
                <w:rFonts w:hint="eastAsia" w:cs="宋体"/>
                <w:color w:val="000000" w:themeColor="text1"/>
                <w:sz w:val="24"/>
                <w:szCs w:val="32"/>
                <w:highlight w:val="none"/>
                <w:lang w:val="en-US" w:eastAsia="zh-CN"/>
                <w14:textFill>
                  <w14:solidFill>
                    <w14:schemeClr w14:val="tx1"/>
                  </w14:solidFill>
                </w14:textFill>
              </w:rPr>
              <w:t>。生活污水水质浓度参考《给排水设计手册》(第五册城镇排水)典型生活污水水质，生活污水中各主要污染物浓度按CODcr：400mg/L，BOD</w:t>
            </w:r>
            <w:r>
              <w:rPr>
                <w:rFonts w:hint="eastAsia" w:cs="宋体"/>
                <w:color w:val="000000" w:themeColor="text1"/>
                <w:sz w:val="24"/>
                <w:szCs w:val="32"/>
                <w:highlight w:val="none"/>
                <w:vertAlign w:val="subscript"/>
                <w:lang w:val="en-US" w:eastAsia="zh-CN"/>
                <w14:textFill>
                  <w14:solidFill>
                    <w14:schemeClr w14:val="tx1"/>
                  </w14:solidFill>
                </w14:textFill>
              </w:rPr>
              <w:t>5</w:t>
            </w:r>
            <w:r>
              <w:rPr>
                <w:rFonts w:hint="eastAsia" w:cs="宋体"/>
                <w:color w:val="000000" w:themeColor="text1"/>
                <w:sz w:val="24"/>
                <w:szCs w:val="32"/>
                <w:highlight w:val="none"/>
                <w:lang w:val="en-US" w:eastAsia="zh-CN"/>
                <w14:textFill>
                  <w14:solidFill>
                    <w14:schemeClr w14:val="tx1"/>
                  </w14:solidFill>
                </w14:textFill>
              </w:rPr>
              <w:t>：220mg/L，SS：200mg/L，NH</w:t>
            </w:r>
            <w:r>
              <w:rPr>
                <w:rFonts w:hint="eastAsia" w:cs="宋体"/>
                <w:color w:val="000000" w:themeColor="text1"/>
                <w:sz w:val="24"/>
                <w:szCs w:val="32"/>
                <w:highlight w:val="none"/>
                <w:vertAlign w:val="subscript"/>
                <w:lang w:val="en-US" w:eastAsia="zh-CN"/>
                <w14:textFill>
                  <w14:solidFill>
                    <w14:schemeClr w14:val="tx1"/>
                  </w14:solidFill>
                </w14:textFill>
              </w:rPr>
              <w:t>3</w:t>
            </w:r>
            <w:r>
              <w:rPr>
                <w:rFonts w:hint="eastAsia" w:cs="宋体"/>
                <w:color w:val="000000" w:themeColor="text1"/>
                <w:sz w:val="24"/>
                <w:szCs w:val="32"/>
                <w:highlight w:val="none"/>
                <w:lang w:val="en-US" w:eastAsia="zh-CN"/>
                <w14:textFill>
                  <w14:solidFill>
                    <w14:schemeClr w14:val="tx1"/>
                  </w14:solidFill>
                </w14:textFill>
              </w:rPr>
              <w:t>-N：35mg/L计算。预测项目生活污水各污染物产生及排放源强情况见下表。</w:t>
            </w:r>
          </w:p>
          <w:p w14:paraId="065B0DC7">
            <w:pPr>
              <w:spacing w:line="360" w:lineRule="auto"/>
              <w:jc w:val="center"/>
              <w:rPr>
                <w:rFonts w:ascii="宋体" w:cs="宋体"/>
                <w:b/>
                <w:bCs w:val="0"/>
                <w:color w:val="000000" w:themeColor="text1"/>
                <w:kern w:val="0"/>
                <w:sz w:val="24"/>
                <w:szCs w:val="24"/>
                <w:highlight w:val="none"/>
                <w14:textFill>
                  <w14:solidFill>
                    <w14:schemeClr w14:val="tx1"/>
                  </w14:solidFill>
                </w14:textFill>
              </w:rPr>
            </w:pPr>
            <w:r>
              <w:rPr>
                <w:rFonts w:hint="eastAsia" w:cs="宋体"/>
                <w:b/>
                <w:bCs w:val="0"/>
                <w:color w:val="000000" w:themeColor="text1"/>
                <w:sz w:val="24"/>
                <w:szCs w:val="24"/>
                <w:highlight w:val="none"/>
                <w14:textFill>
                  <w14:solidFill>
                    <w14:schemeClr w14:val="tx1"/>
                  </w14:solidFill>
                </w14:textFill>
              </w:rPr>
              <w:t xml:space="preserve">表 </w:t>
            </w:r>
            <w:r>
              <w:rPr>
                <w:b/>
                <w:bCs w:val="0"/>
                <w:color w:val="000000" w:themeColor="text1"/>
                <w:sz w:val="24"/>
                <w:szCs w:val="24"/>
                <w:highlight w:val="none"/>
                <w14:textFill>
                  <w14:solidFill>
                    <w14:schemeClr w14:val="tx1"/>
                  </w14:solidFill>
                </w14:textFill>
              </w:rPr>
              <w:t>4-</w:t>
            </w:r>
            <w:r>
              <w:rPr>
                <w:rFonts w:hint="eastAsia"/>
                <w:b/>
                <w:bCs w:val="0"/>
                <w:color w:val="000000" w:themeColor="text1"/>
                <w:sz w:val="24"/>
                <w:szCs w:val="24"/>
                <w:highlight w:val="none"/>
                <w:lang w:val="en-US" w:eastAsia="zh-CN"/>
                <w14:textFill>
                  <w14:solidFill>
                    <w14:schemeClr w14:val="tx1"/>
                  </w14:solidFill>
                </w14:textFill>
              </w:rPr>
              <w:t>4</w:t>
            </w:r>
            <w:r>
              <w:rPr>
                <w:b/>
                <w:bCs w:val="0"/>
                <w:color w:val="000000" w:themeColor="text1"/>
                <w:sz w:val="24"/>
                <w:szCs w:val="24"/>
                <w:highlight w:val="none"/>
                <w14:textFill>
                  <w14:solidFill>
                    <w14:schemeClr w14:val="tx1"/>
                  </w14:solidFill>
                </w14:textFill>
              </w:rPr>
              <w:t xml:space="preserve">  </w:t>
            </w:r>
            <w:r>
              <w:rPr>
                <w:rFonts w:hint="eastAsia"/>
                <w:b/>
                <w:bCs w:val="0"/>
                <w:color w:val="000000" w:themeColor="text1"/>
                <w:sz w:val="24"/>
                <w:szCs w:val="24"/>
                <w:highlight w:val="none"/>
                <w:lang w:val="en-US" w:eastAsia="zh-CN"/>
                <w14:textFill>
                  <w14:solidFill>
                    <w14:schemeClr w14:val="tx1"/>
                  </w14:solidFill>
                </w14:textFill>
              </w:rPr>
              <w:t>本项目废水污染源产排情况</w:t>
            </w:r>
            <w:r>
              <w:rPr>
                <w:rFonts w:hint="eastAsia"/>
                <w:b/>
                <w:bCs w:val="0"/>
                <w:color w:val="000000" w:themeColor="text1"/>
                <w:sz w:val="24"/>
                <w:szCs w:val="24"/>
                <w:highlight w:val="none"/>
                <w14:textFill>
                  <w14:solidFill>
                    <w14:schemeClr w14:val="tx1"/>
                  </w14:solidFill>
                </w14:textFill>
              </w:rPr>
              <w:t>一览表</w:t>
            </w:r>
          </w:p>
          <w:tbl>
            <w:tblPr>
              <w:tblStyle w:val="31"/>
              <w:tblW w:w="81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97"/>
              <w:gridCol w:w="840"/>
              <w:gridCol w:w="960"/>
              <w:gridCol w:w="765"/>
              <w:gridCol w:w="645"/>
              <w:gridCol w:w="600"/>
              <w:gridCol w:w="825"/>
              <w:gridCol w:w="810"/>
              <w:gridCol w:w="868"/>
              <w:gridCol w:w="1223"/>
            </w:tblGrid>
            <w:tr w14:paraId="55706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 w:hRule="atLeast"/>
              </w:trPr>
              <w:tc>
                <w:tcPr>
                  <w:tcW w:w="597" w:type="dxa"/>
                  <w:vMerge w:val="restart"/>
                  <w:shd w:val="clear" w:color="auto" w:fill="auto"/>
                  <w:vAlign w:val="center"/>
                </w:tcPr>
                <w:p w14:paraId="32FCC13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排放源名称</w:t>
                  </w:r>
                </w:p>
              </w:tc>
              <w:tc>
                <w:tcPr>
                  <w:tcW w:w="840" w:type="dxa"/>
                  <w:vMerge w:val="restart"/>
                  <w:shd w:val="clear" w:color="auto" w:fill="auto"/>
                  <w:vAlign w:val="center"/>
                </w:tcPr>
                <w:p w14:paraId="2F44DF6E">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污染物名称</w:t>
                  </w:r>
                </w:p>
              </w:tc>
              <w:tc>
                <w:tcPr>
                  <w:tcW w:w="1725" w:type="dxa"/>
                  <w:gridSpan w:val="2"/>
                  <w:shd w:val="clear" w:color="auto" w:fill="auto"/>
                  <w:vAlign w:val="center"/>
                </w:tcPr>
                <w:p w14:paraId="07B345A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产生情况</w:t>
                  </w:r>
                </w:p>
              </w:tc>
              <w:tc>
                <w:tcPr>
                  <w:tcW w:w="645" w:type="dxa"/>
                  <w:vMerge w:val="restart"/>
                  <w:shd w:val="clear" w:color="auto" w:fill="auto"/>
                  <w:vAlign w:val="center"/>
                </w:tcPr>
                <w:p w14:paraId="7B3B082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治理措施</w:t>
                  </w:r>
                </w:p>
              </w:tc>
              <w:tc>
                <w:tcPr>
                  <w:tcW w:w="600" w:type="dxa"/>
                  <w:vMerge w:val="restart"/>
                  <w:shd w:val="clear" w:color="auto" w:fill="auto"/>
                  <w:vAlign w:val="center"/>
                </w:tcPr>
                <w:p w14:paraId="1D3C2A82">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去除率%</w:t>
                  </w:r>
                </w:p>
              </w:tc>
              <w:tc>
                <w:tcPr>
                  <w:tcW w:w="1635" w:type="dxa"/>
                  <w:gridSpan w:val="2"/>
                  <w:shd w:val="clear" w:color="auto" w:fill="auto"/>
                  <w:vAlign w:val="center"/>
                </w:tcPr>
                <w:p w14:paraId="43AEEA69">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排放情况</w:t>
                  </w:r>
                </w:p>
              </w:tc>
              <w:tc>
                <w:tcPr>
                  <w:tcW w:w="868" w:type="dxa"/>
                  <w:vMerge w:val="restart"/>
                  <w:shd w:val="clear" w:color="auto" w:fill="auto"/>
                  <w:vAlign w:val="center"/>
                </w:tcPr>
                <w:p w14:paraId="113E1833">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排放去向</w:t>
                  </w:r>
                </w:p>
              </w:tc>
              <w:tc>
                <w:tcPr>
                  <w:tcW w:w="1223" w:type="dxa"/>
                  <w:vMerge w:val="restart"/>
                  <w:shd w:val="clear" w:color="auto" w:fill="auto"/>
                  <w:vAlign w:val="center"/>
                </w:tcPr>
                <w:p w14:paraId="6CDB5F2A">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排放标准</w:t>
                  </w:r>
                </w:p>
              </w:tc>
            </w:tr>
            <w:tr w14:paraId="2A5C8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 w:hRule="atLeast"/>
              </w:trPr>
              <w:tc>
                <w:tcPr>
                  <w:tcW w:w="597" w:type="dxa"/>
                  <w:vMerge w:val="continue"/>
                  <w:shd w:val="clear" w:color="auto" w:fill="auto"/>
                  <w:vAlign w:val="center"/>
                </w:tcPr>
                <w:p w14:paraId="6E8718D7">
                  <w:pPr>
                    <w:jc w:val="center"/>
                    <w:rPr>
                      <w:rFonts w:hint="default" w:eastAsia="宋体"/>
                      <w:color w:val="000000" w:themeColor="text1"/>
                      <w:sz w:val="21"/>
                      <w:szCs w:val="21"/>
                      <w:highlight w:val="none"/>
                      <w:lang w:val="en-US" w:eastAsia="zh-CN"/>
                      <w14:textFill>
                        <w14:solidFill>
                          <w14:schemeClr w14:val="tx1"/>
                        </w14:solidFill>
                      </w14:textFill>
                    </w:rPr>
                  </w:pPr>
                </w:p>
              </w:tc>
              <w:tc>
                <w:tcPr>
                  <w:tcW w:w="840" w:type="dxa"/>
                  <w:vMerge w:val="continue"/>
                  <w:shd w:val="clear" w:color="auto" w:fill="auto"/>
                  <w:vAlign w:val="center"/>
                </w:tcPr>
                <w:p w14:paraId="425C4506">
                  <w:pPr>
                    <w:jc w:val="center"/>
                    <w:rPr>
                      <w:rFonts w:hint="default" w:eastAsia="宋体"/>
                      <w:color w:val="000000" w:themeColor="text1"/>
                      <w:sz w:val="21"/>
                      <w:szCs w:val="21"/>
                      <w:highlight w:val="none"/>
                      <w:lang w:val="en-US" w:eastAsia="zh-CN"/>
                      <w14:textFill>
                        <w14:solidFill>
                          <w14:schemeClr w14:val="tx1"/>
                        </w14:solidFill>
                      </w14:textFill>
                    </w:rPr>
                  </w:pPr>
                </w:p>
              </w:tc>
              <w:tc>
                <w:tcPr>
                  <w:tcW w:w="960" w:type="dxa"/>
                  <w:shd w:val="clear" w:color="auto" w:fill="auto"/>
                  <w:vAlign w:val="center"/>
                </w:tcPr>
                <w:p w14:paraId="27BF5FF9">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产生浓度mg/L</w:t>
                  </w:r>
                </w:p>
              </w:tc>
              <w:tc>
                <w:tcPr>
                  <w:tcW w:w="765" w:type="dxa"/>
                  <w:shd w:val="clear" w:color="auto" w:fill="auto"/>
                  <w:vAlign w:val="center"/>
                </w:tcPr>
                <w:p w14:paraId="52BE5BD0">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产生量t/a</w:t>
                  </w:r>
                </w:p>
              </w:tc>
              <w:tc>
                <w:tcPr>
                  <w:tcW w:w="645" w:type="dxa"/>
                  <w:vMerge w:val="continue"/>
                  <w:shd w:val="clear" w:color="auto" w:fill="auto"/>
                  <w:vAlign w:val="center"/>
                </w:tcPr>
                <w:p w14:paraId="09BB7EF9">
                  <w:pPr>
                    <w:jc w:val="center"/>
                    <w:rPr>
                      <w:color w:val="000000" w:themeColor="text1"/>
                      <w:sz w:val="21"/>
                      <w:szCs w:val="21"/>
                      <w:highlight w:val="none"/>
                      <w14:textFill>
                        <w14:solidFill>
                          <w14:schemeClr w14:val="tx1"/>
                        </w14:solidFill>
                      </w14:textFill>
                    </w:rPr>
                  </w:pPr>
                </w:p>
              </w:tc>
              <w:tc>
                <w:tcPr>
                  <w:tcW w:w="600" w:type="dxa"/>
                  <w:vMerge w:val="continue"/>
                  <w:shd w:val="clear" w:color="auto" w:fill="auto"/>
                  <w:vAlign w:val="center"/>
                </w:tcPr>
                <w:p w14:paraId="1C312633">
                  <w:pPr>
                    <w:jc w:val="center"/>
                    <w:rPr>
                      <w:color w:val="000000" w:themeColor="text1"/>
                      <w:sz w:val="21"/>
                      <w:szCs w:val="21"/>
                      <w:highlight w:val="none"/>
                      <w14:textFill>
                        <w14:solidFill>
                          <w14:schemeClr w14:val="tx1"/>
                        </w14:solidFill>
                      </w14:textFill>
                    </w:rPr>
                  </w:pPr>
                </w:p>
              </w:tc>
              <w:tc>
                <w:tcPr>
                  <w:tcW w:w="825" w:type="dxa"/>
                  <w:shd w:val="clear" w:color="auto" w:fill="auto"/>
                  <w:vAlign w:val="center"/>
                </w:tcPr>
                <w:p w14:paraId="652FF61C">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排放浓度mg/L</w:t>
                  </w:r>
                </w:p>
              </w:tc>
              <w:tc>
                <w:tcPr>
                  <w:tcW w:w="810" w:type="dxa"/>
                  <w:shd w:val="clear" w:color="auto" w:fill="auto"/>
                  <w:vAlign w:val="center"/>
                </w:tcPr>
                <w:p w14:paraId="1F5B4277">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排放量t/a</w:t>
                  </w:r>
                </w:p>
              </w:tc>
              <w:tc>
                <w:tcPr>
                  <w:tcW w:w="868" w:type="dxa"/>
                  <w:vMerge w:val="continue"/>
                  <w:shd w:val="clear" w:color="auto" w:fill="auto"/>
                  <w:vAlign w:val="center"/>
                </w:tcPr>
                <w:p w14:paraId="077603D6">
                  <w:pPr>
                    <w:jc w:val="center"/>
                    <w:rPr>
                      <w:rFonts w:hint="default" w:eastAsia="宋体"/>
                      <w:color w:val="000000" w:themeColor="text1"/>
                      <w:sz w:val="21"/>
                      <w:szCs w:val="21"/>
                      <w:highlight w:val="none"/>
                      <w:lang w:val="en-US" w:eastAsia="zh-CN"/>
                      <w14:textFill>
                        <w14:solidFill>
                          <w14:schemeClr w14:val="tx1"/>
                        </w14:solidFill>
                      </w14:textFill>
                    </w:rPr>
                  </w:pPr>
                </w:p>
              </w:tc>
              <w:tc>
                <w:tcPr>
                  <w:tcW w:w="1223" w:type="dxa"/>
                  <w:vMerge w:val="continue"/>
                  <w:shd w:val="clear" w:color="auto" w:fill="auto"/>
                  <w:vAlign w:val="center"/>
                </w:tcPr>
                <w:p w14:paraId="7CCCB2C1">
                  <w:pPr>
                    <w:jc w:val="center"/>
                    <w:rPr>
                      <w:rFonts w:hint="default" w:eastAsia="宋体"/>
                      <w:color w:val="000000" w:themeColor="text1"/>
                      <w:sz w:val="21"/>
                      <w:szCs w:val="21"/>
                      <w:highlight w:val="none"/>
                      <w:lang w:val="en-US" w:eastAsia="zh-CN"/>
                      <w14:textFill>
                        <w14:solidFill>
                          <w14:schemeClr w14:val="tx1"/>
                        </w14:solidFill>
                      </w14:textFill>
                    </w:rPr>
                  </w:pPr>
                </w:p>
              </w:tc>
            </w:tr>
            <w:tr w14:paraId="02B7B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7" w:type="dxa"/>
                  <w:vMerge w:val="restart"/>
                  <w:shd w:val="clear" w:color="auto" w:fill="auto"/>
                  <w:vAlign w:val="center"/>
                </w:tcPr>
                <w:p w14:paraId="6852742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生活污水</w:t>
                  </w:r>
                </w:p>
              </w:tc>
              <w:tc>
                <w:tcPr>
                  <w:tcW w:w="840" w:type="dxa"/>
                  <w:shd w:val="clear" w:color="auto" w:fill="auto"/>
                  <w:vAlign w:val="center"/>
                </w:tcPr>
                <w:p w14:paraId="641A1F4A">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pH</w:t>
                  </w:r>
                </w:p>
              </w:tc>
              <w:tc>
                <w:tcPr>
                  <w:tcW w:w="960" w:type="dxa"/>
                  <w:shd w:val="clear" w:color="auto" w:fill="auto"/>
                  <w:vAlign w:val="center"/>
                </w:tcPr>
                <w:p w14:paraId="1B50684B">
                  <w:pPr>
                    <w:keepNext w:val="0"/>
                    <w:keepLines w:val="0"/>
                    <w:widowControl/>
                    <w:suppressLineNumbers w:val="0"/>
                    <w:jc w:val="center"/>
                    <w:textAlignment w:val="center"/>
                    <w:rPr>
                      <w:rFonts w:hint="default"/>
                      <w:color w:val="000000" w:themeColor="text1"/>
                      <w:sz w:val="21"/>
                      <w:szCs w:val="21"/>
                      <w:highlight w:val="none"/>
                      <w:lang w:val="en-US"/>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6~9</w:t>
                  </w:r>
                </w:p>
              </w:tc>
              <w:tc>
                <w:tcPr>
                  <w:tcW w:w="765" w:type="dxa"/>
                  <w:shd w:val="clear" w:color="auto" w:fill="auto"/>
                  <w:vAlign w:val="center"/>
                </w:tcPr>
                <w:p w14:paraId="330333CF">
                  <w:pPr>
                    <w:keepNext w:val="0"/>
                    <w:keepLines w:val="0"/>
                    <w:widowControl/>
                    <w:suppressLineNumbers w:val="0"/>
                    <w:jc w:val="center"/>
                    <w:textAlignment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645" w:type="dxa"/>
                  <w:vMerge w:val="restart"/>
                  <w:shd w:val="clear" w:color="auto" w:fill="auto"/>
                  <w:vAlign w:val="center"/>
                </w:tcPr>
                <w:p w14:paraId="7A383C99">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隔油+化粪池</w:t>
                  </w:r>
                </w:p>
              </w:tc>
              <w:tc>
                <w:tcPr>
                  <w:tcW w:w="600" w:type="dxa"/>
                  <w:shd w:val="clear" w:color="auto" w:fill="auto"/>
                  <w:vAlign w:val="center"/>
                </w:tcPr>
                <w:p w14:paraId="0D7CE95B">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825" w:type="dxa"/>
                  <w:shd w:val="clear" w:color="auto" w:fill="auto"/>
                  <w:vAlign w:val="center"/>
                </w:tcPr>
                <w:p w14:paraId="6813425A">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810" w:type="dxa"/>
                  <w:shd w:val="clear" w:color="auto" w:fill="auto"/>
                  <w:vAlign w:val="center"/>
                </w:tcPr>
                <w:p w14:paraId="440B6AC1">
                  <w:pPr>
                    <w:keepNext w:val="0"/>
                    <w:keepLines w:val="0"/>
                    <w:widowControl/>
                    <w:suppressLineNumbers w:val="0"/>
                    <w:jc w:val="center"/>
                    <w:textAlignment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c>
                <w:tcPr>
                  <w:tcW w:w="868" w:type="dxa"/>
                  <w:vMerge w:val="restart"/>
                  <w:shd w:val="clear" w:color="auto" w:fill="auto"/>
                  <w:vAlign w:val="center"/>
                </w:tcPr>
                <w:p w14:paraId="7FDE56A8">
                  <w:pPr>
                    <w:jc w:val="center"/>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福建青口海峡环保有限公司(青口新区污水处理厂)</w:t>
                  </w:r>
                </w:p>
              </w:tc>
              <w:tc>
                <w:tcPr>
                  <w:tcW w:w="1223" w:type="dxa"/>
                  <w:vMerge w:val="restart"/>
                  <w:shd w:val="clear" w:color="auto" w:fill="auto"/>
                  <w:vAlign w:val="center"/>
                </w:tcPr>
                <w:p w14:paraId="4A66365E">
                  <w:pPr>
                    <w:jc w:val="center"/>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《城镇污水处理厂污染物排放标准》(GB18918-2002)及其修改单表1中一级A标准</w:t>
                  </w:r>
                </w:p>
              </w:tc>
            </w:tr>
            <w:tr w14:paraId="3B3E0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7" w:type="dxa"/>
                  <w:vMerge w:val="continue"/>
                  <w:shd w:val="clear" w:color="auto" w:fill="auto"/>
                  <w:vAlign w:val="center"/>
                </w:tcPr>
                <w:p w14:paraId="52820B9D">
                  <w:pPr>
                    <w:jc w:val="center"/>
                    <w:rPr>
                      <w:rFonts w:hint="eastAsia"/>
                      <w:color w:val="000000" w:themeColor="text1"/>
                      <w:sz w:val="21"/>
                      <w:szCs w:val="21"/>
                      <w:highlight w:val="none"/>
                      <w:lang w:val="en-US" w:eastAsia="zh-CN"/>
                      <w14:textFill>
                        <w14:solidFill>
                          <w14:schemeClr w14:val="tx1"/>
                        </w14:solidFill>
                      </w14:textFill>
                    </w:rPr>
                  </w:pPr>
                </w:p>
              </w:tc>
              <w:tc>
                <w:tcPr>
                  <w:tcW w:w="840" w:type="dxa"/>
                  <w:shd w:val="clear" w:color="auto" w:fill="auto"/>
                  <w:vAlign w:val="center"/>
                </w:tcPr>
                <w:p w14:paraId="34D5CA5D">
                  <w:pPr>
                    <w:jc w:val="center"/>
                    <w:rPr>
                      <w:rFonts w:hint="eastAsia"/>
                      <w:color w:val="000000" w:themeColor="text1"/>
                      <w:sz w:val="21"/>
                      <w:szCs w:val="21"/>
                      <w:highlight w:val="none"/>
                      <w:lang w:val="en-US" w:eastAsia="zh-CN"/>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CODcr</w:t>
                  </w:r>
                </w:p>
              </w:tc>
              <w:tc>
                <w:tcPr>
                  <w:tcW w:w="960" w:type="dxa"/>
                  <w:shd w:val="clear" w:color="auto" w:fill="auto"/>
                  <w:vAlign w:val="center"/>
                </w:tcPr>
                <w:p w14:paraId="4C9EEB1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400</w:t>
                  </w:r>
                </w:p>
              </w:tc>
              <w:tc>
                <w:tcPr>
                  <w:tcW w:w="765" w:type="dxa"/>
                  <w:shd w:val="clear" w:color="auto" w:fill="auto"/>
                  <w:vAlign w:val="center"/>
                </w:tcPr>
                <w:p w14:paraId="58E92EFD">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0.0864</w:t>
                  </w:r>
                </w:p>
              </w:tc>
              <w:tc>
                <w:tcPr>
                  <w:tcW w:w="645" w:type="dxa"/>
                  <w:vMerge w:val="continue"/>
                  <w:shd w:val="clear" w:color="auto" w:fill="auto"/>
                  <w:vAlign w:val="center"/>
                </w:tcPr>
                <w:p w14:paraId="487828F5">
                  <w:pPr>
                    <w:jc w:val="center"/>
                    <w:rPr>
                      <w:rFonts w:hint="eastAsia"/>
                      <w:color w:val="000000" w:themeColor="text1"/>
                      <w:sz w:val="21"/>
                      <w:szCs w:val="21"/>
                      <w:highlight w:val="none"/>
                      <w14:textFill>
                        <w14:solidFill>
                          <w14:schemeClr w14:val="tx1"/>
                        </w14:solidFill>
                      </w14:textFill>
                    </w:rPr>
                  </w:pPr>
                </w:p>
              </w:tc>
              <w:tc>
                <w:tcPr>
                  <w:tcW w:w="600" w:type="dxa"/>
                  <w:shd w:val="clear" w:color="auto" w:fill="auto"/>
                  <w:vAlign w:val="center"/>
                </w:tcPr>
                <w:p w14:paraId="442FDF52">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40%</w:t>
                  </w:r>
                </w:p>
              </w:tc>
              <w:tc>
                <w:tcPr>
                  <w:tcW w:w="825" w:type="dxa"/>
                  <w:shd w:val="clear" w:color="auto" w:fill="auto"/>
                  <w:vAlign w:val="center"/>
                </w:tcPr>
                <w:p w14:paraId="0ED7A78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240</w:t>
                  </w:r>
                </w:p>
              </w:tc>
              <w:tc>
                <w:tcPr>
                  <w:tcW w:w="810" w:type="dxa"/>
                  <w:shd w:val="clear" w:color="auto" w:fill="auto"/>
                  <w:vAlign w:val="center"/>
                </w:tcPr>
                <w:p w14:paraId="6E8A6AD0">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0.0518 </w:t>
                  </w:r>
                </w:p>
              </w:tc>
              <w:tc>
                <w:tcPr>
                  <w:tcW w:w="868" w:type="dxa"/>
                  <w:vMerge w:val="continue"/>
                  <w:shd w:val="clear" w:color="auto" w:fill="auto"/>
                  <w:vAlign w:val="center"/>
                </w:tcPr>
                <w:p w14:paraId="6A6FA1AF">
                  <w:pPr>
                    <w:jc w:val="center"/>
                    <w:rPr>
                      <w:rFonts w:hint="eastAsia"/>
                      <w:color w:val="000000" w:themeColor="text1"/>
                      <w:sz w:val="21"/>
                      <w:szCs w:val="21"/>
                      <w:highlight w:val="none"/>
                      <w:lang w:val="en-US" w:eastAsia="zh-CN"/>
                      <w14:textFill>
                        <w14:solidFill>
                          <w14:schemeClr w14:val="tx1"/>
                        </w14:solidFill>
                      </w14:textFill>
                    </w:rPr>
                  </w:pPr>
                </w:p>
              </w:tc>
              <w:tc>
                <w:tcPr>
                  <w:tcW w:w="1223" w:type="dxa"/>
                  <w:vMerge w:val="continue"/>
                  <w:shd w:val="clear" w:color="auto" w:fill="auto"/>
                  <w:vAlign w:val="center"/>
                </w:tcPr>
                <w:p w14:paraId="69252CE2">
                  <w:pPr>
                    <w:jc w:val="center"/>
                    <w:rPr>
                      <w:rFonts w:hint="eastAsia"/>
                      <w:color w:val="000000" w:themeColor="text1"/>
                      <w:sz w:val="21"/>
                      <w:szCs w:val="21"/>
                      <w:highlight w:val="none"/>
                      <w:lang w:val="en-US" w:eastAsia="zh-CN"/>
                      <w14:textFill>
                        <w14:solidFill>
                          <w14:schemeClr w14:val="tx1"/>
                        </w14:solidFill>
                      </w14:textFill>
                    </w:rPr>
                  </w:pPr>
                </w:p>
              </w:tc>
            </w:tr>
            <w:tr w14:paraId="391FC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7" w:type="dxa"/>
                  <w:vMerge w:val="continue"/>
                  <w:shd w:val="clear" w:color="auto" w:fill="auto"/>
                  <w:vAlign w:val="center"/>
                </w:tcPr>
                <w:p w14:paraId="6B20E8CF">
                  <w:pPr>
                    <w:jc w:val="center"/>
                    <w:rPr>
                      <w:rFonts w:hint="eastAsia"/>
                      <w:color w:val="000000" w:themeColor="text1"/>
                      <w:sz w:val="21"/>
                      <w:szCs w:val="21"/>
                      <w:highlight w:val="none"/>
                      <w:lang w:val="en-US" w:eastAsia="zh-CN"/>
                      <w14:textFill>
                        <w14:solidFill>
                          <w14:schemeClr w14:val="tx1"/>
                        </w14:solidFill>
                      </w14:textFill>
                    </w:rPr>
                  </w:pPr>
                </w:p>
              </w:tc>
              <w:tc>
                <w:tcPr>
                  <w:tcW w:w="840" w:type="dxa"/>
                  <w:shd w:val="clear" w:color="auto" w:fill="auto"/>
                  <w:vAlign w:val="center"/>
                </w:tcPr>
                <w:p w14:paraId="7263D7EB">
                  <w:pPr>
                    <w:jc w:val="center"/>
                    <w:rPr>
                      <w:rFonts w:hint="eastAsia"/>
                      <w:color w:val="000000" w:themeColor="text1"/>
                      <w:sz w:val="21"/>
                      <w:szCs w:val="21"/>
                      <w:highlight w:val="none"/>
                      <w:lang w:val="en-US" w:eastAsia="zh-CN"/>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BOD</w:t>
                  </w:r>
                  <w:r>
                    <w:rPr>
                      <w:rFonts w:hint="eastAsia" w:cs="宋体"/>
                      <w:color w:val="000000" w:themeColor="text1"/>
                      <w:sz w:val="21"/>
                      <w:szCs w:val="21"/>
                      <w:highlight w:val="none"/>
                      <w:vertAlign w:val="subscript"/>
                      <w:lang w:val="en-US" w:eastAsia="zh-CN"/>
                      <w14:textFill>
                        <w14:solidFill>
                          <w14:schemeClr w14:val="tx1"/>
                        </w14:solidFill>
                      </w14:textFill>
                    </w:rPr>
                    <w:t>5</w:t>
                  </w:r>
                </w:p>
              </w:tc>
              <w:tc>
                <w:tcPr>
                  <w:tcW w:w="960" w:type="dxa"/>
                  <w:shd w:val="clear" w:color="auto" w:fill="auto"/>
                  <w:vAlign w:val="center"/>
                </w:tcPr>
                <w:p w14:paraId="1E392AE1">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220</w:t>
                  </w:r>
                </w:p>
              </w:tc>
              <w:tc>
                <w:tcPr>
                  <w:tcW w:w="765" w:type="dxa"/>
                  <w:shd w:val="clear" w:color="auto" w:fill="auto"/>
                  <w:vAlign w:val="center"/>
                </w:tcPr>
                <w:p w14:paraId="087872A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0.0475</w:t>
                  </w:r>
                </w:p>
              </w:tc>
              <w:tc>
                <w:tcPr>
                  <w:tcW w:w="645" w:type="dxa"/>
                  <w:vMerge w:val="continue"/>
                  <w:shd w:val="clear" w:color="auto" w:fill="auto"/>
                  <w:vAlign w:val="center"/>
                </w:tcPr>
                <w:p w14:paraId="632347AF">
                  <w:pPr>
                    <w:jc w:val="center"/>
                    <w:rPr>
                      <w:rFonts w:hint="eastAsia"/>
                      <w:color w:val="000000" w:themeColor="text1"/>
                      <w:sz w:val="21"/>
                      <w:szCs w:val="21"/>
                      <w:highlight w:val="none"/>
                      <w14:textFill>
                        <w14:solidFill>
                          <w14:schemeClr w14:val="tx1"/>
                        </w14:solidFill>
                      </w14:textFill>
                    </w:rPr>
                  </w:pPr>
                </w:p>
              </w:tc>
              <w:tc>
                <w:tcPr>
                  <w:tcW w:w="600" w:type="dxa"/>
                  <w:shd w:val="clear" w:color="auto" w:fill="auto"/>
                  <w:vAlign w:val="center"/>
                </w:tcPr>
                <w:p w14:paraId="18360C16">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28%</w:t>
                  </w:r>
                </w:p>
              </w:tc>
              <w:tc>
                <w:tcPr>
                  <w:tcW w:w="825" w:type="dxa"/>
                  <w:shd w:val="clear" w:color="auto" w:fill="auto"/>
                  <w:vAlign w:val="center"/>
                </w:tcPr>
                <w:p w14:paraId="6B53624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158</w:t>
                  </w:r>
                </w:p>
              </w:tc>
              <w:tc>
                <w:tcPr>
                  <w:tcW w:w="810" w:type="dxa"/>
                  <w:shd w:val="clear" w:color="auto" w:fill="auto"/>
                  <w:vAlign w:val="center"/>
                </w:tcPr>
                <w:p w14:paraId="3E89913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0.0380 </w:t>
                  </w:r>
                </w:p>
              </w:tc>
              <w:tc>
                <w:tcPr>
                  <w:tcW w:w="868" w:type="dxa"/>
                  <w:vMerge w:val="continue"/>
                  <w:shd w:val="clear" w:color="auto" w:fill="auto"/>
                  <w:vAlign w:val="center"/>
                </w:tcPr>
                <w:p w14:paraId="5117ACEE">
                  <w:pPr>
                    <w:jc w:val="center"/>
                    <w:rPr>
                      <w:rFonts w:hint="eastAsia"/>
                      <w:color w:val="000000" w:themeColor="text1"/>
                      <w:sz w:val="21"/>
                      <w:szCs w:val="21"/>
                      <w:highlight w:val="none"/>
                      <w:lang w:val="en-US" w:eastAsia="zh-CN"/>
                      <w14:textFill>
                        <w14:solidFill>
                          <w14:schemeClr w14:val="tx1"/>
                        </w14:solidFill>
                      </w14:textFill>
                    </w:rPr>
                  </w:pPr>
                </w:p>
              </w:tc>
              <w:tc>
                <w:tcPr>
                  <w:tcW w:w="1223" w:type="dxa"/>
                  <w:vMerge w:val="continue"/>
                  <w:shd w:val="clear" w:color="auto" w:fill="auto"/>
                  <w:vAlign w:val="center"/>
                </w:tcPr>
                <w:p w14:paraId="2CFA08AF">
                  <w:pPr>
                    <w:jc w:val="center"/>
                    <w:rPr>
                      <w:rFonts w:hint="eastAsia"/>
                      <w:color w:val="000000" w:themeColor="text1"/>
                      <w:sz w:val="21"/>
                      <w:szCs w:val="21"/>
                      <w:highlight w:val="none"/>
                      <w:lang w:val="en-US" w:eastAsia="zh-CN"/>
                      <w14:textFill>
                        <w14:solidFill>
                          <w14:schemeClr w14:val="tx1"/>
                        </w14:solidFill>
                      </w14:textFill>
                    </w:rPr>
                  </w:pPr>
                </w:p>
              </w:tc>
            </w:tr>
            <w:tr w14:paraId="72003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7" w:type="dxa"/>
                  <w:vMerge w:val="continue"/>
                  <w:shd w:val="clear" w:color="auto" w:fill="auto"/>
                  <w:vAlign w:val="center"/>
                </w:tcPr>
                <w:p w14:paraId="3094535F">
                  <w:pPr>
                    <w:jc w:val="center"/>
                    <w:rPr>
                      <w:rFonts w:hint="eastAsia"/>
                      <w:color w:val="000000" w:themeColor="text1"/>
                      <w:sz w:val="21"/>
                      <w:szCs w:val="21"/>
                      <w:highlight w:val="none"/>
                      <w:lang w:val="en-US" w:eastAsia="zh-CN"/>
                      <w14:textFill>
                        <w14:solidFill>
                          <w14:schemeClr w14:val="tx1"/>
                        </w14:solidFill>
                      </w14:textFill>
                    </w:rPr>
                  </w:pPr>
                </w:p>
              </w:tc>
              <w:tc>
                <w:tcPr>
                  <w:tcW w:w="840" w:type="dxa"/>
                  <w:shd w:val="clear" w:color="auto" w:fill="auto"/>
                  <w:vAlign w:val="center"/>
                </w:tcPr>
                <w:p w14:paraId="0BFE22A7">
                  <w:pPr>
                    <w:jc w:val="center"/>
                    <w:rPr>
                      <w:rFonts w:hint="eastAsia"/>
                      <w:color w:val="000000" w:themeColor="text1"/>
                      <w:sz w:val="21"/>
                      <w:szCs w:val="21"/>
                      <w:highlight w:val="none"/>
                      <w:lang w:val="en-US" w:eastAsia="zh-CN"/>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SS</w:t>
                  </w:r>
                </w:p>
              </w:tc>
              <w:tc>
                <w:tcPr>
                  <w:tcW w:w="960" w:type="dxa"/>
                  <w:shd w:val="clear" w:color="auto" w:fill="auto"/>
                  <w:vAlign w:val="center"/>
                </w:tcPr>
                <w:p w14:paraId="22389B6B">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200</w:t>
                  </w:r>
                </w:p>
              </w:tc>
              <w:tc>
                <w:tcPr>
                  <w:tcW w:w="765" w:type="dxa"/>
                  <w:shd w:val="clear" w:color="auto" w:fill="auto"/>
                  <w:vAlign w:val="center"/>
                </w:tcPr>
                <w:p w14:paraId="51555507">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0.0432</w:t>
                  </w:r>
                </w:p>
              </w:tc>
              <w:tc>
                <w:tcPr>
                  <w:tcW w:w="645" w:type="dxa"/>
                  <w:vMerge w:val="continue"/>
                  <w:shd w:val="clear" w:color="auto" w:fill="auto"/>
                  <w:vAlign w:val="center"/>
                </w:tcPr>
                <w:p w14:paraId="2B859F44">
                  <w:pPr>
                    <w:jc w:val="center"/>
                    <w:rPr>
                      <w:rFonts w:hint="eastAsia"/>
                      <w:color w:val="000000" w:themeColor="text1"/>
                      <w:sz w:val="21"/>
                      <w:szCs w:val="21"/>
                      <w:highlight w:val="none"/>
                      <w14:textFill>
                        <w14:solidFill>
                          <w14:schemeClr w14:val="tx1"/>
                        </w14:solidFill>
                      </w14:textFill>
                    </w:rPr>
                  </w:pPr>
                </w:p>
              </w:tc>
              <w:tc>
                <w:tcPr>
                  <w:tcW w:w="600" w:type="dxa"/>
                  <w:shd w:val="clear" w:color="auto" w:fill="auto"/>
                  <w:vAlign w:val="center"/>
                </w:tcPr>
                <w:p w14:paraId="07A5BCB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30%</w:t>
                  </w:r>
                </w:p>
              </w:tc>
              <w:tc>
                <w:tcPr>
                  <w:tcW w:w="825" w:type="dxa"/>
                  <w:shd w:val="clear" w:color="auto" w:fill="auto"/>
                  <w:vAlign w:val="center"/>
                </w:tcPr>
                <w:p w14:paraId="245BE6A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140</w:t>
                  </w:r>
                </w:p>
              </w:tc>
              <w:tc>
                <w:tcPr>
                  <w:tcW w:w="810" w:type="dxa"/>
                  <w:shd w:val="clear" w:color="auto" w:fill="auto"/>
                  <w:vAlign w:val="center"/>
                </w:tcPr>
                <w:p w14:paraId="40D5DE4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0.0302 </w:t>
                  </w:r>
                </w:p>
              </w:tc>
              <w:tc>
                <w:tcPr>
                  <w:tcW w:w="868" w:type="dxa"/>
                  <w:vMerge w:val="continue"/>
                  <w:shd w:val="clear" w:color="auto" w:fill="auto"/>
                  <w:vAlign w:val="center"/>
                </w:tcPr>
                <w:p w14:paraId="39F6E124">
                  <w:pPr>
                    <w:jc w:val="center"/>
                    <w:rPr>
                      <w:rFonts w:hint="eastAsia"/>
                      <w:color w:val="000000" w:themeColor="text1"/>
                      <w:sz w:val="21"/>
                      <w:szCs w:val="21"/>
                      <w:highlight w:val="none"/>
                      <w:lang w:val="en-US" w:eastAsia="zh-CN"/>
                      <w14:textFill>
                        <w14:solidFill>
                          <w14:schemeClr w14:val="tx1"/>
                        </w14:solidFill>
                      </w14:textFill>
                    </w:rPr>
                  </w:pPr>
                </w:p>
              </w:tc>
              <w:tc>
                <w:tcPr>
                  <w:tcW w:w="1223" w:type="dxa"/>
                  <w:vMerge w:val="continue"/>
                  <w:shd w:val="clear" w:color="auto" w:fill="auto"/>
                  <w:vAlign w:val="center"/>
                </w:tcPr>
                <w:p w14:paraId="7ECFA754">
                  <w:pPr>
                    <w:jc w:val="center"/>
                    <w:rPr>
                      <w:rFonts w:hint="eastAsia"/>
                      <w:color w:val="000000" w:themeColor="text1"/>
                      <w:sz w:val="21"/>
                      <w:szCs w:val="21"/>
                      <w:highlight w:val="none"/>
                      <w:lang w:val="en-US" w:eastAsia="zh-CN"/>
                      <w14:textFill>
                        <w14:solidFill>
                          <w14:schemeClr w14:val="tx1"/>
                        </w14:solidFill>
                      </w14:textFill>
                    </w:rPr>
                  </w:pPr>
                </w:p>
              </w:tc>
            </w:tr>
            <w:tr w14:paraId="56A05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597" w:type="dxa"/>
                  <w:vMerge w:val="continue"/>
                  <w:shd w:val="clear" w:color="auto" w:fill="auto"/>
                  <w:vAlign w:val="center"/>
                </w:tcPr>
                <w:p w14:paraId="6D18A6BD">
                  <w:pPr>
                    <w:jc w:val="center"/>
                    <w:rPr>
                      <w:rFonts w:hint="eastAsia"/>
                      <w:color w:val="000000" w:themeColor="text1"/>
                      <w:sz w:val="21"/>
                      <w:szCs w:val="21"/>
                      <w:highlight w:val="none"/>
                      <w:lang w:val="en-US" w:eastAsia="zh-CN"/>
                      <w14:textFill>
                        <w14:solidFill>
                          <w14:schemeClr w14:val="tx1"/>
                        </w14:solidFill>
                      </w14:textFill>
                    </w:rPr>
                  </w:pPr>
                </w:p>
              </w:tc>
              <w:tc>
                <w:tcPr>
                  <w:tcW w:w="840" w:type="dxa"/>
                  <w:shd w:val="clear" w:color="auto" w:fill="auto"/>
                  <w:vAlign w:val="center"/>
                </w:tcPr>
                <w:p w14:paraId="0AD11596">
                  <w:pPr>
                    <w:jc w:val="center"/>
                    <w:rPr>
                      <w:rFonts w:hint="eastAsia" w:cs="宋体"/>
                      <w:color w:val="000000" w:themeColor="text1"/>
                      <w:sz w:val="21"/>
                      <w:szCs w:val="21"/>
                      <w:highlight w:val="none"/>
                      <w:lang w:val="en-US" w:eastAsia="zh-CN"/>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NH</w:t>
                  </w:r>
                  <w:r>
                    <w:rPr>
                      <w:rFonts w:hint="eastAsia" w:cs="宋体"/>
                      <w:color w:val="000000" w:themeColor="text1"/>
                      <w:sz w:val="21"/>
                      <w:szCs w:val="21"/>
                      <w:highlight w:val="none"/>
                      <w:vertAlign w:val="subscript"/>
                      <w:lang w:val="en-US" w:eastAsia="zh-CN"/>
                      <w14:textFill>
                        <w14:solidFill>
                          <w14:schemeClr w14:val="tx1"/>
                        </w14:solidFill>
                      </w14:textFill>
                    </w:rPr>
                    <w:t>3</w:t>
                  </w:r>
                  <w:r>
                    <w:rPr>
                      <w:rFonts w:hint="eastAsia" w:cs="宋体"/>
                      <w:color w:val="000000" w:themeColor="text1"/>
                      <w:sz w:val="21"/>
                      <w:szCs w:val="21"/>
                      <w:highlight w:val="none"/>
                      <w:lang w:val="en-US" w:eastAsia="zh-CN"/>
                      <w14:textFill>
                        <w14:solidFill>
                          <w14:schemeClr w14:val="tx1"/>
                        </w14:solidFill>
                      </w14:textFill>
                    </w:rPr>
                    <w:t>-N</w:t>
                  </w:r>
                </w:p>
              </w:tc>
              <w:tc>
                <w:tcPr>
                  <w:tcW w:w="960" w:type="dxa"/>
                  <w:shd w:val="clear" w:color="auto" w:fill="auto"/>
                  <w:vAlign w:val="center"/>
                </w:tcPr>
                <w:p w14:paraId="6B7F031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35</w:t>
                  </w:r>
                </w:p>
              </w:tc>
              <w:tc>
                <w:tcPr>
                  <w:tcW w:w="765" w:type="dxa"/>
                  <w:shd w:val="clear" w:color="auto" w:fill="auto"/>
                  <w:vAlign w:val="center"/>
                </w:tcPr>
                <w:p w14:paraId="0C8A1443">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0.007</w:t>
                  </w:r>
                  <w:r>
                    <w:rPr>
                      <w:rFonts w:hint="eastAsia" w:cs="Times New Roman"/>
                      <w:i w:val="0"/>
                      <w:iCs w:val="0"/>
                      <w:color w:val="000000" w:themeColor="text1"/>
                      <w:kern w:val="0"/>
                      <w:sz w:val="21"/>
                      <w:szCs w:val="21"/>
                      <w:u w:val="none"/>
                      <w:lang w:val="en-US" w:eastAsia="zh-CN" w:bidi="ar"/>
                      <w14:textFill>
                        <w14:solidFill>
                          <w14:schemeClr w14:val="tx1"/>
                        </w14:solidFill>
                      </w14:textFill>
                    </w:rPr>
                    <w:t>6</w:t>
                  </w:r>
                </w:p>
              </w:tc>
              <w:tc>
                <w:tcPr>
                  <w:tcW w:w="645" w:type="dxa"/>
                  <w:vMerge w:val="continue"/>
                  <w:shd w:val="clear" w:color="auto" w:fill="auto"/>
                  <w:vAlign w:val="center"/>
                </w:tcPr>
                <w:p w14:paraId="203588F5">
                  <w:pPr>
                    <w:jc w:val="center"/>
                    <w:rPr>
                      <w:rFonts w:hint="eastAsia"/>
                      <w:color w:val="000000" w:themeColor="text1"/>
                      <w:sz w:val="21"/>
                      <w:szCs w:val="21"/>
                      <w:highlight w:val="none"/>
                      <w14:textFill>
                        <w14:solidFill>
                          <w14:schemeClr w14:val="tx1"/>
                        </w14:solidFill>
                      </w14:textFill>
                    </w:rPr>
                  </w:pPr>
                </w:p>
              </w:tc>
              <w:tc>
                <w:tcPr>
                  <w:tcW w:w="600" w:type="dxa"/>
                  <w:shd w:val="clear" w:color="auto" w:fill="auto"/>
                  <w:vAlign w:val="center"/>
                </w:tcPr>
                <w:p w14:paraId="0C839DBA">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825" w:type="dxa"/>
                  <w:shd w:val="clear" w:color="auto" w:fill="auto"/>
                  <w:vAlign w:val="center"/>
                </w:tcPr>
                <w:p w14:paraId="456C98CC">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31.5</w:t>
                  </w:r>
                </w:p>
              </w:tc>
              <w:tc>
                <w:tcPr>
                  <w:tcW w:w="810" w:type="dxa"/>
                  <w:shd w:val="clear" w:color="auto" w:fill="auto"/>
                  <w:vAlign w:val="center"/>
                </w:tcPr>
                <w:p w14:paraId="4B1798C4">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0.0068 </w:t>
                  </w:r>
                </w:p>
              </w:tc>
              <w:tc>
                <w:tcPr>
                  <w:tcW w:w="868" w:type="dxa"/>
                  <w:vMerge w:val="continue"/>
                  <w:shd w:val="clear" w:color="auto" w:fill="auto"/>
                  <w:vAlign w:val="center"/>
                </w:tcPr>
                <w:p w14:paraId="732137C6">
                  <w:pPr>
                    <w:jc w:val="center"/>
                    <w:rPr>
                      <w:rFonts w:hint="eastAsia"/>
                      <w:color w:val="000000" w:themeColor="text1"/>
                      <w:sz w:val="21"/>
                      <w:szCs w:val="21"/>
                      <w:highlight w:val="none"/>
                      <w:lang w:val="en-US" w:eastAsia="zh-CN"/>
                      <w14:textFill>
                        <w14:solidFill>
                          <w14:schemeClr w14:val="tx1"/>
                        </w14:solidFill>
                      </w14:textFill>
                    </w:rPr>
                  </w:pPr>
                </w:p>
              </w:tc>
              <w:tc>
                <w:tcPr>
                  <w:tcW w:w="1223" w:type="dxa"/>
                  <w:vMerge w:val="continue"/>
                  <w:shd w:val="clear" w:color="auto" w:fill="auto"/>
                  <w:vAlign w:val="center"/>
                </w:tcPr>
                <w:p w14:paraId="1AAE6E3A">
                  <w:pPr>
                    <w:jc w:val="center"/>
                    <w:rPr>
                      <w:rFonts w:hint="eastAsia"/>
                      <w:color w:val="000000" w:themeColor="text1"/>
                      <w:sz w:val="21"/>
                      <w:szCs w:val="21"/>
                      <w:highlight w:val="none"/>
                      <w:lang w:val="en-US" w:eastAsia="zh-CN"/>
                      <w14:textFill>
                        <w14:solidFill>
                          <w14:schemeClr w14:val="tx1"/>
                        </w14:solidFill>
                      </w14:textFill>
                    </w:rPr>
                  </w:pPr>
                </w:p>
              </w:tc>
            </w:tr>
          </w:tbl>
          <w:p w14:paraId="27FF3BB9">
            <w:pPr>
              <w:pStyle w:val="37"/>
              <w:rPr>
                <w:rFonts w:hint="default"/>
                <w:color w:val="000000" w:themeColor="text1"/>
                <w:sz w:val="24"/>
                <w:szCs w:val="21"/>
                <w:highlight w:val="none"/>
                <w:lang w:val="en-US" w:eastAsia="zh-CN"/>
                <w14:textFill>
                  <w14:solidFill>
                    <w14:schemeClr w14:val="tx1"/>
                  </w14:solidFill>
                </w14:textFill>
              </w:rPr>
            </w:pPr>
            <w:r>
              <w:rPr>
                <w:rFonts w:hint="default"/>
                <w:color w:val="000000" w:themeColor="text1"/>
                <w:sz w:val="24"/>
                <w:szCs w:val="21"/>
                <w:highlight w:val="none"/>
                <w:lang w:val="en-US" w:eastAsia="zh-CN"/>
                <w14:textFill>
                  <w14:solidFill>
                    <w14:schemeClr w14:val="tx1"/>
                  </w14:solidFill>
                </w14:textFill>
              </w:rPr>
              <w:t>4.2.2 运营期水环境影响及污染防治措施可行性分析</w:t>
            </w:r>
          </w:p>
          <w:p w14:paraId="4C248ADB">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项目生活污水经</w:t>
            </w:r>
            <w:r>
              <w:rPr>
                <w:rFonts w:hint="eastAsia" w:cs="宋体"/>
                <w:color w:val="000000" w:themeColor="text1"/>
                <w:sz w:val="24"/>
                <w:szCs w:val="32"/>
                <w:highlight w:val="none"/>
                <w:lang w:val="en-US" w:eastAsia="zh-CN"/>
                <w14:textFill>
                  <w14:solidFill>
                    <w14:schemeClr w14:val="tx1"/>
                  </w14:solidFill>
                </w14:textFill>
              </w:rPr>
              <w:t>隔油+</w:t>
            </w:r>
            <w:r>
              <w:rPr>
                <w:rFonts w:hint="eastAsia" w:cs="宋体"/>
                <w:color w:val="000000" w:themeColor="text1"/>
                <w:sz w:val="24"/>
                <w:szCs w:val="32"/>
                <w:highlight w:val="none"/>
                <w14:textFill>
                  <w14:solidFill>
                    <w14:schemeClr w14:val="tx1"/>
                  </w14:solidFill>
                </w14:textFill>
              </w:rPr>
              <w:t>化粪池预处理后排入市政污水管网，送往福建青口海峡环保有限公司(青口新区污水处理厂)集中处理，属于间接排放，根据《建设项目环境影响报告表编制技术指南(污染影响类)(试行)》</w:t>
            </w:r>
            <w:r>
              <w:rPr>
                <w:rFonts w:hint="eastAsia" w:cs="宋体"/>
                <w:color w:val="000000" w:themeColor="text1"/>
                <w:sz w:val="24"/>
                <w:szCs w:val="24"/>
                <w:highlight w:val="none"/>
                <w14:textFill>
                  <w14:solidFill>
                    <w14:schemeClr w14:val="tx1"/>
                  </w14:solidFill>
                </w14:textFill>
              </w:rPr>
              <w:t>(环办环评</w:t>
            </w:r>
            <w:r>
              <w:rPr>
                <w:rFonts w:hint="eastAsia"/>
                <w:color w:val="000000" w:themeColor="text1"/>
                <w:sz w:val="24"/>
                <w:szCs w:val="24"/>
                <w:highlight w:val="none"/>
                <w:lang w:eastAsia="zh-CN"/>
                <w14:textFill>
                  <w14:solidFill>
                    <w14:schemeClr w14:val="tx1"/>
                  </w14:solidFill>
                </w14:textFill>
              </w:rPr>
              <w:t>〔20</w:t>
            </w:r>
            <w:r>
              <w:rPr>
                <w:rFonts w:hint="eastAsia"/>
                <w:color w:val="000000" w:themeColor="text1"/>
                <w:sz w:val="24"/>
                <w:szCs w:val="24"/>
                <w:highlight w:val="none"/>
                <w:lang w:val="en-US" w:eastAsia="zh-CN"/>
                <w14:textFill>
                  <w14:solidFill>
                    <w14:schemeClr w14:val="tx1"/>
                  </w14:solidFill>
                </w14:textFill>
              </w:rPr>
              <w:t>20</w:t>
            </w:r>
            <w:r>
              <w:rPr>
                <w:rFonts w:hint="eastAsia"/>
                <w:color w:val="000000" w:themeColor="text1"/>
                <w:sz w:val="24"/>
                <w:szCs w:val="24"/>
                <w:highlight w:val="none"/>
                <w:lang w:eastAsia="zh-CN"/>
                <w14:textFill>
                  <w14:solidFill>
                    <w14:schemeClr w14:val="tx1"/>
                  </w14:solidFill>
                </w14:textFill>
              </w:rPr>
              <w:t>〕</w:t>
            </w:r>
            <w:r>
              <w:rPr>
                <w:rFonts w:hint="eastAsia" w:cs="宋体"/>
                <w:color w:val="000000" w:themeColor="text1"/>
                <w:sz w:val="24"/>
                <w:szCs w:val="24"/>
                <w:highlight w:val="none"/>
                <w14:textFill>
                  <w14:solidFill>
                    <w14:schemeClr w14:val="tx1"/>
                  </w14:solidFill>
                </w14:textFill>
              </w:rPr>
              <w:t>33号)</w:t>
            </w:r>
            <w:r>
              <w:rPr>
                <w:rFonts w:hint="eastAsia" w:cs="宋体"/>
                <w:color w:val="000000" w:themeColor="text1"/>
                <w:sz w:val="24"/>
                <w:szCs w:val="32"/>
                <w:highlight w:val="none"/>
                <w14:textFill>
                  <w14:solidFill>
                    <w14:schemeClr w14:val="tx1"/>
                  </w14:solidFill>
                </w14:textFill>
              </w:rPr>
              <w:t>要求，废水间接排放的建设项目应从处理能力、处理工艺、设计进出水水质等方面，分析依托集中污水处理厂的可行性。</w:t>
            </w:r>
          </w:p>
          <w:p w14:paraId="0778E801">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(1)福建青口海峡环保有限公司(青口新区污水处理厂)基本情况</w:t>
            </w:r>
          </w:p>
          <w:p w14:paraId="289EE40D">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①设计进出水水质</w:t>
            </w:r>
          </w:p>
          <w:p w14:paraId="1E2254FA">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根据福州青口新区环境工程(污水处理厂)</w:t>
            </w:r>
            <w:r>
              <w:rPr>
                <w:rFonts w:hint="eastAsia" w:cs="宋体"/>
                <w:color w:val="000000" w:themeColor="text1"/>
                <w:sz w:val="24"/>
                <w:szCs w:val="32"/>
                <w:highlight w:val="none"/>
                <w:lang w:val="en-US" w:eastAsia="zh-CN"/>
                <w14:textFill>
                  <w14:solidFill>
                    <w14:schemeClr w14:val="tx1"/>
                  </w14:solidFill>
                </w14:textFill>
              </w:rPr>
              <w:t>环评报告可知</w:t>
            </w:r>
            <w:r>
              <w:rPr>
                <w:rFonts w:hint="eastAsia" w:cs="宋体"/>
                <w:color w:val="000000" w:themeColor="text1"/>
                <w:sz w:val="24"/>
                <w:szCs w:val="32"/>
                <w:highlight w:val="none"/>
                <w14:textFill>
                  <w14:solidFill>
                    <w14:schemeClr w14:val="tx1"/>
                  </w14:solidFill>
                </w14:textFill>
              </w:rPr>
              <w:t>，福建青口海峡环保有限公司(青口新区污水处理厂)进出水水质见</w:t>
            </w:r>
            <w:r>
              <w:rPr>
                <w:rFonts w:hint="eastAsia" w:cs="宋体"/>
                <w:color w:val="000000" w:themeColor="text1"/>
                <w:sz w:val="24"/>
                <w:szCs w:val="32"/>
                <w:highlight w:val="none"/>
                <w:lang w:val="en-US" w:eastAsia="zh-CN"/>
                <w14:textFill>
                  <w14:solidFill>
                    <w14:schemeClr w14:val="tx1"/>
                  </w14:solidFill>
                </w14:textFill>
              </w:rPr>
              <w:t>下</w:t>
            </w:r>
            <w:r>
              <w:rPr>
                <w:rFonts w:hint="eastAsia" w:cs="宋体"/>
                <w:color w:val="000000" w:themeColor="text1"/>
                <w:sz w:val="24"/>
                <w:szCs w:val="32"/>
                <w:highlight w:val="none"/>
                <w14:textFill>
                  <w14:solidFill>
                    <w14:schemeClr w14:val="tx1"/>
                  </w14:solidFill>
                </w14:textFill>
              </w:rPr>
              <w:t>表。</w:t>
            </w:r>
          </w:p>
          <w:p w14:paraId="08F24955">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表4-5  污水厂进出水水质标准(mg/L  pH除外)</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57" w:type="dxa"/>
                <w:bottom w:w="28" w:type="dxa"/>
                <w:right w:w="57" w:type="dxa"/>
              </w:tblCellMar>
            </w:tblPr>
            <w:tblGrid>
              <w:gridCol w:w="1045"/>
              <w:gridCol w:w="543"/>
              <w:gridCol w:w="706"/>
              <w:gridCol w:w="706"/>
              <w:gridCol w:w="580"/>
              <w:gridCol w:w="832"/>
              <w:gridCol w:w="706"/>
              <w:gridCol w:w="712"/>
              <w:gridCol w:w="2290"/>
            </w:tblGrid>
            <w:tr w14:paraId="1FDEB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tblHeader/>
                <w:jc w:val="center"/>
              </w:trPr>
              <w:tc>
                <w:tcPr>
                  <w:tcW w:w="643" w:type="pct"/>
                  <w:shd w:val="clear" w:color="auto" w:fill="auto"/>
                  <w:vAlign w:val="center"/>
                </w:tcPr>
                <w:p w14:paraId="257D6E6F">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水质指标</w:t>
                  </w:r>
                </w:p>
              </w:tc>
              <w:tc>
                <w:tcPr>
                  <w:tcW w:w="334" w:type="pct"/>
                  <w:shd w:val="clear" w:color="auto" w:fill="auto"/>
                  <w:vAlign w:val="center"/>
                </w:tcPr>
                <w:p w14:paraId="14BF68FE">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pH</w:t>
                  </w:r>
                </w:p>
              </w:tc>
              <w:tc>
                <w:tcPr>
                  <w:tcW w:w="434" w:type="pct"/>
                  <w:shd w:val="clear" w:color="auto" w:fill="auto"/>
                  <w:vAlign w:val="center"/>
                </w:tcPr>
                <w:p w14:paraId="434D23DC">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COD</w:t>
                  </w:r>
                </w:p>
              </w:tc>
              <w:tc>
                <w:tcPr>
                  <w:tcW w:w="434" w:type="pct"/>
                  <w:shd w:val="clear" w:color="auto" w:fill="auto"/>
                  <w:vAlign w:val="center"/>
                </w:tcPr>
                <w:p w14:paraId="32DC16EE">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BOD</w:t>
                  </w:r>
                  <w:r>
                    <w:rPr>
                      <w:rFonts w:hint="eastAsia"/>
                      <w:color w:val="000000" w:themeColor="text1"/>
                      <w:sz w:val="21"/>
                      <w:szCs w:val="21"/>
                      <w:highlight w:val="none"/>
                      <w:vertAlign w:val="subscript"/>
                      <w:lang w:val="en-US" w:eastAsia="zh-CN"/>
                      <w14:textFill>
                        <w14:solidFill>
                          <w14:schemeClr w14:val="tx1"/>
                        </w14:solidFill>
                      </w14:textFill>
                    </w:rPr>
                    <w:t>5</w:t>
                  </w:r>
                </w:p>
              </w:tc>
              <w:tc>
                <w:tcPr>
                  <w:tcW w:w="357" w:type="pct"/>
                  <w:shd w:val="clear" w:color="auto" w:fill="auto"/>
                  <w:vAlign w:val="center"/>
                </w:tcPr>
                <w:p w14:paraId="570857A9">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SS</w:t>
                  </w:r>
                </w:p>
              </w:tc>
              <w:tc>
                <w:tcPr>
                  <w:tcW w:w="512" w:type="pct"/>
                  <w:shd w:val="clear" w:color="auto" w:fill="auto"/>
                  <w:vAlign w:val="center"/>
                </w:tcPr>
                <w:p w14:paraId="7C4DD583">
                  <w:pPr>
                    <w:pStyle w:val="70"/>
                    <w:adjustRightInd/>
                    <w:snapToGrid/>
                    <w:rPr>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NH</w:t>
                  </w:r>
                  <w:r>
                    <w:rPr>
                      <w:rFonts w:hint="eastAsia" w:cs="宋体"/>
                      <w:color w:val="000000" w:themeColor="text1"/>
                      <w:sz w:val="21"/>
                      <w:szCs w:val="21"/>
                      <w:highlight w:val="none"/>
                      <w:vertAlign w:val="subscript"/>
                      <w:lang w:val="en-US" w:eastAsia="zh-CN"/>
                      <w14:textFill>
                        <w14:solidFill>
                          <w14:schemeClr w14:val="tx1"/>
                        </w14:solidFill>
                      </w14:textFill>
                    </w:rPr>
                    <w:t>3</w:t>
                  </w:r>
                  <w:r>
                    <w:rPr>
                      <w:rFonts w:hint="eastAsia" w:cs="宋体"/>
                      <w:color w:val="000000" w:themeColor="text1"/>
                      <w:sz w:val="21"/>
                      <w:szCs w:val="21"/>
                      <w:highlight w:val="none"/>
                      <w:lang w:val="en-US" w:eastAsia="zh-CN"/>
                      <w14:textFill>
                        <w14:solidFill>
                          <w14:schemeClr w14:val="tx1"/>
                        </w14:solidFill>
                      </w14:textFill>
                    </w:rPr>
                    <w:t>-N</w:t>
                  </w:r>
                </w:p>
              </w:tc>
              <w:tc>
                <w:tcPr>
                  <w:tcW w:w="434" w:type="pct"/>
                  <w:shd w:val="clear" w:color="auto" w:fill="auto"/>
                  <w:vAlign w:val="center"/>
                </w:tcPr>
                <w:p w14:paraId="6BE6FB60">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TN</w:t>
                  </w:r>
                </w:p>
              </w:tc>
              <w:tc>
                <w:tcPr>
                  <w:tcW w:w="438" w:type="pct"/>
                  <w:shd w:val="clear" w:color="auto" w:fill="auto"/>
                  <w:vAlign w:val="center"/>
                </w:tcPr>
                <w:p w14:paraId="5D695BAA">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TP</w:t>
                  </w:r>
                </w:p>
              </w:tc>
              <w:tc>
                <w:tcPr>
                  <w:tcW w:w="1410" w:type="pct"/>
                  <w:shd w:val="clear" w:color="auto" w:fill="auto"/>
                  <w:vAlign w:val="center"/>
                </w:tcPr>
                <w:p w14:paraId="6B73C881">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备注</w:t>
                  </w:r>
                </w:p>
              </w:tc>
            </w:tr>
            <w:tr w14:paraId="0591A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jc w:val="center"/>
              </w:trPr>
              <w:tc>
                <w:tcPr>
                  <w:tcW w:w="643" w:type="pct"/>
                  <w:shd w:val="clear" w:color="auto" w:fill="auto"/>
                  <w:vAlign w:val="center"/>
                </w:tcPr>
                <w:p w14:paraId="513DC43D">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进水水质</w:t>
                  </w:r>
                </w:p>
              </w:tc>
              <w:tc>
                <w:tcPr>
                  <w:tcW w:w="334" w:type="pct"/>
                  <w:shd w:val="clear" w:color="auto" w:fill="auto"/>
                  <w:vAlign w:val="center"/>
                </w:tcPr>
                <w:p w14:paraId="0AAFB11F">
                  <w:pPr>
                    <w:pStyle w:val="70"/>
                    <w:adjustRightInd/>
                    <w:snapToGrid/>
                    <w:rPr>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6~9</w:t>
                  </w:r>
                </w:p>
              </w:tc>
              <w:tc>
                <w:tcPr>
                  <w:tcW w:w="434" w:type="pct"/>
                  <w:shd w:val="clear" w:color="auto" w:fill="auto"/>
                  <w:vAlign w:val="center"/>
                </w:tcPr>
                <w:p w14:paraId="0A9F877A">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300</w:t>
                  </w:r>
                </w:p>
              </w:tc>
              <w:tc>
                <w:tcPr>
                  <w:tcW w:w="434" w:type="pct"/>
                  <w:shd w:val="clear" w:color="auto" w:fill="auto"/>
                  <w:vAlign w:val="center"/>
                </w:tcPr>
                <w:p w14:paraId="19E4FF80">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160</w:t>
                  </w:r>
                </w:p>
              </w:tc>
              <w:tc>
                <w:tcPr>
                  <w:tcW w:w="357" w:type="pct"/>
                  <w:shd w:val="clear" w:color="auto" w:fill="auto"/>
                  <w:vAlign w:val="center"/>
                </w:tcPr>
                <w:p w14:paraId="6B6D9D94">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200</w:t>
                  </w:r>
                </w:p>
              </w:tc>
              <w:tc>
                <w:tcPr>
                  <w:tcW w:w="512" w:type="pct"/>
                  <w:shd w:val="clear" w:color="auto" w:fill="auto"/>
                  <w:vAlign w:val="center"/>
                </w:tcPr>
                <w:p w14:paraId="170922BA">
                  <w:pPr>
                    <w:pStyle w:val="70"/>
                    <w:adjustRightInd/>
                    <w:snapToGrid/>
                    <w:rPr>
                      <w:rFonts w:hint="default"/>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35</w:t>
                  </w:r>
                </w:p>
              </w:tc>
              <w:tc>
                <w:tcPr>
                  <w:tcW w:w="434" w:type="pct"/>
                  <w:shd w:val="clear" w:color="auto" w:fill="auto"/>
                  <w:vAlign w:val="center"/>
                </w:tcPr>
                <w:p w14:paraId="61008EB0">
                  <w:pPr>
                    <w:pStyle w:val="70"/>
                    <w:adjustRightInd/>
                    <w:snapToGrid/>
                    <w:rPr>
                      <w:rFonts w:hint="default"/>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40</w:t>
                  </w:r>
                </w:p>
              </w:tc>
              <w:tc>
                <w:tcPr>
                  <w:tcW w:w="438" w:type="pct"/>
                  <w:shd w:val="clear" w:color="auto" w:fill="auto"/>
                  <w:vAlign w:val="center"/>
                </w:tcPr>
                <w:p w14:paraId="3CF52F1D">
                  <w:pPr>
                    <w:pStyle w:val="70"/>
                    <w:adjustRightInd/>
                    <w:snapToGrid/>
                    <w:rPr>
                      <w:rFonts w:hint="default"/>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4.5</w:t>
                  </w:r>
                </w:p>
              </w:tc>
              <w:tc>
                <w:tcPr>
                  <w:tcW w:w="1410" w:type="pct"/>
                  <w:shd w:val="clear" w:color="auto" w:fill="auto"/>
                  <w:vAlign w:val="center"/>
                </w:tcPr>
                <w:p w14:paraId="56CB14D2">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w:t>
                  </w:r>
                </w:p>
              </w:tc>
            </w:tr>
            <w:tr w14:paraId="15523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57" w:type="dxa"/>
                  <w:bottom w:w="28" w:type="dxa"/>
                  <w:right w:w="57" w:type="dxa"/>
                </w:tblCellMar>
              </w:tblPrEx>
              <w:trPr>
                <w:jc w:val="center"/>
              </w:trPr>
              <w:tc>
                <w:tcPr>
                  <w:tcW w:w="643" w:type="pct"/>
                  <w:shd w:val="clear" w:color="auto" w:fill="auto"/>
                  <w:vAlign w:val="center"/>
                </w:tcPr>
                <w:p w14:paraId="38CA8ABD">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出水水质</w:t>
                  </w:r>
                </w:p>
              </w:tc>
              <w:tc>
                <w:tcPr>
                  <w:tcW w:w="334" w:type="pct"/>
                  <w:shd w:val="clear" w:color="auto" w:fill="auto"/>
                  <w:vAlign w:val="center"/>
                </w:tcPr>
                <w:p w14:paraId="4BE43732">
                  <w:pPr>
                    <w:pStyle w:val="70"/>
                    <w:adjustRightInd/>
                    <w:snapToGrid/>
                    <w:rPr>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6~9</w:t>
                  </w:r>
                </w:p>
              </w:tc>
              <w:tc>
                <w:tcPr>
                  <w:tcW w:w="434" w:type="pct"/>
                  <w:shd w:val="clear" w:color="auto" w:fill="auto"/>
                  <w:vAlign w:val="center"/>
                </w:tcPr>
                <w:p w14:paraId="7CA71795">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50</w:t>
                  </w:r>
                </w:p>
              </w:tc>
              <w:tc>
                <w:tcPr>
                  <w:tcW w:w="434" w:type="pct"/>
                  <w:shd w:val="clear" w:color="auto" w:fill="auto"/>
                  <w:vAlign w:val="center"/>
                </w:tcPr>
                <w:p w14:paraId="219BCC82">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357" w:type="pct"/>
                  <w:shd w:val="clear" w:color="auto" w:fill="auto"/>
                  <w:vAlign w:val="center"/>
                </w:tcPr>
                <w:p w14:paraId="551A2E68">
                  <w:pPr>
                    <w:pStyle w:val="70"/>
                    <w:adjustRightInd/>
                    <w:snapToGrid/>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w:t>
                  </w:r>
                </w:p>
              </w:tc>
              <w:tc>
                <w:tcPr>
                  <w:tcW w:w="512" w:type="pct"/>
                  <w:shd w:val="clear" w:color="auto" w:fill="auto"/>
                  <w:vAlign w:val="center"/>
                </w:tcPr>
                <w:p w14:paraId="50EE3D0E">
                  <w:pPr>
                    <w:pStyle w:val="70"/>
                    <w:adjustRightInd/>
                    <w:snapToGrid/>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w:t>
                  </w:r>
                </w:p>
              </w:tc>
              <w:tc>
                <w:tcPr>
                  <w:tcW w:w="434" w:type="pct"/>
                  <w:shd w:val="clear" w:color="auto" w:fill="auto"/>
                  <w:vAlign w:val="center"/>
                </w:tcPr>
                <w:p w14:paraId="1756CA4B">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438" w:type="pct"/>
                  <w:shd w:val="clear" w:color="auto" w:fill="auto"/>
                  <w:vAlign w:val="center"/>
                </w:tcPr>
                <w:p w14:paraId="657574B7">
                  <w:pPr>
                    <w:pStyle w:val="70"/>
                    <w:adjustRightInd/>
                    <w:snapToGrid/>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1410" w:type="pct"/>
                  <w:shd w:val="clear" w:color="auto" w:fill="auto"/>
                  <w:vAlign w:val="center"/>
                </w:tcPr>
                <w:p w14:paraId="29131775">
                  <w:pPr>
                    <w:pStyle w:val="70"/>
                    <w:adjustRightInd/>
                    <w:snapToGrid/>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《城镇污水处理厂污染物排放标准》(GB18918-2002)及其修改单表1中一级</w:t>
                  </w:r>
                  <w:r>
                    <w:rPr>
                      <w:rFonts w:hint="eastAsia"/>
                      <w:color w:val="000000" w:themeColor="text1"/>
                      <w:sz w:val="21"/>
                      <w:szCs w:val="21"/>
                      <w:highlight w:val="none"/>
                      <w:lang w:val="en-US" w:eastAsia="zh-CN"/>
                      <w14:textFill>
                        <w14:solidFill>
                          <w14:schemeClr w14:val="tx1"/>
                        </w14:solidFill>
                      </w14:textFill>
                    </w:rPr>
                    <w:t>A</w:t>
                  </w:r>
                  <w:r>
                    <w:rPr>
                      <w:rFonts w:hint="eastAsia"/>
                      <w:color w:val="000000" w:themeColor="text1"/>
                      <w:sz w:val="21"/>
                      <w:szCs w:val="21"/>
                      <w:highlight w:val="none"/>
                      <w14:textFill>
                        <w14:solidFill>
                          <w14:schemeClr w14:val="tx1"/>
                        </w14:solidFill>
                      </w14:textFill>
                    </w:rPr>
                    <w:t>标准</w:t>
                  </w:r>
                </w:p>
              </w:tc>
            </w:tr>
          </w:tbl>
          <w:p w14:paraId="16FFD463">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②处理工艺</w:t>
            </w:r>
          </w:p>
          <w:p w14:paraId="2F18A4C7">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污水处理工艺流程详见图</w:t>
            </w:r>
            <w:r>
              <w:rPr>
                <w:rFonts w:hint="eastAsia" w:cs="宋体"/>
                <w:color w:val="000000" w:themeColor="text1"/>
                <w:sz w:val="24"/>
                <w:szCs w:val="32"/>
                <w:highlight w:val="none"/>
                <w:lang w:val="en-US" w:eastAsia="zh-CN"/>
                <w14:textFill>
                  <w14:solidFill>
                    <w14:schemeClr w14:val="tx1"/>
                  </w14:solidFill>
                </w14:textFill>
              </w:rPr>
              <w:t>4-1</w:t>
            </w:r>
            <w:r>
              <w:rPr>
                <w:rFonts w:hint="eastAsia" w:cs="宋体"/>
                <w:color w:val="000000" w:themeColor="text1"/>
                <w:sz w:val="24"/>
                <w:szCs w:val="32"/>
                <w:highlight w:val="none"/>
                <w14:textFill>
                  <w14:solidFill>
                    <w14:schemeClr w14:val="tx1"/>
                  </w14:solidFill>
                </w14:textFill>
              </w:rPr>
              <w:t>。</w:t>
            </w:r>
          </w:p>
          <w:p w14:paraId="3F7AE7DF">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(2)依托可行性分析</w:t>
            </w:r>
          </w:p>
          <w:p w14:paraId="60417919">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①接管可行性</w:t>
            </w:r>
          </w:p>
          <w:p w14:paraId="7D915693">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福建青口海峡环保有限公司(</w:t>
            </w:r>
            <w:r>
              <w:rPr>
                <w:rFonts w:hint="eastAsia"/>
                <w:color w:val="000000" w:themeColor="text1"/>
                <w:sz w:val="24"/>
                <w:szCs w:val="24"/>
                <w:highlight w:val="none"/>
                <w:lang w:eastAsia="zh-CN"/>
                <w14:textFill>
                  <w14:solidFill>
                    <w14:schemeClr w14:val="tx1"/>
                  </w14:solidFill>
                </w14:textFill>
              </w:rPr>
              <w:t>青口新区污水处理厂</w:t>
            </w:r>
            <w:r>
              <w:rPr>
                <w:rFonts w:hint="eastAsia"/>
                <w:color w:val="000000" w:themeColor="text1"/>
                <w:sz w:val="24"/>
                <w:szCs w:val="24"/>
                <w:highlight w:val="none"/>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运营期污水处理厂服务范围为青口投资区，除去青口汽车城污水厂的服务范围，包括青口镇、尚干镇和祥谦镇三个镇区部分污水处理，主要收集和处理企业工业废水和镇区居民生活污水。根据现场勘查，项目市政管网已经铺设至项目所在地</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项目出租方福建西诚电子有限公司已将厂区的污水管网接入市政污水管网，目前厂区污水可顺利排入市政污水管网送往</w:t>
            </w:r>
            <w:r>
              <w:rPr>
                <w:rFonts w:hint="eastAsia"/>
                <w:color w:val="000000" w:themeColor="text1"/>
                <w:sz w:val="24"/>
                <w:szCs w:val="24"/>
                <w:highlight w:val="none"/>
                <w14:textFill>
                  <w14:solidFill>
                    <w14:schemeClr w14:val="tx1"/>
                  </w14:solidFill>
                </w14:textFill>
              </w:rPr>
              <w:t>福建青口海峡环保有限公司(</w:t>
            </w:r>
            <w:r>
              <w:rPr>
                <w:rFonts w:hint="eastAsia"/>
                <w:color w:val="000000" w:themeColor="text1"/>
                <w:sz w:val="24"/>
                <w:szCs w:val="24"/>
                <w:highlight w:val="none"/>
                <w:lang w:eastAsia="zh-CN"/>
                <w14:textFill>
                  <w14:solidFill>
                    <w14:schemeClr w14:val="tx1"/>
                  </w14:solidFill>
                </w14:textFill>
              </w:rPr>
              <w:t>青口新区污水处理厂</w:t>
            </w:r>
            <w:r>
              <w:rPr>
                <w:rFonts w:hint="eastAsia"/>
                <w:color w:val="000000" w:themeColor="text1"/>
                <w:sz w:val="24"/>
                <w:szCs w:val="24"/>
                <w:highlight w:val="none"/>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集中处理。</w:t>
            </w:r>
          </w:p>
          <w:p w14:paraId="6ACFB33B">
            <w:pPr>
              <w:spacing w:line="360" w:lineRule="auto"/>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161280" cy="3395345"/>
                  <wp:effectExtent l="0" t="0" r="1270" b="1460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33"/>
                          <a:stretch>
                            <a:fillRect/>
                          </a:stretch>
                        </pic:blipFill>
                        <pic:spPr>
                          <a:xfrm>
                            <a:off x="0" y="0"/>
                            <a:ext cx="5161280" cy="3395345"/>
                          </a:xfrm>
                          <a:prstGeom prst="rect">
                            <a:avLst/>
                          </a:prstGeom>
                          <a:noFill/>
                          <a:ln>
                            <a:noFill/>
                          </a:ln>
                        </pic:spPr>
                      </pic:pic>
                    </a:graphicData>
                  </a:graphic>
                </wp:inline>
              </w:drawing>
            </w:r>
          </w:p>
          <w:p w14:paraId="7CEF8901">
            <w:pPr>
              <w:spacing w:line="360" w:lineRule="auto"/>
              <w:jc w:val="center"/>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图</w:t>
            </w:r>
            <w:r>
              <w:rPr>
                <w:rFonts w:hint="eastAsia"/>
                <w:b/>
                <w:bCs/>
                <w:color w:val="000000" w:themeColor="text1"/>
                <w:sz w:val="24"/>
                <w:szCs w:val="24"/>
                <w:highlight w:val="none"/>
                <w:lang w:val="en-US" w:eastAsia="zh-CN"/>
                <w14:textFill>
                  <w14:solidFill>
                    <w14:schemeClr w14:val="tx1"/>
                  </w14:solidFill>
                </w14:textFill>
              </w:rPr>
              <w:t>4-1 污水处理厂处理工艺流程图</w:t>
            </w:r>
          </w:p>
          <w:p w14:paraId="4B69F35B">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②水质负荷</w:t>
            </w:r>
          </w:p>
          <w:p w14:paraId="62288B6F">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项目生活污水直接经</w:t>
            </w:r>
            <w:r>
              <w:rPr>
                <w:rFonts w:hint="eastAsia" w:cs="宋体"/>
                <w:color w:val="000000" w:themeColor="text1"/>
                <w:sz w:val="24"/>
                <w:szCs w:val="32"/>
                <w:highlight w:val="none"/>
                <w:lang w:val="en-US" w:eastAsia="zh-CN"/>
                <w14:textFill>
                  <w14:solidFill>
                    <w14:schemeClr w14:val="tx1"/>
                  </w14:solidFill>
                </w14:textFill>
              </w:rPr>
              <w:t>隔油+</w:t>
            </w:r>
            <w:r>
              <w:rPr>
                <w:rFonts w:hint="eastAsia" w:cs="宋体"/>
                <w:color w:val="000000" w:themeColor="text1"/>
                <w:sz w:val="24"/>
                <w:szCs w:val="32"/>
                <w:highlight w:val="none"/>
                <w14:textFill>
                  <w14:solidFill>
                    <w14:schemeClr w14:val="tx1"/>
                  </w14:solidFill>
                </w14:textFill>
              </w:rPr>
              <w:t>化粪池预处理后达标排放。根据工程分析预测可知本项目厂区生活污水主要污染物排放浓度均能满足《污水综合排放标准》(GB8978-1996)表4三级标准及《污水排入城镇下水道水质标准》(GB/T31962-2015)表1中B级标准限值。</w:t>
            </w:r>
          </w:p>
          <w:p w14:paraId="008BA821">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项目生活污水不涉及有毒有害污染物，不涉及持久性、重金属，也不含有腐蚀成分，福建青口海峡环保有限公司(青口新区污水处理厂)可接纳项目污水水质，不会对污水厂水质负荷造成冲击。</w:t>
            </w:r>
          </w:p>
          <w:p w14:paraId="46F5B9EA">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③水量负荷</w:t>
            </w:r>
          </w:p>
          <w:p w14:paraId="4533CC33">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根据调查，目前福建青口海峡环保有限公司(青口新区污水处理厂)现状总处理规模3.0</w:t>
            </w:r>
            <w:r>
              <w:rPr>
                <w:rFonts w:hint="eastAsia" w:cs="宋体"/>
                <w:color w:val="000000" w:themeColor="text1"/>
                <w:sz w:val="24"/>
                <w:szCs w:val="32"/>
                <w:highlight w:val="none"/>
                <w:lang w:val="en-US" w:eastAsia="zh-CN"/>
                <w14:textFill>
                  <w14:solidFill>
                    <w14:schemeClr w14:val="tx1"/>
                  </w14:solidFill>
                </w14:textFill>
              </w:rPr>
              <w:t>万</w:t>
            </w:r>
            <w:r>
              <w:rPr>
                <w:rFonts w:hint="eastAsia" w:cs="宋体"/>
                <w:color w:val="000000" w:themeColor="text1"/>
                <w:sz w:val="24"/>
                <w:szCs w:val="32"/>
                <w:highlight w:val="none"/>
                <w14:textFill>
                  <w14:solidFill>
                    <w14:schemeClr w14:val="tx1"/>
                  </w14:solidFill>
                </w14:textFill>
              </w:rPr>
              <w:t xml:space="preserve"> t/d</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目前该污水处理厂实际处理规模</w:t>
            </w:r>
            <w:r>
              <w:rPr>
                <w:rFonts w:hint="eastAsia" w:cs="宋体"/>
                <w:color w:val="000000" w:themeColor="text1"/>
                <w:sz w:val="24"/>
                <w:szCs w:val="32"/>
                <w:highlight w:val="none"/>
                <w:lang w:val="en-US" w:eastAsia="zh-CN"/>
                <w14:textFill>
                  <w14:solidFill>
                    <w14:schemeClr w14:val="tx1"/>
                  </w14:solidFill>
                </w14:textFill>
              </w:rPr>
              <w:t>约</w:t>
            </w:r>
            <w:r>
              <w:rPr>
                <w:rFonts w:hint="eastAsia" w:cs="宋体"/>
                <w:color w:val="000000" w:themeColor="text1"/>
                <w:sz w:val="24"/>
                <w:szCs w:val="32"/>
                <w:highlight w:val="none"/>
                <w14:textFill>
                  <w14:solidFill>
                    <w14:schemeClr w14:val="tx1"/>
                  </w14:solidFill>
                </w14:textFill>
              </w:rPr>
              <w:t>为</w:t>
            </w:r>
            <w:r>
              <w:rPr>
                <w:rFonts w:hint="eastAsia" w:cs="宋体"/>
                <w:color w:val="000000" w:themeColor="text1"/>
                <w:sz w:val="24"/>
                <w:szCs w:val="32"/>
                <w:highlight w:val="none"/>
                <w:lang w:val="en-US" w:eastAsia="zh-CN"/>
                <w14:textFill>
                  <w14:solidFill>
                    <w14:schemeClr w14:val="tx1"/>
                  </w14:solidFill>
                </w14:textFill>
              </w:rPr>
              <w:t>2.5</w:t>
            </w:r>
            <w:r>
              <w:rPr>
                <w:rFonts w:hint="eastAsia" w:cs="宋体"/>
                <w:color w:val="000000" w:themeColor="text1"/>
                <w:sz w:val="24"/>
                <w:szCs w:val="32"/>
                <w:highlight w:val="none"/>
                <w14:textFill>
                  <w14:solidFill>
                    <w14:schemeClr w14:val="tx1"/>
                  </w14:solidFill>
                </w14:textFill>
              </w:rPr>
              <w:t>万t/d</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剩余处理规模</w:t>
            </w:r>
            <w:r>
              <w:rPr>
                <w:rFonts w:hint="eastAsia" w:cs="宋体"/>
                <w:color w:val="000000" w:themeColor="text1"/>
                <w:sz w:val="24"/>
                <w:szCs w:val="32"/>
                <w:highlight w:val="none"/>
                <w:lang w:val="en-US" w:eastAsia="zh-CN"/>
                <w14:textFill>
                  <w14:solidFill>
                    <w14:schemeClr w14:val="tx1"/>
                  </w14:solidFill>
                </w14:textFill>
              </w:rPr>
              <w:t>0.5</w:t>
            </w:r>
            <w:r>
              <w:rPr>
                <w:rFonts w:hint="eastAsia" w:cs="宋体"/>
                <w:color w:val="000000" w:themeColor="text1"/>
                <w:sz w:val="24"/>
                <w:szCs w:val="32"/>
                <w:highlight w:val="none"/>
                <w14:textFill>
                  <w14:solidFill>
                    <w14:schemeClr w14:val="tx1"/>
                  </w14:solidFill>
                </w14:textFill>
              </w:rPr>
              <w:t>万/d</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项目新增废水排放量为</w:t>
            </w:r>
            <w:r>
              <w:rPr>
                <w:rFonts w:hint="eastAsia" w:cs="宋体"/>
                <w:color w:val="000000" w:themeColor="text1"/>
                <w:sz w:val="24"/>
                <w:szCs w:val="32"/>
                <w:highlight w:val="none"/>
                <w:lang w:val="en-US" w:eastAsia="zh-CN"/>
                <w14:textFill>
                  <w14:solidFill>
                    <w14:schemeClr w14:val="tx1"/>
                  </w14:solidFill>
                </w14:textFill>
              </w:rPr>
              <w:t>0.8</w:t>
            </w:r>
            <w:r>
              <w:rPr>
                <w:rFonts w:hint="eastAsia" w:cs="宋体"/>
                <w:color w:val="000000" w:themeColor="text1"/>
                <w:sz w:val="24"/>
                <w:szCs w:val="32"/>
                <w:highlight w:val="none"/>
                <w14:textFill>
                  <w14:solidFill>
                    <w14:schemeClr w14:val="tx1"/>
                  </w14:solidFill>
                </w14:textFill>
              </w:rPr>
              <w:t>t/d</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仅占福建青口海峡环保有限公司(青口新区污水处理厂)剩余处理规模的0.0</w:t>
            </w:r>
            <w:r>
              <w:rPr>
                <w:rFonts w:hint="eastAsia" w:cs="宋体"/>
                <w:color w:val="000000" w:themeColor="text1"/>
                <w:sz w:val="24"/>
                <w:szCs w:val="32"/>
                <w:highlight w:val="none"/>
                <w:lang w:val="en-US" w:eastAsia="zh-CN"/>
                <w14:textFill>
                  <w14:solidFill>
                    <w14:schemeClr w14:val="tx1"/>
                  </w14:solidFill>
                </w14:textFill>
              </w:rPr>
              <w:t>16</w:t>
            </w:r>
            <w:r>
              <w:rPr>
                <w:rFonts w:hint="eastAsia" w:cs="宋体"/>
                <w:color w:val="000000" w:themeColor="text1"/>
                <w:sz w:val="24"/>
                <w:szCs w:val="32"/>
                <w:highlight w:val="none"/>
                <w14:textFill>
                  <w14:solidFill>
                    <w14:schemeClr w14:val="tx1"/>
                  </w14:solidFill>
                </w14:textFill>
              </w:rPr>
              <w:t>%，污水处理厂采用“改良型Carrouse1-2000 氧化沟”处理工艺，属于城镇污水处理厂通用工艺，因此，从处理能力及处理工艺分析，福建青口海峡环保有限公司(青口新区污水处理厂)可接纳项目废水排放量，不会对污水厂水量负荷造成冲击。</w:t>
            </w:r>
          </w:p>
          <w:p w14:paraId="45C826B4">
            <w:pPr>
              <w:pStyle w:val="37"/>
              <w:rPr>
                <w:rFonts w:hint="default"/>
                <w:color w:val="000000" w:themeColor="text1"/>
                <w:sz w:val="24"/>
                <w:szCs w:val="21"/>
                <w:highlight w:val="none"/>
                <w:lang w:val="en-US" w:eastAsia="zh-CN"/>
                <w14:textFill>
                  <w14:solidFill>
                    <w14:schemeClr w14:val="tx1"/>
                  </w14:solidFill>
                </w14:textFill>
              </w:rPr>
            </w:pPr>
            <w:r>
              <w:rPr>
                <w:rFonts w:hint="default"/>
                <w:color w:val="000000" w:themeColor="text1"/>
                <w:sz w:val="24"/>
                <w:szCs w:val="21"/>
                <w:highlight w:val="none"/>
                <w:lang w:val="en-US" w:eastAsia="zh-CN"/>
                <w14:textFill>
                  <w14:solidFill>
                    <w14:schemeClr w14:val="tx1"/>
                  </w14:solidFill>
                </w14:textFill>
              </w:rPr>
              <w:t>4.2.</w:t>
            </w:r>
            <w:r>
              <w:rPr>
                <w:rFonts w:hint="eastAsia"/>
                <w:color w:val="000000" w:themeColor="text1"/>
                <w:sz w:val="24"/>
                <w:szCs w:val="21"/>
                <w:highlight w:val="none"/>
                <w:lang w:val="en-US" w:eastAsia="zh-CN"/>
                <w14:textFill>
                  <w14:solidFill>
                    <w14:schemeClr w14:val="tx1"/>
                  </w14:solidFill>
                </w14:textFill>
              </w:rPr>
              <w:t>3</w:t>
            </w:r>
            <w:r>
              <w:rPr>
                <w:rFonts w:hint="default"/>
                <w:color w:val="000000" w:themeColor="text1"/>
                <w:sz w:val="24"/>
                <w:szCs w:val="21"/>
                <w:highlight w:val="none"/>
                <w:lang w:val="en-US" w:eastAsia="zh-CN"/>
                <w14:textFill>
                  <w14:solidFill>
                    <w14:schemeClr w14:val="tx1"/>
                  </w14:solidFill>
                </w14:textFill>
              </w:rPr>
              <w:t xml:space="preserve"> </w:t>
            </w:r>
            <w:r>
              <w:rPr>
                <w:rFonts w:hint="eastAsia"/>
                <w:color w:val="000000" w:themeColor="text1"/>
                <w:sz w:val="24"/>
                <w:szCs w:val="21"/>
                <w:highlight w:val="none"/>
                <w:lang w:val="en-US" w:eastAsia="zh-CN"/>
                <w14:textFill>
                  <w14:solidFill>
                    <w14:schemeClr w14:val="tx1"/>
                  </w14:solidFill>
                </w14:textFill>
              </w:rPr>
              <w:t>小结</w:t>
            </w:r>
          </w:p>
          <w:p w14:paraId="77BE685B">
            <w:pPr>
              <w:spacing w:line="360" w:lineRule="auto"/>
              <w:ind w:firstLine="480" w:firstLineChars="200"/>
              <w:rPr>
                <w:color w:val="000000" w:themeColor="text1"/>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根据上述分析，项目废水经处理达标后可直接排入</w:t>
            </w:r>
            <w:r>
              <w:rPr>
                <w:rFonts w:hint="eastAsia" w:cs="宋体"/>
                <w:color w:val="000000" w:themeColor="text1"/>
                <w:sz w:val="24"/>
                <w:szCs w:val="32"/>
                <w:highlight w:val="none"/>
                <w:lang w:val="en-US" w:eastAsia="zh-CN"/>
                <w14:textFill>
                  <w14:solidFill>
                    <w14:schemeClr w14:val="tx1"/>
                  </w14:solidFill>
                </w14:textFill>
              </w:rPr>
              <w:t>市政</w:t>
            </w:r>
            <w:r>
              <w:rPr>
                <w:rFonts w:hint="eastAsia" w:cs="宋体"/>
                <w:color w:val="000000" w:themeColor="text1"/>
                <w:sz w:val="24"/>
                <w:szCs w:val="32"/>
                <w:highlight w:val="none"/>
                <w14:textFill>
                  <w14:solidFill>
                    <w14:schemeClr w14:val="tx1"/>
                  </w14:solidFill>
                </w14:textFill>
              </w:rPr>
              <w:t>污水管网，最终</w:t>
            </w:r>
            <w:r>
              <w:rPr>
                <w:rFonts w:hint="eastAsia" w:cs="宋体"/>
                <w:color w:val="000000" w:themeColor="text1"/>
                <w:sz w:val="24"/>
                <w:szCs w:val="32"/>
                <w:highlight w:val="none"/>
                <w:lang w:val="en-US" w:eastAsia="zh-CN"/>
                <w14:textFill>
                  <w14:solidFill>
                    <w14:schemeClr w14:val="tx1"/>
                  </w14:solidFill>
                </w14:textFill>
              </w:rPr>
              <w:t>统一</w:t>
            </w:r>
            <w:r>
              <w:rPr>
                <w:rFonts w:hint="eastAsia" w:cs="宋体"/>
                <w:color w:val="000000" w:themeColor="text1"/>
                <w:sz w:val="24"/>
                <w:szCs w:val="32"/>
                <w:highlight w:val="none"/>
                <w14:textFill>
                  <w14:solidFill>
                    <w14:schemeClr w14:val="tx1"/>
                  </w14:solidFill>
                </w14:textFill>
              </w:rPr>
              <w:t>送往福建青口海峡环保有限公司(青口新区污水处理厂)集中处理达标后排放</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14:textFill>
                  <w14:solidFill>
                    <w14:schemeClr w14:val="tx1"/>
                  </w14:solidFill>
                </w14:textFill>
              </w:rPr>
              <w:t>项目废水水质、水量不会对污水处理厂造成负荷冲击，项目污水不直接排入地表水体，因此不会对区域地表水环境产生直接不利影响。</w:t>
            </w:r>
          </w:p>
          <w:p w14:paraId="3E67FB64">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4.</w:t>
            </w:r>
            <w:r>
              <w:rPr>
                <w:rFonts w:hint="eastAsia"/>
                <w:color w:val="000000" w:themeColor="text1"/>
                <w:sz w:val="24"/>
                <w:szCs w:val="21"/>
                <w:highlight w:val="none"/>
                <w:lang w:val="en-US" w:eastAsia="zh-CN"/>
                <w14:textFill>
                  <w14:solidFill>
                    <w14:schemeClr w14:val="tx1"/>
                  </w14:solidFill>
                </w14:textFill>
              </w:rPr>
              <w:t>3</w:t>
            </w:r>
            <w:r>
              <w:rPr>
                <w:color w:val="000000" w:themeColor="text1"/>
                <w:sz w:val="24"/>
                <w:szCs w:val="21"/>
                <w:highlight w:val="none"/>
                <w14:textFill>
                  <w14:solidFill>
                    <w14:schemeClr w14:val="tx1"/>
                  </w14:solidFill>
                </w14:textFill>
              </w:rPr>
              <w:t xml:space="preserve"> </w:t>
            </w:r>
            <w:r>
              <w:rPr>
                <w:rFonts w:hint="eastAsia"/>
                <w:color w:val="000000" w:themeColor="text1"/>
                <w:sz w:val="24"/>
                <w:szCs w:val="21"/>
                <w:highlight w:val="none"/>
                <w14:textFill>
                  <w14:solidFill>
                    <w14:schemeClr w14:val="tx1"/>
                  </w14:solidFill>
                </w14:textFill>
              </w:rPr>
              <w:t>运营期声环境影响分析和污染防治措施</w:t>
            </w:r>
          </w:p>
          <w:p w14:paraId="19546FF6">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1、噪声源强</w:t>
            </w:r>
          </w:p>
          <w:p w14:paraId="30704E91">
            <w:pPr>
              <w:spacing w:line="360" w:lineRule="auto"/>
              <w:ind w:firstLine="480" w:firstLineChars="200"/>
              <w:rPr>
                <w:rFonts w:hint="eastAsia" w:eastAsia="宋体" w:cs="宋体"/>
                <w:color w:val="000000" w:themeColor="text1"/>
                <w:sz w:val="24"/>
                <w:szCs w:val="32"/>
                <w:highlight w:val="none"/>
                <w:lang w:eastAsia="zh-CN"/>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本项目噪声主要为各种机械设备运行过程中产生的噪声，本次评价主要采用类比法，类比同类型项目对噪声污染源源强进行核算，本项目实施后全厂具体主要噪声源强详见下表</w:t>
            </w:r>
            <w:r>
              <w:rPr>
                <w:rFonts w:hint="eastAsia" w:cs="宋体"/>
                <w:color w:val="000000" w:themeColor="text1"/>
                <w:sz w:val="24"/>
                <w:szCs w:val="32"/>
                <w:highlight w:val="none"/>
                <w:lang w:eastAsia="zh-CN"/>
                <w14:textFill>
                  <w14:solidFill>
                    <w14:schemeClr w14:val="tx1"/>
                  </w14:solidFill>
                </w14:textFill>
              </w:rPr>
              <w:t>。</w:t>
            </w:r>
          </w:p>
          <w:p w14:paraId="75FD44F0">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 4-6  项目噪声源强调查结果单位 dB(A)</w:t>
            </w:r>
          </w:p>
          <w:tbl>
            <w:tblPr>
              <w:tblStyle w:val="30"/>
              <w:tblW w:w="0" w:type="auto"/>
              <w:tblInd w:w="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04"/>
              <w:gridCol w:w="720"/>
              <w:gridCol w:w="540"/>
              <w:gridCol w:w="780"/>
              <w:gridCol w:w="960"/>
              <w:gridCol w:w="1980"/>
              <w:gridCol w:w="870"/>
              <w:gridCol w:w="915"/>
              <w:gridCol w:w="544"/>
            </w:tblGrid>
            <w:tr w14:paraId="782FD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04" w:type="dxa"/>
                  <w:vMerge w:val="restart"/>
                  <w:shd w:val="clear" w:color="auto" w:fill="auto"/>
                  <w:vAlign w:val="center"/>
                </w:tcPr>
                <w:p w14:paraId="511AF29A">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噪声源</w:t>
                  </w:r>
                </w:p>
              </w:tc>
              <w:tc>
                <w:tcPr>
                  <w:tcW w:w="720" w:type="dxa"/>
                  <w:vMerge w:val="restart"/>
                  <w:shd w:val="clear" w:color="auto" w:fill="auto"/>
                  <w:vAlign w:val="center"/>
                </w:tcPr>
                <w:p w14:paraId="1767EBBE">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空间位置信息</w:t>
                  </w:r>
                </w:p>
              </w:tc>
              <w:tc>
                <w:tcPr>
                  <w:tcW w:w="540" w:type="dxa"/>
                  <w:vMerge w:val="restart"/>
                  <w:shd w:val="clear" w:color="auto" w:fill="auto"/>
                  <w:vAlign w:val="center"/>
                </w:tcPr>
                <w:p w14:paraId="2CD7A3DA">
                  <w:pPr>
                    <w:pStyle w:val="36"/>
                    <w:autoSpaceDE/>
                    <w:autoSpaceDN/>
                    <w:spacing w:before="0"/>
                    <w:ind w:left="0"/>
                    <w:jc w:val="center"/>
                    <w:rPr>
                      <w:rFonts w:hint="eastAsia"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数量</w:t>
                  </w:r>
                </w:p>
              </w:tc>
              <w:tc>
                <w:tcPr>
                  <w:tcW w:w="780" w:type="dxa"/>
                  <w:vMerge w:val="restart"/>
                  <w:shd w:val="clear" w:color="auto" w:fill="auto"/>
                  <w:vAlign w:val="center"/>
                </w:tcPr>
                <w:p w14:paraId="1DFA52CE">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声源类型</w:t>
                  </w:r>
                </w:p>
              </w:tc>
              <w:tc>
                <w:tcPr>
                  <w:tcW w:w="960" w:type="dxa"/>
                  <w:vMerge w:val="restart"/>
                  <w:shd w:val="clear" w:color="auto" w:fill="auto"/>
                  <w:vAlign w:val="center"/>
                </w:tcPr>
                <w:p w14:paraId="46309CA3">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噪声源强dB(A)</w:t>
                  </w:r>
                </w:p>
              </w:tc>
              <w:tc>
                <w:tcPr>
                  <w:tcW w:w="2850" w:type="dxa"/>
                  <w:gridSpan w:val="2"/>
                  <w:shd w:val="clear" w:color="auto" w:fill="auto"/>
                  <w:vAlign w:val="center"/>
                </w:tcPr>
                <w:p w14:paraId="791DE2F6">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降噪措施</w:t>
                  </w:r>
                </w:p>
              </w:tc>
              <w:tc>
                <w:tcPr>
                  <w:tcW w:w="915" w:type="dxa"/>
                  <w:vMerge w:val="restart"/>
                  <w:shd w:val="clear" w:color="auto" w:fill="auto"/>
                  <w:vAlign w:val="center"/>
                </w:tcPr>
                <w:p w14:paraId="4FB6BC8C">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噪声最大排放值(dB(A))</w:t>
                  </w:r>
                </w:p>
              </w:tc>
              <w:tc>
                <w:tcPr>
                  <w:tcW w:w="544" w:type="dxa"/>
                  <w:vMerge w:val="restart"/>
                  <w:shd w:val="clear" w:color="auto" w:fill="auto"/>
                  <w:vAlign w:val="center"/>
                </w:tcPr>
                <w:p w14:paraId="4AA21D46">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持续时间</w:t>
                  </w:r>
                </w:p>
              </w:tc>
            </w:tr>
            <w:tr w14:paraId="0D2D5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 w:hRule="atLeast"/>
              </w:trPr>
              <w:tc>
                <w:tcPr>
                  <w:tcW w:w="804" w:type="dxa"/>
                  <w:vMerge w:val="continue"/>
                  <w:shd w:val="clear" w:color="auto" w:fill="auto"/>
                  <w:vAlign w:val="center"/>
                </w:tcPr>
                <w:p w14:paraId="72AE0C7E">
                  <w:pPr>
                    <w:jc w:val="center"/>
                    <w:rPr>
                      <w:color w:val="000000" w:themeColor="text1"/>
                      <w:sz w:val="21"/>
                      <w:szCs w:val="21"/>
                      <w:highlight w:val="none"/>
                      <w:lang w:eastAsia="en-US"/>
                      <w14:textFill>
                        <w14:solidFill>
                          <w14:schemeClr w14:val="tx1"/>
                        </w14:solidFill>
                      </w14:textFill>
                    </w:rPr>
                  </w:pPr>
                </w:p>
              </w:tc>
              <w:tc>
                <w:tcPr>
                  <w:tcW w:w="720" w:type="dxa"/>
                  <w:vMerge w:val="continue"/>
                  <w:shd w:val="clear" w:color="auto" w:fill="auto"/>
                  <w:vAlign w:val="center"/>
                </w:tcPr>
                <w:p w14:paraId="7F8017D9">
                  <w:pPr>
                    <w:jc w:val="center"/>
                    <w:rPr>
                      <w:color w:val="000000" w:themeColor="text1"/>
                      <w:sz w:val="21"/>
                      <w:szCs w:val="21"/>
                      <w:highlight w:val="none"/>
                      <w:lang w:eastAsia="en-US"/>
                      <w14:textFill>
                        <w14:solidFill>
                          <w14:schemeClr w14:val="tx1"/>
                        </w14:solidFill>
                      </w14:textFill>
                    </w:rPr>
                  </w:pPr>
                </w:p>
              </w:tc>
              <w:tc>
                <w:tcPr>
                  <w:tcW w:w="540" w:type="dxa"/>
                  <w:vMerge w:val="continue"/>
                  <w:shd w:val="clear" w:color="auto" w:fill="auto"/>
                  <w:vAlign w:val="center"/>
                </w:tcPr>
                <w:p w14:paraId="6970B7DF">
                  <w:pPr>
                    <w:jc w:val="center"/>
                    <w:rPr>
                      <w:color w:val="000000" w:themeColor="text1"/>
                      <w:sz w:val="21"/>
                      <w:szCs w:val="21"/>
                      <w:highlight w:val="none"/>
                      <w:lang w:eastAsia="en-US"/>
                      <w14:textFill>
                        <w14:solidFill>
                          <w14:schemeClr w14:val="tx1"/>
                        </w14:solidFill>
                      </w14:textFill>
                    </w:rPr>
                  </w:pPr>
                </w:p>
              </w:tc>
              <w:tc>
                <w:tcPr>
                  <w:tcW w:w="780" w:type="dxa"/>
                  <w:vMerge w:val="continue"/>
                  <w:shd w:val="clear" w:color="auto" w:fill="auto"/>
                  <w:vAlign w:val="center"/>
                </w:tcPr>
                <w:p w14:paraId="1A56570C">
                  <w:pPr>
                    <w:jc w:val="center"/>
                    <w:rPr>
                      <w:color w:val="000000" w:themeColor="text1"/>
                      <w:sz w:val="21"/>
                      <w:szCs w:val="21"/>
                      <w:highlight w:val="none"/>
                      <w:lang w:eastAsia="en-US"/>
                      <w14:textFill>
                        <w14:solidFill>
                          <w14:schemeClr w14:val="tx1"/>
                        </w14:solidFill>
                      </w14:textFill>
                    </w:rPr>
                  </w:pPr>
                </w:p>
              </w:tc>
              <w:tc>
                <w:tcPr>
                  <w:tcW w:w="960" w:type="dxa"/>
                  <w:vMerge w:val="continue"/>
                  <w:shd w:val="clear" w:color="auto" w:fill="auto"/>
                  <w:vAlign w:val="center"/>
                </w:tcPr>
                <w:p w14:paraId="2EEFE2B1">
                  <w:pPr>
                    <w:jc w:val="center"/>
                    <w:rPr>
                      <w:color w:val="000000" w:themeColor="text1"/>
                      <w:sz w:val="21"/>
                      <w:szCs w:val="21"/>
                      <w:highlight w:val="none"/>
                      <w:lang w:eastAsia="en-US"/>
                      <w14:textFill>
                        <w14:solidFill>
                          <w14:schemeClr w14:val="tx1"/>
                        </w14:solidFill>
                      </w14:textFill>
                    </w:rPr>
                  </w:pPr>
                </w:p>
              </w:tc>
              <w:tc>
                <w:tcPr>
                  <w:tcW w:w="1980" w:type="dxa"/>
                  <w:shd w:val="clear" w:color="auto" w:fill="auto"/>
                  <w:vAlign w:val="center"/>
                </w:tcPr>
                <w:p w14:paraId="6C69F873">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工艺</w:t>
                  </w:r>
                </w:p>
              </w:tc>
              <w:tc>
                <w:tcPr>
                  <w:tcW w:w="870" w:type="dxa"/>
                  <w:shd w:val="clear" w:color="auto" w:fill="auto"/>
                  <w:vAlign w:val="center"/>
                </w:tcPr>
                <w:p w14:paraId="634EECF9">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降噪效果</w:t>
                  </w:r>
                </w:p>
                <w:p w14:paraId="379E8D53">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dB(A)</w:t>
                  </w:r>
                </w:p>
              </w:tc>
              <w:tc>
                <w:tcPr>
                  <w:tcW w:w="915" w:type="dxa"/>
                  <w:vMerge w:val="continue"/>
                  <w:shd w:val="clear" w:color="auto" w:fill="auto"/>
                  <w:vAlign w:val="center"/>
                </w:tcPr>
                <w:p w14:paraId="25198571">
                  <w:pPr>
                    <w:jc w:val="center"/>
                    <w:rPr>
                      <w:color w:val="000000" w:themeColor="text1"/>
                      <w:sz w:val="21"/>
                      <w:szCs w:val="21"/>
                      <w:highlight w:val="none"/>
                      <w:lang w:eastAsia="en-US"/>
                      <w14:textFill>
                        <w14:solidFill>
                          <w14:schemeClr w14:val="tx1"/>
                        </w14:solidFill>
                      </w14:textFill>
                    </w:rPr>
                  </w:pPr>
                </w:p>
              </w:tc>
              <w:tc>
                <w:tcPr>
                  <w:tcW w:w="544" w:type="dxa"/>
                  <w:vMerge w:val="continue"/>
                  <w:shd w:val="clear" w:color="auto" w:fill="auto"/>
                  <w:vAlign w:val="center"/>
                </w:tcPr>
                <w:p w14:paraId="131E6C20">
                  <w:pPr>
                    <w:jc w:val="center"/>
                    <w:rPr>
                      <w:color w:val="000000" w:themeColor="text1"/>
                      <w:sz w:val="21"/>
                      <w:szCs w:val="21"/>
                      <w:highlight w:val="none"/>
                      <w:lang w:eastAsia="en-US"/>
                      <w14:textFill>
                        <w14:solidFill>
                          <w14:schemeClr w14:val="tx1"/>
                        </w14:solidFill>
                      </w14:textFill>
                    </w:rPr>
                  </w:pPr>
                </w:p>
              </w:tc>
            </w:tr>
            <w:tr w14:paraId="510CF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04" w:type="dxa"/>
                  <w:shd w:val="clear" w:color="auto" w:fill="auto"/>
                  <w:vAlign w:val="center"/>
                </w:tcPr>
                <w:p w14:paraId="54890214">
                  <w:pPr>
                    <w:pStyle w:val="36"/>
                    <w:autoSpaceDE/>
                    <w:autoSpaceDN/>
                    <w:spacing w:before="0"/>
                    <w:ind w:left="0"/>
                    <w:jc w:val="center"/>
                    <w:rPr>
                      <w:rFonts w:hint="eastAsia"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搅拌机</w:t>
                  </w:r>
                </w:p>
              </w:tc>
              <w:tc>
                <w:tcPr>
                  <w:tcW w:w="720" w:type="dxa"/>
                  <w:shd w:val="clear" w:color="auto" w:fill="auto"/>
                  <w:vAlign w:val="center"/>
                </w:tcPr>
                <w:p w14:paraId="1EF5E609">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室内</w:t>
                  </w:r>
                </w:p>
              </w:tc>
              <w:tc>
                <w:tcPr>
                  <w:tcW w:w="540" w:type="dxa"/>
                  <w:shd w:val="clear" w:color="auto" w:fill="auto"/>
                  <w:vAlign w:val="center"/>
                </w:tcPr>
                <w:p w14:paraId="14449A35">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3</w:t>
                  </w:r>
                </w:p>
              </w:tc>
              <w:tc>
                <w:tcPr>
                  <w:tcW w:w="780" w:type="dxa"/>
                  <w:shd w:val="clear" w:color="auto" w:fill="auto"/>
                  <w:vAlign w:val="center"/>
                </w:tcPr>
                <w:p w14:paraId="45FFDA3B">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频发</w:t>
                  </w:r>
                </w:p>
              </w:tc>
              <w:tc>
                <w:tcPr>
                  <w:tcW w:w="960" w:type="dxa"/>
                  <w:shd w:val="clear" w:color="auto" w:fill="auto"/>
                  <w:vAlign w:val="center"/>
                </w:tcPr>
                <w:p w14:paraId="0E7E7BED">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85</w:t>
                  </w:r>
                </w:p>
              </w:tc>
              <w:tc>
                <w:tcPr>
                  <w:tcW w:w="1980" w:type="dxa"/>
                  <w:shd w:val="clear" w:color="auto" w:fill="auto"/>
                  <w:vAlign w:val="center"/>
                </w:tcPr>
                <w:p w14:paraId="4A6B2144">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基础减震+厂房隔声</w:t>
                  </w:r>
                </w:p>
              </w:tc>
              <w:tc>
                <w:tcPr>
                  <w:tcW w:w="870" w:type="dxa"/>
                  <w:shd w:val="clear" w:color="auto" w:fill="auto"/>
                  <w:vAlign w:val="center"/>
                </w:tcPr>
                <w:p w14:paraId="37273A79">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25</w:t>
                  </w:r>
                </w:p>
              </w:tc>
              <w:tc>
                <w:tcPr>
                  <w:tcW w:w="915" w:type="dxa"/>
                  <w:shd w:val="clear" w:color="auto" w:fill="auto"/>
                  <w:vAlign w:val="center"/>
                </w:tcPr>
                <w:p w14:paraId="045F65FB">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60</w:t>
                  </w:r>
                </w:p>
              </w:tc>
              <w:tc>
                <w:tcPr>
                  <w:tcW w:w="544" w:type="dxa"/>
                  <w:shd w:val="clear" w:color="auto" w:fill="auto"/>
                  <w:vAlign w:val="center"/>
                </w:tcPr>
                <w:p w14:paraId="55CDADAA">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Times New Roman" w:hAnsi="Times New Roman" w:cs="Times New Roman"/>
                      <w:color w:val="000000" w:themeColor="text1"/>
                      <w:kern w:val="2"/>
                      <w:sz w:val="21"/>
                      <w:szCs w:val="21"/>
                      <w:highlight w:val="none"/>
                      <w14:textFill>
                        <w14:solidFill>
                          <w14:schemeClr w14:val="tx1"/>
                        </w14:solidFill>
                      </w14:textFill>
                    </w:rPr>
                    <w:t>连续</w:t>
                  </w:r>
                </w:p>
              </w:tc>
            </w:tr>
            <w:tr w14:paraId="5AFCD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04" w:type="dxa"/>
                  <w:shd w:val="clear" w:color="auto" w:fill="auto"/>
                  <w:vAlign w:val="center"/>
                </w:tcPr>
                <w:p w14:paraId="2A5F46EE">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吹塑机</w:t>
                  </w:r>
                </w:p>
              </w:tc>
              <w:tc>
                <w:tcPr>
                  <w:tcW w:w="720" w:type="dxa"/>
                  <w:shd w:val="clear" w:color="auto" w:fill="auto"/>
                  <w:vAlign w:val="center"/>
                </w:tcPr>
                <w:p w14:paraId="638BBEA0">
                  <w:pPr>
                    <w:pStyle w:val="36"/>
                    <w:autoSpaceDE/>
                    <w:autoSpaceDN/>
                    <w:spacing w:before="0"/>
                    <w:ind w:left="0"/>
                    <w:jc w:val="cente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室内</w:t>
                  </w:r>
                </w:p>
              </w:tc>
              <w:tc>
                <w:tcPr>
                  <w:tcW w:w="540" w:type="dxa"/>
                  <w:shd w:val="clear" w:color="auto" w:fill="auto"/>
                  <w:vAlign w:val="center"/>
                </w:tcPr>
                <w:p w14:paraId="621B13AE">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7</w:t>
                  </w:r>
                </w:p>
              </w:tc>
              <w:tc>
                <w:tcPr>
                  <w:tcW w:w="780" w:type="dxa"/>
                  <w:shd w:val="clear" w:color="auto" w:fill="auto"/>
                  <w:vAlign w:val="center"/>
                </w:tcPr>
                <w:p w14:paraId="1B2A7967">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频发</w:t>
                  </w:r>
                </w:p>
              </w:tc>
              <w:tc>
                <w:tcPr>
                  <w:tcW w:w="960" w:type="dxa"/>
                  <w:shd w:val="clear" w:color="auto" w:fill="auto"/>
                  <w:vAlign w:val="center"/>
                </w:tcPr>
                <w:p w14:paraId="6A9A1CDB">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85</w:t>
                  </w:r>
                </w:p>
              </w:tc>
              <w:tc>
                <w:tcPr>
                  <w:tcW w:w="1980" w:type="dxa"/>
                  <w:shd w:val="clear" w:color="auto" w:fill="auto"/>
                  <w:vAlign w:val="center"/>
                </w:tcPr>
                <w:p w14:paraId="44D8A1B2">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基础减震+厂房隔声</w:t>
                  </w:r>
                </w:p>
              </w:tc>
              <w:tc>
                <w:tcPr>
                  <w:tcW w:w="870" w:type="dxa"/>
                  <w:shd w:val="clear" w:color="auto" w:fill="auto"/>
                  <w:vAlign w:val="center"/>
                </w:tcPr>
                <w:p w14:paraId="04CEA321">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25</w:t>
                  </w:r>
                </w:p>
              </w:tc>
              <w:tc>
                <w:tcPr>
                  <w:tcW w:w="915" w:type="dxa"/>
                  <w:shd w:val="clear" w:color="auto" w:fill="auto"/>
                  <w:vAlign w:val="center"/>
                </w:tcPr>
                <w:p w14:paraId="4AD1994F">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60</w:t>
                  </w:r>
                </w:p>
              </w:tc>
              <w:tc>
                <w:tcPr>
                  <w:tcW w:w="544" w:type="dxa"/>
                  <w:shd w:val="clear" w:color="auto" w:fill="auto"/>
                  <w:vAlign w:val="center"/>
                </w:tcPr>
                <w:p w14:paraId="2A927473">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Times New Roman" w:hAnsi="Times New Roman" w:cs="Times New Roman"/>
                      <w:color w:val="000000" w:themeColor="text1"/>
                      <w:kern w:val="2"/>
                      <w:sz w:val="21"/>
                      <w:szCs w:val="21"/>
                      <w:highlight w:val="none"/>
                      <w14:textFill>
                        <w14:solidFill>
                          <w14:schemeClr w14:val="tx1"/>
                        </w14:solidFill>
                      </w14:textFill>
                    </w:rPr>
                    <w:t>连续</w:t>
                  </w:r>
                </w:p>
              </w:tc>
            </w:tr>
            <w:tr w14:paraId="28801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04" w:type="dxa"/>
                  <w:shd w:val="clear" w:color="auto" w:fill="auto"/>
                  <w:vAlign w:val="center"/>
                </w:tcPr>
                <w:p w14:paraId="45039535">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制袋机</w:t>
                  </w:r>
                </w:p>
              </w:tc>
              <w:tc>
                <w:tcPr>
                  <w:tcW w:w="720" w:type="dxa"/>
                  <w:shd w:val="clear" w:color="auto" w:fill="auto"/>
                  <w:vAlign w:val="center"/>
                </w:tcPr>
                <w:p w14:paraId="4A91BB63">
                  <w:pPr>
                    <w:pStyle w:val="36"/>
                    <w:autoSpaceDE/>
                    <w:autoSpaceDN/>
                    <w:spacing w:before="0"/>
                    <w:ind w:left="0"/>
                    <w:jc w:val="cente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室内</w:t>
                  </w:r>
                </w:p>
              </w:tc>
              <w:tc>
                <w:tcPr>
                  <w:tcW w:w="540" w:type="dxa"/>
                  <w:shd w:val="clear" w:color="auto" w:fill="auto"/>
                  <w:vAlign w:val="center"/>
                </w:tcPr>
                <w:p w14:paraId="6B319B49">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9</w:t>
                  </w:r>
                </w:p>
              </w:tc>
              <w:tc>
                <w:tcPr>
                  <w:tcW w:w="780" w:type="dxa"/>
                  <w:shd w:val="clear" w:color="auto" w:fill="auto"/>
                  <w:vAlign w:val="center"/>
                </w:tcPr>
                <w:p w14:paraId="428B11F3">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频发</w:t>
                  </w:r>
                </w:p>
              </w:tc>
              <w:tc>
                <w:tcPr>
                  <w:tcW w:w="960" w:type="dxa"/>
                  <w:shd w:val="clear" w:color="auto" w:fill="auto"/>
                  <w:vAlign w:val="center"/>
                </w:tcPr>
                <w:p w14:paraId="5FF32F1C">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70</w:t>
                  </w:r>
                </w:p>
              </w:tc>
              <w:tc>
                <w:tcPr>
                  <w:tcW w:w="1980" w:type="dxa"/>
                  <w:shd w:val="clear" w:color="auto" w:fill="auto"/>
                  <w:vAlign w:val="center"/>
                </w:tcPr>
                <w:p w14:paraId="49854B22">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基础减震+厂房隔声</w:t>
                  </w:r>
                </w:p>
              </w:tc>
              <w:tc>
                <w:tcPr>
                  <w:tcW w:w="870" w:type="dxa"/>
                  <w:shd w:val="clear" w:color="auto" w:fill="auto"/>
                  <w:vAlign w:val="center"/>
                </w:tcPr>
                <w:p w14:paraId="3AD27AE7">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25</w:t>
                  </w:r>
                </w:p>
              </w:tc>
              <w:tc>
                <w:tcPr>
                  <w:tcW w:w="915" w:type="dxa"/>
                  <w:shd w:val="clear" w:color="auto" w:fill="auto"/>
                  <w:vAlign w:val="center"/>
                </w:tcPr>
                <w:p w14:paraId="605A4AE6">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45</w:t>
                  </w:r>
                </w:p>
              </w:tc>
              <w:tc>
                <w:tcPr>
                  <w:tcW w:w="544" w:type="dxa"/>
                  <w:shd w:val="clear" w:color="auto" w:fill="auto"/>
                  <w:vAlign w:val="center"/>
                </w:tcPr>
                <w:p w14:paraId="6E10259F">
                  <w:pPr>
                    <w:jc w:val="center"/>
                    <w:rPr>
                      <w:color w:val="000000" w:themeColor="text1"/>
                      <w:sz w:val="21"/>
                      <w:szCs w:val="21"/>
                      <w:highlight w:val="none"/>
                      <w:lang w:eastAsia="en-US"/>
                      <w14:textFill>
                        <w14:solidFill>
                          <w14:schemeClr w14:val="tx1"/>
                        </w14:solidFill>
                      </w14:textFill>
                    </w:rPr>
                  </w:pPr>
                  <w:r>
                    <w:rPr>
                      <w:rFonts w:hint="eastAsia"/>
                      <w:color w:val="000000" w:themeColor="text1"/>
                      <w:sz w:val="21"/>
                      <w:szCs w:val="21"/>
                      <w:highlight w:val="none"/>
                      <w:lang w:eastAsia="en-US"/>
                      <w14:textFill>
                        <w14:solidFill>
                          <w14:schemeClr w14:val="tx1"/>
                        </w14:solidFill>
                      </w14:textFill>
                    </w:rPr>
                    <w:t>连续</w:t>
                  </w:r>
                </w:p>
              </w:tc>
            </w:tr>
            <w:tr w14:paraId="13E54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804" w:type="dxa"/>
                  <w:shd w:val="clear" w:color="auto" w:fill="auto"/>
                  <w:vAlign w:val="center"/>
                </w:tcPr>
                <w:p w14:paraId="47F7973C">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自动包装机</w:t>
                  </w:r>
                </w:p>
              </w:tc>
              <w:tc>
                <w:tcPr>
                  <w:tcW w:w="720" w:type="dxa"/>
                  <w:shd w:val="clear" w:color="auto" w:fill="auto"/>
                  <w:vAlign w:val="center"/>
                </w:tcPr>
                <w:p w14:paraId="640B87B8">
                  <w:pPr>
                    <w:pStyle w:val="36"/>
                    <w:autoSpaceDE/>
                    <w:autoSpaceDN/>
                    <w:spacing w:before="0"/>
                    <w:ind w:left="0"/>
                    <w:jc w:val="cente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室内</w:t>
                  </w:r>
                </w:p>
              </w:tc>
              <w:tc>
                <w:tcPr>
                  <w:tcW w:w="540" w:type="dxa"/>
                  <w:shd w:val="clear" w:color="auto" w:fill="auto"/>
                  <w:vAlign w:val="center"/>
                </w:tcPr>
                <w:p w14:paraId="10EAE26D">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2</w:t>
                  </w:r>
                </w:p>
              </w:tc>
              <w:tc>
                <w:tcPr>
                  <w:tcW w:w="780" w:type="dxa"/>
                  <w:shd w:val="clear" w:color="auto" w:fill="auto"/>
                  <w:vAlign w:val="center"/>
                </w:tcPr>
                <w:p w14:paraId="2A6D2A3B">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频发</w:t>
                  </w:r>
                </w:p>
              </w:tc>
              <w:tc>
                <w:tcPr>
                  <w:tcW w:w="960" w:type="dxa"/>
                  <w:shd w:val="clear" w:color="auto" w:fill="auto"/>
                  <w:vAlign w:val="center"/>
                </w:tcPr>
                <w:p w14:paraId="6D9E66C1">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70</w:t>
                  </w:r>
                </w:p>
              </w:tc>
              <w:tc>
                <w:tcPr>
                  <w:tcW w:w="1980" w:type="dxa"/>
                  <w:shd w:val="clear" w:color="auto" w:fill="auto"/>
                  <w:vAlign w:val="center"/>
                </w:tcPr>
                <w:p w14:paraId="7B76ED2D">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基础减震+厂房隔声</w:t>
                  </w:r>
                </w:p>
              </w:tc>
              <w:tc>
                <w:tcPr>
                  <w:tcW w:w="870" w:type="dxa"/>
                  <w:shd w:val="clear" w:color="auto" w:fill="auto"/>
                  <w:vAlign w:val="center"/>
                </w:tcPr>
                <w:p w14:paraId="7288FDB2">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25</w:t>
                  </w:r>
                </w:p>
              </w:tc>
              <w:tc>
                <w:tcPr>
                  <w:tcW w:w="915" w:type="dxa"/>
                  <w:shd w:val="clear" w:color="auto" w:fill="auto"/>
                  <w:vAlign w:val="center"/>
                </w:tcPr>
                <w:p w14:paraId="0350DCC9">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45</w:t>
                  </w:r>
                </w:p>
              </w:tc>
              <w:tc>
                <w:tcPr>
                  <w:tcW w:w="544" w:type="dxa"/>
                  <w:shd w:val="clear" w:color="auto" w:fill="auto"/>
                  <w:vAlign w:val="center"/>
                </w:tcPr>
                <w:p w14:paraId="4B053A80">
                  <w:pPr>
                    <w:jc w:val="center"/>
                    <w:rPr>
                      <w:color w:val="000000" w:themeColor="text1"/>
                      <w:sz w:val="21"/>
                      <w:szCs w:val="21"/>
                      <w:highlight w:val="none"/>
                      <w:lang w:eastAsia="en-US"/>
                      <w14:textFill>
                        <w14:solidFill>
                          <w14:schemeClr w14:val="tx1"/>
                        </w14:solidFill>
                      </w14:textFill>
                    </w:rPr>
                  </w:pPr>
                  <w:r>
                    <w:rPr>
                      <w:rFonts w:hint="eastAsia"/>
                      <w:color w:val="000000" w:themeColor="text1"/>
                      <w:sz w:val="21"/>
                      <w:szCs w:val="21"/>
                      <w:highlight w:val="none"/>
                      <w:lang w:eastAsia="en-US"/>
                      <w14:textFill>
                        <w14:solidFill>
                          <w14:schemeClr w14:val="tx1"/>
                        </w14:solidFill>
                      </w14:textFill>
                    </w:rPr>
                    <w:t>连续</w:t>
                  </w:r>
                </w:p>
              </w:tc>
            </w:tr>
          </w:tbl>
          <w:p w14:paraId="3B888DC0">
            <w:pPr>
              <w:spacing w:before="120" w:beforeLines="50"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2、</w:t>
            </w:r>
            <w:r>
              <w:rPr>
                <w:rFonts w:cs="宋体"/>
                <w:color w:val="000000" w:themeColor="text1"/>
                <w:sz w:val="24"/>
                <w:szCs w:val="32"/>
                <w:highlight w:val="none"/>
                <w14:textFill>
                  <w14:solidFill>
                    <w14:schemeClr w14:val="tx1"/>
                  </w14:solidFill>
                </w14:textFill>
              </w:rPr>
              <w:t>声环境影响</w:t>
            </w:r>
          </w:p>
          <w:p w14:paraId="1F59A71C">
            <w:pPr>
              <w:pStyle w:val="66"/>
              <w:ind w:firstLine="420"/>
              <w:rPr>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w:t>
            </w:r>
            <w:r>
              <w:rPr>
                <w:color w:val="000000" w:themeColor="text1"/>
                <w:sz w:val="24"/>
                <w:szCs w:val="32"/>
                <w:highlight w:val="none"/>
                <w14:textFill>
                  <w14:solidFill>
                    <w14:schemeClr w14:val="tx1"/>
                  </w14:solidFill>
                </w14:textFill>
              </w:rPr>
              <w:t>1</w:t>
            </w:r>
            <w:r>
              <w:rPr>
                <w:rFonts w:ascii="宋体" w:hAnsi="宋体"/>
                <w:color w:val="000000" w:themeColor="text1"/>
                <w:sz w:val="24"/>
                <w:szCs w:val="32"/>
                <w:highlight w:val="none"/>
                <w14:textFill>
                  <w14:solidFill>
                    <w14:schemeClr w14:val="tx1"/>
                  </w14:solidFill>
                </w14:textFill>
              </w:rPr>
              <w:t>）预测点位及范围</w:t>
            </w:r>
          </w:p>
          <w:p w14:paraId="789A81EE">
            <w:pPr>
              <w:pStyle w:val="66"/>
              <w:ind w:firstLine="420"/>
              <w:rPr>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噪声预测范围为：厂界范围；</w:t>
            </w:r>
          </w:p>
          <w:p w14:paraId="52ADF9E2">
            <w:pPr>
              <w:pStyle w:val="66"/>
              <w:ind w:firstLine="420"/>
              <w:rPr>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预测点位：本次预测点位选取项目厂界四周为预测评价点；</w:t>
            </w:r>
          </w:p>
          <w:p w14:paraId="69CADDCD">
            <w:pPr>
              <w:pStyle w:val="66"/>
              <w:ind w:firstLine="420"/>
              <w:rPr>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预测内容：预测厂界昼、夜间预测点位等效连续</w:t>
            </w:r>
            <w:r>
              <w:rPr>
                <w:color w:val="000000" w:themeColor="text1"/>
                <w:sz w:val="24"/>
                <w:szCs w:val="32"/>
                <w:highlight w:val="none"/>
                <w14:textFill>
                  <w14:solidFill>
                    <w14:schemeClr w14:val="tx1"/>
                  </w14:solidFill>
                </w14:textFill>
              </w:rPr>
              <w:t>A</w:t>
            </w:r>
            <w:r>
              <w:rPr>
                <w:rFonts w:ascii="宋体" w:hAnsi="宋体"/>
                <w:color w:val="000000" w:themeColor="text1"/>
                <w:sz w:val="24"/>
                <w:szCs w:val="32"/>
                <w:highlight w:val="none"/>
                <w14:textFill>
                  <w14:solidFill>
                    <w14:schemeClr w14:val="tx1"/>
                  </w14:solidFill>
                </w14:textFill>
              </w:rPr>
              <w:t>声级。</w:t>
            </w:r>
          </w:p>
          <w:p w14:paraId="028559E2">
            <w:pPr>
              <w:pStyle w:val="66"/>
              <w:ind w:firstLine="420"/>
              <w:rPr>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w:t>
            </w:r>
            <w:r>
              <w:rPr>
                <w:color w:val="000000" w:themeColor="text1"/>
                <w:sz w:val="24"/>
                <w:szCs w:val="32"/>
                <w:highlight w:val="none"/>
                <w14:textFill>
                  <w14:solidFill>
                    <w14:schemeClr w14:val="tx1"/>
                  </w14:solidFill>
                </w14:textFill>
              </w:rPr>
              <w:t>2</w:t>
            </w:r>
            <w:r>
              <w:rPr>
                <w:rFonts w:ascii="宋体" w:hAnsi="宋体"/>
                <w:color w:val="000000" w:themeColor="text1"/>
                <w:sz w:val="24"/>
                <w:szCs w:val="32"/>
                <w:highlight w:val="none"/>
                <w14:textFill>
                  <w14:solidFill>
                    <w14:schemeClr w14:val="tx1"/>
                  </w14:solidFill>
                </w14:textFill>
              </w:rPr>
              <w:t>）预测模式</w:t>
            </w:r>
          </w:p>
          <w:p w14:paraId="0E970915">
            <w:pPr>
              <w:pStyle w:val="66"/>
              <w:ind w:firstLine="420"/>
              <w:rPr>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噪声预测模式采用《环境影响评价技术导则</w:t>
            </w:r>
            <w:r>
              <w:rPr>
                <w:color w:val="000000" w:themeColor="text1"/>
                <w:sz w:val="24"/>
                <w:szCs w:val="32"/>
                <w:highlight w:val="none"/>
                <w14:textFill>
                  <w14:solidFill>
                    <w14:schemeClr w14:val="tx1"/>
                  </w14:solidFill>
                </w14:textFill>
              </w:rPr>
              <w:t xml:space="preserve">  </w:t>
            </w:r>
            <w:r>
              <w:rPr>
                <w:rFonts w:ascii="宋体" w:hAnsi="宋体"/>
                <w:color w:val="000000" w:themeColor="text1"/>
                <w:sz w:val="24"/>
                <w:szCs w:val="32"/>
                <w:highlight w:val="none"/>
                <w14:textFill>
                  <w14:solidFill>
                    <w14:schemeClr w14:val="tx1"/>
                  </w14:solidFill>
                </w14:textFill>
              </w:rPr>
              <w:t>声环境》</w:t>
            </w:r>
            <w:r>
              <w:rPr>
                <w:rFonts w:hint="eastAsia" w:ascii="宋体" w:hAnsi="宋体"/>
                <w:color w:val="000000" w:themeColor="text1"/>
                <w:sz w:val="24"/>
                <w:szCs w:val="32"/>
                <w:highlight w:val="none"/>
                <w14:textFill>
                  <w14:solidFill>
                    <w14:schemeClr w14:val="tx1"/>
                  </w14:solidFill>
                </w14:textFill>
              </w:rPr>
              <w:t>（</w:t>
            </w:r>
            <w:r>
              <w:rPr>
                <w:color w:val="000000" w:themeColor="text1"/>
                <w:sz w:val="24"/>
                <w:szCs w:val="32"/>
                <w:highlight w:val="none"/>
                <w14:textFill>
                  <w14:solidFill>
                    <w14:schemeClr w14:val="tx1"/>
                  </w14:solidFill>
                </w14:textFill>
              </w:rPr>
              <w:t>HJ2.4-20</w:t>
            </w:r>
            <w:r>
              <w:rPr>
                <w:rFonts w:hint="eastAsia"/>
                <w:color w:val="000000" w:themeColor="text1"/>
                <w:sz w:val="24"/>
                <w:szCs w:val="32"/>
                <w:highlight w:val="none"/>
                <w14:textFill>
                  <w14:solidFill>
                    <w14:schemeClr w14:val="tx1"/>
                  </w14:solidFill>
                </w14:textFill>
              </w:rPr>
              <w:t>21</w:t>
            </w:r>
            <w:r>
              <w:rPr>
                <w:rFonts w:hint="eastAsia" w:ascii="宋体" w:hAnsi="宋体"/>
                <w:color w:val="000000" w:themeColor="text1"/>
                <w:sz w:val="24"/>
                <w:szCs w:val="32"/>
                <w:highlight w:val="none"/>
                <w14:textFill>
                  <w14:solidFill>
                    <w14:schemeClr w14:val="tx1"/>
                  </w14:solidFill>
                </w14:textFill>
              </w:rPr>
              <w:t>）</w:t>
            </w:r>
            <w:r>
              <w:rPr>
                <w:rFonts w:ascii="宋体" w:hAnsi="宋体"/>
                <w:color w:val="000000" w:themeColor="text1"/>
                <w:sz w:val="24"/>
                <w:szCs w:val="32"/>
                <w:highlight w:val="none"/>
                <w14:textFill>
                  <w14:solidFill>
                    <w14:schemeClr w14:val="tx1"/>
                  </w14:solidFill>
                </w14:textFill>
              </w:rPr>
              <w:t>中</w:t>
            </w:r>
            <w:r>
              <w:rPr>
                <w:rFonts w:hint="eastAsia" w:ascii="宋体" w:hAnsi="宋体"/>
                <w:color w:val="000000" w:themeColor="text1"/>
                <w:sz w:val="24"/>
                <w:szCs w:val="32"/>
                <w:highlight w:val="none"/>
                <w14:textFill>
                  <w14:solidFill>
                    <w14:schemeClr w14:val="tx1"/>
                  </w14:solidFill>
                </w14:textFill>
              </w:rPr>
              <w:t>附录</w:t>
            </w:r>
            <w:r>
              <w:rPr>
                <w:rFonts w:hint="eastAsia"/>
                <w:color w:val="000000" w:themeColor="text1"/>
                <w:sz w:val="24"/>
                <w:szCs w:val="32"/>
                <w:highlight w:val="none"/>
                <w14:textFill>
                  <w14:solidFill>
                    <w14:schemeClr w14:val="tx1"/>
                  </w14:solidFill>
                </w14:textFill>
              </w:rPr>
              <w:t>A</w:t>
            </w:r>
            <w:r>
              <w:rPr>
                <w:rFonts w:hint="eastAsia" w:ascii="宋体" w:hAnsi="宋体"/>
                <w:color w:val="000000" w:themeColor="text1"/>
                <w:sz w:val="24"/>
                <w:szCs w:val="32"/>
                <w:highlight w:val="none"/>
                <w14:textFill>
                  <w14:solidFill>
                    <w14:schemeClr w14:val="tx1"/>
                  </w14:solidFill>
                </w14:textFill>
              </w:rPr>
              <w:t>和附录</w:t>
            </w:r>
            <w:r>
              <w:rPr>
                <w:rFonts w:hint="eastAsia"/>
                <w:color w:val="000000" w:themeColor="text1"/>
                <w:sz w:val="24"/>
                <w:szCs w:val="32"/>
                <w:highlight w:val="none"/>
                <w14:textFill>
                  <w14:solidFill>
                    <w14:schemeClr w14:val="tx1"/>
                  </w14:solidFill>
                </w14:textFill>
              </w:rPr>
              <w:t>B</w:t>
            </w:r>
            <w:r>
              <w:rPr>
                <w:rFonts w:ascii="宋体" w:hAnsi="宋体"/>
                <w:color w:val="000000" w:themeColor="text1"/>
                <w:sz w:val="24"/>
                <w:szCs w:val="32"/>
                <w:highlight w:val="none"/>
                <w14:textFill>
                  <w14:solidFill>
                    <w14:schemeClr w14:val="tx1"/>
                  </w14:solidFill>
                </w14:textFill>
              </w:rPr>
              <w:t>中的预测模式。</w:t>
            </w:r>
          </w:p>
          <w:p w14:paraId="19BAE9BF">
            <w:pPr>
              <w:adjustRightInd w:val="0"/>
              <w:snapToGrid w:val="0"/>
              <w:spacing w:line="360" w:lineRule="auto"/>
              <w:ind w:firstLine="480"/>
              <w:rPr>
                <w:rFonts w:ascii="Times New Roman" w:hAnsi="Times New Roman"/>
                <w:b/>
                <w:color w:val="000000" w:themeColor="text1"/>
                <w:sz w:val="24"/>
                <w:highlight w:val="none"/>
                <w14:textFill>
                  <w14:solidFill>
                    <w14:schemeClr w14:val="tx1"/>
                  </w14:solidFill>
                </w14:textFill>
              </w:rPr>
            </w:pPr>
            <w:r>
              <w:rPr>
                <w:rFonts w:ascii="Times New Roman" w:hAnsi="Times New Roman"/>
                <w:b w:val="0"/>
                <w:bCs/>
                <w:color w:val="000000" w:themeColor="text1"/>
                <w:sz w:val="24"/>
                <w:highlight w:val="none"/>
                <w14:textFill>
                  <w14:solidFill>
                    <w14:schemeClr w14:val="tx1"/>
                  </w14:solidFill>
                </w14:textFill>
              </w:rPr>
              <w:t>1）室内声源等效室外声源声功率级计算方法</w:t>
            </w:r>
          </w:p>
          <w:p w14:paraId="1759AB4F">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①如下图所示，声源位于室内，室内声源可采用等效室外声源声功率级法进行计算。设靠近开口处(或窗户)室内、室外某倍频带的声压级或A声级分别为Lp1和Lp2。若声源所在室内声场为近似扩散声场，则室外的倍频带声压级可按下式近似求出：</w:t>
            </w:r>
          </w:p>
          <w:p w14:paraId="227820C1">
            <w:pPr>
              <w:adjustRightInd w:val="0"/>
              <w:snapToGrid w:val="0"/>
              <w:spacing w:line="360" w:lineRule="auto"/>
              <w:ind w:firstLine="480"/>
              <w:jc w:val="center"/>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drawing>
                <wp:inline distT="0" distB="0" distL="114300" distR="114300">
                  <wp:extent cx="1248410" cy="238760"/>
                  <wp:effectExtent l="0" t="0" r="8890" b="762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34"/>
                          <a:stretch>
                            <a:fillRect/>
                          </a:stretch>
                        </pic:blipFill>
                        <pic:spPr>
                          <a:xfrm>
                            <a:off x="0" y="0"/>
                            <a:ext cx="1248410" cy="238760"/>
                          </a:xfrm>
                          <a:prstGeom prst="rect">
                            <a:avLst/>
                          </a:prstGeom>
                          <a:noFill/>
                          <a:ln>
                            <a:noFill/>
                          </a:ln>
                        </pic:spPr>
                      </pic:pic>
                    </a:graphicData>
                  </a:graphic>
                </wp:inline>
              </w:drawing>
            </w:r>
          </w:p>
          <w:p w14:paraId="2FE166CC">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式中：</w:t>
            </w:r>
          </w:p>
          <w:p w14:paraId="19B60C43">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t>
            </w:r>
            <w:r>
              <w:rPr>
                <w:rFonts w:ascii="Times New Roman" w:hAnsi="Times New Roman"/>
                <w:color w:val="000000" w:themeColor="text1"/>
                <w:sz w:val="24"/>
                <w:highlight w:val="none"/>
                <w:vertAlign w:val="subscript"/>
                <w14:textFill>
                  <w14:solidFill>
                    <w14:schemeClr w14:val="tx1"/>
                  </w14:solidFill>
                </w14:textFill>
              </w:rPr>
              <w:t>p1</w:t>
            </w:r>
            <w:r>
              <w:rPr>
                <w:rFonts w:ascii="Times New Roman" w:hAnsi="Times New Roman"/>
                <w:color w:val="000000" w:themeColor="text1"/>
                <w:sz w:val="24"/>
                <w:highlight w:val="none"/>
                <w14:textFill>
                  <w14:solidFill>
                    <w14:schemeClr w14:val="tx1"/>
                  </w14:solidFill>
                </w14:textFill>
              </w:rPr>
              <w:t>—靠近开口处(或窗户)室内某倍频带的声压级或A声级，dB；</w:t>
            </w:r>
          </w:p>
          <w:p w14:paraId="6CFE27A9">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t>
            </w:r>
            <w:r>
              <w:rPr>
                <w:rFonts w:ascii="Times New Roman" w:hAnsi="Times New Roman"/>
                <w:color w:val="000000" w:themeColor="text1"/>
                <w:sz w:val="24"/>
                <w:highlight w:val="none"/>
                <w:vertAlign w:val="subscript"/>
                <w14:textFill>
                  <w14:solidFill>
                    <w14:schemeClr w14:val="tx1"/>
                  </w14:solidFill>
                </w14:textFill>
              </w:rPr>
              <w:t>p2</w:t>
            </w:r>
            <w:r>
              <w:rPr>
                <w:rFonts w:ascii="Times New Roman" w:hAnsi="Times New Roman"/>
                <w:color w:val="000000" w:themeColor="text1"/>
                <w:sz w:val="24"/>
                <w:highlight w:val="none"/>
                <w14:textFill>
                  <w14:solidFill>
                    <w14:schemeClr w14:val="tx1"/>
                  </w14:solidFill>
                </w14:textFill>
              </w:rPr>
              <w:t>—靠近开口处(或窗户)室外某倍频带的声压级或A声级，dB；</w:t>
            </w:r>
          </w:p>
          <w:p w14:paraId="20999BE8">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TI—隔墙(或窗户)倍频带或A声级的隔声量，dB。</w:t>
            </w:r>
          </w:p>
          <w:p w14:paraId="4DBAB371">
            <w:pPr>
              <w:adjustRightInd w:val="0"/>
              <w:snapToGrid w:val="0"/>
              <w:spacing w:line="360" w:lineRule="auto"/>
              <w:ind w:firstLine="480"/>
              <w:jc w:val="center"/>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drawing>
                <wp:inline distT="0" distB="0" distL="114300" distR="114300">
                  <wp:extent cx="2323465" cy="1275715"/>
                  <wp:effectExtent l="0" t="0" r="635" b="635"/>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35"/>
                          <a:stretch>
                            <a:fillRect/>
                          </a:stretch>
                        </pic:blipFill>
                        <pic:spPr>
                          <a:xfrm>
                            <a:off x="0" y="0"/>
                            <a:ext cx="2323465" cy="1275715"/>
                          </a:xfrm>
                          <a:prstGeom prst="rect">
                            <a:avLst/>
                          </a:prstGeom>
                          <a:noFill/>
                          <a:ln>
                            <a:noFill/>
                          </a:ln>
                        </pic:spPr>
                      </pic:pic>
                    </a:graphicData>
                  </a:graphic>
                </wp:inline>
              </w:drawing>
            </w:r>
          </w:p>
          <w:p w14:paraId="3BCEDD2D">
            <w:pPr>
              <w:adjustRightInd w:val="0"/>
              <w:snapToGrid w:val="0"/>
              <w:spacing w:line="360" w:lineRule="auto"/>
              <w:ind w:firstLine="480"/>
              <w:jc w:val="center"/>
              <w:rPr>
                <w:rFonts w:ascii="Times New Roman" w:hAnsi="Times New Roman" w:eastAsia="黑体"/>
                <w:color w:val="000000" w:themeColor="text1"/>
                <w:sz w:val="24"/>
                <w:highlight w:val="none"/>
                <w14:textFill>
                  <w14:solidFill>
                    <w14:schemeClr w14:val="tx1"/>
                  </w14:solidFill>
                </w14:textFill>
              </w:rPr>
            </w:pPr>
            <w:r>
              <w:rPr>
                <w:rFonts w:hint="eastAsia" w:ascii="Times New Roman" w:hAnsi="Times New Roman" w:eastAsia="宋体"/>
                <w:b/>
                <w:bCs/>
                <w:color w:val="000000" w:themeColor="text1"/>
                <w:sz w:val="24"/>
                <w:highlight w:val="none"/>
                <w14:textFill>
                  <w14:solidFill>
                    <w14:schemeClr w14:val="tx1"/>
                  </w14:solidFill>
                </w14:textFill>
              </w:rPr>
              <w:t>图</w:t>
            </w:r>
            <w:r>
              <w:rPr>
                <w:rFonts w:hint="eastAsia" w:ascii="Times New Roman" w:hAnsi="Times New Roman" w:eastAsia="宋体"/>
                <w:b/>
                <w:bCs/>
                <w:color w:val="000000" w:themeColor="text1"/>
                <w:sz w:val="24"/>
                <w:highlight w:val="none"/>
                <w:lang w:val="en-US" w:eastAsia="zh-CN"/>
                <w14:textFill>
                  <w14:solidFill>
                    <w14:schemeClr w14:val="tx1"/>
                  </w14:solidFill>
                </w14:textFill>
              </w:rPr>
              <w:t>4-2</w:t>
            </w:r>
            <w:r>
              <w:rPr>
                <w:rFonts w:hint="eastAsia" w:ascii="Times New Roman" w:hAnsi="Times New Roman" w:eastAsia="宋体"/>
                <w:b/>
                <w:bCs/>
                <w:color w:val="000000" w:themeColor="text1"/>
                <w:sz w:val="24"/>
                <w:highlight w:val="none"/>
                <w14:textFill>
                  <w14:solidFill>
                    <w14:schemeClr w14:val="tx1"/>
                  </w14:solidFill>
                </w14:textFill>
              </w:rPr>
              <w:t xml:space="preserve"> 室内声源等效室外声源图例</w:t>
            </w:r>
          </w:p>
          <w:p w14:paraId="6492B979">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②按下式计算某一室内声源靠近围护结构处产生的倍频带声压级或A声级：</w:t>
            </w:r>
          </w:p>
          <w:p w14:paraId="419E2CF0">
            <w:pPr>
              <w:adjustRightInd w:val="0"/>
              <w:snapToGrid w:val="0"/>
              <w:spacing w:line="360" w:lineRule="auto"/>
              <w:ind w:firstLine="480"/>
              <w:jc w:val="center"/>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drawing>
                <wp:inline distT="0" distB="0" distL="114300" distR="114300">
                  <wp:extent cx="1714500" cy="485775"/>
                  <wp:effectExtent l="0" t="0" r="0" b="8890"/>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2"/>
                          <pic:cNvPicPr>
                            <a:picLocks noChangeAspect="1"/>
                          </pic:cNvPicPr>
                        </pic:nvPicPr>
                        <pic:blipFill>
                          <a:blip r:embed="rId36"/>
                          <a:stretch>
                            <a:fillRect/>
                          </a:stretch>
                        </pic:blipFill>
                        <pic:spPr>
                          <a:xfrm>
                            <a:off x="0" y="0"/>
                            <a:ext cx="1714500" cy="485775"/>
                          </a:xfrm>
                          <a:prstGeom prst="rect">
                            <a:avLst/>
                          </a:prstGeom>
                          <a:noFill/>
                          <a:ln>
                            <a:noFill/>
                          </a:ln>
                        </pic:spPr>
                      </pic:pic>
                    </a:graphicData>
                  </a:graphic>
                </wp:inline>
              </w:drawing>
            </w:r>
          </w:p>
          <w:p w14:paraId="08B377D9">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式中：</w:t>
            </w:r>
          </w:p>
          <w:p w14:paraId="4DC6F2F5">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Lp</w:t>
            </w:r>
            <w:r>
              <w:rPr>
                <w:rFonts w:ascii="Times New Roman" w:hAnsi="Times New Roman"/>
                <w:color w:val="000000" w:themeColor="text1"/>
                <w:sz w:val="24"/>
                <w:highlight w:val="none"/>
                <w:vertAlign w:val="subscript"/>
                <w14:textFill>
                  <w14:solidFill>
                    <w14:schemeClr w14:val="tx1"/>
                  </w14:solidFill>
                </w14:textFill>
              </w:rPr>
              <w:t>1</w:t>
            </w:r>
            <w:r>
              <w:rPr>
                <w:rFonts w:ascii="Times New Roman" w:hAnsi="Times New Roman"/>
                <w:color w:val="000000" w:themeColor="text1"/>
                <w:sz w:val="24"/>
                <w:highlight w:val="none"/>
                <w14:textFill>
                  <w14:solidFill>
                    <w14:schemeClr w14:val="tx1"/>
                  </w14:solidFill>
                </w14:textFill>
              </w:rPr>
              <w:t>—靠近开口处(或窗户)室内某倍频带的声压级或A声级，dB；</w:t>
            </w:r>
          </w:p>
          <w:p w14:paraId="3E70BD16">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Lw—点声源声功率级(A计权或倍频带)，dB；</w:t>
            </w:r>
          </w:p>
          <w:p w14:paraId="5A147BAD">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Q—指向性因数；通常对无指向性声源，当声源放在房间中心时，Q=1；当放在一面墙的中心时，Q=2；当放在两面墙夹角处时，Q=4；当放在三面墙夹角处时，Q=8；</w:t>
            </w:r>
          </w:p>
          <w:p w14:paraId="619D81BE">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R—房间常数；R=Sa/(1-a)，s为房间内表面面积，m</w:t>
            </w:r>
            <w:r>
              <w:rPr>
                <w:rFonts w:ascii="Times New Roman" w:hAnsi="Times New Roman"/>
                <w:color w:val="000000" w:themeColor="text1"/>
                <w:sz w:val="24"/>
                <w:highlight w:val="none"/>
                <w:vertAlign w:val="superscript"/>
                <w14:textFill>
                  <w14:solidFill>
                    <w14:schemeClr w14:val="tx1"/>
                  </w14:solidFill>
                </w14:textFill>
              </w:rPr>
              <w:t>2</w:t>
            </w:r>
            <w:r>
              <w:rPr>
                <w:rFonts w:ascii="Times New Roman" w:hAnsi="Times New Roman"/>
                <w:color w:val="000000" w:themeColor="text1"/>
                <w:sz w:val="24"/>
                <w:highlight w:val="none"/>
                <w14:textFill>
                  <w14:solidFill>
                    <w14:schemeClr w14:val="tx1"/>
                  </w14:solidFill>
                </w14:textFill>
              </w:rPr>
              <w:t>；a为平均吸声系数；</w:t>
            </w:r>
          </w:p>
          <w:p w14:paraId="296B5B64">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r—声源到靠近围护结构某点处的距离，m。</w:t>
            </w:r>
          </w:p>
          <w:p w14:paraId="6DA0BF5F">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③按下式计算出所有室内声源在靠近围护结构处产生的i倍频带叠加声压级：</w:t>
            </w:r>
          </w:p>
          <w:p w14:paraId="6EDDA2A9">
            <w:pPr>
              <w:adjustRightInd w:val="0"/>
              <w:snapToGrid w:val="0"/>
              <w:spacing w:line="360" w:lineRule="auto"/>
              <w:ind w:firstLine="480"/>
              <w:jc w:val="center"/>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drawing>
                <wp:inline distT="0" distB="0" distL="114300" distR="114300">
                  <wp:extent cx="1687195" cy="485775"/>
                  <wp:effectExtent l="0" t="0" r="8255" b="8890"/>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37"/>
                          <a:stretch>
                            <a:fillRect/>
                          </a:stretch>
                        </pic:blipFill>
                        <pic:spPr>
                          <a:xfrm>
                            <a:off x="0" y="0"/>
                            <a:ext cx="1687195" cy="485775"/>
                          </a:xfrm>
                          <a:prstGeom prst="rect">
                            <a:avLst/>
                          </a:prstGeom>
                          <a:noFill/>
                          <a:ln>
                            <a:noFill/>
                          </a:ln>
                        </pic:spPr>
                      </pic:pic>
                    </a:graphicData>
                  </a:graphic>
                </wp:inline>
              </w:drawing>
            </w:r>
          </w:p>
          <w:p w14:paraId="28E8773A">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式中：</w:t>
            </w:r>
          </w:p>
          <w:p w14:paraId="47D5BF07">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t>
            </w:r>
            <w:r>
              <w:rPr>
                <w:rFonts w:ascii="Times New Roman" w:hAnsi="Times New Roman"/>
                <w:color w:val="000000" w:themeColor="text1"/>
                <w:sz w:val="24"/>
                <w:highlight w:val="none"/>
                <w:vertAlign w:val="subscript"/>
                <w14:textFill>
                  <w14:solidFill>
                    <w14:schemeClr w14:val="tx1"/>
                  </w14:solidFill>
                </w14:textFill>
              </w:rPr>
              <w:t>p1i</w:t>
            </w:r>
            <w:r>
              <w:rPr>
                <w:rFonts w:ascii="Times New Roman" w:hAnsi="Times New Roman"/>
                <w:color w:val="000000" w:themeColor="text1"/>
                <w:sz w:val="24"/>
                <w:highlight w:val="none"/>
                <w14:textFill>
                  <w14:solidFill>
                    <w14:schemeClr w14:val="tx1"/>
                  </w14:solidFill>
                </w14:textFill>
              </w:rPr>
              <w:t>(T)—靠近围护结构处室内N个声源i倍频带的叠加声压级，dB；</w:t>
            </w:r>
          </w:p>
          <w:p w14:paraId="602956DC">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t>
            </w:r>
            <w:r>
              <w:rPr>
                <w:rFonts w:ascii="Times New Roman" w:hAnsi="Times New Roman"/>
                <w:color w:val="000000" w:themeColor="text1"/>
                <w:sz w:val="24"/>
                <w:highlight w:val="none"/>
                <w:vertAlign w:val="subscript"/>
                <w14:textFill>
                  <w14:solidFill>
                    <w14:schemeClr w14:val="tx1"/>
                  </w14:solidFill>
                </w14:textFill>
              </w:rPr>
              <w:t>p1ij</w:t>
            </w:r>
            <w:r>
              <w:rPr>
                <w:rFonts w:ascii="Times New Roman" w:hAnsi="Times New Roman"/>
                <w:color w:val="000000" w:themeColor="text1"/>
                <w:sz w:val="24"/>
                <w:highlight w:val="none"/>
                <w14:textFill>
                  <w14:solidFill>
                    <w14:schemeClr w14:val="tx1"/>
                  </w14:solidFill>
                </w14:textFill>
              </w:rPr>
              <w:t>—室内j声源i倍频带的声压级，dB；</w:t>
            </w:r>
          </w:p>
          <w:p w14:paraId="07D84C1C">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N—室内声源总数。</w:t>
            </w:r>
          </w:p>
          <w:p w14:paraId="1273EC08">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④在室内近似为扩散声场时，按下式计算出室外靠近围护结构处的声压级：</w:t>
            </w:r>
          </w:p>
          <w:p w14:paraId="6F82C78A">
            <w:pPr>
              <w:adjustRightInd w:val="0"/>
              <w:snapToGrid w:val="0"/>
              <w:spacing w:line="360" w:lineRule="auto"/>
              <w:ind w:firstLine="480"/>
              <w:jc w:val="center"/>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drawing>
                <wp:inline distT="0" distB="0" distL="114300" distR="114300">
                  <wp:extent cx="1780540" cy="238760"/>
                  <wp:effectExtent l="0" t="0" r="10160" b="7620"/>
                  <wp:docPr id="5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4"/>
                          <pic:cNvPicPr>
                            <a:picLocks noChangeAspect="1"/>
                          </pic:cNvPicPr>
                        </pic:nvPicPr>
                        <pic:blipFill>
                          <a:blip r:embed="rId38"/>
                          <a:stretch>
                            <a:fillRect/>
                          </a:stretch>
                        </pic:blipFill>
                        <pic:spPr>
                          <a:xfrm>
                            <a:off x="0" y="0"/>
                            <a:ext cx="1780540" cy="238760"/>
                          </a:xfrm>
                          <a:prstGeom prst="rect">
                            <a:avLst/>
                          </a:prstGeom>
                          <a:noFill/>
                          <a:ln>
                            <a:noFill/>
                          </a:ln>
                        </pic:spPr>
                      </pic:pic>
                    </a:graphicData>
                  </a:graphic>
                </wp:inline>
              </w:drawing>
            </w:r>
          </w:p>
          <w:p w14:paraId="16014F06">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式中：</w:t>
            </w:r>
          </w:p>
          <w:p w14:paraId="4C38C1F2">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t>
            </w:r>
            <w:r>
              <w:rPr>
                <w:rFonts w:ascii="Times New Roman" w:hAnsi="Times New Roman"/>
                <w:color w:val="000000" w:themeColor="text1"/>
                <w:sz w:val="24"/>
                <w:highlight w:val="none"/>
                <w:vertAlign w:val="subscript"/>
                <w14:textFill>
                  <w14:solidFill>
                    <w14:schemeClr w14:val="tx1"/>
                  </w14:solidFill>
                </w14:textFill>
              </w:rPr>
              <w:t>p2i</w:t>
            </w:r>
            <w:r>
              <w:rPr>
                <w:rFonts w:ascii="Times New Roman" w:hAnsi="Times New Roman"/>
                <w:color w:val="000000" w:themeColor="text1"/>
                <w:sz w:val="24"/>
                <w:highlight w:val="none"/>
                <w14:textFill>
                  <w14:solidFill>
                    <w14:schemeClr w14:val="tx1"/>
                  </w14:solidFill>
                </w14:textFill>
              </w:rPr>
              <w:t>(T)—靠近围护结构处室外N个声源i倍频带的叠加声压级，dB；</w:t>
            </w:r>
          </w:p>
          <w:p w14:paraId="5873B34B">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t>
            </w:r>
            <w:r>
              <w:rPr>
                <w:rFonts w:ascii="Times New Roman" w:hAnsi="Times New Roman"/>
                <w:color w:val="000000" w:themeColor="text1"/>
                <w:sz w:val="24"/>
                <w:highlight w:val="none"/>
                <w:vertAlign w:val="subscript"/>
                <w14:textFill>
                  <w14:solidFill>
                    <w14:schemeClr w14:val="tx1"/>
                  </w14:solidFill>
                </w14:textFill>
              </w:rPr>
              <w:t>p1i</w:t>
            </w:r>
            <w:r>
              <w:rPr>
                <w:rFonts w:ascii="Times New Roman" w:hAnsi="Times New Roman"/>
                <w:color w:val="000000" w:themeColor="text1"/>
                <w:sz w:val="24"/>
                <w:highlight w:val="none"/>
                <w14:textFill>
                  <w14:solidFill>
                    <w14:schemeClr w14:val="tx1"/>
                  </w14:solidFill>
                </w14:textFill>
              </w:rPr>
              <w:t>(T)—靠近围护结构处室内N个声源i倍频带的叠加声压级，dB；</w:t>
            </w:r>
          </w:p>
          <w:p w14:paraId="61789581">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TL</w:t>
            </w:r>
            <w:r>
              <w:rPr>
                <w:rFonts w:ascii="Times New Roman" w:hAnsi="Times New Roman"/>
                <w:color w:val="000000" w:themeColor="text1"/>
                <w:sz w:val="24"/>
                <w:highlight w:val="none"/>
                <w:vertAlign w:val="subscript"/>
                <w14:textFill>
                  <w14:solidFill>
                    <w14:schemeClr w14:val="tx1"/>
                  </w14:solidFill>
                </w14:textFill>
              </w:rPr>
              <w:t>i</w:t>
            </w:r>
            <w:r>
              <w:rPr>
                <w:rFonts w:ascii="Times New Roman" w:hAnsi="Times New Roman"/>
                <w:color w:val="000000" w:themeColor="text1"/>
                <w:sz w:val="24"/>
                <w:highlight w:val="none"/>
                <w14:textFill>
                  <w14:solidFill>
                    <w14:schemeClr w14:val="tx1"/>
                  </w14:solidFill>
                </w14:textFill>
              </w:rPr>
              <w:t>—围护结构i倍频带的隔声量，dB。</w:t>
            </w:r>
          </w:p>
          <w:p w14:paraId="3E1C03D0">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⑤按下式将室外声源的声压级和透声面积换算成等效的室外声源，计算出中心位置位于透声面积(S)处的等效声源的倍频带的声功率级</w:t>
            </w:r>
            <w:r>
              <w:rPr>
                <w:rFonts w:ascii="Times New Roman" w:hAnsi="Times New Roman"/>
                <w:color w:val="000000" w:themeColor="text1"/>
                <w:sz w:val="24"/>
                <w:highlight w:val="none"/>
                <w14:textFill>
                  <w14:solidFill>
                    <w14:schemeClr w14:val="tx1"/>
                  </w14:solidFill>
                </w14:textFill>
              </w:rPr>
              <w:softHyphen/>
            </w:r>
            <w:r>
              <w:rPr>
                <w:rFonts w:ascii="Times New Roman" w:hAnsi="Times New Roman"/>
                <w:color w:val="000000" w:themeColor="text1"/>
                <w:sz w:val="24"/>
                <w:highlight w:val="none"/>
                <w14:textFill>
                  <w14:solidFill>
                    <w14:schemeClr w14:val="tx1"/>
                  </w14:solidFill>
                </w14:textFill>
              </w:rPr>
              <w:softHyphen/>
            </w:r>
            <w:r>
              <w:rPr>
                <w:rFonts w:ascii="Times New Roman" w:hAnsi="Times New Roman"/>
                <w:color w:val="000000" w:themeColor="text1"/>
                <w:sz w:val="24"/>
                <w:highlight w:val="none"/>
                <w14:textFill>
                  <w14:solidFill>
                    <w14:schemeClr w14:val="tx1"/>
                  </w14:solidFill>
                </w14:textFill>
              </w:rPr>
              <w:t>：</w:t>
            </w:r>
          </w:p>
          <w:p w14:paraId="6AD8AA2D">
            <w:pPr>
              <w:adjustRightInd w:val="0"/>
              <w:snapToGrid w:val="0"/>
              <w:spacing w:line="360" w:lineRule="auto"/>
              <w:ind w:firstLine="480"/>
              <w:jc w:val="center"/>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drawing>
                <wp:inline distT="0" distB="0" distL="114300" distR="114300">
                  <wp:extent cx="1333500" cy="238760"/>
                  <wp:effectExtent l="0" t="0" r="0" b="7620"/>
                  <wp:docPr id="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5"/>
                          <pic:cNvPicPr>
                            <a:picLocks noChangeAspect="1"/>
                          </pic:cNvPicPr>
                        </pic:nvPicPr>
                        <pic:blipFill>
                          <a:blip r:embed="rId39"/>
                          <a:stretch>
                            <a:fillRect/>
                          </a:stretch>
                        </pic:blipFill>
                        <pic:spPr>
                          <a:xfrm>
                            <a:off x="0" y="0"/>
                            <a:ext cx="1333500" cy="238760"/>
                          </a:xfrm>
                          <a:prstGeom prst="rect">
                            <a:avLst/>
                          </a:prstGeom>
                          <a:noFill/>
                          <a:ln>
                            <a:noFill/>
                          </a:ln>
                        </pic:spPr>
                      </pic:pic>
                    </a:graphicData>
                  </a:graphic>
                </wp:inline>
              </w:drawing>
            </w:r>
          </w:p>
          <w:p w14:paraId="0D0D3A4A">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式中：</w:t>
            </w:r>
          </w:p>
          <w:p w14:paraId="354D426B">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Lw—中心位置位于透声面积(S)处的等效声源的倍频带声功率级，dB；</w:t>
            </w:r>
          </w:p>
          <w:p w14:paraId="4C623071">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Lp</w:t>
            </w:r>
            <w:r>
              <w:rPr>
                <w:rFonts w:ascii="Times New Roman" w:hAnsi="Times New Roman"/>
                <w:color w:val="000000" w:themeColor="text1"/>
                <w:sz w:val="24"/>
                <w:highlight w:val="none"/>
                <w:vertAlign w:val="subscript"/>
                <w14:textFill>
                  <w14:solidFill>
                    <w14:schemeClr w14:val="tx1"/>
                  </w14:solidFill>
                </w14:textFill>
              </w:rPr>
              <w:t>2</w:t>
            </w:r>
            <w:r>
              <w:rPr>
                <w:rFonts w:ascii="Times New Roman" w:hAnsi="Times New Roman"/>
                <w:color w:val="000000" w:themeColor="text1"/>
                <w:sz w:val="24"/>
                <w:highlight w:val="none"/>
                <w14:textFill>
                  <w14:solidFill>
                    <w14:schemeClr w14:val="tx1"/>
                  </w14:solidFill>
                </w14:textFill>
              </w:rPr>
              <w:t>(T)—靠近围护结构处室外声源的声压级，dB；</w:t>
            </w:r>
          </w:p>
          <w:p w14:paraId="1D515DBC">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S透声面积，m</w:t>
            </w:r>
            <w:r>
              <w:rPr>
                <w:rFonts w:ascii="Times New Roman" w:hAnsi="Times New Roman"/>
                <w:color w:val="000000" w:themeColor="text1"/>
                <w:sz w:val="24"/>
                <w:highlight w:val="none"/>
                <w:vertAlign w:val="superscript"/>
                <w14:textFill>
                  <w14:solidFill>
                    <w14:schemeClr w14:val="tx1"/>
                  </w14:solidFill>
                </w14:textFill>
              </w:rPr>
              <w:t>2</w:t>
            </w:r>
            <w:r>
              <w:rPr>
                <w:rFonts w:ascii="Times New Roman" w:hAnsi="Times New Roman"/>
                <w:color w:val="000000" w:themeColor="text1"/>
                <w:sz w:val="24"/>
                <w:highlight w:val="none"/>
                <w14:textFill>
                  <w14:solidFill>
                    <w14:schemeClr w14:val="tx1"/>
                  </w14:solidFill>
                </w14:textFill>
              </w:rPr>
              <w:t>。</w:t>
            </w:r>
          </w:p>
          <w:p w14:paraId="35F43AA5">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2）户外声传播的衰减</w:t>
            </w:r>
          </w:p>
          <w:p w14:paraId="2145FA52">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户外声传播衰减包括几何发散(Adiv)、大气吸收(Aatm)、地面效应(Agr)、障碍物屏蔽(Abar)、其他多方面效应(Amisc)引起的衰减。</w:t>
            </w:r>
          </w:p>
          <w:p w14:paraId="4D6C817F">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①基本公式</w:t>
            </w:r>
          </w:p>
          <w:p w14:paraId="6D4C5A48">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某个声源在预测点处声压级的计算公式如下：</w:t>
            </w:r>
          </w:p>
          <w:p w14:paraId="1192C583">
            <w:pPr>
              <w:adjustRightInd w:val="0"/>
              <w:snapToGrid w:val="0"/>
              <w:spacing w:line="360" w:lineRule="auto"/>
              <w:ind w:firstLine="480"/>
              <w:jc w:val="center"/>
              <w:rPr>
                <w:rFonts w:ascii="Times New Roman" w:hAnsi="Times New Roman"/>
                <w:color w:val="000000" w:themeColor="text1"/>
                <w:sz w:val="24"/>
                <w:highlight w:val="none"/>
                <w14:textFill>
                  <w14:solidFill>
                    <w14:schemeClr w14:val="tx1"/>
                  </w14:solidFill>
                </w14:textFill>
              </w:rPr>
            </w:pPr>
            <w:r>
              <w:rPr>
                <w:rFonts w:ascii="Times New Roman" w:hAnsi="Times New Roman" w:eastAsia="Times New Roman"/>
                <w:i/>
                <w:color w:val="000000" w:themeColor="text1"/>
                <w:sz w:val="24"/>
                <w:highlight w:val="none"/>
                <w14:textFill>
                  <w14:solidFill>
                    <w14:schemeClr w14:val="tx1"/>
                  </w14:solidFill>
                </w14:textFill>
              </w:rPr>
              <w:t>Lp</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r</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Lw</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D</w:t>
            </w:r>
            <w:r>
              <w:rPr>
                <w:rFonts w:ascii="Times New Roman" w:hAnsi="Times New Roman" w:eastAsia="Times New Roman"/>
                <w:color w:val="000000" w:themeColor="text1"/>
                <w:sz w:val="24"/>
                <w:highlight w:val="none"/>
                <w14:textFill>
                  <w14:solidFill>
                    <w14:schemeClr w14:val="tx1"/>
                  </w14:solidFill>
                </w14:textFill>
              </w:rPr>
              <w:t>C</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div</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atm</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gr</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bar</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misc)</w:t>
            </w:r>
          </w:p>
          <w:p w14:paraId="20A322DF">
            <w:pPr>
              <w:adjustRightInd w:val="0"/>
              <w:snapToGrid w:val="0"/>
              <w:spacing w:line="360" w:lineRule="auto"/>
              <w:ind w:firstLine="480"/>
              <w:jc w:val="center"/>
              <w:rPr>
                <w:rFonts w:ascii="Times New Roman" w:hAnsi="Times New Roman"/>
                <w:color w:val="000000" w:themeColor="text1"/>
                <w:sz w:val="24"/>
                <w:highlight w:val="none"/>
                <w14:textFill>
                  <w14:solidFill>
                    <w14:schemeClr w14:val="tx1"/>
                  </w14:solidFill>
                </w14:textFill>
              </w:rPr>
            </w:pPr>
            <w:r>
              <w:rPr>
                <w:rFonts w:ascii="Times New Roman" w:hAnsi="Times New Roman" w:eastAsia="Times New Roman"/>
                <w:i/>
                <w:color w:val="000000" w:themeColor="text1"/>
                <w:sz w:val="24"/>
                <w:highlight w:val="none"/>
                <w14:textFill>
                  <w14:solidFill>
                    <w14:schemeClr w14:val="tx1"/>
                  </w14:solidFill>
                </w14:textFill>
              </w:rPr>
              <w:t>Lp</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r</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Lp</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r</w:t>
            </w:r>
            <w:r>
              <w:rPr>
                <w:rFonts w:ascii="Times New Roman" w:hAnsi="Times New Roman" w:eastAsia="Times New Roman"/>
                <w:color w:val="000000" w:themeColor="text1"/>
                <w:sz w:val="24"/>
                <w:highlight w:val="none"/>
                <w14:textFill>
                  <w14:solidFill>
                    <w14:schemeClr w14:val="tx1"/>
                  </w14:solidFill>
                </w14:textFill>
              </w:rPr>
              <w:t>0)+</w:t>
            </w:r>
            <w:r>
              <w:rPr>
                <w:rFonts w:ascii="Times New Roman" w:hAnsi="Times New Roman" w:eastAsia="Times New Roman"/>
                <w:i/>
                <w:color w:val="000000" w:themeColor="text1"/>
                <w:sz w:val="24"/>
                <w:highlight w:val="none"/>
                <w14:textFill>
                  <w14:solidFill>
                    <w14:schemeClr w14:val="tx1"/>
                  </w14:solidFill>
                </w14:textFill>
              </w:rPr>
              <w:t>D</w:t>
            </w:r>
            <w:r>
              <w:rPr>
                <w:rFonts w:ascii="Times New Roman" w:hAnsi="Times New Roman" w:eastAsia="Times New Roman"/>
                <w:color w:val="000000" w:themeColor="text1"/>
                <w:sz w:val="24"/>
                <w:highlight w:val="none"/>
                <w14:textFill>
                  <w14:solidFill>
                    <w14:schemeClr w14:val="tx1"/>
                  </w14:solidFill>
                </w14:textFill>
              </w:rPr>
              <w:t>C</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div</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atm</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gr</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bar</w:t>
            </w:r>
            <w:r>
              <w:rPr>
                <w:rFonts w:ascii="Times New Roman" w:hAnsi="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misc)</w:t>
            </w:r>
          </w:p>
          <w:p w14:paraId="38549997">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式中：</w:t>
            </w:r>
          </w:p>
          <w:p w14:paraId="2EA4863A">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 xml:space="preserve">Lp(r)—预测点处声压级，dB； </w:t>
            </w:r>
          </w:p>
          <w:p w14:paraId="783377F3">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w:t>
            </w:r>
            <w:r>
              <w:rPr>
                <w:rFonts w:ascii="Times New Roman" w:hAnsi="Times New Roman"/>
                <w:color w:val="000000" w:themeColor="text1"/>
                <w:sz w:val="24"/>
                <w:highlight w:val="none"/>
                <w14:textFill>
                  <w14:solidFill>
                    <w14:schemeClr w14:val="tx1"/>
                  </w14:solidFill>
                </w14:textFill>
              </w:rPr>
              <w:softHyphen/>
            </w:r>
            <w:r>
              <w:rPr>
                <w:rFonts w:ascii="Times New Roman" w:hAnsi="Times New Roman"/>
                <w:color w:val="000000" w:themeColor="text1"/>
                <w:sz w:val="24"/>
                <w:highlight w:val="none"/>
                <w14:textFill>
                  <w14:solidFill>
                    <w14:schemeClr w14:val="tx1"/>
                  </w14:solidFill>
                </w14:textFill>
              </w:rPr>
              <w:softHyphen/>
            </w:r>
            <w:r>
              <w:rPr>
                <w:rFonts w:ascii="Times New Roman" w:hAnsi="Times New Roman"/>
                <w:color w:val="000000" w:themeColor="text1"/>
                <w:sz w:val="24"/>
                <w:highlight w:val="none"/>
                <w14:textFill>
                  <w14:solidFill>
                    <w14:schemeClr w14:val="tx1"/>
                  </w14:solidFill>
                </w14:textFill>
              </w:rPr>
              <w:t>w—由点声源产生的声功率级(A计权或倍频带)，dB；</w:t>
            </w:r>
          </w:p>
          <w:p w14:paraId="0C86C978">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Lp(r0)—参考位置r0处的声压级，dB；</w:t>
            </w:r>
          </w:p>
          <w:p w14:paraId="4F968143">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 xml:space="preserve">Dc—指向性校正，它描述点声源的等效连续声压级与产生声功率级Lw的全向点声源在规定方向的声级的偏差程度，dB； </w:t>
            </w:r>
          </w:p>
          <w:p w14:paraId="7D912467">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 xml:space="preserve">Adiv—几何发散引起的衰减，dB； </w:t>
            </w:r>
          </w:p>
          <w:p w14:paraId="3A4F3BB6">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 xml:space="preserve">Aatm—大气吸收引起的衰减，dB； </w:t>
            </w:r>
          </w:p>
          <w:p w14:paraId="4D58A822">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Agr—地面效应引起的衰减，dB；</w:t>
            </w:r>
          </w:p>
          <w:p w14:paraId="7CAC6424">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Abar—障碍物屏蔽引起的衰减，dB；</w:t>
            </w:r>
          </w:p>
          <w:p w14:paraId="5BDA9624">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Amisc—其他多方面效应引起的衰减，dB。</w:t>
            </w:r>
          </w:p>
          <w:p w14:paraId="2358445A">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②预测点的</w:t>
            </w:r>
            <w:r>
              <w:rPr>
                <w:rFonts w:ascii="Times New Roman" w:hAnsi="Times New Roman" w:eastAsia="Times New Roman"/>
                <w:color w:val="000000" w:themeColor="text1"/>
                <w:sz w:val="24"/>
                <w:highlight w:val="none"/>
                <w14:textFill>
                  <w14:solidFill>
                    <w14:schemeClr w14:val="tx1"/>
                  </w14:solidFill>
                </w14:textFill>
              </w:rPr>
              <w:t>A</w:t>
            </w:r>
            <w:r>
              <w:rPr>
                <w:rFonts w:ascii="Times New Roman" w:hAnsi="Times New Roman"/>
                <w:color w:val="000000" w:themeColor="text1"/>
                <w:sz w:val="24"/>
                <w:highlight w:val="none"/>
                <w14:textFill>
                  <w14:solidFill>
                    <w14:schemeClr w14:val="tx1"/>
                  </w14:solidFill>
                </w14:textFill>
              </w:rPr>
              <w:t>声级</w:t>
            </w:r>
            <w:r>
              <w:rPr>
                <w:rFonts w:ascii="Times New Roman" w:hAnsi="Times New Roman" w:eastAsia="Times New Roman"/>
                <w:i/>
                <w:color w:val="000000" w:themeColor="text1"/>
                <w:sz w:val="24"/>
                <w:highlight w:val="none"/>
                <w14:textFill>
                  <w14:solidFill>
                    <w14:schemeClr w14:val="tx1"/>
                  </w14:solidFill>
                </w14:textFill>
              </w:rPr>
              <w:t>L</w:t>
            </w:r>
            <w:r>
              <w:rPr>
                <w:rFonts w:ascii="Times New Roman" w:hAnsi="Times New Roman" w:eastAsia="Times New Roman"/>
                <w:color w:val="000000" w:themeColor="text1"/>
                <w:sz w:val="24"/>
                <w:highlight w:val="none"/>
                <w:vertAlign w:val="subscript"/>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r</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color w:val="000000" w:themeColor="text1"/>
                <w:sz w:val="24"/>
                <w:highlight w:val="none"/>
                <w14:textFill>
                  <w14:solidFill>
                    <w14:schemeClr w14:val="tx1"/>
                  </w14:solidFill>
                </w14:textFill>
              </w:rPr>
              <w:t>可按下式计算，即将</w:t>
            </w:r>
            <w:r>
              <w:rPr>
                <w:rFonts w:ascii="Times New Roman" w:hAnsi="Times New Roman" w:eastAsia="Times New Roman"/>
                <w:color w:val="000000" w:themeColor="text1"/>
                <w:sz w:val="24"/>
                <w:highlight w:val="none"/>
                <w14:textFill>
                  <w14:solidFill>
                    <w14:schemeClr w14:val="tx1"/>
                  </w14:solidFill>
                </w14:textFill>
              </w:rPr>
              <w:t>8</w:t>
            </w:r>
            <w:r>
              <w:rPr>
                <w:rFonts w:ascii="Times New Roman" w:hAnsi="Times New Roman"/>
                <w:color w:val="000000" w:themeColor="text1"/>
                <w:sz w:val="24"/>
                <w:highlight w:val="none"/>
                <w14:textFill>
                  <w14:solidFill>
                    <w14:schemeClr w14:val="tx1"/>
                  </w14:solidFill>
                </w14:textFill>
              </w:rPr>
              <w:t>个倍频带声压级合成，计算出预测点的</w:t>
            </w:r>
            <w:r>
              <w:rPr>
                <w:rFonts w:ascii="Times New Roman" w:hAnsi="Times New Roman" w:eastAsia="Times New Roman"/>
                <w:color w:val="000000" w:themeColor="text1"/>
                <w:sz w:val="24"/>
                <w:highlight w:val="none"/>
                <w14:textFill>
                  <w14:solidFill>
                    <w14:schemeClr w14:val="tx1"/>
                  </w14:solidFill>
                </w14:textFill>
              </w:rPr>
              <w:t>A</w:t>
            </w:r>
            <w:r>
              <w:rPr>
                <w:rFonts w:ascii="Times New Roman" w:hAnsi="Times New Roman"/>
                <w:color w:val="000000" w:themeColor="text1"/>
                <w:sz w:val="24"/>
                <w:highlight w:val="none"/>
                <w14:textFill>
                  <w14:solidFill>
                    <w14:schemeClr w14:val="tx1"/>
                  </w14:solidFill>
                </w14:textFill>
              </w:rPr>
              <w:t>声级</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L</w:t>
            </w:r>
            <w:r>
              <w:rPr>
                <w:rFonts w:ascii="Times New Roman" w:hAnsi="Times New Roman" w:eastAsia="Times New Roman"/>
                <w:color w:val="000000" w:themeColor="text1"/>
                <w:sz w:val="24"/>
                <w:highlight w:val="none"/>
                <w:vertAlign w:val="subscript"/>
                <w14:textFill>
                  <w14:solidFill>
                    <w14:schemeClr w14:val="tx1"/>
                  </w14:solidFill>
                </w14:textFill>
              </w:rPr>
              <w:t>A</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eastAsia="Times New Roman"/>
                <w:i/>
                <w:color w:val="000000" w:themeColor="text1"/>
                <w:sz w:val="24"/>
                <w:highlight w:val="none"/>
                <w14:textFill>
                  <w14:solidFill>
                    <w14:schemeClr w14:val="tx1"/>
                  </w14:solidFill>
                </w14:textFill>
              </w:rPr>
              <w:t>r</w:t>
            </w:r>
            <w:r>
              <w:rPr>
                <w:rFonts w:ascii="Times New Roman" w:hAnsi="Times New Roman" w:eastAsia="Times New Roman"/>
                <w:color w:val="000000" w:themeColor="text1"/>
                <w:sz w:val="24"/>
                <w:highlight w:val="none"/>
                <w14:textFill>
                  <w14:solidFill>
                    <w14:schemeClr w14:val="tx1"/>
                  </w14:solidFill>
                </w14:textFill>
              </w:rPr>
              <w:t>)]</w:t>
            </w:r>
            <w:r>
              <w:rPr>
                <w:rFonts w:ascii="Times New Roman" w:hAnsi="Times New Roman"/>
                <w:color w:val="000000" w:themeColor="text1"/>
                <w:sz w:val="24"/>
                <w:highlight w:val="none"/>
                <w14:textFill>
                  <w14:solidFill>
                    <w14:schemeClr w14:val="tx1"/>
                  </w14:solidFill>
                </w14:textFill>
              </w:rPr>
              <w:t>。</w:t>
            </w:r>
          </w:p>
          <w:p w14:paraId="7E2D9028">
            <w:pPr>
              <w:spacing w:line="360" w:lineRule="auto"/>
              <w:ind w:firstLine="1778" w:firstLineChars="738"/>
              <w:rPr>
                <w:rFonts w:ascii="Times New Roman" w:hAnsi="Times New Roman"/>
                <w:b/>
                <w:color w:val="000000" w:themeColor="text1"/>
                <w:sz w:val="24"/>
                <w:highlight w:val="none"/>
                <w14:textFill>
                  <w14:solidFill>
                    <w14:schemeClr w14:val="tx1"/>
                  </w14:solidFill>
                </w14:textFill>
              </w:rPr>
            </w:pPr>
            <w:r>
              <w:rPr>
                <w:rFonts w:ascii="Times New Roman" w:hAnsi="Times New Roman"/>
                <w:b/>
                <w:color w:val="000000" w:themeColor="text1"/>
                <w:sz w:val="24"/>
                <w:highlight w:val="none"/>
                <w14:textFill>
                  <w14:solidFill>
                    <w14:schemeClr w14:val="tx1"/>
                  </w14:solidFill>
                </w14:textFill>
              </w:rPr>
              <w:drawing>
                <wp:inline distT="0" distB="0" distL="114300" distR="114300">
                  <wp:extent cx="1934210" cy="419735"/>
                  <wp:effectExtent l="0" t="0" r="8890" b="18415"/>
                  <wp:docPr id="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6"/>
                          <pic:cNvPicPr>
                            <a:picLocks noChangeAspect="1"/>
                          </pic:cNvPicPr>
                        </pic:nvPicPr>
                        <pic:blipFill>
                          <a:blip r:embed="rId40"/>
                          <a:stretch>
                            <a:fillRect/>
                          </a:stretch>
                        </pic:blipFill>
                        <pic:spPr>
                          <a:xfrm>
                            <a:off x="0" y="0"/>
                            <a:ext cx="1934210" cy="419735"/>
                          </a:xfrm>
                          <a:prstGeom prst="rect">
                            <a:avLst/>
                          </a:prstGeom>
                          <a:noFill/>
                          <a:ln>
                            <a:noFill/>
                          </a:ln>
                        </pic:spPr>
                      </pic:pic>
                    </a:graphicData>
                  </a:graphic>
                </wp:inline>
              </w:drawing>
            </w:r>
            <w:r>
              <w:rPr>
                <w:rFonts w:ascii="Times New Roman" w:hAnsi="Times New Roman"/>
                <w:b/>
                <w:color w:val="000000" w:themeColor="text1"/>
                <w:sz w:val="24"/>
                <w:highlight w:val="none"/>
                <w14:textFill>
                  <w14:solidFill>
                    <w14:schemeClr w14:val="tx1"/>
                  </w14:solidFill>
                </w14:textFill>
              </w:rPr>
              <w:t xml:space="preserve">                       </w:t>
            </w:r>
          </w:p>
          <w:p w14:paraId="60CC4398">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式中：</w:t>
            </w:r>
          </w:p>
          <w:p w14:paraId="245F33C0">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LA(r)—距声源r处的A声级，dB(A)；</w:t>
            </w:r>
          </w:p>
          <w:p w14:paraId="0829AC4E">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Lpi(r)—预测点(r)处，第i倍频带声压级，dB；</w:t>
            </w:r>
          </w:p>
          <w:p w14:paraId="71D37B6F">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△Li—i倍频带A计算网络修正值，dB(根据导则附录B计算)。</w:t>
            </w:r>
          </w:p>
          <w:p w14:paraId="47B777F2">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衰减项计算按导则附录A中A.3相关模式计算。</w:t>
            </w:r>
          </w:p>
          <w:p w14:paraId="18DC8553">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3）噪声贡献值计算</w:t>
            </w:r>
          </w:p>
          <w:p w14:paraId="33E22B5E">
            <w:pPr>
              <w:adjustRightInd w:val="0"/>
              <w:snapToGrid w:val="0"/>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设第i个室外声源在预测点产生的A声级为L</w:t>
            </w:r>
            <w:r>
              <w:rPr>
                <w:rFonts w:ascii="Times New Roman" w:hAnsi="Times New Roman"/>
                <w:color w:val="000000" w:themeColor="text1"/>
                <w:sz w:val="24"/>
                <w:highlight w:val="none"/>
                <w:vertAlign w:val="subscript"/>
                <w14:textFill>
                  <w14:solidFill>
                    <w14:schemeClr w14:val="tx1"/>
                  </w14:solidFill>
                </w14:textFill>
              </w:rPr>
              <w:t>Ai</w:t>
            </w:r>
            <w:r>
              <w:rPr>
                <w:rFonts w:ascii="Times New Roman" w:hAnsi="Times New Roman"/>
                <w:color w:val="000000" w:themeColor="text1"/>
                <w:sz w:val="24"/>
                <w:highlight w:val="none"/>
                <w14:textFill>
                  <w14:solidFill>
                    <w14:schemeClr w14:val="tx1"/>
                  </w14:solidFill>
                </w14:textFill>
              </w:rPr>
              <w:t>，在T时间内该声源工作时间为t</w:t>
            </w:r>
            <w:r>
              <w:rPr>
                <w:rFonts w:ascii="Times New Roman" w:hAnsi="Times New Roman"/>
                <w:color w:val="000000" w:themeColor="text1"/>
                <w:sz w:val="24"/>
                <w:highlight w:val="none"/>
                <w:vertAlign w:val="subscript"/>
                <w14:textFill>
                  <w14:solidFill>
                    <w14:schemeClr w14:val="tx1"/>
                  </w14:solidFill>
                </w14:textFill>
              </w:rPr>
              <w:t>i</w:t>
            </w:r>
            <w:r>
              <w:rPr>
                <w:rFonts w:ascii="Times New Roman" w:hAnsi="Times New Roman"/>
                <w:color w:val="000000" w:themeColor="text1"/>
                <w:sz w:val="24"/>
                <w:highlight w:val="none"/>
                <w14:textFill>
                  <w14:solidFill>
                    <w14:schemeClr w14:val="tx1"/>
                  </w14:solidFill>
                </w14:textFill>
              </w:rPr>
              <w:t>；第j个等效室外声源在预测点产生的A声级为L</w:t>
            </w:r>
            <w:r>
              <w:rPr>
                <w:rFonts w:ascii="Times New Roman" w:hAnsi="Times New Roman"/>
                <w:color w:val="000000" w:themeColor="text1"/>
                <w:sz w:val="24"/>
                <w:highlight w:val="none"/>
                <w:vertAlign w:val="subscript"/>
                <w14:textFill>
                  <w14:solidFill>
                    <w14:schemeClr w14:val="tx1"/>
                  </w14:solidFill>
                </w14:textFill>
              </w:rPr>
              <w:t>Aj</w:t>
            </w:r>
            <w:r>
              <w:rPr>
                <w:rFonts w:ascii="Times New Roman" w:hAnsi="Times New Roman"/>
                <w:color w:val="000000" w:themeColor="text1"/>
                <w:sz w:val="24"/>
                <w:highlight w:val="none"/>
                <w14:textFill>
                  <w14:solidFill>
                    <w14:schemeClr w14:val="tx1"/>
                  </w14:solidFill>
                </w14:textFill>
              </w:rPr>
              <w:t>，在T时间内该声源工作时间为t</w:t>
            </w:r>
            <w:r>
              <w:rPr>
                <w:rFonts w:ascii="Times New Roman" w:hAnsi="Times New Roman"/>
                <w:color w:val="000000" w:themeColor="text1"/>
                <w:sz w:val="24"/>
                <w:highlight w:val="none"/>
                <w:vertAlign w:val="subscript"/>
                <w14:textFill>
                  <w14:solidFill>
                    <w14:schemeClr w14:val="tx1"/>
                  </w14:solidFill>
                </w14:textFill>
              </w:rPr>
              <w:t xml:space="preserve"> j</w:t>
            </w:r>
            <w:r>
              <w:rPr>
                <w:rFonts w:ascii="Times New Roman" w:hAnsi="Times New Roman"/>
                <w:color w:val="000000" w:themeColor="text1"/>
                <w:sz w:val="24"/>
                <w:highlight w:val="none"/>
                <w14:textFill>
                  <w14:solidFill>
                    <w14:schemeClr w14:val="tx1"/>
                  </w14:solidFill>
                </w14:textFill>
              </w:rPr>
              <w:t>，则拟建工程声源对预测点产生的贡献值(Leqg)为：</w:t>
            </w:r>
          </w:p>
          <w:p w14:paraId="7485E4F8">
            <w:pPr>
              <w:spacing w:line="360" w:lineRule="auto"/>
              <w:ind w:firstLine="555"/>
              <w:jc w:val="center"/>
              <w:rPr>
                <w:rFonts w:ascii="Times New Roman" w:hAnsi="Times New Roman"/>
                <w:color w:val="000000" w:themeColor="text1"/>
                <w:szCs w:val="28"/>
                <w:highlight w:val="none"/>
                <w14:textFill>
                  <w14:solidFill>
                    <w14:schemeClr w14:val="tx1"/>
                  </w14:solidFill>
                </w14:textFill>
              </w:rPr>
            </w:pPr>
            <w:r>
              <w:rPr>
                <w:rFonts w:ascii="Times New Roman" w:hAnsi="Times New Roman"/>
                <w:color w:val="000000" w:themeColor="text1"/>
                <w:highlight w:val="none"/>
                <w14:textFill>
                  <w14:solidFill>
                    <w14:schemeClr w14:val="tx1"/>
                  </w14:solidFill>
                </w14:textFill>
              </w:rPr>
              <w:drawing>
                <wp:inline distT="0" distB="0" distL="114300" distR="114300">
                  <wp:extent cx="2372995" cy="485775"/>
                  <wp:effectExtent l="0" t="0" r="8255" b="9525"/>
                  <wp:docPr id="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7"/>
                          <pic:cNvPicPr>
                            <a:picLocks noChangeAspect="1"/>
                          </pic:cNvPicPr>
                        </pic:nvPicPr>
                        <pic:blipFill>
                          <a:blip r:embed="rId41"/>
                          <a:stretch>
                            <a:fillRect/>
                          </a:stretch>
                        </pic:blipFill>
                        <pic:spPr>
                          <a:xfrm>
                            <a:off x="0" y="0"/>
                            <a:ext cx="2372995" cy="485775"/>
                          </a:xfrm>
                          <a:prstGeom prst="rect">
                            <a:avLst/>
                          </a:prstGeom>
                          <a:noFill/>
                          <a:ln>
                            <a:noFill/>
                          </a:ln>
                        </pic:spPr>
                      </pic:pic>
                    </a:graphicData>
                  </a:graphic>
                </wp:inline>
              </w:drawing>
            </w:r>
            <w:r>
              <w:rPr>
                <w:rFonts w:ascii="Times New Roman" w:hAnsi="Times New Roman"/>
                <w:color w:val="000000" w:themeColor="text1"/>
                <w:szCs w:val="28"/>
                <w:highlight w:val="none"/>
                <w14:textFill>
                  <w14:solidFill>
                    <w14:schemeClr w14:val="tx1"/>
                  </w14:solidFill>
                </w14:textFill>
              </w:rPr>
              <w:t xml:space="preserve">  </w:t>
            </w:r>
          </w:p>
          <w:p w14:paraId="028B37A7">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 xml:space="preserve">式中：Leqg——建设项目声源在预测点产生的噪声贡献值，dB(A)； </w:t>
            </w:r>
          </w:p>
          <w:p w14:paraId="7B714E50">
            <w:pPr>
              <w:spacing w:line="360" w:lineRule="auto"/>
              <w:ind w:firstLine="1200" w:firstLineChars="5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 xml:space="preserve">T——用于计算等效声级的时间，s； </w:t>
            </w:r>
          </w:p>
          <w:p w14:paraId="37B6D506">
            <w:pPr>
              <w:spacing w:line="360" w:lineRule="auto"/>
              <w:ind w:firstLine="1200" w:firstLineChars="5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 xml:space="preserve">N——室外声源个数； </w:t>
            </w:r>
          </w:p>
          <w:p w14:paraId="63D4293E">
            <w:pPr>
              <w:spacing w:line="360" w:lineRule="auto"/>
              <w:ind w:firstLine="1200" w:firstLineChars="5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t</w:t>
            </w:r>
            <w:r>
              <w:rPr>
                <w:rFonts w:ascii="Times New Roman" w:hAnsi="Times New Roman"/>
                <w:color w:val="000000" w:themeColor="text1"/>
                <w:sz w:val="24"/>
                <w:highlight w:val="none"/>
                <w:vertAlign w:val="subscript"/>
                <w14:textFill>
                  <w14:solidFill>
                    <w14:schemeClr w14:val="tx1"/>
                  </w14:solidFill>
                </w14:textFill>
              </w:rPr>
              <w:t>i</w:t>
            </w:r>
            <w:r>
              <w:rPr>
                <w:rFonts w:ascii="Times New Roman" w:hAnsi="Times New Roman"/>
                <w:color w:val="000000" w:themeColor="text1"/>
                <w:sz w:val="24"/>
                <w:highlight w:val="none"/>
                <w14:textFill>
                  <w14:solidFill>
                    <w14:schemeClr w14:val="tx1"/>
                  </w14:solidFill>
                </w14:textFill>
              </w:rPr>
              <w:t xml:space="preserve">——在T时间内i声源工作时间，s； </w:t>
            </w:r>
          </w:p>
          <w:p w14:paraId="13D32241">
            <w:pPr>
              <w:spacing w:line="360" w:lineRule="auto"/>
              <w:ind w:firstLine="1200" w:firstLineChars="5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 xml:space="preserve">M——等效室外声源个数； </w:t>
            </w:r>
          </w:p>
          <w:p w14:paraId="1D6835F9">
            <w:pPr>
              <w:spacing w:line="360" w:lineRule="auto"/>
              <w:ind w:firstLine="1200" w:firstLineChars="5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t</w:t>
            </w:r>
            <w:r>
              <w:rPr>
                <w:rFonts w:ascii="Times New Roman" w:hAnsi="Times New Roman"/>
                <w:color w:val="000000" w:themeColor="text1"/>
                <w:sz w:val="24"/>
                <w:highlight w:val="none"/>
                <w:vertAlign w:val="subscript"/>
                <w14:textFill>
                  <w14:solidFill>
                    <w14:schemeClr w14:val="tx1"/>
                  </w14:solidFill>
                </w14:textFill>
              </w:rPr>
              <w:t xml:space="preserve">j </w:t>
            </w:r>
            <w:r>
              <w:rPr>
                <w:rFonts w:ascii="Times New Roman" w:hAnsi="Times New Roman"/>
                <w:color w:val="000000" w:themeColor="text1"/>
                <w:sz w:val="24"/>
                <w:highlight w:val="none"/>
                <w14:textFill>
                  <w14:solidFill>
                    <w14:schemeClr w14:val="tx1"/>
                  </w14:solidFill>
                </w14:textFill>
              </w:rPr>
              <w:t>——在T时间内j声源工作时间，s。</w:t>
            </w:r>
          </w:p>
          <w:p w14:paraId="62EED683">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4）噪声预测值计算</w:t>
            </w:r>
          </w:p>
          <w:p w14:paraId="191D5AFF">
            <w:pPr>
              <w:spacing w:line="360" w:lineRule="auto"/>
              <w:ind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预测点的贡献值和背景值按能量叠加方法计算得到的声级，计算公式：</w:t>
            </w:r>
          </w:p>
          <w:p w14:paraId="583406DD">
            <w:pPr>
              <w:spacing w:line="360" w:lineRule="auto"/>
              <w:ind w:firstLine="1680" w:firstLineChars="7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drawing>
                <wp:inline distT="0" distB="0" distL="114300" distR="114300">
                  <wp:extent cx="1903730" cy="304800"/>
                  <wp:effectExtent l="0" t="0" r="1270" b="0"/>
                  <wp:docPr id="5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
                          <pic:cNvPicPr>
                            <a:picLocks noChangeAspect="1"/>
                          </pic:cNvPicPr>
                        </pic:nvPicPr>
                        <pic:blipFill>
                          <a:blip r:embed="rId42"/>
                          <a:stretch>
                            <a:fillRect/>
                          </a:stretch>
                        </pic:blipFill>
                        <pic:spPr>
                          <a:xfrm>
                            <a:off x="0" y="0"/>
                            <a:ext cx="1903730" cy="304800"/>
                          </a:xfrm>
                          <a:prstGeom prst="rect">
                            <a:avLst/>
                          </a:prstGeom>
                          <a:noFill/>
                          <a:ln>
                            <a:noFill/>
                          </a:ln>
                        </pic:spPr>
                      </pic:pic>
                    </a:graphicData>
                  </a:graphic>
                </wp:inline>
              </w:drawing>
            </w:r>
            <w:r>
              <w:rPr>
                <w:rFonts w:ascii="Times New Roman" w:hAnsi="Times New Roman"/>
                <w:color w:val="000000" w:themeColor="text1"/>
                <w:sz w:val="24"/>
                <w:highlight w:val="none"/>
                <w14:textFill>
                  <w14:solidFill>
                    <w14:schemeClr w14:val="tx1"/>
                  </w14:solidFill>
                </w14:textFill>
              </w:rPr>
              <w:t xml:space="preserve">            (2)</w:t>
            </w:r>
          </w:p>
          <w:p w14:paraId="59BF08CD">
            <w:pPr>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式中：</w:t>
            </w:r>
          </w:p>
          <w:p w14:paraId="75F49862">
            <w:pPr>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Leq—预测点的噪声预测值，dB；</w:t>
            </w:r>
          </w:p>
          <w:p w14:paraId="7EA06170">
            <w:pPr>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Leqg—建设项目声源在预测点产生的噪声贡献值，dB；</w:t>
            </w:r>
          </w:p>
          <w:p w14:paraId="363FC3F5">
            <w:pPr>
              <w:spacing w:line="360" w:lineRule="auto"/>
              <w:ind w:firstLine="48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Leqb—预测点的背景噪声值，dB。</w:t>
            </w:r>
          </w:p>
          <w:p w14:paraId="01015F24">
            <w:pPr>
              <w:snapToGrid w:val="0"/>
              <w:spacing w:line="360" w:lineRule="auto"/>
              <w:ind w:right="11" w:firstLine="480" w:firstLineChars="200"/>
              <w:rPr>
                <w:rFonts w:ascii="Times New Roman" w:hAnsi="Times New Roman"/>
                <w:color w:val="000000" w:themeColor="text1"/>
                <w:sz w:val="24"/>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5）隔声量的确定</w:t>
            </w:r>
          </w:p>
          <w:p w14:paraId="3BF64326">
            <w:pPr>
              <w:pStyle w:val="66"/>
              <w:ind w:firstLine="420"/>
              <w:rPr>
                <w:rFonts w:ascii="宋体" w:hAnsi="宋体"/>
                <w:color w:val="000000" w:themeColor="text1"/>
                <w:sz w:val="24"/>
                <w:szCs w:val="32"/>
                <w:highlight w:val="none"/>
                <w14:textFill>
                  <w14:solidFill>
                    <w14:schemeClr w14:val="tx1"/>
                  </w14:solidFill>
                </w14:textFill>
              </w:rPr>
            </w:pPr>
            <w:r>
              <w:rPr>
                <w:rFonts w:ascii="Times New Roman" w:hAnsi="Times New Roman"/>
                <w:color w:val="000000" w:themeColor="text1"/>
                <w:sz w:val="24"/>
                <w:highlight w:val="none"/>
                <w14:textFill>
                  <w14:solidFill>
                    <w14:schemeClr w14:val="tx1"/>
                  </w14:solidFill>
                </w14:textFill>
              </w:rPr>
              <w:t>项目主要噪声设备设置于车间内，设备噪声经墙体隔声，设备基础减振后，可削减15dB(A)以上。</w:t>
            </w:r>
          </w:p>
          <w:p w14:paraId="4B51DE9B">
            <w:pPr>
              <w:pStyle w:val="66"/>
              <w:ind w:firstLine="420"/>
              <w:rPr>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w:t>
            </w:r>
            <w:r>
              <w:rPr>
                <w:color w:val="000000" w:themeColor="text1"/>
                <w:sz w:val="24"/>
                <w:szCs w:val="32"/>
                <w:highlight w:val="none"/>
                <w14:textFill>
                  <w14:solidFill>
                    <w14:schemeClr w14:val="tx1"/>
                  </w14:solidFill>
                </w14:textFill>
              </w:rPr>
              <w:t>3</w:t>
            </w:r>
            <w:r>
              <w:rPr>
                <w:rFonts w:ascii="宋体" w:hAnsi="宋体"/>
                <w:color w:val="000000" w:themeColor="text1"/>
                <w:sz w:val="24"/>
                <w:szCs w:val="32"/>
                <w:highlight w:val="none"/>
                <w14:textFill>
                  <w14:solidFill>
                    <w14:schemeClr w14:val="tx1"/>
                  </w14:solidFill>
                </w14:textFill>
              </w:rPr>
              <w:t>）预测结果</w:t>
            </w:r>
          </w:p>
          <w:p w14:paraId="5611CC89">
            <w:pPr>
              <w:pStyle w:val="66"/>
              <w:ind w:firstLine="420"/>
              <w:rPr>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工程运行后，厂界噪声预测结果见下表。工程营运期厂界昼间噪声贡献值不超过</w:t>
            </w:r>
            <w:r>
              <w:rPr>
                <w:color w:val="000000" w:themeColor="text1"/>
                <w:sz w:val="24"/>
                <w:szCs w:val="32"/>
                <w:highlight w:val="none"/>
                <w14:textFill>
                  <w14:solidFill>
                    <w14:schemeClr w14:val="tx1"/>
                  </w14:solidFill>
                </w14:textFill>
              </w:rPr>
              <w:t>65dB</w:t>
            </w:r>
            <w:r>
              <w:rPr>
                <w:rFonts w:ascii="宋体" w:hAnsi="宋体"/>
                <w:color w:val="000000" w:themeColor="text1"/>
                <w:sz w:val="24"/>
                <w:szCs w:val="32"/>
                <w:highlight w:val="none"/>
                <w14:textFill>
                  <w14:solidFill>
                    <w14:schemeClr w14:val="tx1"/>
                  </w14:solidFill>
                </w14:textFill>
              </w:rPr>
              <w:t>，夜间厂界的贡献值不超过</w:t>
            </w:r>
            <w:r>
              <w:rPr>
                <w:color w:val="000000" w:themeColor="text1"/>
                <w:sz w:val="24"/>
                <w:szCs w:val="32"/>
                <w:highlight w:val="none"/>
                <w14:textFill>
                  <w14:solidFill>
                    <w14:schemeClr w14:val="tx1"/>
                  </w14:solidFill>
                </w14:textFill>
              </w:rPr>
              <w:t>55dB</w:t>
            </w:r>
            <w:r>
              <w:rPr>
                <w:rFonts w:ascii="宋体" w:hAnsi="宋体"/>
                <w:color w:val="000000" w:themeColor="text1"/>
                <w:sz w:val="24"/>
                <w:szCs w:val="32"/>
                <w:highlight w:val="none"/>
                <w14:textFill>
                  <w14:solidFill>
                    <w14:schemeClr w14:val="tx1"/>
                  </w14:solidFill>
                </w14:textFill>
              </w:rPr>
              <w:t>，符合《工业企业厂界环境噪声排放标准》</w:t>
            </w:r>
            <w:r>
              <w:rPr>
                <w:rFonts w:hint="eastAsia" w:ascii="宋体" w:hAnsi="宋体"/>
                <w:color w:val="000000" w:themeColor="text1"/>
                <w:sz w:val="24"/>
                <w:szCs w:val="32"/>
                <w:highlight w:val="none"/>
                <w14:textFill>
                  <w14:solidFill>
                    <w14:schemeClr w14:val="tx1"/>
                  </w14:solidFill>
                </w14:textFill>
              </w:rPr>
              <w:t>（</w:t>
            </w:r>
            <w:r>
              <w:rPr>
                <w:color w:val="000000" w:themeColor="text1"/>
                <w:sz w:val="24"/>
                <w:szCs w:val="32"/>
                <w:highlight w:val="none"/>
                <w14:textFill>
                  <w14:solidFill>
                    <w14:schemeClr w14:val="tx1"/>
                  </w14:solidFill>
                </w14:textFill>
              </w:rPr>
              <w:t>GB12348-2008</w:t>
            </w:r>
            <w:r>
              <w:rPr>
                <w:rFonts w:hint="eastAsia" w:ascii="宋体" w:hAnsi="宋体"/>
                <w:color w:val="000000" w:themeColor="text1"/>
                <w:sz w:val="24"/>
                <w:szCs w:val="32"/>
                <w:highlight w:val="none"/>
                <w14:textFill>
                  <w14:solidFill>
                    <w14:schemeClr w14:val="tx1"/>
                  </w14:solidFill>
                </w14:textFill>
              </w:rPr>
              <w:t>）</w:t>
            </w:r>
            <w:r>
              <w:rPr>
                <w:rFonts w:ascii="宋体" w:hAnsi="宋体"/>
                <w:color w:val="000000" w:themeColor="text1"/>
                <w:sz w:val="24"/>
                <w:szCs w:val="32"/>
                <w:highlight w:val="none"/>
                <w14:textFill>
                  <w14:solidFill>
                    <w14:schemeClr w14:val="tx1"/>
                  </w14:solidFill>
                </w14:textFill>
              </w:rPr>
              <w:t>规定的</w:t>
            </w:r>
            <w:r>
              <w:rPr>
                <w:color w:val="000000" w:themeColor="text1"/>
                <w:sz w:val="24"/>
                <w:szCs w:val="32"/>
                <w:highlight w:val="none"/>
                <w14:textFill>
                  <w14:solidFill>
                    <w14:schemeClr w14:val="tx1"/>
                  </w14:solidFill>
                </w14:textFill>
              </w:rPr>
              <w:t>3</w:t>
            </w:r>
            <w:r>
              <w:rPr>
                <w:rFonts w:ascii="宋体" w:hAnsi="宋体"/>
                <w:color w:val="000000" w:themeColor="text1"/>
                <w:sz w:val="24"/>
                <w:szCs w:val="32"/>
                <w:highlight w:val="none"/>
                <w14:textFill>
                  <w14:solidFill>
                    <w14:schemeClr w14:val="tx1"/>
                  </w14:solidFill>
                </w14:textFill>
              </w:rPr>
              <w:t>类要求。</w:t>
            </w:r>
          </w:p>
          <w:p w14:paraId="1EE7698A">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 4-7  环境噪声预测结果  单位：dB</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2"/>
              <w:gridCol w:w="856"/>
              <w:gridCol w:w="856"/>
              <w:gridCol w:w="1003"/>
              <w:gridCol w:w="1004"/>
              <w:gridCol w:w="946"/>
              <w:gridCol w:w="954"/>
            </w:tblGrid>
            <w:tr w14:paraId="3A63E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40" w:type="pct"/>
                  <w:vMerge w:val="restart"/>
                  <w:tcBorders>
                    <w:top w:val="single" w:color="auto" w:sz="4" w:space="0"/>
                    <w:left w:val="single" w:color="auto" w:sz="4" w:space="0"/>
                    <w:bottom w:val="single" w:color="auto" w:sz="4" w:space="0"/>
                    <w:right w:val="single" w:color="auto" w:sz="4" w:space="0"/>
                  </w:tcBorders>
                  <w:vAlign w:val="center"/>
                </w:tcPr>
                <w:p w14:paraId="5A73F073">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厂界声环境预测</w:t>
                  </w:r>
                  <w:r>
                    <w:rPr>
                      <w:rFonts w:hint="eastAsia" w:ascii="宋体" w:hAnsi="宋体"/>
                      <w:color w:val="000000" w:themeColor="text1"/>
                      <w:sz w:val="21"/>
                      <w:szCs w:val="21"/>
                      <w:highlight w:val="none"/>
                      <w14:textFill>
                        <w14:solidFill>
                          <w14:schemeClr w14:val="tx1"/>
                        </w14:solidFill>
                      </w14:textFill>
                    </w:rPr>
                    <w:t>区域</w:t>
                  </w:r>
                </w:p>
              </w:tc>
              <w:tc>
                <w:tcPr>
                  <w:tcW w:w="1054" w:type="pct"/>
                  <w:gridSpan w:val="2"/>
                  <w:tcBorders>
                    <w:top w:val="single" w:color="auto" w:sz="4" w:space="0"/>
                    <w:left w:val="single" w:color="auto" w:sz="4" w:space="0"/>
                    <w:bottom w:val="single" w:color="auto" w:sz="4" w:space="0"/>
                    <w:right w:val="single" w:color="auto" w:sz="4" w:space="0"/>
                  </w:tcBorders>
                  <w:vAlign w:val="center"/>
                </w:tcPr>
                <w:p w14:paraId="4D92C185">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执行标准</w:t>
                  </w:r>
                </w:p>
              </w:tc>
              <w:tc>
                <w:tcPr>
                  <w:tcW w:w="1235" w:type="pct"/>
                  <w:gridSpan w:val="2"/>
                  <w:tcBorders>
                    <w:top w:val="single" w:color="auto" w:sz="4" w:space="0"/>
                    <w:left w:val="single" w:color="auto" w:sz="4" w:space="0"/>
                    <w:bottom w:val="single" w:color="auto" w:sz="4" w:space="0"/>
                    <w:right w:val="single" w:color="auto" w:sz="4" w:space="0"/>
                  </w:tcBorders>
                  <w:vAlign w:val="center"/>
                </w:tcPr>
                <w:p w14:paraId="256BDA5B">
                  <w:pPr>
                    <w:pStyle w:val="70"/>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拟建工程贡献</w:t>
                  </w:r>
                  <w:r>
                    <w:rPr>
                      <w:rFonts w:ascii="宋体" w:hAnsi="宋体"/>
                      <w:color w:val="000000" w:themeColor="text1"/>
                      <w:sz w:val="21"/>
                      <w:szCs w:val="21"/>
                      <w:highlight w:val="none"/>
                      <w14:textFill>
                        <w14:solidFill>
                          <w14:schemeClr w14:val="tx1"/>
                        </w14:solidFill>
                      </w14:textFill>
                    </w:rPr>
                    <w:t>预测值</w:t>
                  </w:r>
                </w:p>
              </w:tc>
              <w:tc>
                <w:tcPr>
                  <w:tcW w:w="1169" w:type="pct"/>
                  <w:gridSpan w:val="2"/>
                  <w:tcBorders>
                    <w:top w:val="single" w:color="auto" w:sz="4" w:space="0"/>
                    <w:left w:val="single" w:color="auto" w:sz="4" w:space="0"/>
                    <w:bottom w:val="single" w:color="auto" w:sz="4" w:space="0"/>
                    <w:right w:val="single" w:color="auto" w:sz="4" w:space="0"/>
                  </w:tcBorders>
                  <w:vAlign w:val="center"/>
                </w:tcPr>
                <w:p w14:paraId="6DEB1F05">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达标情况</w:t>
                  </w:r>
                </w:p>
              </w:tc>
            </w:tr>
            <w:tr w14:paraId="5D337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40" w:type="pct"/>
                  <w:vMerge w:val="continue"/>
                  <w:tcBorders>
                    <w:top w:val="single" w:color="auto" w:sz="4" w:space="0"/>
                    <w:left w:val="single" w:color="auto" w:sz="4" w:space="0"/>
                    <w:bottom w:val="single" w:color="auto" w:sz="4" w:space="0"/>
                    <w:right w:val="single" w:color="auto" w:sz="4" w:space="0"/>
                  </w:tcBorders>
                  <w:vAlign w:val="center"/>
                </w:tcPr>
                <w:p w14:paraId="428BF2F4">
                  <w:pPr>
                    <w:widowControl/>
                    <w:jc w:val="left"/>
                    <w:rPr>
                      <w:color w:val="000000" w:themeColor="text1"/>
                      <w:sz w:val="21"/>
                      <w:szCs w:val="21"/>
                      <w:highlight w:val="none"/>
                      <w14:textFill>
                        <w14:solidFill>
                          <w14:schemeClr w14:val="tx1"/>
                        </w14:solidFill>
                      </w14:textFill>
                    </w:rPr>
                  </w:pPr>
                </w:p>
              </w:tc>
              <w:tc>
                <w:tcPr>
                  <w:tcW w:w="527" w:type="pct"/>
                  <w:tcBorders>
                    <w:top w:val="single" w:color="auto" w:sz="4" w:space="0"/>
                    <w:left w:val="single" w:color="auto" w:sz="4" w:space="0"/>
                    <w:bottom w:val="single" w:color="auto" w:sz="4" w:space="0"/>
                    <w:right w:val="single" w:color="auto" w:sz="4" w:space="0"/>
                  </w:tcBorders>
                  <w:vAlign w:val="center"/>
                </w:tcPr>
                <w:p w14:paraId="0FF12D8E">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昼间</w:t>
                  </w:r>
                </w:p>
              </w:tc>
              <w:tc>
                <w:tcPr>
                  <w:tcW w:w="527" w:type="pct"/>
                  <w:tcBorders>
                    <w:top w:val="single" w:color="auto" w:sz="4" w:space="0"/>
                    <w:left w:val="single" w:color="auto" w:sz="4" w:space="0"/>
                    <w:bottom w:val="single" w:color="auto" w:sz="4" w:space="0"/>
                    <w:right w:val="single" w:color="auto" w:sz="4" w:space="0"/>
                  </w:tcBorders>
                  <w:vAlign w:val="center"/>
                </w:tcPr>
                <w:p w14:paraId="3E7F90DB">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夜间</w:t>
                  </w:r>
                </w:p>
              </w:tc>
              <w:tc>
                <w:tcPr>
                  <w:tcW w:w="617" w:type="pct"/>
                  <w:tcBorders>
                    <w:top w:val="single" w:color="auto" w:sz="4" w:space="0"/>
                    <w:left w:val="single" w:color="auto" w:sz="4" w:space="0"/>
                    <w:bottom w:val="single" w:color="auto" w:sz="4" w:space="0"/>
                    <w:right w:val="single" w:color="auto" w:sz="4" w:space="0"/>
                  </w:tcBorders>
                  <w:vAlign w:val="center"/>
                </w:tcPr>
                <w:p w14:paraId="51A44B63">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昼间</w:t>
                  </w:r>
                </w:p>
              </w:tc>
              <w:tc>
                <w:tcPr>
                  <w:tcW w:w="617" w:type="pct"/>
                  <w:tcBorders>
                    <w:top w:val="single" w:color="auto" w:sz="4" w:space="0"/>
                    <w:left w:val="single" w:color="auto" w:sz="4" w:space="0"/>
                    <w:bottom w:val="single" w:color="auto" w:sz="4" w:space="0"/>
                    <w:right w:val="single" w:color="auto" w:sz="4" w:space="0"/>
                  </w:tcBorders>
                  <w:vAlign w:val="center"/>
                </w:tcPr>
                <w:p w14:paraId="2FD0684B">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夜间</w:t>
                  </w:r>
                </w:p>
              </w:tc>
              <w:tc>
                <w:tcPr>
                  <w:tcW w:w="582" w:type="pct"/>
                  <w:tcBorders>
                    <w:top w:val="single" w:color="auto" w:sz="4" w:space="0"/>
                    <w:left w:val="single" w:color="auto" w:sz="4" w:space="0"/>
                    <w:bottom w:val="single" w:color="auto" w:sz="4" w:space="0"/>
                    <w:right w:val="single" w:color="auto" w:sz="4" w:space="0"/>
                  </w:tcBorders>
                  <w:vAlign w:val="center"/>
                </w:tcPr>
                <w:p w14:paraId="00D0947C">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昼间</w:t>
                  </w:r>
                </w:p>
              </w:tc>
              <w:tc>
                <w:tcPr>
                  <w:tcW w:w="587" w:type="pct"/>
                  <w:tcBorders>
                    <w:top w:val="single" w:color="auto" w:sz="4" w:space="0"/>
                    <w:left w:val="single" w:color="auto" w:sz="4" w:space="0"/>
                    <w:bottom w:val="single" w:color="auto" w:sz="4" w:space="0"/>
                    <w:right w:val="single" w:color="auto" w:sz="4" w:space="0"/>
                  </w:tcBorders>
                  <w:vAlign w:val="center"/>
                </w:tcPr>
                <w:p w14:paraId="21D4F302">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夜间</w:t>
                  </w:r>
                </w:p>
              </w:tc>
            </w:tr>
            <w:tr w14:paraId="4597A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40" w:type="pct"/>
                  <w:tcBorders>
                    <w:top w:val="single" w:color="auto" w:sz="4" w:space="0"/>
                    <w:left w:val="single" w:color="auto" w:sz="4" w:space="0"/>
                    <w:bottom w:val="single" w:color="auto" w:sz="4" w:space="0"/>
                    <w:right w:val="single" w:color="auto" w:sz="4" w:space="0"/>
                  </w:tcBorders>
                  <w:vAlign w:val="center"/>
                </w:tcPr>
                <w:p w14:paraId="6E437738">
                  <w:pPr>
                    <w:pStyle w:val="70"/>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北侧厂界</w:t>
                  </w:r>
                </w:p>
              </w:tc>
              <w:tc>
                <w:tcPr>
                  <w:tcW w:w="527" w:type="pct"/>
                  <w:vMerge w:val="restart"/>
                  <w:tcBorders>
                    <w:top w:val="nil"/>
                    <w:left w:val="single" w:color="auto" w:sz="4" w:space="0"/>
                    <w:bottom w:val="single" w:color="auto" w:sz="4" w:space="0"/>
                    <w:right w:val="single" w:color="auto" w:sz="4" w:space="0"/>
                  </w:tcBorders>
                  <w:vAlign w:val="center"/>
                </w:tcPr>
                <w:p w14:paraId="09691A3D">
                  <w:pPr>
                    <w:pStyle w:val="7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65</w:t>
                  </w:r>
                </w:p>
              </w:tc>
              <w:tc>
                <w:tcPr>
                  <w:tcW w:w="527" w:type="pct"/>
                  <w:vMerge w:val="restart"/>
                  <w:tcBorders>
                    <w:top w:val="nil"/>
                    <w:left w:val="single" w:color="auto" w:sz="4" w:space="0"/>
                    <w:bottom w:val="single" w:color="auto" w:sz="4" w:space="0"/>
                    <w:right w:val="single" w:color="auto" w:sz="4" w:space="0"/>
                  </w:tcBorders>
                  <w:vAlign w:val="center"/>
                </w:tcPr>
                <w:p w14:paraId="79BBAD68">
                  <w:pPr>
                    <w:pStyle w:val="70"/>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55</w:t>
                  </w:r>
                </w:p>
              </w:tc>
              <w:tc>
                <w:tcPr>
                  <w:tcW w:w="617" w:type="pct"/>
                  <w:tcBorders>
                    <w:top w:val="single" w:color="auto" w:sz="4" w:space="0"/>
                    <w:left w:val="single" w:color="auto" w:sz="4" w:space="0"/>
                    <w:bottom w:val="single" w:color="auto" w:sz="4" w:space="0"/>
                    <w:right w:val="single" w:color="auto" w:sz="4" w:space="0"/>
                  </w:tcBorders>
                  <w:vAlign w:val="bottom"/>
                </w:tcPr>
                <w:p w14:paraId="52977E8F">
                  <w:pPr>
                    <w:pStyle w:val="70"/>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52.4</w:t>
                  </w:r>
                </w:p>
              </w:tc>
              <w:tc>
                <w:tcPr>
                  <w:tcW w:w="617" w:type="pct"/>
                  <w:tcBorders>
                    <w:top w:val="single" w:color="auto" w:sz="4" w:space="0"/>
                    <w:left w:val="single" w:color="auto" w:sz="4" w:space="0"/>
                    <w:bottom w:val="single" w:color="auto" w:sz="4" w:space="0"/>
                    <w:right w:val="single" w:color="auto" w:sz="4" w:space="0"/>
                  </w:tcBorders>
                  <w:vAlign w:val="bottom"/>
                </w:tcPr>
                <w:p w14:paraId="5377A940">
                  <w:pPr>
                    <w:pStyle w:val="70"/>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52.4</w:t>
                  </w:r>
                  <w:r>
                    <w:rPr>
                      <w:color w:val="000000" w:themeColor="text1"/>
                      <w:sz w:val="21"/>
                      <w:szCs w:val="21"/>
                      <w:highlight w:val="none"/>
                      <w14:textFill>
                        <w14:solidFill>
                          <w14:schemeClr w14:val="tx1"/>
                        </w14:solidFill>
                      </w14:textFill>
                    </w:rPr>
                    <w:t xml:space="preserve"> </w:t>
                  </w:r>
                </w:p>
              </w:tc>
              <w:tc>
                <w:tcPr>
                  <w:tcW w:w="582" w:type="pct"/>
                  <w:tcBorders>
                    <w:top w:val="single" w:color="auto" w:sz="4" w:space="0"/>
                    <w:left w:val="single" w:color="auto" w:sz="4" w:space="0"/>
                    <w:bottom w:val="single" w:color="auto" w:sz="4" w:space="0"/>
                    <w:right w:val="single" w:color="auto" w:sz="4" w:space="0"/>
                  </w:tcBorders>
                  <w:vAlign w:val="center"/>
                </w:tcPr>
                <w:p w14:paraId="3AB773E8">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w:t>
                  </w:r>
                </w:p>
              </w:tc>
              <w:tc>
                <w:tcPr>
                  <w:tcW w:w="587" w:type="pct"/>
                  <w:tcBorders>
                    <w:top w:val="single" w:color="auto" w:sz="4" w:space="0"/>
                    <w:left w:val="single" w:color="auto" w:sz="4" w:space="0"/>
                    <w:bottom w:val="single" w:color="auto" w:sz="4" w:space="0"/>
                    <w:right w:val="single" w:color="auto" w:sz="4" w:space="0"/>
                  </w:tcBorders>
                  <w:vAlign w:val="center"/>
                </w:tcPr>
                <w:p w14:paraId="2DAA4FAC">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w:t>
                  </w:r>
                </w:p>
              </w:tc>
            </w:tr>
            <w:tr w14:paraId="6D5AB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40" w:type="pct"/>
                  <w:tcBorders>
                    <w:top w:val="single" w:color="auto" w:sz="4" w:space="0"/>
                    <w:left w:val="single" w:color="auto" w:sz="4" w:space="0"/>
                    <w:bottom w:val="single" w:color="auto" w:sz="4" w:space="0"/>
                    <w:right w:val="single" w:color="auto" w:sz="4" w:space="0"/>
                  </w:tcBorders>
                  <w:vAlign w:val="center"/>
                </w:tcPr>
                <w:p w14:paraId="43C2F8E2">
                  <w:pPr>
                    <w:pStyle w:val="70"/>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西侧厂界</w:t>
                  </w:r>
                </w:p>
              </w:tc>
              <w:tc>
                <w:tcPr>
                  <w:tcW w:w="527" w:type="pct"/>
                  <w:vMerge w:val="continue"/>
                  <w:tcBorders>
                    <w:top w:val="nil"/>
                    <w:left w:val="single" w:color="auto" w:sz="4" w:space="0"/>
                    <w:bottom w:val="single" w:color="auto" w:sz="4" w:space="0"/>
                    <w:right w:val="single" w:color="auto" w:sz="4" w:space="0"/>
                  </w:tcBorders>
                  <w:vAlign w:val="center"/>
                </w:tcPr>
                <w:p w14:paraId="20675241">
                  <w:pPr>
                    <w:widowControl/>
                    <w:jc w:val="left"/>
                    <w:rPr>
                      <w:color w:val="000000" w:themeColor="text1"/>
                      <w:sz w:val="21"/>
                      <w:szCs w:val="21"/>
                      <w:highlight w:val="none"/>
                      <w14:textFill>
                        <w14:solidFill>
                          <w14:schemeClr w14:val="tx1"/>
                        </w14:solidFill>
                      </w14:textFill>
                    </w:rPr>
                  </w:pPr>
                </w:p>
              </w:tc>
              <w:tc>
                <w:tcPr>
                  <w:tcW w:w="527" w:type="pct"/>
                  <w:vMerge w:val="continue"/>
                  <w:tcBorders>
                    <w:top w:val="nil"/>
                    <w:left w:val="single" w:color="auto" w:sz="4" w:space="0"/>
                    <w:bottom w:val="single" w:color="auto" w:sz="4" w:space="0"/>
                    <w:right w:val="single" w:color="auto" w:sz="4" w:space="0"/>
                  </w:tcBorders>
                  <w:vAlign w:val="center"/>
                </w:tcPr>
                <w:p w14:paraId="4427FA77">
                  <w:pPr>
                    <w:widowControl/>
                    <w:jc w:val="left"/>
                    <w:rPr>
                      <w:color w:val="000000" w:themeColor="text1"/>
                      <w:sz w:val="21"/>
                      <w:szCs w:val="21"/>
                      <w:highlight w:val="none"/>
                      <w14:textFill>
                        <w14:solidFill>
                          <w14:schemeClr w14:val="tx1"/>
                        </w14:solidFill>
                      </w14:textFill>
                    </w:rPr>
                  </w:pPr>
                </w:p>
              </w:tc>
              <w:tc>
                <w:tcPr>
                  <w:tcW w:w="617" w:type="pct"/>
                  <w:tcBorders>
                    <w:top w:val="single" w:color="auto" w:sz="4" w:space="0"/>
                    <w:left w:val="single" w:color="auto" w:sz="4" w:space="0"/>
                    <w:bottom w:val="single" w:color="auto" w:sz="4" w:space="0"/>
                    <w:right w:val="single" w:color="auto" w:sz="4" w:space="0"/>
                  </w:tcBorders>
                  <w:vAlign w:val="bottom"/>
                </w:tcPr>
                <w:p w14:paraId="66B15A9F">
                  <w:pPr>
                    <w:pStyle w:val="70"/>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45.8</w:t>
                  </w:r>
                  <w:r>
                    <w:rPr>
                      <w:color w:val="000000" w:themeColor="text1"/>
                      <w:sz w:val="21"/>
                      <w:szCs w:val="21"/>
                      <w:highlight w:val="none"/>
                      <w14:textFill>
                        <w14:solidFill>
                          <w14:schemeClr w14:val="tx1"/>
                        </w14:solidFill>
                      </w14:textFill>
                    </w:rPr>
                    <w:t xml:space="preserve"> </w:t>
                  </w:r>
                </w:p>
              </w:tc>
              <w:tc>
                <w:tcPr>
                  <w:tcW w:w="617" w:type="pct"/>
                  <w:tcBorders>
                    <w:top w:val="single" w:color="auto" w:sz="4" w:space="0"/>
                    <w:left w:val="single" w:color="auto" w:sz="4" w:space="0"/>
                    <w:bottom w:val="single" w:color="auto" w:sz="4" w:space="0"/>
                    <w:right w:val="single" w:color="auto" w:sz="4" w:space="0"/>
                  </w:tcBorders>
                  <w:vAlign w:val="bottom"/>
                </w:tcPr>
                <w:p w14:paraId="05A12C42">
                  <w:pPr>
                    <w:pStyle w:val="70"/>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45.8</w:t>
                  </w:r>
                  <w:r>
                    <w:rPr>
                      <w:color w:val="000000" w:themeColor="text1"/>
                      <w:sz w:val="21"/>
                      <w:szCs w:val="21"/>
                      <w:highlight w:val="none"/>
                      <w14:textFill>
                        <w14:solidFill>
                          <w14:schemeClr w14:val="tx1"/>
                        </w14:solidFill>
                      </w14:textFill>
                    </w:rPr>
                    <w:t xml:space="preserve"> </w:t>
                  </w:r>
                </w:p>
              </w:tc>
              <w:tc>
                <w:tcPr>
                  <w:tcW w:w="582" w:type="pct"/>
                  <w:tcBorders>
                    <w:top w:val="single" w:color="auto" w:sz="4" w:space="0"/>
                    <w:left w:val="single" w:color="auto" w:sz="4" w:space="0"/>
                    <w:bottom w:val="single" w:color="auto" w:sz="4" w:space="0"/>
                    <w:right w:val="single" w:color="auto" w:sz="4" w:space="0"/>
                  </w:tcBorders>
                  <w:vAlign w:val="center"/>
                </w:tcPr>
                <w:p w14:paraId="3EC62F37">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w:t>
                  </w:r>
                </w:p>
              </w:tc>
              <w:tc>
                <w:tcPr>
                  <w:tcW w:w="587" w:type="pct"/>
                  <w:tcBorders>
                    <w:top w:val="single" w:color="auto" w:sz="4" w:space="0"/>
                    <w:left w:val="single" w:color="auto" w:sz="4" w:space="0"/>
                    <w:bottom w:val="single" w:color="auto" w:sz="4" w:space="0"/>
                    <w:right w:val="single" w:color="auto" w:sz="4" w:space="0"/>
                  </w:tcBorders>
                  <w:vAlign w:val="center"/>
                </w:tcPr>
                <w:p w14:paraId="1A9CA80F">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w:t>
                  </w:r>
                </w:p>
              </w:tc>
            </w:tr>
            <w:tr w14:paraId="73693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540" w:type="pct"/>
                  <w:tcBorders>
                    <w:top w:val="single" w:color="auto" w:sz="4" w:space="0"/>
                    <w:left w:val="single" w:color="auto" w:sz="4" w:space="0"/>
                    <w:bottom w:val="single" w:color="auto" w:sz="4" w:space="0"/>
                    <w:right w:val="single" w:color="auto" w:sz="4" w:space="0"/>
                  </w:tcBorders>
                  <w:vAlign w:val="center"/>
                </w:tcPr>
                <w:p w14:paraId="5481DA11">
                  <w:pPr>
                    <w:pStyle w:val="70"/>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lang w:val="en-US" w:eastAsia="zh-CN"/>
                      <w14:textFill>
                        <w14:solidFill>
                          <w14:schemeClr w14:val="tx1"/>
                        </w14:solidFill>
                      </w14:textFill>
                    </w:rPr>
                    <w:t>南</w:t>
                  </w:r>
                  <w:r>
                    <w:rPr>
                      <w:rFonts w:hint="eastAsia" w:ascii="宋体" w:hAnsi="宋体"/>
                      <w:color w:val="000000" w:themeColor="text1"/>
                      <w:sz w:val="21"/>
                      <w:szCs w:val="21"/>
                      <w:highlight w:val="none"/>
                      <w14:textFill>
                        <w14:solidFill>
                          <w14:schemeClr w14:val="tx1"/>
                        </w14:solidFill>
                      </w14:textFill>
                    </w:rPr>
                    <w:t>侧厂界</w:t>
                  </w:r>
                </w:p>
              </w:tc>
              <w:tc>
                <w:tcPr>
                  <w:tcW w:w="527" w:type="pct"/>
                  <w:vMerge w:val="continue"/>
                  <w:tcBorders>
                    <w:top w:val="nil"/>
                    <w:left w:val="single" w:color="auto" w:sz="4" w:space="0"/>
                    <w:bottom w:val="single" w:color="auto" w:sz="4" w:space="0"/>
                    <w:right w:val="single" w:color="auto" w:sz="4" w:space="0"/>
                  </w:tcBorders>
                  <w:vAlign w:val="center"/>
                </w:tcPr>
                <w:p w14:paraId="5D040A21">
                  <w:pPr>
                    <w:widowControl/>
                    <w:jc w:val="left"/>
                    <w:rPr>
                      <w:color w:val="000000" w:themeColor="text1"/>
                      <w:sz w:val="21"/>
                      <w:szCs w:val="21"/>
                      <w:highlight w:val="none"/>
                      <w14:textFill>
                        <w14:solidFill>
                          <w14:schemeClr w14:val="tx1"/>
                        </w14:solidFill>
                      </w14:textFill>
                    </w:rPr>
                  </w:pPr>
                </w:p>
              </w:tc>
              <w:tc>
                <w:tcPr>
                  <w:tcW w:w="527" w:type="pct"/>
                  <w:vMerge w:val="continue"/>
                  <w:tcBorders>
                    <w:top w:val="nil"/>
                    <w:left w:val="single" w:color="auto" w:sz="4" w:space="0"/>
                    <w:bottom w:val="single" w:color="auto" w:sz="4" w:space="0"/>
                    <w:right w:val="single" w:color="auto" w:sz="4" w:space="0"/>
                  </w:tcBorders>
                  <w:vAlign w:val="center"/>
                </w:tcPr>
                <w:p w14:paraId="422C4F9F">
                  <w:pPr>
                    <w:widowControl/>
                    <w:jc w:val="left"/>
                    <w:rPr>
                      <w:color w:val="000000" w:themeColor="text1"/>
                      <w:sz w:val="21"/>
                      <w:szCs w:val="21"/>
                      <w:highlight w:val="none"/>
                      <w14:textFill>
                        <w14:solidFill>
                          <w14:schemeClr w14:val="tx1"/>
                        </w14:solidFill>
                      </w14:textFill>
                    </w:rPr>
                  </w:pPr>
                </w:p>
              </w:tc>
              <w:tc>
                <w:tcPr>
                  <w:tcW w:w="617" w:type="pct"/>
                  <w:tcBorders>
                    <w:top w:val="single" w:color="auto" w:sz="4" w:space="0"/>
                    <w:left w:val="single" w:color="auto" w:sz="4" w:space="0"/>
                    <w:bottom w:val="single" w:color="auto" w:sz="4" w:space="0"/>
                    <w:right w:val="single" w:color="auto" w:sz="4" w:space="0"/>
                  </w:tcBorders>
                  <w:vAlign w:val="bottom"/>
                </w:tcPr>
                <w:p w14:paraId="5D07399A">
                  <w:pPr>
                    <w:pStyle w:val="70"/>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52.2</w:t>
                  </w:r>
                </w:p>
              </w:tc>
              <w:tc>
                <w:tcPr>
                  <w:tcW w:w="617" w:type="pct"/>
                  <w:tcBorders>
                    <w:top w:val="single" w:color="auto" w:sz="4" w:space="0"/>
                    <w:left w:val="single" w:color="auto" w:sz="4" w:space="0"/>
                    <w:bottom w:val="single" w:color="auto" w:sz="4" w:space="0"/>
                    <w:right w:val="single" w:color="auto" w:sz="4" w:space="0"/>
                  </w:tcBorders>
                  <w:vAlign w:val="bottom"/>
                </w:tcPr>
                <w:p w14:paraId="770B1727">
                  <w:pPr>
                    <w:pStyle w:val="70"/>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52.2</w:t>
                  </w:r>
                </w:p>
              </w:tc>
              <w:tc>
                <w:tcPr>
                  <w:tcW w:w="582" w:type="pct"/>
                  <w:tcBorders>
                    <w:top w:val="single" w:color="auto" w:sz="4" w:space="0"/>
                    <w:left w:val="single" w:color="auto" w:sz="4" w:space="0"/>
                    <w:bottom w:val="single" w:color="auto" w:sz="4" w:space="0"/>
                    <w:right w:val="single" w:color="auto" w:sz="4" w:space="0"/>
                  </w:tcBorders>
                  <w:vAlign w:val="center"/>
                </w:tcPr>
                <w:p w14:paraId="49EBB6B6">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w:t>
                  </w:r>
                </w:p>
              </w:tc>
              <w:tc>
                <w:tcPr>
                  <w:tcW w:w="587" w:type="pct"/>
                  <w:tcBorders>
                    <w:top w:val="single" w:color="auto" w:sz="4" w:space="0"/>
                    <w:left w:val="single" w:color="auto" w:sz="4" w:space="0"/>
                    <w:bottom w:val="single" w:color="auto" w:sz="4" w:space="0"/>
                    <w:right w:val="single" w:color="auto" w:sz="4" w:space="0"/>
                  </w:tcBorders>
                  <w:vAlign w:val="center"/>
                </w:tcPr>
                <w:p w14:paraId="2069ACF8">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w:t>
                  </w:r>
                </w:p>
              </w:tc>
            </w:tr>
            <w:tr w14:paraId="5D961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540" w:type="pct"/>
                  <w:tcBorders>
                    <w:top w:val="single" w:color="auto" w:sz="4" w:space="0"/>
                    <w:left w:val="single" w:color="auto" w:sz="4" w:space="0"/>
                    <w:bottom w:val="single" w:color="auto" w:sz="4" w:space="0"/>
                    <w:right w:val="single" w:color="auto" w:sz="4" w:space="0"/>
                  </w:tcBorders>
                  <w:vAlign w:val="center"/>
                </w:tcPr>
                <w:p w14:paraId="3F644DC7">
                  <w:pPr>
                    <w:pStyle w:val="70"/>
                    <w:rPr>
                      <w:color w:val="000000" w:themeColor="text1"/>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东侧厂界</w:t>
                  </w:r>
                </w:p>
              </w:tc>
              <w:tc>
                <w:tcPr>
                  <w:tcW w:w="527" w:type="pct"/>
                  <w:vMerge w:val="continue"/>
                  <w:tcBorders>
                    <w:top w:val="nil"/>
                    <w:left w:val="single" w:color="auto" w:sz="4" w:space="0"/>
                    <w:bottom w:val="single" w:color="auto" w:sz="4" w:space="0"/>
                    <w:right w:val="single" w:color="auto" w:sz="4" w:space="0"/>
                  </w:tcBorders>
                  <w:vAlign w:val="center"/>
                </w:tcPr>
                <w:p w14:paraId="0F910115">
                  <w:pPr>
                    <w:widowControl/>
                    <w:jc w:val="left"/>
                    <w:rPr>
                      <w:color w:val="000000" w:themeColor="text1"/>
                      <w:sz w:val="21"/>
                      <w:szCs w:val="21"/>
                      <w:highlight w:val="none"/>
                      <w14:textFill>
                        <w14:solidFill>
                          <w14:schemeClr w14:val="tx1"/>
                        </w14:solidFill>
                      </w14:textFill>
                    </w:rPr>
                  </w:pPr>
                </w:p>
              </w:tc>
              <w:tc>
                <w:tcPr>
                  <w:tcW w:w="527" w:type="pct"/>
                  <w:vMerge w:val="continue"/>
                  <w:tcBorders>
                    <w:top w:val="nil"/>
                    <w:left w:val="single" w:color="auto" w:sz="4" w:space="0"/>
                    <w:bottom w:val="single" w:color="auto" w:sz="4" w:space="0"/>
                    <w:right w:val="single" w:color="auto" w:sz="4" w:space="0"/>
                  </w:tcBorders>
                  <w:vAlign w:val="center"/>
                </w:tcPr>
                <w:p w14:paraId="0F7DA0E0">
                  <w:pPr>
                    <w:widowControl/>
                    <w:jc w:val="left"/>
                    <w:rPr>
                      <w:color w:val="000000" w:themeColor="text1"/>
                      <w:sz w:val="21"/>
                      <w:szCs w:val="21"/>
                      <w:highlight w:val="none"/>
                      <w14:textFill>
                        <w14:solidFill>
                          <w14:schemeClr w14:val="tx1"/>
                        </w14:solidFill>
                      </w14:textFill>
                    </w:rPr>
                  </w:pPr>
                </w:p>
              </w:tc>
              <w:tc>
                <w:tcPr>
                  <w:tcW w:w="1020" w:type="dxa"/>
                  <w:tcBorders>
                    <w:top w:val="single" w:color="auto" w:sz="4" w:space="0"/>
                    <w:left w:val="single" w:color="auto" w:sz="4" w:space="0"/>
                    <w:bottom w:val="single" w:color="auto" w:sz="4" w:space="0"/>
                    <w:right w:val="single" w:color="auto" w:sz="4" w:space="0"/>
                  </w:tcBorders>
                  <w:vAlign w:val="bottom"/>
                </w:tcPr>
                <w:p w14:paraId="3A28386E">
                  <w:pPr>
                    <w:pStyle w:val="70"/>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43.6</w:t>
                  </w:r>
                  <w:r>
                    <w:rPr>
                      <w:color w:val="000000" w:themeColor="text1"/>
                      <w:sz w:val="21"/>
                      <w:szCs w:val="21"/>
                      <w:highlight w:val="none"/>
                      <w14:textFill>
                        <w14:solidFill>
                          <w14:schemeClr w14:val="tx1"/>
                        </w14:solidFill>
                      </w14:textFill>
                    </w:rPr>
                    <w:t xml:space="preserve"> </w:t>
                  </w:r>
                </w:p>
              </w:tc>
              <w:tc>
                <w:tcPr>
                  <w:tcW w:w="1021" w:type="dxa"/>
                  <w:tcBorders>
                    <w:top w:val="single" w:color="auto" w:sz="4" w:space="0"/>
                    <w:left w:val="single" w:color="auto" w:sz="4" w:space="0"/>
                    <w:bottom w:val="single" w:color="auto" w:sz="4" w:space="0"/>
                    <w:right w:val="single" w:color="auto" w:sz="4" w:space="0"/>
                  </w:tcBorders>
                  <w:vAlign w:val="bottom"/>
                </w:tcPr>
                <w:p w14:paraId="1464E042">
                  <w:pPr>
                    <w:pStyle w:val="70"/>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43.6</w:t>
                  </w:r>
                  <w:r>
                    <w:rPr>
                      <w:color w:val="000000" w:themeColor="text1"/>
                      <w:sz w:val="21"/>
                      <w:szCs w:val="21"/>
                      <w:highlight w:val="none"/>
                      <w14:textFill>
                        <w14:solidFill>
                          <w14:schemeClr w14:val="tx1"/>
                        </w14:solidFill>
                      </w14:textFill>
                    </w:rPr>
                    <w:t xml:space="preserve"> </w:t>
                  </w:r>
                </w:p>
              </w:tc>
              <w:tc>
                <w:tcPr>
                  <w:tcW w:w="582" w:type="pct"/>
                  <w:tcBorders>
                    <w:top w:val="single" w:color="auto" w:sz="4" w:space="0"/>
                    <w:left w:val="single" w:color="auto" w:sz="4" w:space="0"/>
                    <w:bottom w:val="single" w:color="auto" w:sz="4" w:space="0"/>
                    <w:right w:val="single" w:color="auto" w:sz="4" w:space="0"/>
                  </w:tcBorders>
                  <w:vAlign w:val="center"/>
                </w:tcPr>
                <w:p w14:paraId="653C911F">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w:t>
                  </w:r>
                </w:p>
              </w:tc>
              <w:tc>
                <w:tcPr>
                  <w:tcW w:w="587" w:type="pct"/>
                  <w:tcBorders>
                    <w:top w:val="single" w:color="auto" w:sz="4" w:space="0"/>
                    <w:left w:val="single" w:color="auto" w:sz="4" w:space="0"/>
                    <w:bottom w:val="single" w:color="auto" w:sz="4" w:space="0"/>
                    <w:right w:val="single" w:color="auto" w:sz="4" w:space="0"/>
                  </w:tcBorders>
                  <w:vAlign w:val="center"/>
                </w:tcPr>
                <w:p w14:paraId="53CC65CA">
                  <w:pPr>
                    <w:pStyle w:val="70"/>
                    <w:rPr>
                      <w:color w:val="000000" w:themeColor="text1"/>
                      <w:sz w:val="21"/>
                      <w:szCs w:val="21"/>
                      <w:highlight w:val="none"/>
                      <w14:textFill>
                        <w14:solidFill>
                          <w14:schemeClr w14:val="tx1"/>
                        </w14:solidFill>
                      </w14:textFill>
                    </w:rPr>
                  </w:pPr>
                  <w:r>
                    <w:rPr>
                      <w:rFonts w:ascii="宋体" w:hAnsi="宋体"/>
                      <w:color w:val="000000" w:themeColor="text1"/>
                      <w:sz w:val="21"/>
                      <w:szCs w:val="21"/>
                      <w:highlight w:val="none"/>
                      <w14:textFill>
                        <w14:solidFill>
                          <w14:schemeClr w14:val="tx1"/>
                        </w14:solidFill>
                      </w14:textFill>
                    </w:rPr>
                    <w:t>达标</w:t>
                  </w:r>
                </w:p>
              </w:tc>
            </w:tr>
          </w:tbl>
          <w:p w14:paraId="17817893">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3、噪声防治措施</w:t>
            </w:r>
          </w:p>
          <w:p w14:paraId="1BD8CBC4">
            <w:pPr>
              <w:pStyle w:val="66"/>
              <w:ind w:firstLine="420"/>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t>（1）设备选型：生产设施在设计中，应要求设计单位按照《工业企业噪声控制设计规范》规范要求，尽量选用技术先进、性能质量良好、同类成品中声级较低的设备，从源头上控制噪声源。</w:t>
            </w:r>
          </w:p>
          <w:p w14:paraId="25394F0A">
            <w:pPr>
              <w:pStyle w:val="66"/>
              <w:ind w:firstLine="420"/>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t>（2）合理布局：在平面布局时，应尽量将高噪声级设备布置远离厂界。</w:t>
            </w:r>
          </w:p>
          <w:p w14:paraId="3CE6AC3F">
            <w:pPr>
              <w:pStyle w:val="66"/>
              <w:ind w:firstLine="420"/>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t>（3）利用厂房隔声：</w:t>
            </w:r>
            <w:r>
              <w:rPr>
                <w:rFonts w:hint="eastAsia"/>
                <w:color w:val="000000" w:themeColor="text1"/>
                <w:sz w:val="24"/>
                <w:szCs w:val="32"/>
                <w:highlight w:val="none"/>
                <w:lang w:val="en-US" w:eastAsia="zh-CN"/>
                <w14:textFill>
                  <w14:solidFill>
                    <w14:schemeClr w14:val="tx1"/>
                  </w14:solidFill>
                </w14:textFill>
              </w:rPr>
              <w:t>本项目</w:t>
            </w:r>
            <w:r>
              <w:rPr>
                <w:color w:val="000000" w:themeColor="text1"/>
                <w:sz w:val="24"/>
                <w:szCs w:val="32"/>
                <w:highlight w:val="none"/>
                <w14:textFill>
                  <w14:solidFill>
                    <w14:schemeClr w14:val="tx1"/>
                  </w14:solidFill>
                </w14:textFill>
              </w:rPr>
              <w:t>生产设施</w:t>
            </w:r>
            <w:r>
              <w:rPr>
                <w:rFonts w:hint="eastAsia"/>
                <w:color w:val="000000" w:themeColor="text1"/>
                <w:sz w:val="24"/>
                <w:szCs w:val="32"/>
                <w:highlight w:val="none"/>
                <w:lang w:val="en-US" w:eastAsia="zh-CN"/>
                <w14:textFill>
                  <w14:solidFill>
                    <w14:schemeClr w14:val="tx1"/>
                  </w14:solidFill>
                </w14:textFill>
              </w:rPr>
              <w:t>均</w:t>
            </w:r>
            <w:r>
              <w:rPr>
                <w:color w:val="000000" w:themeColor="text1"/>
                <w:sz w:val="24"/>
                <w:szCs w:val="32"/>
                <w:highlight w:val="none"/>
                <w14:textFill>
                  <w14:solidFill>
                    <w14:schemeClr w14:val="tx1"/>
                  </w14:solidFill>
                </w14:textFill>
              </w:rPr>
              <w:t>布设在厂房内，利用厂房进行隔声，避免露天布置高噪声设备，以降低噪声对厂界的影响。</w:t>
            </w:r>
          </w:p>
          <w:p w14:paraId="6C2A5D6E">
            <w:pPr>
              <w:pStyle w:val="66"/>
              <w:ind w:firstLine="420"/>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t>（4）防振减振措施：所有电动设备的基座应安装防振减振垫片，与动力设备连接的管道应安装软性接头，并对管道进行固定加固处理，防止因设备、管道振动引起的噪声。</w:t>
            </w:r>
          </w:p>
          <w:p w14:paraId="6C93FCFC">
            <w:pPr>
              <w:pStyle w:val="66"/>
              <w:ind w:firstLine="420"/>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t>（5）采取吸声消声措施：充分考虑墙体吸声效果，内侧墙面尽量采用吸声较好的材料。</w:t>
            </w:r>
          </w:p>
          <w:p w14:paraId="2F9944C5">
            <w:pPr>
              <w:pStyle w:val="66"/>
              <w:ind w:firstLine="420"/>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t>（6）加强动力机械设备的定期检修与维护，以减少动力机械设备故障等原因造成的振动。</w:t>
            </w:r>
          </w:p>
          <w:p w14:paraId="79A96F10">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4、</w:t>
            </w:r>
            <w:r>
              <w:rPr>
                <w:rFonts w:cs="宋体"/>
                <w:color w:val="000000" w:themeColor="text1"/>
                <w:sz w:val="24"/>
                <w:szCs w:val="32"/>
                <w:highlight w:val="none"/>
                <w14:textFill>
                  <w14:solidFill>
                    <w14:schemeClr w14:val="tx1"/>
                  </w14:solidFill>
                </w14:textFill>
              </w:rPr>
              <w:t>厂界噪声自行监测要求</w:t>
            </w:r>
          </w:p>
          <w:p w14:paraId="771F1DA4">
            <w:pPr>
              <w:spacing w:line="360" w:lineRule="auto"/>
              <w:ind w:firstLine="480" w:firstLineChars="200"/>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t>北侧、西侧、东侧</w:t>
            </w:r>
            <w:r>
              <w:rPr>
                <w:rFonts w:hint="eastAsia"/>
                <w:color w:val="000000" w:themeColor="text1"/>
                <w:sz w:val="24"/>
                <w:szCs w:val="32"/>
                <w:highlight w:val="none"/>
                <w:lang w:eastAsia="zh-CN"/>
                <w14:textFill>
                  <w14:solidFill>
                    <w14:schemeClr w14:val="tx1"/>
                  </w14:solidFill>
                </w14:textFill>
              </w:rPr>
              <w:t>、</w:t>
            </w:r>
            <w:r>
              <w:rPr>
                <w:rFonts w:hint="eastAsia"/>
                <w:color w:val="000000" w:themeColor="text1"/>
                <w:sz w:val="24"/>
                <w:szCs w:val="32"/>
                <w:highlight w:val="none"/>
                <w:lang w:val="en-US" w:eastAsia="zh-CN"/>
                <w14:textFill>
                  <w14:solidFill>
                    <w14:schemeClr w14:val="tx1"/>
                  </w14:solidFill>
                </w14:textFill>
              </w:rPr>
              <w:t>南侧</w:t>
            </w:r>
            <w:r>
              <w:rPr>
                <w:color w:val="000000" w:themeColor="text1"/>
                <w:sz w:val="24"/>
                <w:szCs w:val="32"/>
                <w:highlight w:val="none"/>
                <w14:textFill>
                  <w14:solidFill>
                    <w14:schemeClr w14:val="tx1"/>
                  </w14:solidFill>
                </w14:textFill>
              </w:rPr>
              <w:t>厂界噪声应</w:t>
            </w:r>
            <w:r>
              <w:rPr>
                <w:rFonts w:hint="eastAsia"/>
                <w:color w:val="000000" w:themeColor="text1"/>
                <w:sz w:val="24"/>
                <w:szCs w:val="32"/>
                <w:highlight w:val="none"/>
                <w14:textFill>
                  <w14:solidFill>
                    <w14:schemeClr w14:val="tx1"/>
                  </w14:solidFill>
                </w14:textFill>
              </w:rPr>
              <w:t>每</w:t>
            </w:r>
            <w:r>
              <w:rPr>
                <w:color w:val="000000" w:themeColor="text1"/>
                <w:sz w:val="24"/>
                <w:szCs w:val="32"/>
                <w:highlight w:val="none"/>
                <w14:textFill>
                  <w14:solidFill>
                    <w14:schemeClr w14:val="tx1"/>
                  </w14:solidFill>
                </w14:textFill>
              </w:rPr>
              <w:t>季度至少应开展一次昼夜监测，</w:t>
            </w:r>
            <w:r>
              <w:rPr>
                <w:rFonts w:hint="eastAsia"/>
                <w:color w:val="000000" w:themeColor="text1"/>
                <w:sz w:val="24"/>
                <w:szCs w:val="32"/>
                <w:highlight w:val="none"/>
                <w:lang w:val="en-US" w:eastAsia="zh-CN"/>
                <w14:textFill>
                  <w14:solidFill>
                    <w14:schemeClr w14:val="tx1"/>
                  </w14:solidFill>
                </w14:textFill>
              </w:rPr>
              <w:t>每次监测1天，</w:t>
            </w:r>
            <w:r>
              <w:rPr>
                <w:color w:val="000000" w:themeColor="text1"/>
                <w:sz w:val="24"/>
                <w:szCs w:val="32"/>
                <w:highlight w:val="none"/>
                <w14:textFill>
                  <w14:solidFill>
                    <w14:schemeClr w14:val="tx1"/>
                  </w14:solidFill>
                </w14:textFill>
              </w:rPr>
              <w:t>监测指标为等效A声级</w:t>
            </w:r>
            <w:r>
              <w:rPr>
                <w:rFonts w:hint="eastAsia"/>
                <w:color w:val="000000" w:themeColor="text1"/>
                <w:sz w:val="24"/>
                <w:szCs w:val="32"/>
                <w:highlight w:val="none"/>
                <w:lang w:eastAsia="zh-CN"/>
                <w14:textFill>
                  <w14:solidFill>
                    <w14:schemeClr w14:val="tx1"/>
                  </w14:solidFill>
                </w14:textFill>
              </w:rPr>
              <w:t>，</w:t>
            </w:r>
            <w:r>
              <w:rPr>
                <w:rFonts w:hint="eastAsia"/>
                <w:color w:val="000000" w:themeColor="text1"/>
                <w:sz w:val="24"/>
                <w:szCs w:val="32"/>
                <w:highlight w:val="none"/>
                <w:lang w:val="en-US" w:eastAsia="zh-CN"/>
                <w14:textFill>
                  <w14:solidFill>
                    <w14:schemeClr w14:val="tx1"/>
                  </w14:solidFill>
                </w14:textFill>
              </w:rPr>
              <w:t>执行《工业企业厂界环境噪声排放标准》（GB12348-2008）3类标准</w:t>
            </w:r>
            <w:r>
              <w:rPr>
                <w:color w:val="000000" w:themeColor="text1"/>
                <w:sz w:val="24"/>
                <w:szCs w:val="32"/>
                <w:highlight w:val="none"/>
                <w14:textFill>
                  <w14:solidFill>
                    <w14:schemeClr w14:val="tx1"/>
                  </w14:solidFill>
                </w14:textFill>
              </w:rPr>
              <w:t>。</w:t>
            </w:r>
          </w:p>
        </w:tc>
      </w:tr>
    </w:tbl>
    <w:p w14:paraId="3D6BC981">
      <w:pPr>
        <w:pStyle w:val="26"/>
        <w:widowControl w:val="0"/>
        <w:spacing w:before="0" w:beforeAutospacing="0" w:after="0" w:afterAutospacing="0" w:line="360" w:lineRule="auto"/>
        <w:ind w:firstLine="600" w:firstLineChars="200"/>
        <w:jc w:val="both"/>
        <w:rPr>
          <w:rFonts w:ascii="黑体" w:hAnsi="黑体" w:eastAsia="黑体"/>
          <w:snapToGrid w:val="0"/>
          <w:color w:val="000000" w:themeColor="text1"/>
          <w:sz w:val="30"/>
          <w:szCs w:val="30"/>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4"/>
        <w:gridCol w:w="8487"/>
      </w:tblGrid>
      <w:tr w14:paraId="23CA2F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494" w:type="dxa"/>
            <w:tcMar>
              <w:left w:w="28" w:type="dxa"/>
              <w:right w:w="28" w:type="dxa"/>
            </w:tcMar>
            <w:vAlign w:val="center"/>
          </w:tcPr>
          <w:p w14:paraId="7CDF36C1">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运营</w:t>
            </w:r>
          </w:p>
          <w:p w14:paraId="1A448419">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期环</w:t>
            </w:r>
          </w:p>
          <w:p w14:paraId="518C81D5">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境影</w:t>
            </w:r>
          </w:p>
          <w:p w14:paraId="165D9E8D">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响和</w:t>
            </w:r>
          </w:p>
          <w:p w14:paraId="2098365B">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保护</w:t>
            </w:r>
          </w:p>
          <w:p w14:paraId="0A69FE34">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措施</w:t>
            </w:r>
          </w:p>
        </w:tc>
        <w:tc>
          <w:tcPr>
            <w:tcW w:w="8487" w:type="dxa"/>
            <w:vAlign w:val="center"/>
          </w:tcPr>
          <w:p w14:paraId="5DD1B109">
            <w:pPr>
              <w:pStyle w:val="37"/>
              <w:rPr>
                <w:rFonts w:hint="default" w:eastAsia="黑体"/>
                <w:color w:val="000000" w:themeColor="text1"/>
                <w:sz w:val="24"/>
                <w:szCs w:val="21"/>
                <w:highlight w:val="none"/>
                <w:lang w:val="en-US" w:eastAsia="zh-CN"/>
                <w14:textFill>
                  <w14:solidFill>
                    <w14:schemeClr w14:val="tx1"/>
                  </w14:solidFill>
                </w14:textFill>
              </w:rPr>
            </w:pPr>
            <w:r>
              <w:rPr>
                <w:color w:val="000000" w:themeColor="text1"/>
                <w:sz w:val="24"/>
                <w:szCs w:val="21"/>
                <w:highlight w:val="none"/>
                <w14:textFill>
                  <w14:solidFill>
                    <w14:schemeClr w14:val="tx1"/>
                  </w14:solidFill>
                </w14:textFill>
              </w:rPr>
              <w:t>4.</w:t>
            </w:r>
            <w:r>
              <w:rPr>
                <w:rFonts w:hint="eastAsia"/>
                <w:color w:val="000000" w:themeColor="text1"/>
                <w:sz w:val="24"/>
                <w:szCs w:val="21"/>
                <w:highlight w:val="none"/>
                <w:lang w:val="en-US" w:eastAsia="zh-CN"/>
                <w14:textFill>
                  <w14:solidFill>
                    <w14:schemeClr w14:val="tx1"/>
                  </w14:solidFill>
                </w14:textFill>
              </w:rPr>
              <w:t>4</w:t>
            </w:r>
            <w:r>
              <w:rPr>
                <w:color w:val="000000" w:themeColor="text1"/>
                <w:sz w:val="24"/>
                <w:szCs w:val="21"/>
                <w:highlight w:val="none"/>
                <w14:textFill>
                  <w14:solidFill>
                    <w14:schemeClr w14:val="tx1"/>
                  </w14:solidFill>
                </w14:textFill>
              </w:rPr>
              <w:t xml:space="preserve"> </w:t>
            </w:r>
            <w:r>
              <w:rPr>
                <w:rFonts w:hint="eastAsia"/>
                <w:color w:val="000000" w:themeColor="text1"/>
                <w:sz w:val="24"/>
                <w:szCs w:val="21"/>
                <w:highlight w:val="none"/>
                <w14:textFill>
                  <w14:solidFill>
                    <w14:schemeClr w14:val="tx1"/>
                  </w14:solidFill>
                </w14:textFill>
              </w:rPr>
              <w:t>运营期固废影响分析和</w:t>
            </w:r>
            <w:r>
              <w:rPr>
                <w:rFonts w:hint="eastAsia"/>
                <w:color w:val="000000" w:themeColor="text1"/>
                <w:sz w:val="24"/>
                <w:szCs w:val="21"/>
                <w:highlight w:val="none"/>
                <w:lang w:val="en-US" w:eastAsia="zh-CN"/>
                <w14:textFill>
                  <w14:solidFill>
                    <w14:schemeClr w14:val="tx1"/>
                  </w14:solidFill>
                </w14:textFill>
              </w:rPr>
              <w:t>环境管理要求</w:t>
            </w:r>
          </w:p>
          <w:p w14:paraId="7F74590B">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4.4.1固废产生及处置情况</w:t>
            </w:r>
          </w:p>
          <w:p w14:paraId="230BE4F8">
            <w:pPr>
              <w:spacing w:line="360" w:lineRule="auto"/>
              <w:ind w:firstLine="480" w:firstLineChars="200"/>
              <w:rPr>
                <w:rFonts w:hint="eastAsia" w:eastAsia="宋体" w:cs="宋体"/>
                <w:color w:val="000000" w:themeColor="text1"/>
                <w:sz w:val="24"/>
                <w:szCs w:val="32"/>
                <w:highlight w:val="none"/>
                <w:lang w:eastAsia="zh-CN"/>
                <w14:textFill>
                  <w14:solidFill>
                    <w14:schemeClr w14:val="tx1"/>
                  </w14:solidFill>
                </w14:textFill>
              </w:rPr>
            </w:pP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1</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一般工业固废产生及处置情况</w:t>
            </w:r>
          </w:p>
          <w:p w14:paraId="5C6064D1">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本项目产生的一般工业固废</w:t>
            </w:r>
            <w:r>
              <w:rPr>
                <w:rFonts w:hint="eastAsia" w:cs="宋体"/>
                <w:color w:val="000000" w:themeColor="text1"/>
                <w:sz w:val="24"/>
                <w:szCs w:val="32"/>
                <w:highlight w:val="none"/>
                <w:lang w:val="en-US" w:eastAsia="zh-CN"/>
                <w14:textFill>
                  <w14:solidFill>
                    <w14:schemeClr w14:val="tx1"/>
                  </w14:solidFill>
                </w14:textFill>
              </w:rPr>
              <w:t>主要有分切工序产生的废塑料边角料、残次品，年产生量1.7443t，以及包装工序产生的废包装材料，年产生量0.1t。上述</w:t>
            </w:r>
            <w:r>
              <w:rPr>
                <w:rFonts w:hint="eastAsia" w:cs="宋体"/>
                <w:color w:val="000000" w:themeColor="text1"/>
                <w:sz w:val="24"/>
                <w:szCs w:val="32"/>
                <w:highlight w:val="none"/>
                <w14:textFill>
                  <w14:solidFill>
                    <w14:schemeClr w14:val="tx1"/>
                  </w14:solidFill>
                </w14:textFill>
              </w:rPr>
              <w:t>一般工业固废</w:t>
            </w:r>
            <w:r>
              <w:rPr>
                <w:rFonts w:hint="eastAsia" w:cs="宋体"/>
                <w:color w:val="000000" w:themeColor="text1"/>
                <w:sz w:val="24"/>
                <w:szCs w:val="32"/>
                <w:highlight w:val="none"/>
                <w:lang w:val="en-US" w:eastAsia="zh-CN"/>
                <w14:textFill>
                  <w14:solidFill>
                    <w14:schemeClr w14:val="tx1"/>
                  </w14:solidFill>
                </w14:textFill>
              </w:rPr>
              <w:t>收集后外售给回收企业综合利用。</w:t>
            </w:r>
          </w:p>
          <w:p w14:paraId="2E440D83">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2</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危险废物产生及处置情况</w:t>
            </w:r>
          </w:p>
          <w:p w14:paraId="4D3F3EEC">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本项目产生的危险废物主要有</w:t>
            </w:r>
            <w:r>
              <w:rPr>
                <w:rFonts w:hint="eastAsia" w:cs="宋体"/>
                <w:color w:val="000000" w:themeColor="text1"/>
                <w:sz w:val="24"/>
                <w:szCs w:val="32"/>
                <w:highlight w:val="none"/>
                <w:lang w:val="en-US" w:eastAsia="zh-CN"/>
                <w14:textFill>
                  <w14:solidFill>
                    <w14:schemeClr w14:val="tx1"/>
                  </w14:solidFill>
                </w14:textFill>
              </w:rPr>
              <w:t>废润滑油、废油桶、废活性炭等。</w:t>
            </w:r>
          </w:p>
          <w:p w14:paraId="393C936F">
            <w:pPr>
              <w:spacing w:line="360" w:lineRule="auto"/>
              <w:ind w:firstLine="480" w:firstLineChars="200"/>
              <w:rPr>
                <w:rFonts w:hint="default" w:eastAsia="宋体"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①</w:t>
            </w:r>
            <w:r>
              <w:rPr>
                <w:rFonts w:hint="eastAsia" w:cs="宋体"/>
                <w:color w:val="000000" w:themeColor="text1"/>
                <w:sz w:val="24"/>
                <w:szCs w:val="32"/>
                <w:highlight w:val="none"/>
                <w:lang w:val="en-US" w:eastAsia="zh-CN"/>
                <w14:textFill>
                  <w14:solidFill>
                    <w14:schemeClr w14:val="tx1"/>
                  </w14:solidFill>
                </w14:textFill>
              </w:rPr>
              <w:t>参照</w:t>
            </w:r>
            <w:r>
              <w:rPr>
                <w:rFonts w:hint="eastAsia" w:cs="宋体"/>
                <w:color w:val="000000" w:themeColor="text1"/>
                <w:sz w:val="24"/>
                <w:szCs w:val="32"/>
                <w:highlight w:val="none"/>
                <w14:textFill>
                  <w14:solidFill>
                    <w14:schemeClr w14:val="tx1"/>
                  </w14:solidFill>
                </w14:textFill>
              </w:rPr>
              <w:t>《江苏省生态环境厅关于将排污单位活性炭使用更换纳入排污许可管理的通知》（苏环办〔2021〕218号）</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活性炭动态吸附量取值10%，即每1kg活性炭吸附0.1kg的挥发性有机物。本项目吸附的挥发性有机物的量为0.1933t/a，则本项目产生的废活性炭为2.126t/a。废活性炭收集后暂存于危废暂存间，委托有资质的单位处置。</w:t>
            </w:r>
          </w:p>
          <w:p w14:paraId="37BD2496">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default" w:cs="宋体"/>
                <w:color w:val="000000" w:themeColor="text1"/>
                <w:sz w:val="24"/>
                <w:szCs w:val="32"/>
                <w:highlight w:val="none"/>
                <w:lang w:val="en-US" w:eastAsia="zh-CN"/>
                <w14:textFill>
                  <w14:solidFill>
                    <w14:schemeClr w14:val="tx1"/>
                  </w14:solidFill>
                </w14:textFill>
              </w:rPr>
              <w:t>②</w:t>
            </w:r>
            <w:r>
              <w:rPr>
                <w:rFonts w:hint="eastAsia" w:cs="宋体"/>
                <w:color w:val="000000" w:themeColor="text1"/>
                <w:sz w:val="24"/>
                <w:szCs w:val="32"/>
                <w:highlight w:val="none"/>
                <w:lang w:val="en-US" w:eastAsia="zh-CN"/>
                <w14:textFill>
                  <w14:solidFill>
                    <w14:schemeClr w14:val="tx1"/>
                  </w14:solidFill>
                </w14:textFill>
              </w:rPr>
              <w:t>设备维修产生的废润滑油，年产生量0.1t，以及废油桶，年产生量0.1t。废润滑油、废油桶收集后暂存于危废暂存间，委托有资质的单位处置。</w:t>
            </w:r>
          </w:p>
          <w:p w14:paraId="1197EB5C">
            <w:pPr>
              <w:spacing w:line="360" w:lineRule="auto"/>
              <w:ind w:firstLine="480" w:firstLineChars="200"/>
              <w:rPr>
                <w:rFonts w:hint="eastAsia"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本项目危险废物汇总情况见下表。</w:t>
            </w:r>
          </w:p>
          <w:p w14:paraId="0332FCB8">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 4-8  本项目</w:t>
            </w:r>
            <w:r>
              <w:rPr>
                <w:rFonts w:hint="eastAsia" w:eastAsia="宋体" w:cs="宋体"/>
                <w:b/>
                <w:color w:val="000000" w:themeColor="text1"/>
                <w:kern w:val="2"/>
                <w:sz w:val="24"/>
                <w:szCs w:val="24"/>
                <w:highlight w:val="none"/>
                <w:lang w:val="en-US" w:eastAsia="zh-CN" w:bidi="ar-SA"/>
                <w14:textFill>
                  <w14:solidFill>
                    <w14:schemeClr w14:val="tx1"/>
                  </w14:solidFill>
                </w14:textFill>
              </w:rPr>
              <w:t>危险废物汇总情况一览表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38"/>
              <w:gridCol w:w="698"/>
              <w:gridCol w:w="609"/>
              <w:gridCol w:w="609"/>
              <w:gridCol w:w="609"/>
              <w:gridCol w:w="853"/>
              <w:gridCol w:w="510"/>
              <w:gridCol w:w="855"/>
              <w:gridCol w:w="810"/>
              <w:gridCol w:w="735"/>
              <w:gridCol w:w="795"/>
              <w:gridCol w:w="940"/>
            </w:tblGrid>
            <w:tr w14:paraId="65901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144" w:type="pct"/>
                  <w:vMerge w:val="restart"/>
                  <w:shd w:val="clear" w:color="auto" w:fill="auto"/>
                  <w:vAlign w:val="center"/>
                </w:tcPr>
                <w:p w14:paraId="7D049140">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序号</w:t>
                  </w:r>
                </w:p>
              </w:tc>
              <w:tc>
                <w:tcPr>
                  <w:tcW w:w="422" w:type="pct"/>
                  <w:vMerge w:val="restart"/>
                  <w:shd w:val="clear" w:color="auto" w:fill="auto"/>
                  <w:vAlign w:val="center"/>
                </w:tcPr>
                <w:p w14:paraId="5D742B96">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危险</w:t>
                  </w:r>
                  <w:r>
                    <w:rPr>
                      <w:rFonts w:hint="eastAsia"/>
                      <w:bCs/>
                      <w:color w:val="000000" w:themeColor="text1"/>
                      <w:sz w:val="21"/>
                      <w:szCs w:val="21"/>
                      <w:highlight w:val="none"/>
                      <w14:textFill>
                        <w14:solidFill>
                          <w14:schemeClr w14:val="tx1"/>
                        </w14:solidFill>
                      </w14:textFill>
                    </w:rPr>
                    <w:t>废物名称</w:t>
                  </w:r>
                </w:p>
              </w:tc>
              <w:tc>
                <w:tcPr>
                  <w:tcW w:w="368" w:type="pct"/>
                  <w:vMerge w:val="restart"/>
                  <w:shd w:val="clear" w:color="auto" w:fill="auto"/>
                  <w:vAlign w:val="center"/>
                </w:tcPr>
                <w:p w14:paraId="79E2DCFC">
                  <w:pPr>
                    <w:jc w:val="center"/>
                    <w:rPr>
                      <w:rFonts w:hint="eastAsia"/>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危险</w:t>
                  </w:r>
                  <w:r>
                    <w:rPr>
                      <w:rFonts w:hint="eastAsia"/>
                      <w:bCs/>
                      <w:color w:val="000000" w:themeColor="text1"/>
                      <w:sz w:val="21"/>
                      <w:szCs w:val="21"/>
                      <w:highlight w:val="none"/>
                      <w14:textFill>
                        <w14:solidFill>
                          <w14:schemeClr w14:val="tx1"/>
                        </w14:solidFill>
                      </w14:textFill>
                    </w:rPr>
                    <w:t>类别代码</w:t>
                  </w:r>
                </w:p>
              </w:tc>
              <w:tc>
                <w:tcPr>
                  <w:tcW w:w="368" w:type="pct"/>
                  <w:vMerge w:val="restart"/>
                  <w:shd w:val="clear" w:color="auto" w:fill="auto"/>
                  <w:vAlign w:val="center"/>
                </w:tcPr>
                <w:p w14:paraId="60F48260">
                  <w:pPr>
                    <w:jc w:val="center"/>
                    <w:rPr>
                      <w:rFonts w:hint="eastAsia"/>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危险废物</w:t>
                  </w:r>
                  <w:r>
                    <w:rPr>
                      <w:rFonts w:hint="eastAsia"/>
                      <w:bCs/>
                      <w:color w:val="000000" w:themeColor="text1"/>
                      <w:sz w:val="21"/>
                      <w:szCs w:val="21"/>
                      <w:highlight w:val="none"/>
                      <w14:textFill>
                        <w14:solidFill>
                          <w14:schemeClr w14:val="tx1"/>
                        </w14:solidFill>
                      </w14:textFill>
                    </w:rPr>
                    <w:t>代码</w:t>
                  </w:r>
                </w:p>
              </w:tc>
              <w:tc>
                <w:tcPr>
                  <w:tcW w:w="368" w:type="pct"/>
                  <w:vMerge w:val="restart"/>
                  <w:shd w:val="clear" w:color="auto" w:fill="auto"/>
                  <w:vAlign w:val="center"/>
                </w:tcPr>
                <w:p w14:paraId="2C59477B">
                  <w:pPr>
                    <w:jc w:val="center"/>
                    <w:rPr>
                      <w:rFonts w:hint="eastAsia"/>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产生量</w:t>
                  </w:r>
                  <w:r>
                    <w:rPr>
                      <w:rFonts w:hint="eastAsia"/>
                      <w:bCs/>
                      <w:color w:val="000000" w:themeColor="text1"/>
                      <w:sz w:val="21"/>
                      <w:szCs w:val="21"/>
                      <w:highlight w:val="none"/>
                      <w:lang w:eastAsia="zh-CN"/>
                      <w14:textFill>
                        <w14:solidFill>
                          <w14:schemeClr w14:val="tx1"/>
                        </w14:solidFill>
                      </w14:textFill>
                    </w:rPr>
                    <w:t>（</w:t>
                  </w:r>
                  <w:r>
                    <w:rPr>
                      <w:bCs/>
                      <w:color w:val="000000" w:themeColor="text1"/>
                      <w:sz w:val="21"/>
                      <w:szCs w:val="21"/>
                      <w:highlight w:val="none"/>
                      <w14:textFill>
                        <w14:solidFill>
                          <w14:schemeClr w14:val="tx1"/>
                        </w14:solidFill>
                      </w14:textFill>
                    </w:rPr>
                    <w:t>t/a</w:t>
                  </w:r>
                  <w:r>
                    <w:rPr>
                      <w:rFonts w:hint="eastAsia"/>
                      <w:bCs/>
                      <w:color w:val="000000" w:themeColor="text1"/>
                      <w:sz w:val="21"/>
                      <w:szCs w:val="21"/>
                      <w:highlight w:val="none"/>
                      <w:lang w:eastAsia="zh-CN"/>
                      <w14:textFill>
                        <w14:solidFill>
                          <w14:schemeClr w14:val="tx1"/>
                        </w14:solidFill>
                      </w14:textFill>
                    </w:rPr>
                    <w:t>）</w:t>
                  </w:r>
                </w:p>
              </w:tc>
              <w:tc>
                <w:tcPr>
                  <w:tcW w:w="516" w:type="pct"/>
                  <w:vMerge w:val="restart"/>
                  <w:shd w:val="clear" w:color="auto" w:fill="auto"/>
                  <w:vAlign w:val="center"/>
                </w:tcPr>
                <w:p w14:paraId="03C54819">
                  <w:pPr>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产生工序及装置</w:t>
                  </w:r>
                </w:p>
              </w:tc>
              <w:tc>
                <w:tcPr>
                  <w:tcW w:w="308" w:type="pct"/>
                  <w:vMerge w:val="restart"/>
                  <w:shd w:val="clear" w:color="auto" w:fill="auto"/>
                  <w:vAlign w:val="center"/>
                </w:tcPr>
                <w:p w14:paraId="4636B161">
                  <w:pPr>
                    <w:jc w:val="center"/>
                    <w:rPr>
                      <w:rFonts w:hint="eastAsia" w:eastAsia="宋体"/>
                      <w:bCs/>
                      <w:color w:val="000000" w:themeColor="text1"/>
                      <w:sz w:val="21"/>
                      <w:szCs w:val="21"/>
                      <w:highlight w:val="none"/>
                      <w:lang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形态</w:t>
                  </w:r>
                </w:p>
              </w:tc>
              <w:tc>
                <w:tcPr>
                  <w:tcW w:w="517" w:type="pct"/>
                  <w:vMerge w:val="restart"/>
                  <w:shd w:val="clear" w:color="auto" w:fill="auto"/>
                  <w:vAlign w:val="center"/>
                </w:tcPr>
                <w:p w14:paraId="621BACB4">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主要成分</w:t>
                  </w:r>
                </w:p>
              </w:tc>
              <w:tc>
                <w:tcPr>
                  <w:tcW w:w="490" w:type="pct"/>
                  <w:vMerge w:val="restart"/>
                  <w:shd w:val="clear" w:color="auto" w:fill="auto"/>
                  <w:vAlign w:val="center"/>
                </w:tcPr>
                <w:p w14:paraId="2E874421">
                  <w:pPr>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有害成分</w:t>
                  </w:r>
                </w:p>
              </w:tc>
              <w:tc>
                <w:tcPr>
                  <w:tcW w:w="444" w:type="pct"/>
                  <w:vMerge w:val="restart"/>
                  <w:shd w:val="clear" w:color="auto" w:fill="auto"/>
                  <w:vAlign w:val="center"/>
                </w:tcPr>
                <w:p w14:paraId="28E82718">
                  <w:pPr>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产废周期</w:t>
                  </w:r>
                </w:p>
              </w:tc>
              <w:tc>
                <w:tcPr>
                  <w:tcW w:w="481" w:type="pct"/>
                  <w:vMerge w:val="restart"/>
                  <w:shd w:val="clear" w:color="auto" w:fill="auto"/>
                  <w:vAlign w:val="center"/>
                </w:tcPr>
                <w:p w14:paraId="7F8A48CE">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危险特性</w:t>
                  </w:r>
                </w:p>
              </w:tc>
              <w:tc>
                <w:tcPr>
                  <w:tcW w:w="568" w:type="pct"/>
                  <w:vMerge w:val="restart"/>
                  <w:shd w:val="clear" w:color="auto" w:fill="auto"/>
                  <w:vAlign w:val="center"/>
                </w:tcPr>
                <w:p w14:paraId="36728631">
                  <w:pPr>
                    <w:jc w:val="center"/>
                    <w:rPr>
                      <w:rFonts w:hint="default" w:eastAsia="宋体"/>
                      <w:bCs/>
                      <w:color w:val="000000" w:themeColor="text1"/>
                      <w:sz w:val="21"/>
                      <w:szCs w:val="21"/>
                      <w:highlight w:val="none"/>
                      <w:lang w:val="en-US" w:eastAsia="zh-CN"/>
                      <w14:textFill>
                        <w14:solidFill>
                          <w14:schemeClr w14:val="tx1"/>
                        </w14:solidFill>
                      </w14:textFill>
                    </w:rPr>
                  </w:pPr>
                  <w:r>
                    <w:rPr>
                      <w:rFonts w:hint="eastAsia"/>
                      <w:bCs/>
                      <w:color w:val="000000" w:themeColor="text1"/>
                      <w:sz w:val="21"/>
                      <w:szCs w:val="21"/>
                      <w:highlight w:val="none"/>
                      <w:lang w:val="en-US" w:eastAsia="zh-CN"/>
                      <w14:textFill>
                        <w14:solidFill>
                          <w14:schemeClr w14:val="tx1"/>
                        </w14:solidFill>
                      </w14:textFill>
                    </w:rPr>
                    <w:t>污染防治措施</w:t>
                  </w:r>
                </w:p>
              </w:tc>
            </w:tr>
            <w:tr w14:paraId="23FD5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144" w:type="pct"/>
                  <w:vMerge w:val="continue"/>
                  <w:shd w:val="clear" w:color="auto" w:fill="auto"/>
                  <w:vAlign w:val="center"/>
                </w:tcPr>
                <w:p w14:paraId="224622A0">
                  <w:pPr>
                    <w:jc w:val="center"/>
                    <w:rPr>
                      <w:bCs/>
                      <w:color w:val="000000" w:themeColor="text1"/>
                      <w:sz w:val="21"/>
                      <w:szCs w:val="21"/>
                      <w:highlight w:val="none"/>
                      <w14:textFill>
                        <w14:solidFill>
                          <w14:schemeClr w14:val="tx1"/>
                        </w14:solidFill>
                      </w14:textFill>
                    </w:rPr>
                  </w:pPr>
                </w:p>
              </w:tc>
              <w:tc>
                <w:tcPr>
                  <w:tcW w:w="422" w:type="pct"/>
                  <w:vMerge w:val="continue"/>
                  <w:shd w:val="clear" w:color="auto" w:fill="auto"/>
                  <w:vAlign w:val="center"/>
                </w:tcPr>
                <w:p w14:paraId="2FDE9208">
                  <w:pPr>
                    <w:jc w:val="center"/>
                    <w:rPr>
                      <w:bCs/>
                      <w:color w:val="000000" w:themeColor="text1"/>
                      <w:sz w:val="21"/>
                      <w:szCs w:val="21"/>
                      <w:highlight w:val="none"/>
                      <w14:textFill>
                        <w14:solidFill>
                          <w14:schemeClr w14:val="tx1"/>
                        </w14:solidFill>
                      </w14:textFill>
                    </w:rPr>
                  </w:pPr>
                </w:p>
              </w:tc>
              <w:tc>
                <w:tcPr>
                  <w:tcW w:w="368" w:type="pct"/>
                  <w:vMerge w:val="continue"/>
                  <w:shd w:val="clear" w:color="auto" w:fill="auto"/>
                  <w:vAlign w:val="center"/>
                </w:tcPr>
                <w:p w14:paraId="20D2902A">
                  <w:pPr>
                    <w:jc w:val="center"/>
                    <w:rPr>
                      <w:bCs/>
                      <w:color w:val="000000" w:themeColor="text1"/>
                      <w:sz w:val="21"/>
                      <w:szCs w:val="21"/>
                      <w:highlight w:val="none"/>
                      <w14:textFill>
                        <w14:solidFill>
                          <w14:schemeClr w14:val="tx1"/>
                        </w14:solidFill>
                      </w14:textFill>
                    </w:rPr>
                  </w:pPr>
                </w:p>
              </w:tc>
              <w:tc>
                <w:tcPr>
                  <w:tcW w:w="368" w:type="pct"/>
                  <w:vMerge w:val="continue"/>
                  <w:shd w:val="clear" w:color="auto" w:fill="auto"/>
                  <w:vAlign w:val="center"/>
                </w:tcPr>
                <w:p w14:paraId="64ADFBF0">
                  <w:pPr>
                    <w:jc w:val="center"/>
                    <w:rPr>
                      <w:bCs/>
                      <w:color w:val="000000" w:themeColor="text1"/>
                      <w:sz w:val="21"/>
                      <w:szCs w:val="21"/>
                      <w:highlight w:val="none"/>
                      <w14:textFill>
                        <w14:solidFill>
                          <w14:schemeClr w14:val="tx1"/>
                        </w14:solidFill>
                      </w14:textFill>
                    </w:rPr>
                  </w:pPr>
                </w:p>
              </w:tc>
              <w:tc>
                <w:tcPr>
                  <w:tcW w:w="368" w:type="pct"/>
                  <w:vMerge w:val="continue"/>
                  <w:shd w:val="clear" w:color="auto" w:fill="auto"/>
                  <w:vAlign w:val="center"/>
                </w:tcPr>
                <w:p w14:paraId="41D6975C">
                  <w:pPr>
                    <w:jc w:val="center"/>
                    <w:rPr>
                      <w:bCs/>
                      <w:color w:val="000000" w:themeColor="text1"/>
                      <w:sz w:val="21"/>
                      <w:szCs w:val="21"/>
                      <w:highlight w:val="none"/>
                      <w14:textFill>
                        <w14:solidFill>
                          <w14:schemeClr w14:val="tx1"/>
                        </w14:solidFill>
                      </w14:textFill>
                    </w:rPr>
                  </w:pPr>
                </w:p>
              </w:tc>
              <w:tc>
                <w:tcPr>
                  <w:tcW w:w="516" w:type="pct"/>
                  <w:vMerge w:val="continue"/>
                  <w:shd w:val="clear" w:color="auto" w:fill="auto"/>
                  <w:vAlign w:val="center"/>
                </w:tcPr>
                <w:p w14:paraId="4E73A5FC">
                  <w:pPr>
                    <w:jc w:val="center"/>
                    <w:rPr>
                      <w:bCs/>
                      <w:color w:val="000000" w:themeColor="text1"/>
                      <w:sz w:val="21"/>
                      <w:szCs w:val="21"/>
                      <w:highlight w:val="none"/>
                      <w14:textFill>
                        <w14:solidFill>
                          <w14:schemeClr w14:val="tx1"/>
                        </w14:solidFill>
                      </w14:textFill>
                    </w:rPr>
                  </w:pPr>
                </w:p>
              </w:tc>
              <w:tc>
                <w:tcPr>
                  <w:tcW w:w="308" w:type="pct"/>
                  <w:vMerge w:val="continue"/>
                  <w:shd w:val="clear" w:color="auto" w:fill="auto"/>
                  <w:vAlign w:val="center"/>
                </w:tcPr>
                <w:p w14:paraId="1EBE84E4">
                  <w:pPr>
                    <w:jc w:val="center"/>
                    <w:rPr>
                      <w:bCs/>
                      <w:color w:val="000000" w:themeColor="text1"/>
                      <w:sz w:val="21"/>
                      <w:szCs w:val="21"/>
                      <w:highlight w:val="none"/>
                      <w14:textFill>
                        <w14:solidFill>
                          <w14:schemeClr w14:val="tx1"/>
                        </w14:solidFill>
                      </w14:textFill>
                    </w:rPr>
                  </w:pPr>
                </w:p>
              </w:tc>
              <w:tc>
                <w:tcPr>
                  <w:tcW w:w="517" w:type="pct"/>
                  <w:vMerge w:val="continue"/>
                  <w:shd w:val="clear" w:color="auto" w:fill="auto"/>
                  <w:vAlign w:val="center"/>
                </w:tcPr>
                <w:p w14:paraId="0BCE4AFD">
                  <w:pPr>
                    <w:jc w:val="center"/>
                    <w:rPr>
                      <w:bCs/>
                      <w:color w:val="000000" w:themeColor="text1"/>
                      <w:sz w:val="21"/>
                      <w:szCs w:val="21"/>
                      <w:highlight w:val="none"/>
                      <w14:textFill>
                        <w14:solidFill>
                          <w14:schemeClr w14:val="tx1"/>
                        </w14:solidFill>
                      </w14:textFill>
                    </w:rPr>
                  </w:pPr>
                </w:p>
              </w:tc>
              <w:tc>
                <w:tcPr>
                  <w:tcW w:w="490" w:type="pct"/>
                  <w:vMerge w:val="continue"/>
                  <w:shd w:val="clear" w:color="auto" w:fill="auto"/>
                  <w:vAlign w:val="center"/>
                </w:tcPr>
                <w:p w14:paraId="28B22953">
                  <w:pPr>
                    <w:jc w:val="center"/>
                    <w:rPr>
                      <w:bCs/>
                      <w:color w:val="000000" w:themeColor="text1"/>
                      <w:sz w:val="21"/>
                      <w:szCs w:val="21"/>
                      <w:highlight w:val="none"/>
                      <w14:textFill>
                        <w14:solidFill>
                          <w14:schemeClr w14:val="tx1"/>
                        </w14:solidFill>
                      </w14:textFill>
                    </w:rPr>
                  </w:pPr>
                </w:p>
              </w:tc>
              <w:tc>
                <w:tcPr>
                  <w:tcW w:w="444" w:type="pct"/>
                  <w:vMerge w:val="continue"/>
                  <w:shd w:val="clear" w:color="auto" w:fill="auto"/>
                  <w:vAlign w:val="center"/>
                </w:tcPr>
                <w:p w14:paraId="647B6823">
                  <w:pPr>
                    <w:jc w:val="center"/>
                    <w:rPr>
                      <w:bCs/>
                      <w:color w:val="000000" w:themeColor="text1"/>
                      <w:sz w:val="21"/>
                      <w:szCs w:val="21"/>
                      <w:highlight w:val="none"/>
                      <w14:textFill>
                        <w14:solidFill>
                          <w14:schemeClr w14:val="tx1"/>
                        </w14:solidFill>
                      </w14:textFill>
                    </w:rPr>
                  </w:pPr>
                </w:p>
              </w:tc>
              <w:tc>
                <w:tcPr>
                  <w:tcW w:w="481" w:type="pct"/>
                  <w:vMerge w:val="continue"/>
                  <w:shd w:val="clear" w:color="auto" w:fill="auto"/>
                  <w:vAlign w:val="center"/>
                </w:tcPr>
                <w:p w14:paraId="0279B45D">
                  <w:pPr>
                    <w:jc w:val="center"/>
                    <w:rPr>
                      <w:bCs/>
                      <w:color w:val="000000" w:themeColor="text1"/>
                      <w:sz w:val="21"/>
                      <w:szCs w:val="21"/>
                      <w:highlight w:val="none"/>
                      <w14:textFill>
                        <w14:solidFill>
                          <w14:schemeClr w14:val="tx1"/>
                        </w14:solidFill>
                      </w14:textFill>
                    </w:rPr>
                  </w:pPr>
                </w:p>
              </w:tc>
              <w:tc>
                <w:tcPr>
                  <w:tcW w:w="568" w:type="pct"/>
                  <w:vMerge w:val="continue"/>
                  <w:shd w:val="clear" w:color="auto" w:fill="auto"/>
                  <w:vAlign w:val="center"/>
                </w:tcPr>
                <w:p w14:paraId="1B8E7F61">
                  <w:pPr>
                    <w:jc w:val="center"/>
                    <w:rPr>
                      <w:bCs/>
                      <w:color w:val="000000" w:themeColor="text1"/>
                      <w:sz w:val="21"/>
                      <w:szCs w:val="21"/>
                      <w:highlight w:val="none"/>
                      <w14:textFill>
                        <w14:solidFill>
                          <w14:schemeClr w14:val="tx1"/>
                        </w14:solidFill>
                      </w14:textFill>
                    </w:rPr>
                  </w:pPr>
                </w:p>
              </w:tc>
            </w:tr>
            <w:tr w14:paraId="1EC98A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4" w:type="pct"/>
                  <w:shd w:val="clear" w:color="auto" w:fill="auto"/>
                  <w:vAlign w:val="center"/>
                </w:tcPr>
                <w:p w14:paraId="73082809">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422" w:type="pct"/>
                  <w:shd w:val="clear" w:color="auto" w:fill="auto"/>
                  <w:vAlign w:val="center"/>
                </w:tcPr>
                <w:p w14:paraId="5C796544">
                  <w:pPr>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废润滑油</w:t>
                  </w:r>
                </w:p>
              </w:tc>
              <w:tc>
                <w:tcPr>
                  <w:tcW w:w="368" w:type="pct"/>
                  <w:shd w:val="clear" w:color="auto" w:fill="auto"/>
                  <w:vAlign w:val="center"/>
                </w:tcPr>
                <w:p w14:paraId="3936EE04">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368" w:type="pct"/>
                  <w:shd w:val="clear" w:color="auto" w:fill="auto"/>
                  <w:vAlign w:val="center"/>
                </w:tcPr>
                <w:p w14:paraId="069884EC">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900-</w:t>
                  </w:r>
                  <w:r>
                    <w:rPr>
                      <w:rFonts w:hint="eastAsia"/>
                      <w:color w:val="000000" w:themeColor="text1"/>
                      <w:sz w:val="21"/>
                      <w:szCs w:val="21"/>
                      <w:highlight w:val="none"/>
                      <w:lang w:val="en-US" w:eastAsia="zh-CN"/>
                      <w14:textFill>
                        <w14:solidFill>
                          <w14:schemeClr w14:val="tx1"/>
                        </w14:solidFill>
                      </w14:textFill>
                    </w:rPr>
                    <w:t>214</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08</w:t>
                  </w:r>
                </w:p>
              </w:tc>
              <w:tc>
                <w:tcPr>
                  <w:tcW w:w="368" w:type="pct"/>
                  <w:shd w:val="clear" w:color="auto" w:fill="auto"/>
                  <w:vAlign w:val="center"/>
                </w:tcPr>
                <w:p w14:paraId="7F85B1F6">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516" w:type="pct"/>
                  <w:shd w:val="clear" w:color="auto" w:fill="auto"/>
                  <w:vAlign w:val="center"/>
                </w:tcPr>
                <w:p w14:paraId="275E3E02">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设备维修</w:t>
                  </w:r>
                </w:p>
              </w:tc>
              <w:tc>
                <w:tcPr>
                  <w:tcW w:w="308" w:type="pct"/>
                  <w:shd w:val="clear" w:color="auto" w:fill="auto"/>
                  <w:vAlign w:val="center"/>
                </w:tcPr>
                <w:p w14:paraId="5AB17C43">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液态</w:t>
                  </w:r>
                </w:p>
              </w:tc>
              <w:tc>
                <w:tcPr>
                  <w:tcW w:w="517" w:type="pct"/>
                  <w:shd w:val="clear" w:color="auto" w:fill="auto"/>
                  <w:vAlign w:val="center"/>
                </w:tcPr>
                <w:p w14:paraId="443C65EF">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油类物质</w:t>
                  </w:r>
                </w:p>
              </w:tc>
              <w:tc>
                <w:tcPr>
                  <w:tcW w:w="490" w:type="pct"/>
                  <w:shd w:val="clear" w:color="auto" w:fill="auto"/>
                  <w:vAlign w:val="center"/>
                </w:tcPr>
                <w:p w14:paraId="64FBB96D">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油类物质</w:t>
                  </w:r>
                </w:p>
              </w:tc>
              <w:tc>
                <w:tcPr>
                  <w:tcW w:w="444" w:type="pct"/>
                  <w:shd w:val="clear" w:color="auto" w:fill="auto"/>
                  <w:vAlign w:val="center"/>
                </w:tcPr>
                <w:p w14:paraId="72EA108C">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半年1次</w:t>
                  </w:r>
                </w:p>
              </w:tc>
              <w:tc>
                <w:tcPr>
                  <w:tcW w:w="481" w:type="pct"/>
                  <w:shd w:val="clear" w:color="auto" w:fill="auto"/>
                  <w:vAlign w:val="center"/>
                </w:tcPr>
                <w:p w14:paraId="356CFA31">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T/I</w:t>
                  </w:r>
                </w:p>
              </w:tc>
              <w:tc>
                <w:tcPr>
                  <w:tcW w:w="568" w:type="pct"/>
                  <w:vMerge w:val="restart"/>
                  <w:shd w:val="clear" w:color="auto" w:fill="auto"/>
                  <w:vAlign w:val="center"/>
                </w:tcPr>
                <w:p w14:paraId="47C3A923">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暂存于危废暂存间，委托有资质的单位处置</w:t>
                  </w:r>
                </w:p>
              </w:tc>
            </w:tr>
            <w:tr w14:paraId="19E5C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4" w:type="pct"/>
                  <w:shd w:val="clear" w:color="auto" w:fill="auto"/>
                  <w:vAlign w:val="center"/>
                </w:tcPr>
                <w:p w14:paraId="3D8593F5">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w:t>
                  </w:r>
                </w:p>
              </w:tc>
              <w:tc>
                <w:tcPr>
                  <w:tcW w:w="422" w:type="pct"/>
                  <w:shd w:val="clear" w:color="auto" w:fill="auto"/>
                  <w:vAlign w:val="center"/>
                </w:tcPr>
                <w:p w14:paraId="6755A6A5">
                  <w:pPr>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废油桶</w:t>
                  </w:r>
                </w:p>
              </w:tc>
              <w:tc>
                <w:tcPr>
                  <w:tcW w:w="368" w:type="pct"/>
                  <w:shd w:val="clear" w:color="auto" w:fill="auto"/>
                  <w:vAlign w:val="center"/>
                </w:tcPr>
                <w:p w14:paraId="64598D16">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368" w:type="pct"/>
                  <w:shd w:val="clear" w:color="auto" w:fill="auto"/>
                  <w:vAlign w:val="center"/>
                </w:tcPr>
                <w:p w14:paraId="38B9208D">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900-</w:t>
                  </w:r>
                  <w:r>
                    <w:rPr>
                      <w:rFonts w:hint="eastAsia"/>
                      <w:color w:val="000000" w:themeColor="text1"/>
                      <w:sz w:val="21"/>
                      <w:szCs w:val="21"/>
                      <w:highlight w:val="none"/>
                      <w:lang w:val="en-US" w:eastAsia="zh-CN"/>
                      <w14:textFill>
                        <w14:solidFill>
                          <w14:schemeClr w14:val="tx1"/>
                        </w14:solidFill>
                      </w14:textFill>
                    </w:rPr>
                    <w:t>249</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08</w:t>
                  </w:r>
                </w:p>
              </w:tc>
              <w:tc>
                <w:tcPr>
                  <w:tcW w:w="368" w:type="pct"/>
                  <w:shd w:val="clear" w:color="auto" w:fill="auto"/>
                  <w:vAlign w:val="center"/>
                </w:tcPr>
                <w:p w14:paraId="1A2FC90A">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516" w:type="pct"/>
                  <w:shd w:val="clear" w:color="auto" w:fill="auto"/>
                  <w:vAlign w:val="center"/>
                </w:tcPr>
                <w:p w14:paraId="1CCDA9C4">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设备维修</w:t>
                  </w:r>
                </w:p>
              </w:tc>
              <w:tc>
                <w:tcPr>
                  <w:tcW w:w="308" w:type="pct"/>
                  <w:shd w:val="clear" w:color="auto" w:fill="auto"/>
                  <w:vAlign w:val="center"/>
                </w:tcPr>
                <w:p w14:paraId="53CA27D2">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固态</w:t>
                  </w:r>
                </w:p>
              </w:tc>
              <w:tc>
                <w:tcPr>
                  <w:tcW w:w="517" w:type="pct"/>
                  <w:shd w:val="clear" w:color="auto" w:fill="auto"/>
                  <w:vAlign w:val="center"/>
                </w:tcPr>
                <w:p w14:paraId="7033EE25">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油类物质</w:t>
                  </w:r>
                </w:p>
              </w:tc>
              <w:tc>
                <w:tcPr>
                  <w:tcW w:w="490" w:type="pct"/>
                  <w:shd w:val="clear" w:color="auto" w:fill="auto"/>
                  <w:vAlign w:val="center"/>
                </w:tcPr>
                <w:p w14:paraId="1EBA75AD">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油类物质</w:t>
                  </w:r>
                </w:p>
              </w:tc>
              <w:tc>
                <w:tcPr>
                  <w:tcW w:w="444" w:type="pct"/>
                  <w:shd w:val="clear" w:color="auto" w:fill="auto"/>
                  <w:vAlign w:val="center"/>
                </w:tcPr>
                <w:p w14:paraId="7C62EFD4">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半年1次</w:t>
                  </w:r>
                </w:p>
              </w:tc>
              <w:tc>
                <w:tcPr>
                  <w:tcW w:w="481" w:type="pct"/>
                  <w:shd w:val="clear" w:color="auto" w:fill="auto"/>
                  <w:vAlign w:val="center"/>
                </w:tcPr>
                <w:p w14:paraId="3BD8C4CE">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T/I</w:t>
                  </w:r>
                </w:p>
              </w:tc>
              <w:tc>
                <w:tcPr>
                  <w:tcW w:w="568" w:type="pct"/>
                  <w:vMerge w:val="continue"/>
                  <w:shd w:val="clear" w:color="auto" w:fill="auto"/>
                  <w:vAlign w:val="center"/>
                </w:tcPr>
                <w:p w14:paraId="0EDEAA79">
                  <w:pPr>
                    <w:jc w:val="center"/>
                    <w:rPr>
                      <w:color w:val="000000" w:themeColor="text1"/>
                      <w:sz w:val="21"/>
                      <w:szCs w:val="21"/>
                      <w:highlight w:val="none"/>
                      <w14:textFill>
                        <w14:solidFill>
                          <w14:schemeClr w14:val="tx1"/>
                        </w14:solidFill>
                      </w14:textFill>
                    </w:rPr>
                  </w:pPr>
                </w:p>
              </w:tc>
            </w:tr>
            <w:tr w14:paraId="02AE0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trPr>
              <w:tc>
                <w:tcPr>
                  <w:tcW w:w="144" w:type="pct"/>
                  <w:shd w:val="clear" w:color="auto" w:fill="auto"/>
                  <w:vAlign w:val="center"/>
                </w:tcPr>
                <w:p w14:paraId="67742311">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w:t>
                  </w:r>
                </w:p>
              </w:tc>
              <w:tc>
                <w:tcPr>
                  <w:tcW w:w="422" w:type="pct"/>
                  <w:shd w:val="clear" w:color="auto" w:fill="auto"/>
                  <w:vAlign w:val="center"/>
                </w:tcPr>
                <w:p w14:paraId="63FC9897">
                  <w:pPr>
                    <w:jc w:val="center"/>
                    <w:rPr>
                      <w:rFonts w:hint="default" w:eastAsia="宋体" w:cs="宋体"/>
                      <w:color w:val="000000" w:themeColor="text1"/>
                      <w:sz w:val="21"/>
                      <w:szCs w:val="21"/>
                      <w:highlight w:val="none"/>
                      <w:lang w:val="en-US" w:eastAsia="zh-CN"/>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废活性炭</w:t>
                  </w:r>
                </w:p>
              </w:tc>
              <w:tc>
                <w:tcPr>
                  <w:tcW w:w="368" w:type="pct"/>
                  <w:shd w:val="clear" w:color="auto" w:fill="auto"/>
                  <w:vAlign w:val="center"/>
                </w:tcPr>
                <w:p w14:paraId="60D428DF">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w:t>
                  </w:r>
                  <w:r>
                    <w:rPr>
                      <w:rFonts w:hint="eastAsia"/>
                      <w:color w:val="000000" w:themeColor="text1"/>
                      <w:sz w:val="21"/>
                      <w:szCs w:val="21"/>
                      <w:highlight w:val="none"/>
                      <w14:textFill>
                        <w14:solidFill>
                          <w14:schemeClr w14:val="tx1"/>
                        </w14:solidFill>
                      </w14:textFill>
                    </w:rPr>
                    <w:t>49</w:t>
                  </w:r>
                </w:p>
              </w:tc>
              <w:tc>
                <w:tcPr>
                  <w:tcW w:w="368" w:type="pct"/>
                  <w:shd w:val="clear" w:color="auto" w:fill="auto"/>
                  <w:vAlign w:val="center"/>
                </w:tcPr>
                <w:p w14:paraId="35E913F3">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900-0</w:t>
                  </w:r>
                  <w:r>
                    <w:rPr>
                      <w:rFonts w:hint="eastAsia"/>
                      <w:color w:val="000000" w:themeColor="text1"/>
                      <w:sz w:val="21"/>
                      <w:szCs w:val="21"/>
                      <w:highlight w:val="none"/>
                      <w:lang w:val="en-US" w:eastAsia="zh-CN"/>
                      <w14:textFill>
                        <w14:solidFill>
                          <w14:schemeClr w14:val="tx1"/>
                        </w14:solidFill>
                      </w14:textFill>
                    </w:rPr>
                    <w:t>39</w:t>
                  </w:r>
                  <w:r>
                    <w:rPr>
                      <w:rFonts w:hint="eastAsia"/>
                      <w:color w:val="000000" w:themeColor="text1"/>
                      <w:sz w:val="21"/>
                      <w:szCs w:val="21"/>
                      <w:highlight w:val="none"/>
                      <w14:textFill>
                        <w14:solidFill>
                          <w14:schemeClr w14:val="tx1"/>
                        </w14:solidFill>
                      </w14:textFill>
                    </w:rPr>
                    <w:t>-49</w:t>
                  </w:r>
                </w:p>
              </w:tc>
              <w:tc>
                <w:tcPr>
                  <w:tcW w:w="368" w:type="pct"/>
                  <w:shd w:val="clear" w:color="auto" w:fill="auto"/>
                  <w:vAlign w:val="center"/>
                </w:tcPr>
                <w:p w14:paraId="3C8FEAE2">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2.126</w:t>
                  </w:r>
                </w:p>
              </w:tc>
              <w:tc>
                <w:tcPr>
                  <w:tcW w:w="516" w:type="pct"/>
                  <w:shd w:val="clear" w:color="auto" w:fill="auto"/>
                  <w:vAlign w:val="center"/>
                </w:tcPr>
                <w:p w14:paraId="246A36A0">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废气治理</w:t>
                  </w:r>
                </w:p>
              </w:tc>
              <w:tc>
                <w:tcPr>
                  <w:tcW w:w="308" w:type="pct"/>
                  <w:shd w:val="clear" w:color="auto" w:fill="auto"/>
                  <w:vAlign w:val="center"/>
                </w:tcPr>
                <w:p w14:paraId="1161F104">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液态</w:t>
                  </w:r>
                </w:p>
              </w:tc>
              <w:tc>
                <w:tcPr>
                  <w:tcW w:w="517" w:type="pct"/>
                  <w:shd w:val="clear" w:color="auto" w:fill="auto"/>
                  <w:vAlign w:val="center"/>
                </w:tcPr>
                <w:p w14:paraId="50AFA795">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挥发性有机物</w:t>
                  </w:r>
                </w:p>
              </w:tc>
              <w:tc>
                <w:tcPr>
                  <w:tcW w:w="490" w:type="pct"/>
                  <w:shd w:val="clear" w:color="auto" w:fill="auto"/>
                  <w:vAlign w:val="center"/>
                </w:tcPr>
                <w:p w14:paraId="5B0E3D5B">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挥发性有机物</w:t>
                  </w:r>
                </w:p>
              </w:tc>
              <w:tc>
                <w:tcPr>
                  <w:tcW w:w="444" w:type="pct"/>
                  <w:shd w:val="clear" w:color="auto" w:fill="auto"/>
                  <w:vAlign w:val="center"/>
                </w:tcPr>
                <w:p w14:paraId="2AD88868">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半年1次</w:t>
                  </w:r>
                </w:p>
              </w:tc>
              <w:tc>
                <w:tcPr>
                  <w:tcW w:w="481" w:type="pct"/>
                  <w:shd w:val="clear" w:color="auto" w:fill="auto"/>
                  <w:vAlign w:val="center"/>
                </w:tcPr>
                <w:p w14:paraId="22AB617A">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T</w:t>
                  </w:r>
                </w:p>
              </w:tc>
              <w:tc>
                <w:tcPr>
                  <w:tcW w:w="568" w:type="pct"/>
                  <w:vMerge w:val="continue"/>
                  <w:shd w:val="clear" w:color="auto" w:fill="auto"/>
                  <w:vAlign w:val="center"/>
                </w:tcPr>
                <w:p w14:paraId="5CA4D638">
                  <w:pPr>
                    <w:jc w:val="center"/>
                    <w:rPr>
                      <w:color w:val="000000" w:themeColor="text1"/>
                      <w:sz w:val="21"/>
                      <w:szCs w:val="21"/>
                      <w:highlight w:val="none"/>
                      <w14:textFill>
                        <w14:solidFill>
                          <w14:schemeClr w14:val="tx1"/>
                        </w14:solidFill>
                      </w14:textFill>
                    </w:rPr>
                  </w:pPr>
                </w:p>
              </w:tc>
            </w:tr>
          </w:tbl>
          <w:p w14:paraId="487C0289">
            <w:pPr>
              <w:spacing w:line="360" w:lineRule="auto"/>
              <w:ind w:firstLine="480" w:firstLineChars="200"/>
              <w:rPr>
                <w:rFonts w:hint="default" w:cs="宋体"/>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3</w:t>
            </w:r>
            <w:r>
              <w:rPr>
                <w:rFonts w:hint="eastAsia" w:cs="宋体"/>
                <w:color w:val="000000" w:themeColor="text1"/>
                <w:sz w:val="24"/>
                <w:szCs w:val="32"/>
                <w:highlight w:val="none"/>
                <w:lang w:eastAsia="zh-CN"/>
                <w14:textFill>
                  <w14:solidFill>
                    <w14:schemeClr w14:val="tx1"/>
                  </w14:solidFill>
                </w14:textFill>
              </w:rPr>
              <w:t>）</w:t>
            </w:r>
            <w:r>
              <w:rPr>
                <w:rFonts w:hint="eastAsia" w:cs="宋体"/>
                <w:color w:val="000000" w:themeColor="text1"/>
                <w:sz w:val="24"/>
                <w:szCs w:val="32"/>
                <w:highlight w:val="none"/>
                <w:lang w:val="en-US" w:eastAsia="zh-CN"/>
                <w14:textFill>
                  <w14:solidFill>
                    <w14:schemeClr w14:val="tx1"/>
                  </w14:solidFill>
                </w14:textFill>
              </w:rPr>
              <w:t>生活垃圾</w:t>
            </w:r>
          </w:p>
          <w:p w14:paraId="2DF1E95E">
            <w:pPr>
              <w:spacing w:line="360" w:lineRule="auto"/>
              <w:ind w:firstLine="480" w:firstLineChars="200"/>
              <w:rPr>
                <w:rFonts w:hint="eastAsia"/>
                <w:color w:val="000000" w:themeColor="text1"/>
                <w:sz w:val="24"/>
                <w:szCs w:val="32"/>
                <w:highlight w:val="none"/>
                <w:lang w:val="en-US" w:eastAsia="zh-CN"/>
                <w14:textFill>
                  <w14:solidFill>
                    <w14:schemeClr w14:val="tx1"/>
                  </w14:solidFill>
                </w14:textFill>
              </w:rPr>
            </w:pPr>
            <w:r>
              <w:rPr>
                <w:rFonts w:hint="eastAsia" w:cs="宋体"/>
                <w:color w:val="000000" w:themeColor="text1"/>
                <w:sz w:val="24"/>
                <w:szCs w:val="32"/>
                <w:highlight w:val="none"/>
                <w:lang w:val="en-US" w:eastAsia="zh-CN"/>
                <w14:textFill>
                  <w14:solidFill>
                    <w14:schemeClr w14:val="tx1"/>
                  </w14:solidFill>
                </w14:textFill>
              </w:rPr>
              <w:t>本项目</w:t>
            </w:r>
            <w:r>
              <w:rPr>
                <w:rFonts w:hint="eastAsia"/>
                <w:color w:val="000000" w:themeColor="text1"/>
                <w:sz w:val="24"/>
                <w:szCs w:val="32"/>
                <w:highlight w:val="none"/>
                <w:lang w:val="en-US" w:eastAsia="zh-CN"/>
                <w14:textFill>
                  <w14:solidFill>
                    <w14:schemeClr w14:val="tx1"/>
                  </w14:solidFill>
                </w14:textFill>
              </w:rPr>
              <w:t>定员8人，每人生活垃圾日产生量为0.5kg，则生活垃圾产生量为4kg（1.2t/a），收集后由环卫部门定期清运。</w:t>
            </w:r>
          </w:p>
          <w:p w14:paraId="1BA628D8">
            <w:pPr>
              <w:spacing w:line="360" w:lineRule="auto"/>
              <w:ind w:firstLine="480" w:firstLineChars="200"/>
              <w:rPr>
                <w:rFonts w:hint="eastAsia"/>
                <w:color w:val="000000" w:themeColor="text1"/>
                <w:sz w:val="24"/>
                <w:szCs w:val="32"/>
                <w:highlight w:val="none"/>
                <w:lang w:val="en-US" w:eastAsia="zh-CN"/>
                <w14:textFill>
                  <w14:solidFill>
                    <w14:schemeClr w14:val="tx1"/>
                  </w14:solidFill>
                </w14:textFill>
              </w:rPr>
            </w:pPr>
            <w:r>
              <w:rPr>
                <w:rFonts w:hint="eastAsia"/>
                <w:color w:val="000000" w:themeColor="text1"/>
                <w:sz w:val="24"/>
                <w:szCs w:val="32"/>
                <w:highlight w:val="none"/>
                <w:lang w:val="en-US" w:eastAsia="zh-CN"/>
                <w14:textFill>
                  <w14:solidFill>
                    <w14:schemeClr w14:val="tx1"/>
                  </w14:solidFill>
                </w14:textFill>
              </w:rPr>
              <w:t>本项目固废固体废物产生处置情况见表4-9。</w:t>
            </w:r>
          </w:p>
          <w:p w14:paraId="725D82DA">
            <w:pPr>
              <w:pStyle w:val="69"/>
              <w:spacing w:line="360" w:lineRule="auto"/>
              <w:rPr>
                <w:rFonts w:hint="default"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p>
          <w:p w14:paraId="643ECB49">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 4-</w:t>
            </w:r>
            <w:r>
              <w:rPr>
                <w:rFonts w:hint="eastAsia" w:eastAsia="宋体" w:cs="宋体"/>
                <w:b/>
                <w:color w:val="000000" w:themeColor="text1"/>
                <w:kern w:val="2"/>
                <w:sz w:val="24"/>
                <w:szCs w:val="24"/>
                <w:highlight w:val="none"/>
                <w:lang w:val="en-US" w:eastAsia="zh-CN" w:bidi="ar-SA"/>
                <w14:textFill>
                  <w14:solidFill>
                    <w14:schemeClr w14:val="tx1"/>
                  </w14:solidFill>
                </w14:textFill>
              </w:rPr>
              <w:t>9</w:t>
            </w:r>
            <w:r>
              <w:rPr>
                <w:rFonts w:hint="default"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 xml:space="preserve">  本项目固体废物产生处置情</w:t>
            </w: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况汇总表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20"/>
              <w:gridCol w:w="643"/>
              <w:gridCol w:w="562"/>
              <w:gridCol w:w="549"/>
              <w:gridCol w:w="781"/>
              <w:gridCol w:w="728"/>
              <w:gridCol w:w="765"/>
              <w:gridCol w:w="735"/>
              <w:gridCol w:w="824"/>
              <w:gridCol w:w="629"/>
              <w:gridCol w:w="733"/>
              <w:gridCol w:w="1092"/>
            </w:tblGrid>
            <w:tr w14:paraId="08089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33" w:type="pct"/>
                  <w:vMerge w:val="restart"/>
                  <w:shd w:val="clear" w:color="auto" w:fill="auto"/>
                  <w:vAlign w:val="center"/>
                </w:tcPr>
                <w:p w14:paraId="72610383">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序号</w:t>
                  </w:r>
                </w:p>
              </w:tc>
              <w:tc>
                <w:tcPr>
                  <w:tcW w:w="389" w:type="pct"/>
                  <w:vMerge w:val="restart"/>
                  <w:shd w:val="clear" w:color="auto" w:fill="auto"/>
                  <w:vAlign w:val="center"/>
                </w:tcPr>
                <w:p w14:paraId="4245191E">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废物名称</w:t>
                  </w:r>
                </w:p>
              </w:tc>
              <w:tc>
                <w:tcPr>
                  <w:tcW w:w="340" w:type="pct"/>
                  <w:vMerge w:val="restart"/>
                  <w:shd w:val="clear" w:color="auto" w:fill="auto"/>
                  <w:vAlign w:val="center"/>
                </w:tcPr>
                <w:p w14:paraId="13B7239B">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产生环节</w:t>
                  </w:r>
                </w:p>
              </w:tc>
              <w:tc>
                <w:tcPr>
                  <w:tcW w:w="332" w:type="pct"/>
                  <w:vMerge w:val="restart"/>
                  <w:shd w:val="clear" w:color="auto" w:fill="auto"/>
                  <w:vAlign w:val="center"/>
                </w:tcPr>
                <w:p w14:paraId="17545C10">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物理性状</w:t>
                  </w:r>
                </w:p>
              </w:tc>
              <w:tc>
                <w:tcPr>
                  <w:tcW w:w="472" w:type="pct"/>
                  <w:vMerge w:val="restart"/>
                  <w:shd w:val="clear" w:color="auto" w:fill="auto"/>
                  <w:vAlign w:val="center"/>
                </w:tcPr>
                <w:p w14:paraId="71B035EE">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主要成分</w:t>
                  </w:r>
                  <w:r>
                    <w:rPr>
                      <w:bCs/>
                      <w:color w:val="000000" w:themeColor="text1"/>
                      <w:sz w:val="21"/>
                      <w:szCs w:val="21"/>
                      <w:highlight w:val="none"/>
                      <w14:textFill>
                        <w14:solidFill>
                          <w14:schemeClr w14:val="tx1"/>
                        </w14:solidFill>
                      </w14:textFill>
                    </w:rPr>
                    <w:t>/</w:t>
                  </w:r>
                  <w:r>
                    <w:rPr>
                      <w:rFonts w:hint="eastAsia"/>
                      <w:bCs/>
                      <w:color w:val="000000" w:themeColor="text1"/>
                      <w:sz w:val="21"/>
                      <w:szCs w:val="21"/>
                      <w:highlight w:val="none"/>
                      <w14:textFill>
                        <w14:solidFill>
                          <w14:schemeClr w14:val="tx1"/>
                        </w14:solidFill>
                      </w14:textFill>
                    </w:rPr>
                    <w:t>有害成分</w:t>
                  </w:r>
                </w:p>
              </w:tc>
              <w:tc>
                <w:tcPr>
                  <w:tcW w:w="440" w:type="pct"/>
                  <w:vMerge w:val="restart"/>
                  <w:shd w:val="clear" w:color="auto" w:fill="auto"/>
                  <w:vAlign w:val="center"/>
                </w:tcPr>
                <w:p w14:paraId="5BD61450">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产生量及处置量</w:t>
                  </w:r>
                  <w:r>
                    <w:rPr>
                      <w:bCs/>
                      <w:color w:val="000000" w:themeColor="text1"/>
                      <w:sz w:val="21"/>
                      <w:szCs w:val="21"/>
                      <w:highlight w:val="none"/>
                      <w14:textFill>
                        <w14:solidFill>
                          <w14:schemeClr w14:val="tx1"/>
                        </w14:solidFill>
                      </w14:textFill>
                    </w:rPr>
                    <w:t>t/a</w:t>
                  </w:r>
                </w:p>
              </w:tc>
              <w:tc>
                <w:tcPr>
                  <w:tcW w:w="1406" w:type="pct"/>
                  <w:gridSpan w:val="3"/>
                  <w:shd w:val="clear" w:color="auto" w:fill="auto"/>
                  <w:vAlign w:val="center"/>
                </w:tcPr>
                <w:p w14:paraId="69B6149B">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属性</w:t>
                  </w:r>
                </w:p>
              </w:tc>
              <w:tc>
                <w:tcPr>
                  <w:tcW w:w="380" w:type="pct"/>
                  <w:vMerge w:val="restart"/>
                  <w:shd w:val="clear" w:color="auto" w:fill="auto"/>
                  <w:vAlign w:val="center"/>
                </w:tcPr>
                <w:p w14:paraId="78667699">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危险特性</w:t>
                  </w:r>
                </w:p>
              </w:tc>
              <w:tc>
                <w:tcPr>
                  <w:tcW w:w="443" w:type="pct"/>
                  <w:vMerge w:val="restart"/>
                  <w:shd w:val="clear" w:color="auto" w:fill="auto"/>
                  <w:vAlign w:val="center"/>
                </w:tcPr>
                <w:p w14:paraId="56585BFF">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储存方式</w:t>
                  </w:r>
                </w:p>
              </w:tc>
              <w:tc>
                <w:tcPr>
                  <w:tcW w:w="660" w:type="pct"/>
                  <w:vMerge w:val="restart"/>
                  <w:shd w:val="clear" w:color="auto" w:fill="auto"/>
                  <w:vAlign w:val="center"/>
                </w:tcPr>
                <w:p w14:paraId="431E29B4">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利用处置方式及去向</w:t>
                  </w:r>
                </w:p>
              </w:tc>
            </w:tr>
            <w:tr w14:paraId="1B631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3" w:type="pct"/>
                  <w:vMerge w:val="continue"/>
                  <w:shd w:val="clear" w:color="auto" w:fill="auto"/>
                  <w:vAlign w:val="center"/>
                </w:tcPr>
                <w:p w14:paraId="2AC1F4D6">
                  <w:pPr>
                    <w:jc w:val="center"/>
                    <w:rPr>
                      <w:bCs/>
                      <w:color w:val="000000" w:themeColor="text1"/>
                      <w:sz w:val="21"/>
                      <w:szCs w:val="21"/>
                      <w:highlight w:val="none"/>
                      <w14:textFill>
                        <w14:solidFill>
                          <w14:schemeClr w14:val="tx1"/>
                        </w14:solidFill>
                      </w14:textFill>
                    </w:rPr>
                  </w:pPr>
                </w:p>
              </w:tc>
              <w:tc>
                <w:tcPr>
                  <w:tcW w:w="389" w:type="pct"/>
                  <w:vMerge w:val="continue"/>
                  <w:shd w:val="clear" w:color="auto" w:fill="auto"/>
                  <w:vAlign w:val="center"/>
                </w:tcPr>
                <w:p w14:paraId="6AE2DADC">
                  <w:pPr>
                    <w:jc w:val="center"/>
                    <w:rPr>
                      <w:bCs/>
                      <w:color w:val="000000" w:themeColor="text1"/>
                      <w:sz w:val="21"/>
                      <w:szCs w:val="21"/>
                      <w:highlight w:val="none"/>
                      <w14:textFill>
                        <w14:solidFill>
                          <w14:schemeClr w14:val="tx1"/>
                        </w14:solidFill>
                      </w14:textFill>
                    </w:rPr>
                  </w:pPr>
                </w:p>
              </w:tc>
              <w:tc>
                <w:tcPr>
                  <w:tcW w:w="340" w:type="pct"/>
                  <w:vMerge w:val="continue"/>
                  <w:shd w:val="clear" w:color="auto" w:fill="auto"/>
                  <w:vAlign w:val="center"/>
                </w:tcPr>
                <w:p w14:paraId="7FA106DF">
                  <w:pPr>
                    <w:jc w:val="center"/>
                    <w:rPr>
                      <w:bCs/>
                      <w:color w:val="000000" w:themeColor="text1"/>
                      <w:sz w:val="21"/>
                      <w:szCs w:val="21"/>
                      <w:highlight w:val="none"/>
                      <w14:textFill>
                        <w14:solidFill>
                          <w14:schemeClr w14:val="tx1"/>
                        </w14:solidFill>
                      </w14:textFill>
                    </w:rPr>
                  </w:pPr>
                </w:p>
              </w:tc>
              <w:tc>
                <w:tcPr>
                  <w:tcW w:w="332" w:type="pct"/>
                  <w:vMerge w:val="continue"/>
                  <w:shd w:val="clear" w:color="auto" w:fill="auto"/>
                  <w:vAlign w:val="center"/>
                </w:tcPr>
                <w:p w14:paraId="488FE769">
                  <w:pPr>
                    <w:jc w:val="center"/>
                    <w:rPr>
                      <w:bCs/>
                      <w:color w:val="000000" w:themeColor="text1"/>
                      <w:sz w:val="21"/>
                      <w:szCs w:val="21"/>
                      <w:highlight w:val="none"/>
                      <w14:textFill>
                        <w14:solidFill>
                          <w14:schemeClr w14:val="tx1"/>
                        </w14:solidFill>
                      </w14:textFill>
                    </w:rPr>
                  </w:pPr>
                </w:p>
              </w:tc>
              <w:tc>
                <w:tcPr>
                  <w:tcW w:w="472" w:type="pct"/>
                  <w:vMerge w:val="continue"/>
                  <w:shd w:val="clear" w:color="auto" w:fill="auto"/>
                  <w:vAlign w:val="center"/>
                </w:tcPr>
                <w:p w14:paraId="7135FC4E">
                  <w:pPr>
                    <w:jc w:val="center"/>
                    <w:rPr>
                      <w:bCs/>
                      <w:color w:val="000000" w:themeColor="text1"/>
                      <w:sz w:val="21"/>
                      <w:szCs w:val="21"/>
                      <w:highlight w:val="none"/>
                      <w14:textFill>
                        <w14:solidFill>
                          <w14:schemeClr w14:val="tx1"/>
                        </w14:solidFill>
                      </w14:textFill>
                    </w:rPr>
                  </w:pPr>
                </w:p>
              </w:tc>
              <w:tc>
                <w:tcPr>
                  <w:tcW w:w="440" w:type="pct"/>
                  <w:vMerge w:val="continue"/>
                  <w:shd w:val="clear" w:color="auto" w:fill="auto"/>
                  <w:vAlign w:val="center"/>
                </w:tcPr>
                <w:p w14:paraId="0DD1619F">
                  <w:pPr>
                    <w:jc w:val="center"/>
                    <w:rPr>
                      <w:bCs/>
                      <w:color w:val="000000" w:themeColor="text1"/>
                      <w:sz w:val="21"/>
                      <w:szCs w:val="21"/>
                      <w:highlight w:val="none"/>
                      <w14:textFill>
                        <w14:solidFill>
                          <w14:schemeClr w14:val="tx1"/>
                        </w14:solidFill>
                      </w14:textFill>
                    </w:rPr>
                  </w:pPr>
                </w:p>
              </w:tc>
              <w:tc>
                <w:tcPr>
                  <w:tcW w:w="463" w:type="pct"/>
                  <w:shd w:val="clear" w:color="auto" w:fill="auto"/>
                  <w:vAlign w:val="center"/>
                </w:tcPr>
                <w:p w14:paraId="61A113C6">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废物类别</w:t>
                  </w:r>
                </w:p>
              </w:tc>
              <w:tc>
                <w:tcPr>
                  <w:tcW w:w="444" w:type="pct"/>
                  <w:shd w:val="clear" w:color="auto" w:fill="auto"/>
                  <w:vAlign w:val="center"/>
                </w:tcPr>
                <w:p w14:paraId="6A90A909">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类别代码</w:t>
                  </w:r>
                </w:p>
              </w:tc>
              <w:tc>
                <w:tcPr>
                  <w:tcW w:w="498" w:type="pct"/>
                  <w:shd w:val="clear" w:color="auto" w:fill="auto"/>
                  <w:vAlign w:val="center"/>
                </w:tcPr>
                <w:p w14:paraId="5CB85ED9">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代码</w:t>
                  </w:r>
                </w:p>
              </w:tc>
              <w:tc>
                <w:tcPr>
                  <w:tcW w:w="380" w:type="pct"/>
                  <w:vMerge w:val="continue"/>
                  <w:shd w:val="clear" w:color="auto" w:fill="auto"/>
                  <w:vAlign w:val="center"/>
                </w:tcPr>
                <w:p w14:paraId="00107AEB">
                  <w:pPr>
                    <w:jc w:val="center"/>
                    <w:rPr>
                      <w:bCs/>
                      <w:color w:val="000000" w:themeColor="text1"/>
                      <w:sz w:val="21"/>
                      <w:szCs w:val="21"/>
                      <w:highlight w:val="none"/>
                      <w14:textFill>
                        <w14:solidFill>
                          <w14:schemeClr w14:val="tx1"/>
                        </w14:solidFill>
                      </w14:textFill>
                    </w:rPr>
                  </w:pPr>
                </w:p>
              </w:tc>
              <w:tc>
                <w:tcPr>
                  <w:tcW w:w="443" w:type="pct"/>
                  <w:vMerge w:val="continue"/>
                  <w:shd w:val="clear" w:color="auto" w:fill="auto"/>
                  <w:vAlign w:val="center"/>
                </w:tcPr>
                <w:p w14:paraId="16389ADE">
                  <w:pPr>
                    <w:jc w:val="center"/>
                    <w:rPr>
                      <w:bCs/>
                      <w:color w:val="000000" w:themeColor="text1"/>
                      <w:sz w:val="21"/>
                      <w:szCs w:val="21"/>
                      <w:highlight w:val="none"/>
                      <w14:textFill>
                        <w14:solidFill>
                          <w14:schemeClr w14:val="tx1"/>
                        </w14:solidFill>
                      </w14:textFill>
                    </w:rPr>
                  </w:pPr>
                </w:p>
              </w:tc>
              <w:tc>
                <w:tcPr>
                  <w:tcW w:w="660" w:type="pct"/>
                  <w:vMerge w:val="continue"/>
                  <w:shd w:val="clear" w:color="auto" w:fill="auto"/>
                  <w:vAlign w:val="center"/>
                </w:tcPr>
                <w:p w14:paraId="4D83335A">
                  <w:pPr>
                    <w:jc w:val="center"/>
                    <w:rPr>
                      <w:bCs/>
                      <w:color w:val="000000" w:themeColor="text1"/>
                      <w:sz w:val="21"/>
                      <w:szCs w:val="21"/>
                      <w:highlight w:val="none"/>
                      <w14:textFill>
                        <w14:solidFill>
                          <w14:schemeClr w14:val="tx1"/>
                        </w14:solidFill>
                      </w14:textFill>
                    </w:rPr>
                  </w:pPr>
                </w:p>
              </w:tc>
            </w:tr>
            <w:tr w14:paraId="0A32F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33" w:type="pct"/>
                  <w:shd w:val="clear" w:color="auto" w:fill="auto"/>
                  <w:vAlign w:val="center"/>
                </w:tcPr>
                <w:p w14:paraId="1C1DC344">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389" w:type="pct"/>
                  <w:shd w:val="clear" w:color="auto" w:fill="auto"/>
                  <w:vAlign w:val="center"/>
                </w:tcPr>
                <w:p w14:paraId="520222B2">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废塑料边角料、残次品</w:t>
                  </w:r>
                </w:p>
              </w:tc>
              <w:tc>
                <w:tcPr>
                  <w:tcW w:w="340" w:type="pct"/>
                  <w:shd w:val="clear" w:color="auto" w:fill="auto"/>
                  <w:vAlign w:val="center"/>
                </w:tcPr>
                <w:p w14:paraId="30336452">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分切工序</w:t>
                  </w:r>
                </w:p>
              </w:tc>
              <w:tc>
                <w:tcPr>
                  <w:tcW w:w="332" w:type="pct"/>
                  <w:shd w:val="clear" w:color="auto" w:fill="auto"/>
                  <w:vAlign w:val="center"/>
                </w:tcPr>
                <w:p w14:paraId="5CA53682">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固态</w:t>
                  </w:r>
                </w:p>
              </w:tc>
              <w:tc>
                <w:tcPr>
                  <w:tcW w:w="472" w:type="pct"/>
                  <w:shd w:val="clear" w:color="auto" w:fill="auto"/>
                  <w:vAlign w:val="center"/>
                </w:tcPr>
                <w:p w14:paraId="73E3BDB8">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废塑料</w:t>
                  </w:r>
                </w:p>
              </w:tc>
              <w:tc>
                <w:tcPr>
                  <w:tcW w:w="440" w:type="pct"/>
                  <w:shd w:val="clear" w:color="auto" w:fill="auto"/>
                  <w:vAlign w:val="center"/>
                </w:tcPr>
                <w:p w14:paraId="720A725A">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1.7443</w:t>
                  </w:r>
                </w:p>
              </w:tc>
              <w:tc>
                <w:tcPr>
                  <w:tcW w:w="463" w:type="pct"/>
                  <w:shd w:val="clear" w:color="auto" w:fill="auto"/>
                  <w:vAlign w:val="center"/>
                </w:tcPr>
                <w:p w14:paraId="2481EA2B">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一般工业固废</w:t>
                  </w:r>
                </w:p>
              </w:tc>
              <w:tc>
                <w:tcPr>
                  <w:tcW w:w="444" w:type="pct"/>
                  <w:shd w:val="clear" w:color="auto" w:fill="auto"/>
                  <w:vAlign w:val="center"/>
                </w:tcPr>
                <w:p w14:paraId="786E86D8">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r>
                    <w:rPr>
                      <w:rFonts w:hint="eastAsia"/>
                      <w:color w:val="000000" w:themeColor="text1"/>
                      <w:sz w:val="21"/>
                      <w:szCs w:val="21"/>
                      <w:highlight w:val="none"/>
                      <w:lang w:val="en-US" w:eastAsia="zh-CN"/>
                      <w14:textFill>
                        <w14:solidFill>
                          <w14:schemeClr w14:val="tx1"/>
                        </w14:solidFill>
                      </w14:textFill>
                    </w:rPr>
                    <w:t>W17</w:t>
                  </w:r>
                </w:p>
              </w:tc>
              <w:tc>
                <w:tcPr>
                  <w:tcW w:w="498" w:type="pct"/>
                  <w:shd w:val="clear" w:color="auto" w:fill="auto"/>
                  <w:vAlign w:val="center"/>
                </w:tcPr>
                <w:p w14:paraId="3E1C145F">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900-0</w:t>
                  </w:r>
                  <w:r>
                    <w:rPr>
                      <w:rFonts w:hint="eastAsia"/>
                      <w:color w:val="000000" w:themeColor="text1"/>
                      <w:sz w:val="21"/>
                      <w:szCs w:val="21"/>
                      <w:highlight w:val="none"/>
                      <w:lang w:val="en-US" w:eastAsia="zh-CN"/>
                      <w14:textFill>
                        <w14:solidFill>
                          <w14:schemeClr w14:val="tx1"/>
                        </w14:solidFill>
                      </w14:textFill>
                    </w:rPr>
                    <w:t>03</w:t>
                  </w:r>
                  <w:r>
                    <w:rPr>
                      <w:rFonts w:hint="eastAsia"/>
                      <w:color w:val="000000" w:themeColor="text1"/>
                      <w:sz w:val="21"/>
                      <w:szCs w:val="21"/>
                      <w:highlight w:val="none"/>
                      <w14:textFill>
                        <w14:solidFill>
                          <w14:schemeClr w14:val="tx1"/>
                        </w14:solidFill>
                      </w14:textFill>
                    </w:rPr>
                    <w:t>-S</w:t>
                  </w:r>
                  <w:r>
                    <w:rPr>
                      <w:rFonts w:hint="eastAsia"/>
                      <w:color w:val="000000" w:themeColor="text1"/>
                      <w:sz w:val="21"/>
                      <w:szCs w:val="21"/>
                      <w:highlight w:val="none"/>
                      <w:lang w:val="en-US" w:eastAsia="zh-CN"/>
                      <w14:textFill>
                        <w14:solidFill>
                          <w14:schemeClr w14:val="tx1"/>
                        </w14:solidFill>
                      </w14:textFill>
                    </w:rPr>
                    <w:t>17</w:t>
                  </w:r>
                </w:p>
              </w:tc>
              <w:tc>
                <w:tcPr>
                  <w:tcW w:w="380" w:type="pct"/>
                  <w:shd w:val="clear" w:color="auto" w:fill="auto"/>
                  <w:vAlign w:val="center"/>
                </w:tcPr>
                <w:p w14:paraId="6996E5D3">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443" w:type="pct"/>
                  <w:shd w:val="clear" w:color="auto" w:fill="auto"/>
                  <w:vAlign w:val="center"/>
                </w:tcPr>
                <w:p w14:paraId="0702EADE">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袋装</w:t>
                  </w:r>
                </w:p>
              </w:tc>
              <w:tc>
                <w:tcPr>
                  <w:tcW w:w="660" w:type="pct"/>
                  <w:vMerge w:val="restart"/>
                  <w:shd w:val="clear" w:color="auto" w:fill="auto"/>
                  <w:vAlign w:val="center"/>
                </w:tcPr>
                <w:p w14:paraId="16BD4AC6">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外售给回收企业综合利用</w:t>
                  </w:r>
                </w:p>
              </w:tc>
            </w:tr>
            <w:tr w14:paraId="606C3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3" w:type="pct"/>
                  <w:shd w:val="clear" w:color="auto" w:fill="auto"/>
                  <w:vAlign w:val="center"/>
                </w:tcPr>
                <w:p w14:paraId="36B186A3">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389" w:type="pct"/>
                  <w:shd w:val="clear" w:color="auto" w:fill="auto"/>
                  <w:vAlign w:val="center"/>
                </w:tcPr>
                <w:p w14:paraId="2E505FC3">
                  <w:pPr>
                    <w:jc w:val="center"/>
                    <w:rPr>
                      <w:rFonts w:hint="default" w:eastAsia="宋体" w:cs="宋体"/>
                      <w:color w:val="000000" w:themeColor="text1"/>
                      <w:sz w:val="21"/>
                      <w:szCs w:val="21"/>
                      <w:highlight w:val="none"/>
                      <w:lang w:val="en-US" w:eastAsia="zh-CN"/>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废包装材料</w:t>
                  </w:r>
                </w:p>
              </w:tc>
              <w:tc>
                <w:tcPr>
                  <w:tcW w:w="340" w:type="pct"/>
                  <w:shd w:val="clear" w:color="auto" w:fill="auto"/>
                  <w:vAlign w:val="center"/>
                </w:tcPr>
                <w:p w14:paraId="34C561F1">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包装工序</w:t>
                  </w:r>
                </w:p>
              </w:tc>
              <w:tc>
                <w:tcPr>
                  <w:tcW w:w="332" w:type="pct"/>
                  <w:shd w:val="clear" w:color="auto" w:fill="auto"/>
                  <w:vAlign w:val="center"/>
                </w:tcPr>
                <w:p w14:paraId="5A419D22">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固态</w:t>
                  </w:r>
                </w:p>
              </w:tc>
              <w:tc>
                <w:tcPr>
                  <w:tcW w:w="472" w:type="pct"/>
                  <w:shd w:val="clear" w:color="auto" w:fill="auto"/>
                  <w:vAlign w:val="center"/>
                </w:tcPr>
                <w:p w14:paraId="0CA2D2B2">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废纸</w:t>
                  </w:r>
                </w:p>
              </w:tc>
              <w:tc>
                <w:tcPr>
                  <w:tcW w:w="440" w:type="pct"/>
                  <w:shd w:val="clear" w:color="auto" w:fill="auto"/>
                  <w:vAlign w:val="center"/>
                </w:tcPr>
                <w:p w14:paraId="0496DC17">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463" w:type="pct"/>
                  <w:shd w:val="clear" w:color="auto" w:fill="auto"/>
                  <w:vAlign w:val="center"/>
                </w:tcPr>
                <w:p w14:paraId="51000C7B">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一般工业固废</w:t>
                  </w:r>
                </w:p>
              </w:tc>
              <w:tc>
                <w:tcPr>
                  <w:tcW w:w="444" w:type="pct"/>
                  <w:shd w:val="clear" w:color="auto" w:fill="auto"/>
                  <w:vAlign w:val="center"/>
                </w:tcPr>
                <w:p w14:paraId="370739D8">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S</w:t>
                  </w:r>
                  <w:r>
                    <w:rPr>
                      <w:rFonts w:hint="eastAsia"/>
                      <w:color w:val="000000" w:themeColor="text1"/>
                      <w:sz w:val="21"/>
                      <w:szCs w:val="21"/>
                      <w:highlight w:val="none"/>
                      <w:lang w:val="en-US" w:eastAsia="zh-CN"/>
                      <w14:textFill>
                        <w14:solidFill>
                          <w14:schemeClr w14:val="tx1"/>
                        </w14:solidFill>
                      </w14:textFill>
                    </w:rPr>
                    <w:t>W17</w:t>
                  </w:r>
                </w:p>
              </w:tc>
              <w:tc>
                <w:tcPr>
                  <w:tcW w:w="498" w:type="pct"/>
                  <w:shd w:val="clear" w:color="auto" w:fill="auto"/>
                  <w:vAlign w:val="center"/>
                </w:tcPr>
                <w:p w14:paraId="21FC719F">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900-0</w:t>
                  </w:r>
                  <w:r>
                    <w:rPr>
                      <w:rFonts w:hint="eastAsia"/>
                      <w:color w:val="000000" w:themeColor="text1"/>
                      <w:sz w:val="21"/>
                      <w:szCs w:val="21"/>
                      <w:highlight w:val="none"/>
                      <w:lang w:val="en-US" w:eastAsia="zh-CN"/>
                      <w14:textFill>
                        <w14:solidFill>
                          <w14:schemeClr w14:val="tx1"/>
                        </w14:solidFill>
                      </w14:textFill>
                    </w:rPr>
                    <w:t>05</w:t>
                  </w:r>
                  <w:r>
                    <w:rPr>
                      <w:rFonts w:hint="eastAsia"/>
                      <w:color w:val="000000" w:themeColor="text1"/>
                      <w:sz w:val="21"/>
                      <w:szCs w:val="21"/>
                      <w:highlight w:val="none"/>
                      <w14:textFill>
                        <w14:solidFill>
                          <w14:schemeClr w14:val="tx1"/>
                        </w14:solidFill>
                      </w14:textFill>
                    </w:rPr>
                    <w:t>-S</w:t>
                  </w:r>
                  <w:r>
                    <w:rPr>
                      <w:rFonts w:hint="eastAsia"/>
                      <w:color w:val="000000" w:themeColor="text1"/>
                      <w:sz w:val="21"/>
                      <w:szCs w:val="21"/>
                      <w:highlight w:val="none"/>
                      <w:lang w:val="en-US" w:eastAsia="zh-CN"/>
                      <w14:textFill>
                        <w14:solidFill>
                          <w14:schemeClr w14:val="tx1"/>
                        </w14:solidFill>
                      </w14:textFill>
                    </w:rPr>
                    <w:t>17</w:t>
                  </w:r>
                </w:p>
              </w:tc>
              <w:tc>
                <w:tcPr>
                  <w:tcW w:w="380" w:type="pct"/>
                  <w:shd w:val="clear" w:color="auto" w:fill="auto"/>
                  <w:vAlign w:val="center"/>
                </w:tcPr>
                <w:p w14:paraId="4D7E69C8">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w:t>
                  </w:r>
                </w:p>
              </w:tc>
              <w:tc>
                <w:tcPr>
                  <w:tcW w:w="443" w:type="pct"/>
                  <w:shd w:val="clear" w:color="auto" w:fill="auto"/>
                  <w:vAlign w:val="center"/>
                </w:tcPr>
                <w:p w14:paraId="3A640318">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袋装</w:t>
                  </w:r>
                </w:p>
              </w:tc>
              <w:tc>
                <w:tcPr>
                  <w:tcW w:w="660" w:type="pct"/>
                  <w:vMerge w:val="continue"/>
                  <w:shd w:val="clear" w:color="auto" w:fill="auto"/>
                  <w:vAlign w:val="center"/>
                </w:tcPr>
                <w:p w14:paraId="2DE647FE">
                  <w:pPr>
                    <w:jc w:val="center"/>
                    <w:rPr>
                      <w:color w:val="000000" w:themeColor="text1"/>
                      <w:sz w:val="21"/>
                      <w:szCs w:val="21"/>
                      <w:highlight w:val="none"/>
                      <w14:textFill>
                        <w14:solidFill>
                          <w14:schemeClr w14:val="tx1"/>
                        </w14:solidFill>
                      </w14:textFill>
                    </w:rPr>
                  </w:pPr>
                </w:p>
              </w:tc>
            </w:tr>
            <w:tr w14:paraId="4BEF6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3" w:type="pct"/>
                  <w:shd w:val="clear" w:color="auto" w:fill="auto"/>
                  <w:vAlign w:val="center"/>
                </w:tcPr>
                <w:p w14:paraId="6418C101">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w:t>
                  </w:r>
                </w:p>
              </w:tc>
              <w:tc>
                <w:tcPr>
                  <w:tcW w:w="389" w:type="pct"/>
                  <w:shd w:val="clear" w:color="auto" w:fill="auto"/>
                  <w:vAlign w:val="center"/>
                </w:tcPr>
                <w:p w14:paraId="3E3654F4">
                  <w:pPr>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废润滑油</w:t>
                  </w:r>
                </w:p>
              </w:tc>
              <w:tc>
                <w:tcPr>
                  <w:tcW w:w="340" w:type="pct"/>
                  <w:shd w:val="clear" w:color="auto" w:fill="auto"/>
                  <w:vAlign w:val="center"/>
                </w:tcPr>
                <w:p w14:paraId="6E085C98">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设备维修</w:t>
                  </w:r>
                </w:p>
              </w:tc>
              <w:tc>
                <w:tcPr>
                  <w:tcW w:w="332" w:type="pct"/>
                  <w:shd w:val="clear" w:color="auto" w:fill="auto"/>
                  <w:vAlign w:val="center"/>
                </w:tcPr>
                <w:p w14:paraId="34A5AB17">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液态</w:t>
                  </w:r>
                </w:p>
              </w:tc>
              <w:tc>
                <w:tcPr>
                  <w:tcW w:w="472" w:type="pct"/>
                  <w:shd w:val="clear" w:color="auto" w:fill="auto"/>
                  <w:vAlign w:val="center"/>
                </w:tcPr>
                <w:p w14:paraId="25B88D6B">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油类物质</w:t>
                  </w:r>
                </w:p>
              </w:tc>
              <w:tc>
                <w:tcPr>
                  <w:tcW w:w="440" w:type="pct"/>
                  <w:shd w:val="clear" w:color="auto" w:fill="auto"/>
                  <w:vAlign w:val="center"/>
                </w:tcPr>
                <w:p w14:paraId="52ADC06F">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463" w:type="pct"/>
                  <w:shd w:val="clear" w:color="auto" w:fill="auto"/>
                  <w:vAlign w:val="center"/>
                </w:tcPr>
                <w:p w14:paraId="73213A6C">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危废</w:t>
                  </w:r>
                </w:p>
              </w:tc>
              <w:tc>
                <w:tcPr>
                  <w:tcW w:w="444" w:type="pct"/>
                  <w:shd w:val="clear" w:color="auto" w:fill="auto"/>
                  <w:vAlign w:val="center"/>
                </w:tcPr>
                <w:p w14:paraId="6AFA6AB4">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498" w:type="pct"/>
                  <w:shd w:val="clear" w:color="auto" w:fill="auto"/>
                  <w:vAlign w:val="center"/>
                </w:tcPr>
                <w:p w14:paraId="5279953C">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900-</w:t>
                  </w:r>
                  <w:r>
                    <w:rPr>
                      <w:rFonts w:hint="eastAsia"/>
                      <w:color w:val="000000" w:themeColor="text1"/>
                      <w:sz w:val="21"/>
                      <w:szCs w:val="21"/>
                      <w:highlight w:val="none"/>
                      <w:lang w:val="en-US" w:eastAsia="zh-CN"/>
                      <w14:textFill>
                        <w14:solidFill>
                          <w14:schemeClr w14:val="tx1"/>
                        </w14:solidFill>
                      </w14:textFill>
                    </w:rPr>
                    <w:t>214</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08</w:t>
                  </w:r>
                </w:p>
              </w:tc>
              <w:tc>
                <w:tcPr>
                  <w:tcW w:w="380" w:type="pct"/>
                  <w:shd w:val="clear" w:color="auto" w:fill="auto"/>
                  <w:vAlign w:val="center"/>
                </w:tcPr>
                <w:p w14:paraId="1EFF095D">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T/I</w:t>
                  </w:r>
                </w:p>
              </w:tc>
              <w:tc>
                <w:tcPr>
                  <w:tcW w:w="443" w:type="pct"/>
                  <w:shd w:val="clear" w:color="auto" w:fill="auto"/>
                  <w:vAlign w:val="center"/>
                </w:tcPr>
                <w:p w14:paraId="6710F38D">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桶装</w:t>
                  </w:r>
                </w:p>
              </w:tc>
              <w:tc>
                <w:tcPr>
                  <w:tcW w:w="660" w:type="pct"/>
                  <w:vMerge w:val="restart"/>
                  <w:shd w:val="clear" w:color="auto" w:fill="auto"/>
                  <w:vAlign w:val="center"/>
                </w:tcPr>
                <w:p w14:paraId="2703F025">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暂存于危废暂存间，委托有资质的单位处置</w:t>
                  </w:r>
                </w:p>
              </w:tc>
            </w:tr>
            <w:tr w14:paraId="5AE9B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33" w:type="pct"/>
                  <w:shd w:val="clear" w:color="auto" w:fill="auto"/>
                  <w:vAlign w:val="center"/>
                </w:tcPr>
                <w:p w14:paraId="37F3872B">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4</w:t>
                  </w:r>
                </w:p>
              </w:tc>
              <w:tc>
                <w:tcPr>
                  <w:tcW w:w="389" w:type="pct"/>
                  <w:shd w:val="clear" w:color="auto" w:fill="auto"/>
                  <w:vAlign w:val="center"/>
                </w:tcPr>
                <w:p w14:paraId="5CF09FE3">
                  <w:pPr>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废油桶</w:t>
                  </w:r>
                </w:p>
              </w:tc>
              <w:tc>
                <w:tcPr>
                  <w:tcW w:w="340" w:type="pct"/>
                  <w:shd w:val="clear" w:color="auto" w:fill="auto"/>
                  <w:vAlign w:val="center"/>
                </w:tcPr>
                <w:p w14:paraId="3FC042E8">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设备维修</w:t>
                  </w:r>
                </w:p>
              </w:tc>
              <w:tc>
                <w:tcPr>
                  <w:tcW w:w="332" w:type="pct"/>
                  <w:shd w:val="clear" w:color="auto" w:fill="auto"/>
                  <w:vAlign w:val="center"/>
                </w:tcPr>
                <w:p w14:paraId="45A1007A">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固态</w:t>
                  </w:r>
                </w:p>
              </w:tc>
              <w:tc>
                <w:tcPr>
                  <w:tcW w:w="472" w:type="pct"/>
                  <w:shd w:val="clear" w:color="auto" w:fill="auto"/>
                  <w:vAlign w:val="center"/>
                </w:tcPr>
                <w:p w14:paraId="1D6E7F67">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油类物质</w:t>
                  </w:r>
                </w:p>
              </w:tc>
              <w:tc>
                <w:tcPr>
                  <w:tcW w:w="440" w:type="pct"/>
                  <w:shd w:val="clear" w:color="auto" w:fill="auto"/>
                  <w:vAlign w:val="center"/>
                </w:tcPr>
                <w:p w14:paraId="40EA80D1">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463" w:type="pct"/>
                  <w:shd w:val="clear" w:color="auto" w:fill="auto"/>
                  <w:vAlign w:val="center"/>
                </w:tcPr>
                <w:p w14:paraId="6508E80C">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危废</w:t>
                  </w:r>
                </w:p>
              </w:tc>
              <w:tc>
                <w:tcPr>
                  <w:tcW w:w="444" w:type="pct"/>
                  <w:shd w:val="clear" w:color="auto" w:fill="auto"/>
                  <w:vAlign w:val="center"/>
                </w:tcPr>
                <w:p w14:paraId="13AD6721">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498" w:type="pct"/>
                  <w:shd w:val="clear" w:color="auto" w:fill="auto"/>
                  <w:vAlign w:val="center"/>
                </w:tcPr>
                <w:p w14:paraId="34D110B8">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900-</w:t>
                  </w:r>
                  <w:r>
                    <w:rPr>
                      <w:rFonts w:hint="eastAsia"/>
                      <w:color w:val="000000" w:themeColor="text1"/>
                      <w:sz w:val="21"/>
                      <w:szCs w:val="21"/>
                      <w:highlight w:val="none"/>
                      <w:lang w:val="en-US" w:eastAsia="zh-CN"/>
                      <w14:textFill>
                        <w14:solidFill>
                          <w14:schemeClr w14:val="tx1"/>
                        </w14:solidFill>
                      </w14:textFill>
                    </w:rPr>
                    <w:t>249</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08</w:t>
                  </w:r>
                </w:p>
              </w:tc>
              <w:tc>
                <w:tcPr>
                  <w:tcW w:w="380" w:type="pct"/>
                  <w:shd w:val="clear" w:color="auto" w:fill="auto"/>
                  <w:vAlign w:val="center"/>
                </w:tcPr>
                <w:p w14:paraId="77AEFFCA">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T/I</w:t>
                  </w:r>
                </w:p>
              </w:tc>
              <w:tc>
                <w:tcPr>
                  <w:tcW w:w="443" w:type="pct"/>
                  <w:shd w:val="clear" w:color="auto" w:fill="auto"/>
                  <w:vAlign w:val="center"/>
                </w:tcPr>
                <w:p w14:paraId="0B3CB967">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桶装</w:t>
                  </w:r>
                </w:p>
              </w:tc>
              <w:tc>
                <w:tcPr>
                  <w:tcW w:w="660" w:type="pct"/>
                  <w:vMerge w:val="continue"/>
                  <w:shd w:val="clear" w:color="auto" w:fill="auto"/>
                  <w:vAlign w:val="center"/>
                </w:tcPr>
                <w:p w14:paraId="7E6116F3">
                  <w:pPr>
                    <w:jc w:val="center"/>
                    <w:rPr>
                      <w:color w:val="000000" w:themeColor="text1"/>
                      <w:sz w:val="21"/>
                      <w:szCs w:val="21"/>
                      <w:highlight w:val="none"/>
                      <w14:textFill>
                        <w14:solidFill>
                          <w14:schemeClr w14:val="tx1"/>
                        </w14:solidFill>
                      </w14:textFill>
                    </w:rPr>
                  </w:pPr>
                </w:p>
              </w:tc>
            </w:tr>
            <w:tr w14:paraId="1BF6D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133" w:type="pct"/>
                  <w:shd w:val="clear" w:color="auto" w:fill="auto"/>
                  <w:vAlign w:val="center"/>
                </w:tcPr>
                <w:p w14:paraId="0FDE1A89">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w:t>
                  </w:r>
                </w:p>
              </w:tc>
              <w:tc>
                <w:tcPr>
                  <w:tcW w:w="389" w:type="pct"/>
                  <w:shd w:val="clear" w:color="auto" w:fill="auto"/>
                  <w:vAlign w:val="center"/>
                </w:tcPr>
                <w:p w14:paraId="18EA9653">
                  <w:pPr>
                    <w:jc w:val="center"/>
                    <w:rPr>
                      <w:rFonts w:hint="default" w:eastAsia="宋体" w:cs="宋体"/>
                      <w:color w:val="000000" w:themeColor="text1"/>
                      <w:sz w:val="21"/>
                      <w:szCs w:val="21"/>
                      <w:highlight w:val="none"/>
                      <w:lang w:val="en-US" w:eastAsia="zh-CN"/>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废活性炭</w:t>
                  </w:r>
                </w:p>
              </w:tc>
              <w:tc>
                <w:tcPr>
                  <w:tcW w:w="340" w:type="pct"/>
                  <w:shd w:val="clear" w:color="auto" w:fill="auto"/>
                  <w:vAlign w:val="center"/>
                </w:tcPr>
                <w:p w14:paraId="7AB2E1E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废气治理</w:t>
                  </w:r>
                </w:p>
              </w:tc>
              <w:tc>
                <w:tcPr>
                  <w:tcW w:w="332" w:type="pct"/>
                  <w:shd w:val="clear" w:color="auto" w:fill="auto"/>
                  <w:vAlign w:val="center"/>
                </w:tcPr>
                <w:p w14:paraId="43670E30">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液态</w:t>
                  </w:r>
                </w:p>
              </w:tc>
              <w:tc>
                <w:tcPr>
                  <w:tcW w:w="472" w:type="pct"/>
                  <w:shd w:val="clear" w:color="auto" w:fill="auto"/>
                  <w:vAlign w:val="center"/>
                </w:tcPr>
                <w:p w14:paraId="48AB9EA7">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挥发性有机物</w:t>
                  </w:r>
                </w:p>
              </w:tc>
              <w:tc>
                <w:tcPr>
                  <w:tcW w:w="440" w:type="pct"/>
                  <w:shd w:val="clear" w:color="auto" w:fill="auto"/>
                  <w:vAlign w:val="center"/>
                </w:tcPr>
                <w:p w14:paraId="7C08A1DB">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2.126</w:t>
                  </w:r>
                </w:p>
              </w:tc>
              <w:tc>
                <w:tcPr>
                  <w:tcW w:w="463" w:type="pct"/>
                  <w:shd w:val="clear" w:color="auto" w:fill="auto"/>
                  <w:vAlign w:val="center"/>
                </w:tcPr>
                <w:p w14:paraId="2E5481AA">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危废</w:t>
                  </w:r>
                </w:p>
              </w:tc>
              <w:tc>
                <w:tcPr>
                  <w:tcW w:w="444" w:type="pct"/>
                  <w:shd w:val="clear" w:color="auto" w:fill="auto"/>
                  <w:vAlign w:val="center"/>
                </w:tcPr>
                <w:p w14:paraId="4F504D6C">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w:t>
                  </w:r>
                  <w:r>
                    <w:rPr>
                      <w:rFonts w:hint="eastAsia"/>
                      <w:color w:val="000000" w:themeColor="text1"/>
                      <w:sz w:val="21"/>
                      <w:szCs w:val="21"/>
                      <w:highlight w:val="none"/>
                      <w14:textFill>
                        <w14:solidFill>
                          <w14:schemeClr w14:val="tx1"/>
                        </w14:solidFill>
                      </w14:textFill>
                    </w:rPr>
                    <w:t>49</w:t>
                  </w:r>
                </w:p>
              </w:tc>
              <w:tc>
                <w:tcPr>
                  <w:tcW w:w="498" w:type="pct"/>
                  <w:shd w:val="clear" w:color="auto" w:fill="auto"/>
                  <w:vAlign w:val="center"/>
                </w:tcPr>
                <w:p w14:paraId="5C447ABD">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900-0</w:t>
                  </w:r>
                  <w:r>
                    <w:rPr>
                      <w:rFonts w:hint="eastAsia"/>
                      <w:color w:val="000000" w:themeColor="text1"/>
                      <w:sz w:val="21"/>
                      <w:szCs w:val="21"/>
                      <w:highlight w:val="none"/>
                      <w:lang w:val="en-US" w:eastAsia="zh-CN"/>
                      <w14:textFill>
                        <w14:solidFill>
                          <w14:schemeClr w14:val="tx1"/>
                        </w14:solidFill>
                      </w14:textFill>
                    </w:rPr>
                    <w:t>39</w:t>
                  </w:r>
                  <w:r>
                    <w:rPr>
                      <w:rFonts w:hint="eastAsia"/>
                      <w:color w:val="000000" w:themeColor="text1"/>
                      <w:sz w:val="21"/>
                      <w:szCs w:val="21"/>
                      <w:highlight w:val="none"/>
                      <w14:textFill>
                        <w14:solidFill>
                          <w14:schemeClr w14:val="tx1"/>
                        </w14:solidFill>
                      </w14:textFill>
                    </w:rPr>
                    <w:t>-49</w:t>
                  </w:r>
                </w:p>
              </w:tc>
              <w:tc>
                <w:tcPr>
                  <w:tcW w:w="380" w:type="pct"/>
                  <w:shd w:val="clear" w:color="auto" w:fill="auto"/>
                  <w:vAlign w:val="center"/>
                </w:tcPr>
                <w:p w14:paraId="28CC3B5D">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T</w:t>
                  </w:r>
                </w:p>
              </w:tc>
              <w:tc>
                <w:tcPr>
                  <w:tcW w:w="443" w:type="pct"/>
                  <w:shd w:val="clear" w:color="auto" w:fill="auto"/>
                  <w:vAlign w:val="center"/>
                </w:tcPr>
                <w:p w14:paraId="2AEDA38D">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袋装</w:t>
                  </w:r>
                </w:p>
              </w:tc>
              <w:tc>
                <w:tcPr>
                  <w:tcW w:w="660" w:type="pct"/>
                  <w:vMerge w:val="continue"/>
                  <w:shd w:val="clear" w:color="auto" w:fill="auto"/>
                  <w:vAlign w:val="center"/>
                </w:tcPr>
                <w:p w14:paraId="630A4889">
                  <w:pPr>
                    <w:jc w:val="center"/>
                    <w:rPr>
                      <w:color w:val="000000" w:themeColor="text1"/>
                      <w:sz w:val="21"/>
                      <w:szCs w:val="21"/>
                      <w:highlight w:val="none"/>
                      <w14:textFill>
                        <w14:solidFill>
                          <w14:schemeClr w14:val="tx1"/>
                        </w14:solidFill>
                      </w14:textFill>
                    </w:rPr>
                  </w:pPr>
                </w:p>
              </w:tc>
            </w:tr>
          </w:tbl>
          <w:p w14:paraId="65C22560">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4.4.2固废贮存场所要求</w:t>
            </w:r>
          </w:p>
          <w:p w14:paraId="02FC7FA6">
            <w:pPr>
              <w:pStyle w:val="66"/>
              <w:ind w:firstLine="420"/>
              <w:rPr>
                <w:rFonts w:hint="eastAsia" w:ascii="宋体" w:hAnsi="宋体"/>
                <w:color w:val="000000" w:themeColor="text1"/>
                <w:sz w:val="24"/>
                <w:szCs w:val="32"/>
                <w:highlight w:val="none"/>
                <w:lang w:val="en-US" w:eastAsia="zh-CN"/>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本项目的危险废物</w:t>
            </w:r>
            <w:r>
              <w:rPr>
                <w:rFonts w:hint="eastAsia" w:ascii="宋体" w:hAnsi="宋体"/>
                <w:color w:val="000000" w:themeColor="text1"/>
                <w:sz w:val="24"/>
                <w:szCs w:val="32"/>
                <w:highlight w:val="none"/>
                <w14:textFill>
                  <w14:solidFill>
                    <w14:schemeClr w14:val="tx1"/>
                  </w14:solidFill>
                </w14:textFill>
              </w:rPr>
              <w:t>贮存设施应</w:t>
            </w:r>
            <w:r>
              <w:rPr>
                <w:rFonts w:ascii="宋体" w:hAnsi="宋体"/>
                <w:color w:val="000000" w:themeColor="text1"/>
                <w:sz w:val="24"/>
                <w:szCs w:val="32"/>
                <w:highlight w:val="none"/>
                <w14:textFill>
                  <w14:solidFill>
                    <w14:schemeClr w14:val="tx1"/>
                  </w14:solidFill>
                </w14:textFill>
              </w:rPr>
              <w:t>按照《危险废物贮存污染控制标准》（</w:t>
            </w:r>
            <w:r>
              <w:rPr>
                <w:color w:val="000000" w:themeColor="text1"/>
                <w:sz w:val="24"/>
                <w:szCs w:val="32"/>
                <w:highlight w:val="none"/>
                <w14:textFill>
                  <w14:solidFill>
                    <w14:schemeClr w14:val="tx1"/>
                  </w14:solidFill>
                </w14:textFill>
              </w:rPr>
              <w:t>GB18597-20</w:t>
            </w:r>
            <w:r>
              <w:rPr>
                <w:rFonts w:hint="eastAsia"/>
                <w:color w:val="000000" w:themeColor="text1"/>
                <w:sz w:val="24"/>
                <w:szCs w:val="32"/>
                <w:highlight w:val="none"/>
                <w14:textFill>
                  <w14:solidFill>
                    <w14:schemeClr w14:val="tx1"/>
                  </w14:solidFill>
                </w14:textFill>
              </w:rPr>
              <w:t>23</w:t>
            </w:r>
            <w:r>
              <w:rPr>
                <w:rFonts w:ascii="宋体" w:hAnsi="宋体"/>
                <w:color w:val="000000" w:themeColor="text1"/>
                <w:sz w:val="24"/>
                <w:szCs w:val="32"/>
                <w:highlight w:val="none"/>
                <w14:textFill>
                  <w14:solidFill>
                    <w14:schemeClr w14:val="tx1"/>
                  </w14:solidFill>
                </w14:textFill>
              </w:rPr>
              <w:t>）</w:t>
            </w:r>
            <w:r>
              <w:rPr>
                <w:rFonts w:hint="eastAsia" w:ascii="宋体" w:hAnsi="宋体"/>
                <w:color w:val="000000" w:themeColor="text1"/>
                <w:sz w:val="24"/>
                <w:szCs w:val="32"/>
                <w:highlight w:val="none"/>
                <w:lang w:eastAsia="zh-CN"/>
                <w14:textFill>
                  <w14:solidFill>
                    <w14:schemeClr w14:val="tx1"/>
                  </w14:solidFill>
                </w14:textFill>
              </w:rPr>
              <w:t>、《建设项目危险废物环境影响评价指南》</w:t>
            </w:r>
            <w:r>
              <w:rPr>
                <w:rFonts w:ascii="宋体" w:hAnsi="宋体"/>
                <w:color w:val="000000" w:themeColor="text1"/>
                <w:sz w:val="24"/>
                <w:szCs w:val="32"/>
                <w:highlight w:val="none"/>
                <w14:textFill>
                  <w14:solidFill>
                    <w14:schemeClr w14:val="tx1"/>
                  </w14:solidFill>
                </w14:textFill>
              </w:rPr>
              <w:t>的要求进行建设，一般工业固废暂存场按照《一般工业固体废物贮存、处置场污染控制标准》</w:t>
            </w:r>
            <w:r>
              <w:rPr>
                <w:rFonts w:hint="eastAsia" w:ascii="宋体" w:hAnsi="宋体"/>
                <w:color w:val="000000" w:themeColor="text1"/>
                <w:sz w:val="24"/>
                <w:szCs w:val="32"/>
                <w:highlight w:val="none"/>
                <w14:textFill>
                  <w14:solidFill>
                    <w14:schemeClr w14:val="tx1"/>
                  </w14:solidFill>
                </w14:textFill>
              </w:rPr>
              <w:t>（</w:t>
            </w:r>
            <w:r>
              <w:rPr>
                <w:color w:val="000000" w:themeColor="text1"/>
                <w:sz w:val="24"/>
                <w:szCs w:val="32"/>
                <w:highlight w:val="none"/>
                <w14:textFill>
                  <w14:solidFill>
                    <w14:schemeClr w14:val="tx1"/>
                  </w14:solidFill>
                </w14:textFill>
              </w:rPr>
              <w:t>GB18599-2020</w:t>
            </w:r>
            <w:r>
              <w:rPr>
                <w:rFonts w:hint="eastAsia" w:ascii="宋体" w:hAnsi="宋体"/>
                <w:color w:val="000000" w:themeColor="text1"/>
                <w:sz w:val="24"/>
                <w:szCs w:val="32"/>
                <w:highlight w:val="none"/>
                <w14:textFill>
                  <w14:solidFill>
                    <w14:schemeClr w14:val="tx1"/>
                  </w14:solidFill>
                </w14:textFill>
              </w:rPr>
              <w:t>）</w:t>
            </w:r>
            <w:r>
              <w:rPr>
                <w:rFonts w:ascii="宋体" w:hAnsi="宋体"/>
                <w:color w:val="000000" w:themeColor="text1"/>
                <w:sz w:val="24"/>
                <w:szCs w:val="32"/>
                <w:highlight w:val="none"/>
                <w14:textFill>
                  <w14:solidFill>
                    <w14:schemeClr w14:val="tx1"/>
                  </w14:solidFill>
                </w14:textFill>
              </w:rPr>
              <w:t>的要求进行建设。危废暂存场配套了防流失设施</w:t>
            </w:r>
            <w:r>
              <w:rPr>
                <w:rFonts w:hint="eastAsia" w:ascii="宋体" w:hAnsi="宋体"/>
                <w:color w:val="000000" w:themeColor="text1"/>
                <w:sz w:val="24"/>
                <w:szCs w:val="32"/>
                <w:highlight w:val="none"/>
                <w14:textFill>
                  <w14:solidFill>
                    <w14:schemeClr w14:val="tx1"/>
                  </w14:solidFill>
                </w14:textFill>
              </w:rPr>
              <w:t>后</w:t>
            </w:r>
            <w:r>
              <w:rPr>
                <w:rFonts w:ascii="宋体" w:hAnsi="宋体"/>
                <w:color w:val="000000" w:themeColor="text1"/>
                <w:sz w:val="24"/>
                <w:szCs w:val="32"/>
                <w:highlight w:val="none"/>
                <w14:textFill>
                  <w14:solidFill>
                    <w14:schemeClr w14:val="tx1"/>
                  </w14:solidFill>
                </w14:textFill>
              </w:rPr>
              <w:t>，很难对水环境产生不利影响。同时危险废物贮存</w:t>
            </w:r>
            <w:r>
              <w:rPr>
                <w:rFonts w:hint="eastAsia" w:ascii="宋体" w:hAnsi="宋体"/>
                <w:color w:val="000000" w:themeColor="text1"/>
                <w:sz w:val="24"/>
                <w:szCs w:val="32"/>
                <w:highlight w:val="none"/>
                <w14:textFill>
                  <w14:solidFill>
                    <w14:schemeClr w14:val="tx1"/>
                  </w14:solidFill>
                </w14:textFill>
              </w:rPr>
              <w:t>库应</w:t>
            </w:r>
            <w:r>
              <w:rPr>
                <w:rFonts w:ascii="宋体" w:hAnsi="宋体"/>
                <w:color w:val="000000" w:themeColor="text1"/>
                <w:sz w:val="24"/>
                <w:szCs w:val="32"/>
                <w:highlight w:val="none"/>
                <w14:textFill>
                  <w14:solidFill>
                    <w14:schemeClr w14:val="tx1"/>
                  </w14:solidFill>
                </w14:textFill>
              </w:rPr>
              <w:t>按照《危险废物贮存污染控制标准》的要求进行防渗建设，</w:t>
            </w:r>
            <w:r>
              <w:rPr>
                <w:rFonts w:hint="eastAsia" w:ascii="宋体" w:hAnsi="宋体"/>
                <w:color w:val="000000" w:themeColor="text1"/>
                <w:sz w:val="24"/>
                <w:szCs w:val="32"/>
                <w:highlight w:val="none"/>
                <w14:textFill>
                  <w14:solidFill>
                    <w14:schemeClr w14:val="tx1"/>
                  </w14:solidFill>
                </w14:textFill>
              </w:rPr>
              <w:t>落实防腐防渗措施后，</w:t>
            </w:r>
            <w:r>
              <w:rPr>
                <w:rFonts w:hint="eastAsia" w:ascii="宋体" w:hAnsi="宋体"/>
                <w:color w:val="000000" w:themeColor="text1"/>
                <w:sz w:val="24"/>
                <w:szCs w:val="32"/>
                <w:highlight w:val="none"/>
                <w:lang w:val="en-US" w:eastAsia="zh-CN"/>
                <w14:textFill>
                  <w14:solidFill>
                    <w14:schemeClr w14:val="tx1"/>
                  </w14:solidFill>
                </w14:textFill>
              </w:rPr>
              <w:t>不会对</w:t>
            </w:r>
            <w:r>
              <w:rPr>
                <w:rFonts w:ascii="宋体" w:hAnsi="宋体"/>
                <w:color w:val="000000" w:themeColor="text1"/>
                <w:sz w:val="24"/>
                <w:szCs w:val="32"/>
                <w:highlight w:val="none"/>
                <w14:textFill>
                  <w14:solidFill>
                    <w14:schemeClr w14:val="tx1"/>
                  </w14:solidFill>
                </w14:textFill>
              </w:rPr>
              <w:t>地下水产生不利环境影响</w:t>
            </w:r>
            <w:r>
              <w:rPr>
                <w:rFonts w:hint="eastAsia" w:ascii="宋体" w:hAnsi="宋体"/>
                <w:color w:val="000000" w:themeColor="text1"/>
                <w:sz w:val="24"/>
                <w:szCs w:val="32"/>
                <w:highlight w:val="none"/>
                <w:lang w:eastAsia="zh-CN"/>
                <w14:textFill>
                  <w14:solidFill>
                    <w14:schemeClr w14:val="tx1"/>
                  </w14:solidFill>
                </w14:textFill>
              </w:rPr>
              <w:t>。</w:t>
            </w:r>
            <w:r>
              <w:rPr>
                <w:rFonts w:hint="eastAsia" w:ascii="宋体" w:hAnsi="宋体"/>
                <w:color w:val="000000" w:themeColor="text1"/>
                <w:sz w:val="24"/>
                <w:szCs w:val="32"/>
                <w:highlight w:val="none"/>
                <w:lang w:val="en-US" w:eastAsia="zh-CN"/>
                <w14:textFill>
                  <w14:solidFill>
                    <w14:schemeClr w14:val="tx1"/>
                  </w14:solidFill>
                </w14:textFill>
              </w:rPr>
              <w:t>本项目危险废物贮存场所（设施）基本情况见下表。</w:t>
            </w:r>
          </w:p>
          <w:p w14:paraId="3BBF6B2D">
            <w:pPr>
              <w:pStyle w:val="69"/>
              <w:spacing w:line="360" w:lineRule="auto"/>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w:t>
            </w:r>
            <w:r>
              <w:rPr>
                <w:rFonts w:hint="eastAsia" w:eastAsia="宋体" w:cs="宋体"/>
                <w:b/>
                <w:color w:val="000000" w:themeColor="text1"/>
                <w:kern w:val="2"/>
                <w:sz w:val="24"/>
                <w:szCs w:val="24"/>
                <w:highlight w:val="none"/>
                <w:lang w:val="en-US" w:eastAsia="zh-CN" w:bidi="ar-SA"/>
                <w14:textFill>
                  <w14:solidFill>
                    <w14:schemeClr w14:val="tx1"/>
                  </w14:solidFill>
                </w14:textFill>
              </w:rPr>
              <w:t>4-10</w:t>
            </w: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 xml:space="preserve">  建设项目危险废物贮存场所（设施）基本情况</w:t>
            </w:r>
            <w:r>
              <w:rPr>
                <w:rFonts w:hint="eastAsia" w:eastAsia="宋体" w:cs="宋体"/>
                <w:b/>
                <w:color w:val="000000" w:themeColor="text1"/>
                <w:kern w:val="2"/>
                <w:sz w:val="24"/>
                <w:szCs w:val="24"/>
                <w:highlight w:val="none"/>
                <w:lang w:val="en-US" w:eastAsia="zh-CN" w:bidi="ar-SA"/>
                <w14:textFill>
                  <w14:solidFill>
                    <w14:schemeClr w14:val="tx1"/>
                  </w14:solidFill>
                </w14:textFill>
              </w:rPr>
              <w:t>一览表</w:t>
            </w:r>
          </w:p>
          <w:tbl>
            <w:tblPr>
              <w:tblStyle w:val="30"/>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487"/>
              <w:gridCol w:w="935"/>
              <w:gridCol w:w="975"/>
              <w:gridCol w:w="855"/>
              <w:gridCol w:w="1200"/>
              <w:gridCol w:w="840"/>
              <w:gridCol w:w="780"/>
              <w:gridCol w:w="705"/>
              <w:gridCol w:w="705"/>
              <w:gridCol w:w="769"/>
            </w:tblGrid>
            <w:tr w14:paraId="4C4478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87" w:type="dxa"/>
                  <w:noWrap w:val="0"/>
                  <w:vAlign w:val="center"/>
                </w:tcPr>
                <w:p w14:paraId="23DC5D8B">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序号</w:t>
                  </w:r>
                </w:p>
              </w:tc>
              <w:tc>
                <w:tcPr>
                  <w:tcW w:w="935" w:type="dxa"/>
                  <w:noWrap w:val="0"/>
                  <w:vAlign w:val="center"/>
                </w:tcPr>
                <w:p w14:paraId="4BA1B67B">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贮存场所（设施）名称</w:t>
                  </w:r>
                </w:p>
              </w:tc>
              <w:tc>
                <w:tcPr>
                  <w:tcW w:w="975" w:type="dxa"/>
                  <w:noWrap w:val="0"/>
                  <w:vAlign w:val="center"/>
                </w:tcPr>
                <w:p w14:paraId="0FB8C426">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危险废物名称</w:t>
                  </w:r>
                </w:p>
              </w:tc>
              <w:tc>
                <w:tcPr>
                  <w:tcW w:w="855" w:type="dxa"/>
                  <w:noWrap w:val="0"/>
                  <w:vAlign w:val="center"/>
                </w:tcPr>
                <w:p w14:paraId="46C81715">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危险废物类别</w:t>
                  </w:r>
                </w:p>
              </w:tc>
              <w:tc>
                <w:tcPr>
                  <w:tcW w:w="1200" w:type="dxa"/>
                  <w:noWrap w:val="0"/>
                  <w:vAlign w:val="center"/>
                </w:tcPr>
                <w:p w14:paraId="2DBB0AC6">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危险废物代码</w:t>
                  </w:r>
                </w:p>
              </w:tc>
              <w:tc>
                <w:tcPr>
                  <w:tcW w:w="840" w:type="dxa"/>
                  <w:noWrap w:val="0"/>
                  <w:vAlign w:val="center"/>
                </w:tcPr>
                <w:p w14:paraId="7500E161">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位置</w:t>
                  </w:r>
                </w:p>
              </w:tc>
              <w:tc>
                <w:tcPr>
                  <w:tcW w:w="780" w:type="dxa"/>
                  <w:noWrap w:val="0"/>
                  <w:vAlign w:val="center"/>
                </w:tcPr>
                <w:p w14:paraId="39A2B5C9">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占地面积</w:t>
                  </w:r>
                </w:p>
              </w:tc>
              <w:tc>
                <w:tcPr>
                  <w:tcW w:w="705" w:type="dxa"/>
                  <w:noWrap w:val="0"/>
                  <w:vAlign w:val="center"/>
                </w:tcPr>
                <w:p w14:paraId="1284D208">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贮存方式</w:t>
                  </w:r>
                </w:p>
              </w:tc>
              <w:tc>
                <w:tcPr>
                  <w:tcW w:w="705" w:type="dxa"/>
                  <w:noWrap w:val="0"/>
                  <w:vAlign w:val="center"/>
                </w:tcPr>
                <w:p w14:paraId="24ADA6C0">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贮存</w:t>
                  </w:r>
                </w:p>
                <w:p w14:paraId="5C61EA0C">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能力</w:t>
                  </w:r>
                </w:p>
              </w:tc>
              <w:tc>
                <w:tcPr>
                  <w:tcW w:w="769" w:type="dxa"/>
                  <w:noWrap w:val="0"/>
                  <w:vAlign w:val="center"/>
                </w:tcPr>
                <w:p w14:paraId="6F1B92E5">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贮存</w:t>
                  </w:r>
                </w:p>
                <w:p w14:paraId="7A91A288">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周期</w:t>
                  </w:r>
                </w:p>
              </w:tc>
            </w:tr>
            <w:tr w14:paraId="071B7C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87" w:type="dxa"/>
                  <w:vMerge w:val="restart"/>
                  <w:noWrap w:val="0"/>
                  <w:vAlign w:val="center"/>
                </w:tcPr>
                <w:p w14:paraId="25E640BF">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color w:val="000000" w:themeColor="text1"/>
                      <w:kern w:val="0"/>
                      <w:szCs w:val="21"/>
                      <w:highlight w:val="none"/>
                      <w14:textFill>
                        <w14:solidFill>
                          <w14:schemeClr w14:val="tx1"/>
                        </w14:solidFill>
                      </w14:textFill>
                    </w:rPr>
                    <w:t>1</w:t>
                  </w:r>
                </w:p>
              </w:tc>
              <w:tc>
                <w:tcPr>
                  <w:tcW w:w="935" w:type="dxa"/>
                  <w:vMerge w:val="restart"/>
                  <w:noWrap w:val="0"/>
                  <w:vAlign w:val="center"/>
                </w:tcPr>
                <w:p w14:paraId="512C8305">
                  <w:pPr>
                    <w:topLinePunct/>
                    <w:adjustRightInd w:val="0"/>
                    <w:snapToGrid w:val="0"/>
                    <w:jc w:val="cente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危废暂存间</w:t>
                  </w:r>
                </w:p>
              </w:tc>
              <w:tc>
                <w:tcPr>
                  <w:tcW w:w="975" w:type="dxa"/>
                  <w:noWrap w:val="0"/>
                  <w:vAlign w:val="center"/>
                </w:tcPr>
                <w:p w14:paraId="3981A7DA">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废润滑油</w:t>
                  </w:r>
                </w:p>
              </w:tc>
              <w:tc>
                <w:tcPr>
                  <w:tcW w:w="855" w:type="dxa"/>
                  <w:noWrap w:val="0"/>
                  <w:vAlign w:val="center"/>
                </w:tcPr>
                <w:p w14:paraId="3A8D1275">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1200" w:type="dxa"/>
                  <w:noWrap w:val="0"/>
                  <w:vAlign w:val="center"/>
                </w:tcPr>
                <w:p w14:paraId="31E26A57">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900-</w:t>
                  </w:r>
                  <w:r>
                    <w:rPr>
                      <w:rFonts w:hint="eastAsia"/>
                      <w:color w:val="000000" w:themeColor="text1"/>
                      <w:sz w:val="21"/>
                      <w:szCs w:val="21"/>
                      <w:highlight w:val="none"/>
                      <w:lang w:val="en-US" w:eastAsia="zh-CN"/>
                      <w14:textFill>
                        <w14:solidFill>
                          <w14:schemeClr w14:val="tx1"/>
                        </w14:solidFill>
                      </w14:textFill>
                    </w:rPr>
                    <w:t>214</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08</w:t>
                  </w:r>
                </w:p>
              </w:tc>
              <w:tc>
                <w:tcPr>
                  <w:tcW w:w="840" w:type="dxa"/>
                  <w:vMerge w:val="restart"/>
                  <w:noWrap w:val="0"/>
                  <w:vAlign w:val="center"/>
                </w:tcPr>
                <w:p w14:paraId="5B6FCA8E">
                  <w:pPr>
                    <w:topLinePunct/>
                    <w:adjustRightInd w:val="0"/>
                    <w:snapToGrid w:val="0"/>
                    <w:jc w:val="cente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厂房三楼东北角</w:t>
                  </w:r>
                </w:p>
              </w:tc>
              <w:tc>
                <w:tcPr>
                  <w:tcW w:w="780" w:type="dxa"/>
                  <w:vMerge w:val="restart"/>
                  <w:noWrap w:val="0"/>
                  <w:vAlign w:val="center"/>
                </w:tcPr>
                <w:p w14:paraId="29775818">
                  <w:pPr>
                    <w:topLinePunct/>
                    <w:adjustRightInd w:val="0"/>
                    <w:snapToGrid w:val="0"/>
                    <w:jc w:val="cente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8m</w:t>
                  </w:r>
                  <w:r>
                    <w:rPr>
                      <w:rFonts w:hint="eastAsia" w:ascii="Times New Roman" w:hAnsi="Times New Roman" w:eastAsia="宋体" w:cs="Times New Roman"/>
                      <w:color w:val="000000" w:themeColor="text1"/>
                      <w:kern w:val="0"/>
                      <w:szCs w:val="21"/>
                      <w:highlight w:val="none"/>
                      <w:vertAlign w:val="superscript"/>
                      <w:lang w:val="en-US" w:eastAsia="zh-CN"/>
                      <w14:textFill>
                        <w14:solidFill>
                          <w14:schemeClr w14:val="tx1"/>
                        </w14:solidFill>
                      </w14:textFill>
                    </w:rPr>
                    <w:t>2</w:t>
                  </w:r>
                </w:p>
              </w:tc>
              <w:tc>
                <w:tcPr>
                  <w:tcW w:w="705" w:type="dxa"/>
                  <w:noWrap w:val="0"/>
                  <w:vAlign w:val="center"/>
                </w:tcPr>
                <w:p w14:paraId="0034B12C">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桶装</w:t>
                  </w:r>
                </w:p>
              </w:tc>
              <w:tc>
                <w:tcPr>
                  <w:tcW w:w="705" w:type="dxa"/>
                  <w:vMerge w:val="restart"/>
                  <w:noWrap w:val="0"/>
                  <w:vAlign w:val="center"/>
                </w:tcPr>
                <w:p w14:paraId="420B4A32">
                  <w:pPr>
                    <w:topLinePunct/>
                    <w:adjustRightInd w:val="0"/>
                    <w:snapToGrid w:val="0"/>
                    <w:jc w:val="cente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8t</w:t>
                  </w:r>
                </w:p>
              </w:tc>
              <w:tc>
                <w:tcPr>
                  <w:tcW w:w="769" w:type="dxa"/>
                  <w:vMerge w:val="restart"/>
                  <w:noWrap w:val="0"/>
                  <w:vAlign w:val="center"/>
                </w:tcPr>
                <w:p w14:paraId="763D955E">
                  <w:pPr>
                    <w:topLinePunct/>
                    <w:adjustRightInd w:val="0"/>
                    <w:snapToGrid w:val="0"/>
                    <w:jc w:val="center"/>
                    <w:rPr>
                      <w:rFonts w:hint="default" w:ascii="Times New Roman" w:hAnsi="Times New Roman" w:eastAsia="宋体" w:cs="Times New Roman"/>
                      <w:color w:val="000000" w:themeColor="text1"/>
                      <w:kern w:val="0"/>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0"/>
                      <w:szCs w:val="21"/>
                      <w:highlight w:val="none"/>
                      <w:lang w:val="en-US" w:eastAsia="zh-CN"/>
                      <w14:textFill>
                        <w14:solidFill>
                          <w14:schemeClr w14:val="tx1"/>
                        </w14:solidFill>
                      </w14:textFill>
                    </w:rPr>
                    <w:t>1年</w:t>
                  </w:r>
                </w:p>
              </w:tc>
            </w:tr>
            <w:tr w14:paraId="4F97D3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87" w:type="dxa"/>
                  <w:vMerge w:val="continue"/>
                  <w:noWrap w:val="0"/>
                  <w:vAlign w:val="center"/>
                </w:tcPr>
                <w:p w14:paraId="2271A9A7">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935" w:type="dxa"/>
                  <w:vMerge w:val="continue"/>
                  <w:noWrap w:val="0"/>
                  <w:vAlign w:val="center"/>
                </w:tcPr>
                <w:p w14:paraId="6E2EA0A2">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975" w:type="dxa"/>
                  <w:noWrap w:val="0"/>
                  <w:vAlign w:val="center"/>
                </w:tcPr>
                <w:p w14:paraId="3D2AB9D0">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废油桶</w:t>
                  </w:r>
                </w:p>
              </w:tc>
              <w:tc>
                <w:tcPr>
                  <w:tcW w:w="855" w:type="dxa"/>
                  <w:noWrap w:val="0"/>
                  <w:vAlign w:val="center"/>
                </w:tcPr>
                <w:p w14:paraId="27378446">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HW08</w:t>
                  </w:r>
                </w:p>
              </w:tc>
              <w:tc>
                <w:tcPr>
                  <w:tcW w:w="1200" w:type="dxa"/>
                  <w:noWrap w:val="0"/>
                  <w:vAlign w:val="center"/>
                </w:tcPr>
                <w:p w14:paraId="3EEF1794">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900-</w:t>
                  </w:r>
                  <w:r>
                    <w:rPr>
                      <w:rFonts w:hint="eastAsia"/>
                      <w:color w:val="000000" w:themeColor="text1"/>
                      <w:sz w:val="21"/>
                      <w:szCs w:val="21"/>
                      <w:highlight w:val="none"/>
                      <w:lang w:val="en-US" w:eastAsia="zh-CN"/>
                      <w14:textFill>
                        <w14:solidFill>
                          <w14:schemeClr w14:val="tx1"/>
                        </w14:solidFill>
                      </w14:textFill>
                    </w:rPr>
                    <w:t>249</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08</w:t>
                  </w:r>
                </w:p>
              </w:tc>
              <w:tc>
                <w:tcPr>
                  <w:tcW w:w="840" w:type="dxa"/>
                  <w:vMerge w:val="continue"/>
                  <w:noWrap w:val="0"/>
                  <w:vAlign w:val="center"/>
                </w:tcPr>
                <w:p w14:paraId="208E162E">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780" w:type="dxa"/>
                  <w:vMerge w:val="continue"/>
                  <w:noWrap w:val="0"/>
                  <w:vAlign w:val="center"/>
                </w:tcPr>
                <w:p w14:paraId="4DE24AF5">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705" w:type="dxa"/>
                  <w:noWrap w:val="0"/>
                  <w:vAlign w:val="center"/>
                </w:tcPr>
                <w:p w14:paraId="0BA837EC">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堆叠</w:t>
                  </w:r>
                </w:p>
              </w:tc>
              <w:tc>
                <w:tcPr>
                  <w:tcW w:w="705" w:type="dxa"/>
                  <w:vMerge w:val="continue"/>
                  <w:noWrap w:val="0"/>
                  <w:vAlign w:val="center"/>
                </w:tcPr>
                <w:p w14:paraId="18996C07">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769" w:type="dxa"/>
                  <w:vMerge w:val="continue"/>
                  <w:noWrap w:val="0"/>
                  <w:vAlign w:val="center"/>
                </w:tcPr>
                <w:p w14:paraId="1F1E5A1F">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r>
            <w:tr w14:paraId="6EBFD5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23" w:hRule="atLeast"/>
              </w:trPr>
              <w:tc>
                <w:tcPr>
                  <w:tcW w:w="487" w:type="dxa"/>
                  <w:vMerge w:val="continue"/>
                  <w:noWrap w:val="0"/>
                  <w:vAlign w:val="center"/>
                </w:tcPr>
                <w:p w14:paraId="7CB7A05B">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935" w:type="dxa"/>
                  <w:vMerge w:val="continue"/>
                  <w:noWrap w:val="0"/>
                  <w:vAlign w:val="center"/>
                </w:tcPr>
                <w:p w14:paraId="71793DD7">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975" w:type="dxa"/>
                  <w:noWrap w:val="0"/>
                  <w:vAlign w:val="center"/>
                </w:tcPr>
                <w:p w14:paraId="6637EF14">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废活性炭</w:t>
                  </w:r>
                </w:p>
              </w:tc>
              <w:tc>
                <w:tcPr>
                  <w:tcW w:w="855" w:type="dxa"/>
                  <w:noWrap w:val="0"/>
                  <w:vAlign w:val="center"/>
                </w:tcPr>
                <w:p w14:paraId="0FAD0412">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HW</w:t>
                  </w:r>
                  <w:r>
                    <w:rPr>
                      <w:rFonts w:hint="eastAsia"/>
                      <w:color w:val="000000" w:themeColor="text1"/>
                      <w:sz w:val="21"/>
                      <w:szCs w:val="21"/>
                      <w:highlight w:val="none"/>
                      <w14:textFill>
                        <w14:solidFill>
                          <w14:schemeClr w14:val="tx1"/>
                        </w14:solidFill>
                      </w14:textFill>
                    </w:rPr>
                    <w:t>49</w:t>
                  </w:r>
                </w:p>
              </w:tc>
              <w:tc>
                <w:tcPr>
                  <w:tcW w:w="1200" w:type="dxa"/>
                  <w:noWrap w:val="0"/>
                  <w:vAlign w:val="center"/>
                </w:tcPr>
                <w:p w14:paraId="764575A5">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900-0</w:t>
                  </w:r>
                  <w:r>
                    <w:rPr>
                      <w:rFonts w:hint="eastAsia"/>
                      <w:color w:val="000000" w:themeColor="text1"/>
                      <w:sz w:val="21"/>
                      <w:szCs w:val="21"/>
                      <w:highlight w:val="none"/>
                      <w:lang w:val="en-US" w:eastAsia="zh-CN"/>
                      <w14:textFill>
                        <w14:solidFill>
                          <w14:schemeClr w14:val="tx1"/>
                        </w14:solidFill>
                      </w14:textFill>
                    </w:rPr>
                    <w:t>39</w:t>
                  </w:r>
                  <w:r>
                    <w:rPr>
                      <w:rFonts w:hint="eastAsia"/>
                      <w:color w:val="000000" w:themeColor="text1"/>
                      <w:sz w:val="21"/>
                      <w:szCs w:val="21"/>
                      <w:highlight w:val="none"/>
                      <w14:textFill>
                        <w14:solidFill>
                          <w14:schemeClr w14:val="tx1"/>
                        </w14:solidFill>
                      </w14:textFill>
                    </w:rPr>
                    <w:t>-49</w:t>
                  </w:r>
                </w:p>
              </w:tc>
              <w:tc>
                <w:tcPr>
                  <w:tcW w:w="840" w:type="dxa"/>
                  <w:vMerge w:val="continue"/>
                  <w:noWrap w:val="0"/>
                  <w:vAlign w:val="center"/>
                </w:tcPr>
                <w:p w14:paraId="25CBD768">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780" w:type="dxa"/>
                  <w:vMerge w:val="continue"/>
                  <w:noWrap w:val="0"/>
                  <w:vAlign w:val="center"/>
                </w:tcPr>
                <w:p w14:paraId="73669C95">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705" w:type="dxa"/>
                  <w:noWrap w:val="0"/>
                  <w:vAlign w:val="center"/>
                </w:tcPr>
                <w:p w14:paraId="79DF0A11">
                  <w:pPr>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袋装</w:t>
                  </w:r>
                </w:p>
              </w:tc>
              <w:tc>
                <w:tcPr>
                  <w:tcW w:w="705" w:type="dxa"/>
                  <w:vMerge w:val="continue"/>
                  <w:noWrap w:val="0"/>
                  <w:vAlign w:val="center"/>
                </w:tcPr>
                <w:p w14:paraId="0D1A1B46">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c>
                <w:tcPr>
                  <w:tcW w:w="769" w:type="dxa"/>
                  <w:vMerge w:val="continue"/>
                  <w:noWrap w:val="0"/>
                  <w:vAlign w:val="center"/>
                </w:tcPr>
                <w:p w14:paraId="55E40B7B">
                  <w:pPr>
                    <w:topLinePunct/>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p>
              </w:tc>
            </w:tr>
          </w:tbl>
          <w:p w14:paraId="6201DE0F">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4.4.3危险废物环境影响分析</w:t>
            </w:r>
          </w:p>
          <w:p w14:paraId="7F633E1A">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1.</w:t>
            </w:r>
            <w:r>
              <w:rPr>
                <w:rFonts w:hint="default" w:ascii="Times New Roman" w:hAnsi="Times New Roman" w:cs="Times New Roman"/>
                <w:color w:val="000000" w:themeColor="text1"/>
                <w:sz w:val="24"/>
                <w:szCs w:val="32"/>
                <w:highlight w:val="none"/>
                <w:lang w:eastAsia="zh-CN"/>
                <w14:textFill>
                  <w14:solidFill>
                    <w14:schemeClr w14:val="tx1"/>
                  </w14:solidFill>
                </w14:textFill>
              </w:rPr>
              <w:t>危险废物产生环节及特性分析</w:t>
            </w:r>
          </w:p>
          <w:p w14:paraId="1F106C87">
            <w:pPr>
              <w:pStyle w:val="66"/>
              <w:ind w:firstLine="420"/>
              <w:rPr>
                <w:rFonts w:hint="default" w:ascii="Times New Roman" w:hAnsi="Times New Roman" w:cs="Times New Roman"/>
                <w:color w:val="000000" w:themeColor="text1"/>
                <w:sz w:val="24"/>
                <w:szCs w:val="32"/>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highlight w:val="none"/>
                <w:lang w:eastAsia="zh-CN"/>
                <w14:textFill>
                  <w14:solidFill>
                    <w14:schemeClr w14:val="tx1"/>
                  </w14:solidFill>
                </w14:textFill>
              </w:rPr>
              <w:t>根据项目生产工艺，危险废物主要包括</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废润滑油、废油桶、废活性炭等</w:t>
            </w:r>
            <w:r>
              <w:rPr>
                <w:rFonts w:hint="default" w:ascii="Times New Roman" w:hAnsi="Times New Roman" w:cs="Times New Roman"/>
                <w:color w:val="000000" w:themeColor="text1"/>
                <w:sz w:val="24"/>
                <w:szCs w:val="32"/>
                <w:highlight w:val="no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产生工序及装置、产生量及危险特性见表4-8。</w:t>
            </w:r>
          </w:p>
          <w:p w14:paraId="45E590A5">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2. 危险废物污染防治措施</w:t>
            </w:r>
          </w:p>
          <w:p w14:paraId="57BDC78A">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（1）包装要求</w:t>
            </w:r>
          </w:p>
          <w:p w14:paraId="6C17CB2B">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废润滑油：采用密闭防漏的铁桶包装，桶体标注危险废物标识和成分信息。</w:t>
            </w:r>
          </w:p>
          <w:p w14:paraId="45E0753C">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废油桶：保持原包装密闭，破损桶需重新封装并标注标识。</w:t>
            </w:r>
          </w:p>
          <w:p w14:paraId="64770818">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废活性炭：使用防渗漏编织袋包装，袋口扎紧并贴危险废物标签。</w:t>
            </w:r>
          </w:p>
          <w:p w14:paraId="2AD3A48F">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（2）贮存设施</w:t>
            </w:r>
          </w:p>
          <w:p w14:paraId="26AB34B5">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危废暂存间需满足以下要求：</w:t>
            </w:r>
          </w:p>
          <w:p w14:paraId="68B5BDD0">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防渗：</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等效黏土防渗层</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6.0m，渗透系数</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1.0</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10</w:t>
            </w:r>
            <w:r>
              <w:rPr>
                <w:rFonts w:hint="eastAsia" w:cs="Times New Roman"/>
                <w:bCs/>
                <w:color w:val="000000" w:themeColor="text1"/>
                <w:kern w:val="2"/>
                <w:sz w:val="24"/>
                <w:szCs w:val="32"/>
                <w:highlight w:val="none"/>
                <w:vertAlign w:val="superscript"/>
                <w:lang w:val="en-US" w:eastAsia="zh-CN" w:bidi="ar-SA"/>
                <w14:textFill>
                  <w14:solidFill>
                    <w14:schemeClr w14:val="tx1"/>
                  </w14:solidFill>
                </w14:textFill>
              </w:rPr>
              <w:t>-7</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cm</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s</w:t>
            </w:r>
            <w:r>
              <w:rPr>
                <w:rFonts w:hint="default" w:ascii="Times New Roman" w:hAnsi="Times New Roman" w:cs="Times New Roman"/>
                <w:color w:val="000000" w:themeColor="text1"/>
                <w:sz w:val="24"/>
                <w:szCs w:val="32"/>
                <w:highlight w:val="none"/>
                <w:lang w:eastAsia="zh-CN"/>
                <w14:textFill>
                  <w14:solidFill>
                    <w14:schemeClr w14:val="tx1"/>
                  </w14:solidFill>
                </w14:textFill>
              </w:rPr>
              <w:t>。</w:t>
            </w:r>
          </w:p>
          <w:p w14:paraId="2913E820">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防风防雨：顶部加盖，墙体密闭。</w:t>
            </w:r>
          </w:p>
          <w:p w14:paraId="3733FDBD">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标识：设置危险废物警告标志和台账记录板。</w:t>
            </w:r>
          </w:p>
          <w:p w14:paraId="60FF74B0">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安全：配备灭火器、防爆照明及通风设施。</w:t>
            </w:r>
          </w:p>
          <w:p w14:paraId="441382BD">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（3）运输管理</w:t>
            </w:r>
          </w:p>
          <w:p w14:paraId="3D06B9B4">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委托持有《危险废物经营许可证》的单位运输，车辆</w:t>
            </w:r>
            <w:r>
              <w:rPr>
                <w:rFonts w:hint="eastAsia" w:cs="Times New Roman"/>
                <w:color w:val="000000" w:themeColor="text1"/>
                <w:sz w:val="24"/>
                <w:szCs w:val="32"/>
                <w:highlight w:val="none"/>
                <w:lang w:eastAsia="zh-CN"/>
                <w14:textFill>
                  <w14:solidFill>
                    <w14:schemeClr w14:val="tx1"/>
                  </w14:solidFill>
                </w14:textFill>
              </w:rPr>
              <w:t>须具备</w:t>
            </w:r>
            <w:r>
              <w:rPr>
                <w:rFonts w:hint="default" w:ascii="Times New Roman" w:hAnsi="Times New Roman" w:cs="Times New Roman"/>
                <w:color w:val="000000" w:themeColor="text1"/>
                <w:sz w:val="24"/>
                <w:szCs w:val="32"/>
                <w:highlight w:val="none"/>
                <w:lang w:eastAsia="zh-CN"/>
                <w14:textFill>
                  <w14:solidFill>
                    <w14:schemeClr w14:val="tx1"/>
                  </w14:solidFill>
                </w14:textFill>
              </w:rPr>
              <w:t>防泄漏装置。</w:t>
            </w:r>
          </w:p>
          <w:p w14:paraId="67248D30">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运输前检查包装密封性，填写危险废物转移联单，路线避开敏感区域。</w:t>
            </w:r>
          </w:p>
          <w:p w14:paraId="01F406D1">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（4）处置要求</w:t>
            </w:r>
          </w:p>
          <w:p w14:paraId="31C25273">
            <w:pPr>
              <w:pStyle w:val="66"/>
              <w:ind w:firstLine="42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lang w:eastAsia="zh-CN"/>
                <w14:textFill>
                  <w14:solidFill>
                    <w14:schemeClr w14:val="tx1"/>
                  </w14:solidFill>
                </w14:textFill>
              </w:rPr>
              <w:t>交由有资质的单位进行处置。</w:t>
            </w:r>
          </w:p>
          <w:p w14:paraId="7E3B6FD0">
            <w:pPr>
              <w:pStyle w:val="66"/>
              <w:ind w:firstLine="420"/>
              <w:rPr>
                <w:rFonts w:hint="default" w:ascii="Times New Roman" w:hAnsi="Times New Roman" w:cs="Times New Roman"/>
                <w:color w:val="000000" w:themeColor="text1"/>
                <w:sz w:val="24"/>
                <w:szCs w:val="32"/>
                <w:highlight w:val="none"/>
                <w14:textFill>
                  <w14:solidFill>
                    <w14:schemeClr w14:val="tx1"/>
                  </w14:solidFill>
                </w14:textFill>
              </w:rPr>
            </w:pPr>
            <w:r>
              <w:rPr>
                <w:rFonts w:hint="default" w:ascii="Times New Roman" w:hAnsi="Times New Roman" w:cs="Times New Roman"/>
                <w:color w:val="000000" w:themeColor="text1"/>
                <w:sz w:val="24"/>
                <w:szCs w:val="32"/>
                <w:highlight w:val="none"/>
                <w14:textFill>
                  <w14:solidFill>
                    <w14:schemeClr w14:val="tx1"/>
                  </w14:solidFill>
                </w14:textFill>
              </w:rPr>
              <w:t>3. 环境管理要求</w:t>
            </w:r>
          </w:p>
          <w:p w14:paraId="4437CED7">
            <w:pPr>
              <w:pStyle w:val="66"/>
              <w:ind w:firstLine="420"/>
              <w:rPr>
                <w:rFonts w:hint="default" w:ascii="Times New Roman" w:hAnsi="Times New Roman" w:cs="Times New Roman"/>
                <w:color w:val="000000" w:themeColor="text1"/>
                <w:sz w:val="24"/>
                <w:szCs w:val="32"/>
                <w:highlight w:val="none"/>
                <w14:textFill>
                  <w14:solidFill>
                    <w14:schemeClr w14:val="tx1"/>
                  </w14:solidFill>
                </w14:textFill>
              </w:rPr>
            </w:pPr>
            <w:r>
              <w:rPr>
                <w:rFonts w:hint="default" w:ascii="Times New Roman" w:hAnsi="Times New Roman" w:cs="Times New Roman"/>
                <w:color w:val="000000" w:themeColor="text1"/>
                <w:sz w:val="24"/>
                <w:szCs w:val="32"/>
                <w:highlight w:val="none"/>
                <w14:textFill>
                  <w14:solidFill>
                    <w14:schemeClr w14:val="tx1"/>
                  </w14:solidFill>
                </w14:textFill>
              </w:rPr>
              <w:t>（1）台账制度</w:t>
            </w:r>
          </w:p>
          <w:p w14:paraId="21FDD0EC">
            <w:pPr>
              <w:pStyle w:val="66"/>
              <w:ind w:firstLine="420"/>
              <w:rPr>
                <w:rFonts w:hint="default" w:ascii="Times New Roman" w:hAnsi="Times New Roman" w:cs="Times New Roman"/>
                <w:color w:val="000000" w:themeColor="text1"/>
                <w:sz w:val="24"/>
                <w:szCs w:val="32"/>
                <w:highlight w:val="none"/>
                <w14:textFill>
                  <w14:solidFill>
                    <w14:schemeClr w14:val="tx1"/>
                  </w14:solidFill>
                </w14:textFill>
              </w:rPr>
            </w:pPr>
            <w:r>
              <w:rPr>
                <w:rFonts w:hint="default" w:ascii="Times New Roman" w:hAnsi="Times New Roman" w:cs="Times New Roman"/>
                <w:color w:val="000000" w:themeColor="text1"/>
                <w:sz w:val="24"/>
                <w:szCs w:val="32"/>
                <w:highlight w:val="none"/>
                <w14:textFill>
                  <w14:solidFill>
                    <w14:schemeClr w14:val="tx1"/>
                  </w14:solidFill>
                </w14:textFill>
              </w:rPr>
              <w:t>建立危险废物产生、贮存、转移电子台账，记录种类、数量、去向等信息，保存至少5年。</w:t>
            </w:r>
          </w:p>
          <w:p w14:paraId="75FCDDD9">
            <w:pPr>
              <w:pStyle w:val="66"/>
              <w:ind w:firstLine="420"/>
              <w:rPr>
                <w:rFonts w:hint="default" w:ascii="Times New Roman" w:hAnsi="Times New Roman" w:cs="Times New Roman"/>
                <w:color w:val="000000" w:themeColor="text1"/>
                <w:sz w:val="24"/>
                <w:szCs w:val="32"/>
                <w:highlight w:val="none"/>
                <w14:textFill>
                  <w14:solidFill>
                    <w14:schemeClr w14:val="tx1"/>
                  </w14:solidFill>
                </w14:textFill>
              </w:rPr>
            </w:pPr>
            <w:r>
              <w:rPr>
                <w:rFonts w:hint="default" w:ascii="Times New Roman" w:hAnsi="Times New Roman" w:cs="Times New Roman"/>
                <w:color w:val="000000" w:themeColor="text1"/>
                <w:sz w:val="24"/>
                <w:szCs w:val="32"/>
                <w:highlight w:val="none"/>
                <w14:textFill>
                  <w14:solidFill>
                    <w14:schemeClr w14:val="tx1"/>
                  </w14:solidFill>
                </w14:textFill>
              </w:rPr>
              <w:t>（2）转移联单</w:t>
            </w:r>
          </w:p>
          <w:p w14:paraId="7129F686">
            <w:pPr>
              <w:pStyle w:val="66"/>
              <w:ind w:firstLine="420"/>
              <w:rPr>
                <w:rFonts w:hint="default" w:ascii="Times New Roman" w:hAnsi="Times New Roman" w:cs="Times New Roman"/>
                <w:color w:val="000000" w:themeColor="text1"/>
                <w:sz w:val="24"/>
                <w:szCs w:val="32"/>
                <w:highlight w:val="none"/>
                <w14:textFill>
                  <w14:solidFill>
                    <w14:schemeClr w14:val="tx1"/>
                  </w14:solidFill>
                </w14:textFill>
              </w:rPr>
            </w:pPr>
            <w:r>
              <w:rPr>
                <w:rFonts w:hint="default" w:ascii="Times New Roman" w:hAnsi="Times New Roman" w:cs="Times New Roman"/>
                <w:color w:val="000000" w:themeColor="text1"/>
                <w:sz w:val="24"/>
                <w:szCs w:val="32"/>
                <w:highlight w:val="none"/>
                <w14:textFill>
                  <w14:solidFill>
                    <w14:schemeClr w14:val="tx1"/>
                  </w14:solidFill>
                </w14:textFill>
              </w:rPr>
              <w:t>严格执行《危险废物转移联单管理办法》，联单随货同行，副本存档备查。</w:t>
            </w:r>
          </w:p>
          <w:p w14:paraId="6F1D633F">
            <w:pPr>
              <w:pStyle w:val="66"/>
              <w:ind w:firstLine="420"/>
              <w:rPr>
                <w:rFonts w:ascii="宋体" w:hAnsi="宋体"/>
                <w:color w:val="000000" w:themeColor="text1"/>
                <w:sz w:val="24"/>
                <w:szCs w:val="32"/>
                <w:highlight w:val="none"/>
                <w14:textFill>
                  <w14:solidFill>
                    <w14:schemeClr w14:val="tx1"/>
                  </w14:solidFill>
                </w14:textFill>
              </w:rPr>
            </w:pPr>
            <w:r>
              <w:rPr>
                <w:rFonts w:ascii="宋体" w:hAnsi="宋体"/>
                <w:color w:val="000000" w:themeColor="text1"/>
                <w:sz w:val="24"/>
                <w:szCs w:val="32"/>
                <w:highlight w:val="none"/>
                <w14:textFill>
                  <w14:solidFill>
                    <w14:schemeClr w14:val="tx1"/>
                  </w14:solidFill>
                </w14:textFill>
              </w:rPr>
              <w:t>总体上分析，只要建设单位认真落实本环评提出的各项固体废物处置措施，并按照固体废物的相关管理要求，加强各类固体废物的收集、分类储存、转移和处置管理，本工程建成后产生的固体废物不会造成二次污染，因此对环境的影响很小。</w:t>
            </w:r>
          </w:p>
          <w:p w14:paraId="40E37437">
            <w:pPr>
              <w:pStyle w:val="66"/>
              <w:ind w:firstLine="420"/>
              <w:rPr>
                <w:rFonts w:ascii="宋体" w:hAnsi="宋体"/>
                <w:color w:val="000000" w:themeColor="text1"/>
                <w:sz w:val="24"/>
                <w:szCs w:val="32"/>
                <w:highlight w:val="none"/>
                <w14:textFill>
                  <w14:solidFill>
                    <w14:schemeClr w14:val="tx1"/>
                  </w14:solidFill>
                </w14:textFill>
              </w:rPr>
            </w:pPr>
          </w:p>
          <w:p w14:paraId="20ECC30A">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4.4.4</w:t>
            </w:r>
            <w:r>
              <w:rPr>
                <w:rFonts w:hint="eastAsia" w:cs="宋体"/>
                <w:color w:val="000000" w:themeColor="text1"/>
                <w:sz w:val="24"/>
                <w:szCs w:val="32"/>
                <w:highlight w:val="none"/>
                <w14:textFill>
                  <w14:solidFill>
                    <w14:schemeClr w14:val="tx1"/>
                  </w14:solidFill>
                </w14:textFill>
              </w:rPr>
              <w:t>环境管理要求</w:t>
            </w:r>
          </w:p>
          <w:p w14:paraId="0FDA1D90">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①一般工业固体废物</w:t>
            </w:r>
          </w:p>
          <w:p w14:paraId="3DACD5CF">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本项目一般工业固体废物主要为</w:t>
            </w:r>
            <w:r>
              <w:rPr>
                <w:rFonts w:hint="eastAsia" w:cs="宋体"/>
                <w:color w:val="000000" w:themeColor="text1"/>
                <w:sz w:val="24"/>
                <w:szCs w:val="32"/>
                <w:highlight w:val="none"/>
                <w:lang w:val="en-US" w:eastAsia="zh-CN"/>
                <w14:textFill>
                  <w14:solidFill>
                    <w14:schemeClr w14:val="tx1"/>
                  </w14:solidFill>
                </w14:textFill>
              </w:rPr>
              <w:t>废边角料</w:t>
            </w:r>
            <w:r>
              <w:rPr>
                <w:rFonts w:hint="eastAsia" w:cs="宋体"/>
                <w:color w:val="000000" w:themeColor="text1"/>
                <w:sz w:val="24"/>
                <w:szCs w:val="32"/>
                <w:highlight w:val="none"/>
                <w14:textFill>
                  <w14:solidFill>
                    <w14:schemeClr w14:val="tx1"/>
                  </w14:solidFill>
                </w14:textFill>
              </w:rPr>
              <w:t>等。</w:t>
            </w:r>
          </w:p>
          <w:p w14:paraId="2A933E64">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a、一般工业固体废物产生后，应按不同类别和相应要求及时放置到临时存放场所。并按《环境保护图形标志—固体废物贮存（处置）场》（GB 15562.2-1995）修改单设置环境保护图形标志。</w:t>
            </w:r>
          </w:p>
          <w:p w14:paraId="6DCD5426">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b、一般工业固体废物储存场，禁止将危险废物和生活垃圾混入。</w:t>
            </w:r>
          </w:p>
          <w:p w14:paraId="79221D21">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c、各类固体废物在厂内临时堆放期间应加强管理，外运过程要防止抛洒</w:t>
            </w:r>
            <w:r>
              <w:rPr>
                <w:rFonts w:hint="eastAsia" w:cs="宋体"/>
                <w:color w:val="000000" w:themeColor="text1"/>
                <w:sz w:val="24"/>
                <w:szCs w:val="32"/>
                <w:highlight w:val="none"/>
                <w:lang w:eastAsia="zh-CN"/>
                <w14:textFill>
                  <w14:solidFill>
                    <w14:schemeClr w14:val="tx1"/>
                  </w14:solidFill>
                </w14:textFill>
              </w:rPr>
              <w:t>泄漏</w:t>
            </w:r>
            <w:r>
              <w:rPr>
                <w:rFonts w:hint="eastAsia" w:cs="宋体"/>
                <w:color w:val="000000" w:themeColor="text1"/>
                <w:sz w:val="24"/>
                <w:szCs w:val="32"/>
                <w:highlight w:val="none"/>
                <w14:textFill>
                  <w14:solidFill>
                    <w14:schemeClr w14:val="tx1"/>
                  </w14:solidFill>
                </w14:textFill>
              </w:rPr>
              <w:t>。</w:t>
            </w:r>
          </w:p>
          <w:p w14:paraId="2CC46769">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d、加强企业内部对固体废物的管理，建立固体废物产生、外运、处置及最终去向的详细台账。</w:t>
            </w:r>
          </w:p>
          <w:p w14:paraId="05BFFAB2">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②危险废物</w:t>
            </w:r>
          </w:p>
          <w:p w14:paraId="31012015">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本项目危险废物主要为</w:t>
            </w:r>
            <w:r>
              <w:rPr>
                <w:rFonts w:hint="eastAsia" w:cs="宋体"/>
                <w:color w:val="000000" w:themeColor="text1"/>
                <w:sz w:val="24"/>
                <w:szCs w:val="32"/>
                <w:highlight w:val="none"/>
                <w:lang w:val="en-US" w:eastAsia="zh-CN"/>
                <w14:textFill>
                  <w14:solidFill>
                    <w14:schemeClr w14:val="tx1"/>
                  </w14:solidFill>
                </w14:textFill>
              </w:rPr>
              <w:t>废润滑油、废油桶、废活性炭</w:t>
            </w:r>
            <w:r>
              <w:rPr>
                <w:rFonts w:hint="eastAsia" w:ascii="宋体" w:hAnsi="宋体"/>
                <w:color w:val="000000" w:themeColor="text1"/>
                <w:sz w:val="24"/>
                <w:szCs w:val="32"/>
                <w:highlight w:val="none"/>
                <w14:textFill>
                  <w14:solidFill>
                    <w14:schemeClr w14:val="tx1"/>
                  </w14:solidFill>
                </w14:textFill>
              </w:rPr>
              <w:t>等</w:t>
            </w:r>
            <w:r>
              <w:rPr>
                <w:rFonts w:hint="eastAsia" w:cs="宋体"/>
                <w:color w:val="000000" w:themeColor="text1"/>
                <w:sz w:val="24"/>
                <w:szCs w:val="32"/>
                <w:highlight w:val="none"/>
                <w14:textFill>
                  <w14:solidFill>
                    <w14:schemeClr w14:val="tx1"/>
                  </w14:solidFill>
                </w14:textFill>
              </w:rPr>
              <w:t>。厂区设置一个临时暂存间，危废间需根据要求做好防渗措施。危废</w:t>
            </w:r>
            <w:r>
              <w:rPr>
                <w:rFonts w:hint="eastAsia" w:cs="宋体"/>
                <w:color w:val="000000" w:themeColor="text1"/>
                <w:sz w:val="24"/>
                <w:szCs w:val="32"/>
                <w:highlight w:val="none"/>
                <w:lang w:val="en-US" w:eastAsia="zh-CN"/>
                <w14:textFill>
                  <w14:solidFill>
                    <w14:schemeClr w14:val="tx1"/>
                  </w14:solidFill>
                </w14:textFill>
              </w:rPr>
              <w:t>收集</w:t>
            </w:r>
            <w:r>
              <w:rPr>
                <w:rFonts w:hint="eastAsia" w:cs="宋体"/>
                <w:color w:val="000000" w:themeColor="text1"/>
                <w:sz w:val="24"/>
                <w:szCs w:val="32"/>
                <w:highlight w:val="none"/>
                <w14:textFill>
                  <w14:solidFill>
                    <w14:schemeClr w14:val="tx1"/>
                  </w14:solidFill>
                </w14:textFill>
              </w:rPr>
              <w:t>统一委托有资质单位进行处置。</w:t>
            </w:r>
          </w:p>
          <w:p w14:paraId="13389FEC">
            <w:pPr>
              <w:spacing w:line="360" w:lineRule="auto"/>
              <w:ind w:firstLine="480" w:firstLineChars="200"/>
              <w:rPr>
                <w:rFonts w:cs="宋体"/>
                <w:color w:val="000000" w:themeColor="text1"/>
                <w:sz w:val="32"/>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为消除危险废物存在的环境污染隐患，建设单位应设置危险废物专门管理机构，加强对危险废物分类收集、贮存、转移的管理，确保危险废物得到合理</w:t>
            </w:r>
            <w:r>
              <w:rPr>
                <w:rFonts w:hint="eastAsia" w:cs="宋体"/>
                <w:color w:val="000000" w:themeColor="text1"/>
                <w:sz w:val="24"/>
                <w:szCs w:val="32"/>
                <w:highlight w:val="none"/>
                <w:lang w:val="en-US" w:eastAsia="zh-CN"/>
                <w14:textFill>
                  <w14:solidFill>
                    <w14:schemeClr w14:val="tx1"/>
                  </w14:solidFill>
                </w14:textFill>
              </w:rPr>
              <w:t>处置。</w:t>
            </w:r>
          </w:p>
          <w:p w14:paraId="7E5BCF7C">
            <w:pPr>
              <w:spacing w:line="360" w:lineRule="auto"/>
              <w:ind w:firstLine="480" w:firstLineChars="200"/>
              <w:rPr>
                <w:rFonts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a.应设置专人对危险废物进行分类管理，严格按照《危险废物贮存污染控制标准》（</w:t>
            </w:r>
            <w:r>
              <w:rPr>
                <w:color w:val="000000" w:themeColor="text1"/>
                <w:sz w:val="24"/>
                <w:szCs w:val="32"/>
                <w:highlight w:val="none"/>
                <w14:textFill>
                  <w14:solidFill>
                    <w14:schemeClr w14:val="tx1"/>
                  </w14:solidFill>
                </w14:textFill>
              </w:rPr>
              <w:t>GB18597-20</w:t>
            </w:r>
            <w:r>
              <w:rPr>
                <w:rFonts w:hint="eastAsia"/>
                <w:color w:val="000000" w:themeColor="text1"/>
                <w:sz w:val="24"/>
                <w:szCs w:val="32"/>
                <w:highlight w:val="none"/>
                <w14:textFill>
                  <w14:solidFill>
                    <w14:schemeClr w14:val="tx1"/>
                  </w14:solidFill>
                </w14:textFill>
              </w:rPr>
              <w:t>23</w:t>
            </w:r>
            <w:r>
              <w:rPr>
                <w:rFonts w:hint="eastAsia" w:cs="宋体"/>
                <w:color w:val="000000" w:themeColor="text1"/>
                <w:sz w:val="24"/>
                <w:szCs w:val="32"/>
                <w:highlight w:val="none"/>
                <w14:textFill>
                  <w14:solidFill>
                    <w14:schemeClr w14:val="tx1"/>
                  </w14:solidFill>
                </w14:textFill>
              </w:rPr>
              <w:t>），建造合格的临时贮存场所，并根据危险废物识别标志设置技术规范（HJ 1276—2022）设置明显的标志和围护墙，以免造成二次污染。</w:t>
            </w:r>
          </w:p>
          <w:p w14:paraId="2333D570">
            <w:pPr>
              <w:spacing w:line="360" w:lineRule="auto"/>
              <w:ind w:firstLine="480" w:firstLineChars="200"/>
              <w:rPr>
                <w:rFonts w:cs="宋体"/>
                <w:color w:val="000000" w:themeColor="text1"/>
                <w:sz w:val="32"/>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b.建立废物转移联单制度。</w:t>
            </w:r>
            <w:r>
              <w:rPr>
                <w:rFonts w:hint="eastAsia" w:cs="宋体"/>
                <w:color w:val="000000" w:themeColor="text1"/>
                <w:sz w:val="24"/>
                <w:szCs w:val="32"/>
                <w:highlight w:val="none"/>
                <w:lang w:val="en-US" w:eastAsia="zh-CN"/>
                <w14:textFill>
                  <w14:solidFill>
                    <w14:schemeClr w14:val="tx1"/>
                  </w14:solidFill>
                </w14:textFill>
              </w:rPr>
              <w:t>该</w:t>
            </w:r>
            <w:r>
              <w:rPr>
                <w:rFonts w:hint="eastAsia" w:cs="宋体"/>
                <w:color w:val="000000" w:themeColor="text1"/>
                <w:sz w:val="24"/>
                <w:szCs w:val="32"/>
                <w:highlight w:val="none"/>
                <w14:textFill>
                  <w14:solidFill>
                    <w14:schemeClr w14:val="tx1"/>
                  </w14:solidFill>
                </w14:textFill>
              </w:rPr>
              <w:t>制度是对废物从产生、处理到处置排放实行全过程监督的有效手段。它的主要内容有：废物合理产生的估量；废物流向和分配及监测记录；废物处理和转化；废物有效排放和废物总量衡算；废物从产生到处置的全过程评估。危险废物转移应按照《危险废物转移管理办法》要求执行。</w:t>
            </w:r>
          </w:p>
          <w:p w14:paraId="6D0CEC17">
            <w:pPr>
              <w:spacing w:line="360" w:lineRule="auto"/>
              <w:ind w:firstLine="480" w:firstLineChars="200"/>
              <w:rPr>
                <w:rFonts w:hint="eastAsia" w:cs="宋体"/>
                <w:color w:val="000000" w:themeColor="text1"/>
                <w:sz w:val="24"/>
                <w:szCs w:val="32"/>
                <w:highlight w:val="none"/>
                <w14:textFill>
                  <w14:solidFill>
                    <w14:schemeClr w14:val="tx1"/>
                  </w14:solidFill>
                </w14:textFill>
              </w:rPr>
            </w:pPr>
            <w:r>
              <w:rPr>
                <w:rFonts w:hint="eastAsia" w:cs="宋体"/>
                <w:color w:val="000000" w:themeColor="text1"/>
                <w:sz w:val="24"/>
                <w:szCs w:val="32"/>
                <w:highlight w:val="none"/>
                <w14:textFill>
                  <w14:solidFill>
                    <w14:schemeClr w14:val="tx1"/>
                  </w14:solidFill>
                </w14:textFill>
              </w:rPr>
              <w:t>c.实行全过程管理。对危险废物的产生、收集、运输、贮存、加工处理直至最终处置承担起责任。并应向生态环境主管部门进行申报、登记，并接受管理部门的监督和指导。</w:t>
            </w:r>
          </w:p>
          <w:p w14:paraId="65F582A2">
            <w:pPr>
              <w:pStyle w:val="37"/>
              <w:rPr>
                <w:rFonts w:hint="default" w:eastAsia="黑体"/>
                <w:color w:val="000000" w:themeColor="text1"/>
                <w:sz w:val="24"/>
                <w:szCs w:val="21"/>
                <w:highlight w:val="none"/>
                <w:lang w:val="en-US" w:eastAsia="zh-CN"/>
                <w14:textFill>
                  <w14:solidFill>
                    <w14:schemeClr w14:val="tx1"/>
                  </w14:solidFill>
                </w14:textFill>
              </w:rPr>
            </w:pPr>
            <w:r>
              <w:rPr>
                <w:color w:val="000000" w:themeColor="text1"/>
                <w:sz w:val="24"/>
                <w:szCs w:val="21"/>
                <w:highlight w:val="none"/>
                <w14:textFill>
                  <w14:solidFill>
                    <w14:schemeClr w14:val="tx1"/>
                  </w14:solidFill>
                </w14:textFill>
              </w:rPr>
              <w:t>4.</w:t>
            </w:r>
            <w:r>
              <w:rPr>
                <w:rFonts w:hint="eastAsia"/>
                <w:color w:val="000000" w:themeColor="text1"/>
                <w:sz w:val="24"/>
                <w:szCs w:val="21"/>
                <w:highlight w:val="none"/>
                <w:lang w:val="en-US" w:eastAsia="zh-CN"/>
                <w14:textFill>
                  <w14:solidFill>
                    <w14:schemeClr w14:val="tx1"/>
                  </w14:solidFill>
                </w14:textFill>
              </w:rPr>
              <w:t>5</w:t>
            </w:r>
            <w:r>
              <w:rPr>
                <w:color w:val="000000" w:themeColor="text1"/>
                <w:sz w:val="24"/>
                <w:szCs w:val="21"/>
                <w:highlight w:val="none"/>
                <w14:textFill>
                  <w14:solidFill>
                    <w14:schemeClr w14:val="tx1"/>
                  </w14:solidFill>
                </w14:textFill>
              </w:rPr>
              <w:t xml:space="preserve"> </w:t>
            </w:r>
            <w:r>
              <w:rPr>
                <w:rFonts w:hint="eastAsia"/>
                <w:color w:val="000000" w:themeColor="text1"/>
                <w:sz w:val="24"/>
                <w:szCs w:val="21"/>
                <w:highlight w:val="none"/>
                <w14:textFill>
                  <w14:solidFill>
                    <w14:schemeClr w14:val="tx1"/>
                  </w14:solidFill>
                </w14:textFill>
              </w:rPr>
              <w:t>运营期地下水</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土壤环境影响分析和保护措施</w:t>
            </w:r>
          </w:p>
          <w:p w14:paraId="013851AC">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4.5.1</w:t>
            </w:r>
            <w:r>
              <w:rPr>
                <w:rFonts w:hint="eastAsia"/>
                <w:color w:val="000000" w:themeColor="text1"/>
                <w:sz w:val="24"/>
                <w:szCs w:val="21"/>
                <w:highlight w:val="none"/>
                <w14:textFill>
                  <w14:solidFill>
                    <w14:schemeClr w14:val="tx1"/>
                  </w14:solidFill>
                </w14:textFill>
              </w:rPr>
              <w:t>地下水</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土壤环境影响分析</w:t>
            </w:r>
          </w:p>
          <w:p w14:paraId="38EDC494">
            <w:pPr>
              <w:spacing w:line="360" w:lineRule="auto"/>
              <w:ind w:firstLine="480" w:firstLineChars="200"/>
              <w:rPr>
                <w:rFonts w:hint="default"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cs="Times New Roman"/>
                <w:bCs/>
                <w:color w:val="000000" w:themeColor="text1"/>
                <w:kern w:val="2"/>
                <w:sz w:val="24"/>
                <w:szCs w:val="32"/>
                <w:highlight w:val="none"/>
                <w:lang w:val="en-US" w:eastAsia="zh-CN" w:bidi="ar-SA"/>
                <w14:textFill>
                  <w14:solidFill>
                    <w14:schemeClr w14:val="tx1"/>
                  </w14:solidFill>
                </w14:textFill>
              </w:rPr>
              <w:t>（1）地下水环境</w:t>
            </w:r>
          </w:p>
          <w:p w14:paraId="64A7DE31">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项目生活污水经处理达标后排入市政污水管网，送往福建青口海峡环保有限公司(青口新区污水处理厂)集中处理，项目</w:t>
            </w:r>
            <w:r>
              <w:rPr>
                <w:rFonts w:hint="eastAsia" w:cs="Times New Roman"/>
                <w:bCs/>
                <w:color w:val="000000" w:themeColor="text1"/>
                <w:kern w:val="2"/>
                <w:sz w:val="24"/>
                <w:szCs w:val="32"/>
                <w:highlight w:val="none"/>
                <w:lang w:val="en-US" w:eastAsia="zh-CN" w:bidi="ar-SA"/>
                <w14:textFill>
                  <w14:solidFill>
                    <w14:schemeClr w14:val="tx1"/>
                  </w14:solidFill>
                </w14:textFill>
              </w:rPr>
              <w:t>生活污水不会</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渗漏和进入地下水</w:t>
            </w:r>
            <w:r>
              <w:rPr>
                <w:rFonts w:hint="eastAsia" w:cs="Times New Roman"/>
                <w:bCs/>
                <w:color w:val="000000" w:themeColor="text1"/>
                <w:kern w:val="2"/>
                <w:sz w:val="24"/>
                <w:szCs w:val="32"/>
                <w:highlight w:val="none"/>
                <w:lang w:val="en-US" w:eastAsia="zh-CN" w:bidi="ar-SA"/>
                <w14:textFill>
                  <w14:solidFill>
                    <w14:schemeClr w14:val="tx1"/>
                  </w14:solidFill>
                </w14:textFill>
              </w:rPr>
              <w:t>。</w:t>
            </w:r>
          </w:p>
          <w:p w14:paraId="2DB0FB1A">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项目一般工业固废暂存场所及危险废物暂存间严格按照《一般工业固体废物贮存、处置场污染控制标准》（GB18599-2020）</w:t>
            </w:r>
            <w:r>
              <w:rPr>
                <w:rFonts w:hint="eastAsia" w:cs="Times New Roman"/>
                <w:bCs/>
                <w:color w:val="000000" w:themeColor="text1"/>
                <w:kern w:val="2"/>
                <w:sz w:val="24"/>
                <w:szCs w:val="32"/>
                <w:highlight w:val="none"/>
                <w:lang w:val="en-US" w:eastAsia="zh-CN" w:bidi="ar-SA"/>
                <w14:textFill>
                  <w14:solidFill>
                    <w14:schemeClr w14:val="tx1"/>
                  </w14:solidFill>
                </w14:textFill>
              </w:rPr>
              <w:t>中</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固废临时贮存场所的要求及《危险废物贮存污染控制标准》（GB18597-2023）的要求进行建设，具备防风、防雨、防晒、防渗漏等要求。在正常工况，不会对评价区地下水产生明显影响，其影响程度是可接受的。</w:t>
            </w:r>
          </w:p>
          <w:p w14:paraId="40D1467A">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cs="Times New Roman"/>
                <w:bCs/>
                <w:color w:val="000000" w:themeColor="text1"/>
                <w:kern w:val="2"/>
                <w:sz w:val="24"/>
                <w:szCs w:val="32"/>
                <w:highlight w:val="none"/>
                <w:lang w:val="en-US" w:eastAsia="zh-CN" w:bidi="ar-SA"/>
                <w14:textFill>
                  <w14:solidFill>
                    <w14:schemeClr w14:val="tx1"/>
                  </w14:solidFill>
                </w14:textFill>
              </w:rPr>
              <w:t>综上所述</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，项目在正常运行工况下，项目对地下水影响不大。</w:t>
            </w:r>
            <w:r>
              <w:rPr>
                <w:rFonts w:hint="eastAsia" w:cs="Times New Roman"/>
                <w:bCs/>
                <w:color w:val="000000" w:themeColor="text1"/>
                <w:kern w:val="2"/>
                <w:sz w:val="24"/>
                <w:szCs w:val="32"/>
                <w:highlight w:val="none"/>
                <w:lang w:val="en-US" w:eastAsia="zh-CN" w:bidi="ar-SA"/>
                <w14:textFill>
                  <w14:solidFill>
                    <w14:schemeClr w14:val="tx1"/>
                  </w14:solidFill>
                </w14:textFill>
              </w:rPr>
              <w:t>企业</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应加强管理，杜绝</w:t>
            </w:r>
            <w:r>
              <w:rPr>
                <w:rFonts w:hint="eastAsia" w:cs="Times New Roman"/>
                <w:bCs/>
                <w:color w:val="000000" w:themeColor="text1"/>
                <w:kern w:val="2"/>
                <w:sz w:val="24"/>
                <w:szCs w:val="32"/>
                <w:highlight w:val="none"/>
                <w:lang w:val="en-US" w:eastAsia="zh-CN" w:bidi="ar-SA"/>
                <w14:textFill>
                  <w14:solidFill>
                    <w14:schemeClr w14:val="tx1"/>
                  </w14:solidFill>
                </w14:textFill>
              </w:rPr>
              <w:t>生活污水管</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破裂等事故影响</w:t>
            </w:r>
            <w:r>
              <w:rPr>
                <w:rFonts w:hint="eastAsia" w:cs="Times New Roman"/>
                <w:bCs/>
                <w:color w:val="000000" w:themeColor="text1"/>
                <w:kern w:val="2"/>
                <w:sz w:val="24"/>
                <w:szCs w:val="32"/>
                <w:highlight w:val="none"/>
                <w:lang w:val="en-US" w:eastAsia="zh-CN" w:bidi="ar-SA"/>
                <w14:textFill>
                  <w14:solidFill>
                    <w14:schemeClr w14:val="tx1"/>
                  </w14:solidFill>
                </w14:textFill>
              </w:rPr>
              <w:t>。</w:t>
            </w:r>
          </w:p>
          <w:p w14:paraId="52F35B3B">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(2)土壤环境</w:t>
            </w:r>
          </w:p>
          <w:p w14:paraId="22B2F780">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土壤污染与大气、水体污染有所不同，大气、水体污染比较直观，严重时通过人的感官即能发现，而土壤污染往往是以食物链方式通过粮食、蔬菜、水果、茶叶及草食性动物(如家禽家畜)乃至肉食性动物等最后进入人体而影响人群健康。因此，这是一个逐步累积的过程，具有隐蔽性和潜伏性。</w:t>
            </w:r>
          </w:p>
          <w:p w14:paraId="2B04C9AA">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根据土壤污染物的来源不同</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可将土壤污染分为废水污染型、废气污染型</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固体废物污染型、农业污染型和生物污染型。该项目土壤污染将以废水、固废污染型为主。</w:t>
            </w:r>
          </w:p>
          <w:p w14:paraId="2A347A46">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项目生产废气均可达标排放，对区域环境空气贡献值较小，对土壤环境的影响很小。</w:t>
            </w:r>
          </w:p>
          <w:p w14:paraId="44A077CE">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项目生活污水排入市政污水管网。正常情况下，项目运营期</w:t>
            </w:r>
            <w:r>
              <w:rPr>
                <w:rFonts w:hint="eastAsia" w:cs="Times New Roman"/>
                <w:bCs/>
                <w:color w:val="000000" w:themeColor="text1"/>
                <w:kern w:val="2"/>
                <w:sz w:val="24"/>
                <w:szCs w:val="32"/>
                <w:highlight w:val="none"/>
                <w:lang w:val="en-US" w:eastAsia="zh-CN" w:bidi="ar-SA"/>
                <w14:textFill>
                  <w14:solidFill>
                    <w14:schemeClr w14:val="tx1"/>
                  </w14:solidFill>
                </w14:textFill>
              </w:rPr>
              <w:t>生活污水</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对土壤环境的影响不大。</w:t>
            </w:r>
          </w:p>
          <w:p w14:paraId="579CA881">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项目产生的危险废物暂存在危险废物间内，危险废物暂存间防渗要求按《危险废物贮存污染控制标准》(GB18597-2023)进行设计，且具有防雨、防渗、防风、防日晒的功能。采取以上措施后，项目危险废物对土壤环境的影响不大。</w:t>
            </w:r>
          </w:p>
          <w:p w14:paraId="6DB5E6C1">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综上所述，工程运营排放的污染物对厂址周围的</w:t>
            </w:r>
            <w:r>
              <w:rPr>
                <w:rFonts w:hint="eastAsia" w:cs="Times New Roman"/>
                <w:bCs/>
                <w:color w:val="000000" w:themeColor="text1"/>
                <w:kern w:val="2"/>
                <w:sz w:val="24"/>
                <w:szCs w:val="32"/>
                <w:highlight w:val="none"/>
                <w:lang w:val="en-US" w:eastAsia="zh-CN" w:bidi="ar-SA"/>
                <w14:textFill>
                  <w14:solidFill>
                    <w14:schemeClr w14:val="tx1"/>
                  </w14:solidFill>
                </w14:textFill>
              </w:rPr>
              <w:t>土壤环境</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影响是可以接受的。</w:t>
            </w:r>
          </w:p>
          <w:p w14:paraId="652A6F52">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4.5.2</w:t>
            </w:r>
            <w:r>
              <w:rPr>
                <w:rFonts w:hint="eastAsia"/>
                <w:color w:val="000000" w:themeColor="text1"/>
                <w:sz w:val="24"/>
                <w:szCs w:val="21"/>
                <w:highlight w:val="none"/>
                <w14:textFill>
                  <w14:solidFill>
                    <w14:schemeClr w14:val="tx1"/>
                  </w14:solidFill>
                </w14:textFill>
              </w:rPr>
              <w:t>地下水</w:t>
            </w:r>
            <w:r>
              <w:rPr>
                <w:rFonts w:hint="eastAsia"/>
                <w:color w:val="000000" w:themeColor="text1"/>
                <w:sz w:val="24"/>
                <w:szCs w:val="21"/>
                <w:highlight w:val="none"/>
                <w:lang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土壤环境防控措施</w:t>
            </w:r>
          </w:p>
          <w:p w14:paraId="771DC95F">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(1)防渗措施</w:t>
            </w:r>
          </w:p>
          <w:p w14:paraId="0F2682C7">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①</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合理进行防渗区域划分</w:t>
            </w:r>
          </w:p>
          <w:p w14:paraId="5990F1EA">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根据本项目厂区可能泄漏至地面区域污染物的性质和生产单元的构筑方式，将厂区划分为重点</w:t>
            </w:r>
            <w:r>
              <w:rPr>
                <w:rFonts w:hint="eastAsia" w:cs="Times New Roman"/>
                <w:bCs/>
                <w:color w:val="000000" w:themeColor="text1"/>
                <w:kern w:val="2"/>
                <w:sz w:val="24"/>
                <w:szCs w:val="32"/>
                <w:highlight w:val="none"/>
                <w:lang w:val="en-US" w:eastAsia="zh-CN" w:bidi="ar-SA"/>
                <w14:textFill>
                  <w14:solidFill>
                    <w14:schemeClr w14:val="tx1"/>
                  </w14:solidFill>
                </w14:textFill>
              </w:rPr>
              <w:t>防渗区</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w:t>
            </w:r>
            <w:r>
              <w:rPr>
                <w:rFonts w:hint="eastAsia" w:cs="Times New Roman"/>
                <w:bCs/>
                <w:color w:val="000000" w:themeColor="text1"/>
                <w:kern w:val="2"/>
                <w:sz w:val="24"/>
                <w:szCs w:val="32"/>
                <w:highlight w:val="none"/>
                <w:lang w:val="en-US" w:eastAsia="zh-CN" w:bidi="ar-SA"/>
                <w14:textFill>
                  <w14:solidFill>
                    <w14:schemeClr w14:val="tx1"/>
                  </w14:solidFill>
                </w14:textFill>
              </w:rPr>
              <w:t>简单防渗区</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，针对不同的区域提出相应的防渗要求。结合项目的特点，项目防渗防治分区见</w:t>
            </w:r>
            <w:r>
              <w:rPr>
                <w:rFonts w:hint="eastAsia" w:cs="Times New Roman"/>
                <w:bCs/>
                <w:color w:val="000000" w:themeColor="text1"/>
                <w:kern w:val="2"/>
                <w:sz w:val="24"/>
                <w:szCs w:val="32"/>
                <w:highlight w:val="none"/>
                <w:lang w:val="en-US" w:eastAsia="zh-CN" w:bidi="ar-SA"/>
                <w14:textFill>
                  <w14:solidFill>
                    <w14:schemeClr w14:val="tx1"/>
                  </w14:solidFill>
                </w14:textFill>
              </w:rPr>
              <w:t>下</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表。</w:t>
            </w:r>
          </w:p>
          <w:p w14:paraId="69BA8AD0">
            <w:pPr>
              <w:spacing w:line="360" w:lineRule="auto"/>
              <w:jc w:val="center"/>
              <w:rPr>
                <w:rFonts w:ascii="宋体" w:cs="宋体"/>
                <w:b/>
                <w:bCs w:val="0"/>
                <w:color w:val="000000" w:themeColor="text1"/>
                <w:kern w:val="0"/>
                <w:sz w:val="24"/>
                <w:szCs w:val="24"/>
                <w:highlight w:val="none"/>
                <w14:textFill>
                  <w14:solidFill>
                    <w14:schemeClr w14:val="tx1"/>
                  </w14:solidFill>
                </w14:textFill>
              </w:rPr>
            </w:pPr>
            <w:r>
              <w:rPr>
                <w:rFonts w:hint="eastAsia" w:cs="宋体"/>
                <w:b/>
                <w:bCs w:val="0"/>
                <w:color w:val="000000" w:themeColor="text1"/>
                <w:sz w:val="24"/>
                <w:szCs w:val="24"/>
                <w:highlight w:val="none"/>
                <w14:textFill>
                  <w14:solidFill>
                    <w14:schemeClr w14:val="tx1"/>
                  </w14:solidFill>
                </w14:textFill>
              </w:rPr>
              <w:t xml:space="preserve">表 </w:t>
            </w:r>
            <w:r>
              <w:rPr>
                <w:rFonts w:hint="eastAsia"/>
                <w:b/>
                <w:bCs w:val="0"/>
                <w:color w:val="000000" w:themeColor="text1"/>
                <w:sz w:val="24"/>
                <w:szCs w:val="24"/>
                <w:highlight w:val="none"/>
                <w:lang w:val="en-US" w:eastAsia="zh-CN"/>
                <w14:textFill>
                  <w14:solidFill>
                    <w14:schemeClr w14:val="tx1"/>
                  </w14:solidFill>
                </w14:textFill>
              </w:rPr>
              <w:t>4-9</w:t>
            </w:r>
            <w:r>
              <w:rPr>
                <w:b/>
                <w:bCs w:val="0"/>
                <w:color w:val="000000" w:themeColor="text1"/>
                <w:sz w:val="24"/>
                <w:szCs w:val="24"/>
                <w:highlight w:val="none"/>
                <w14:textFill>
                  <w14:solidFill>
                    <w14:schemeClr w14:val="tx1"/>
                  </w14:solidFill>
                </w14:textFill>
              </w:rPr>
              <w:t xml:space="preserve">  </w:t>
            </w:r>
            <w:r>
              <w:rPr>
                <w:rFonts w:hint="eastAsia"/>
                <w:b/>
                <w:bCs w:val="0"/>
                <w:color w:val="000000" w:themeColor="text1"/>
                <w:sz w:val="24"/>
                <w:szCs w:val="24"/>
                <w:highlight w:val="none"/>
                <w14:textFill>
                  <w14:solidFill>
                    <w14:schemeClr w14:val="tx1"/>
                  </w14:solidFill>
                </w14:textFill>
              </w:rPr>
              <w:t>本项目实施后废气污染物排放情况一览表</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648"/>
              <w:gridCol w:w="3950"/>
              <w:gridCol w:w="2663"/>
            </w:tblGrid>
            <w:tr w14:paraId="247EB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47" w:hRule="atLeast"/>
              </w:trPr>
              <w:tc>
                <w:tcPr>
                  <w:tcW w:w="1547" w:type="dxa"/>
                  <w:shd w:val="clear" w:color="auto" w:fill="auto"/>
                  <w:vAlign w:val="center"/>
                </w:tcPr>
                <w:p w14:paraId="5315D545">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防治分区</w:t>
                  </w:r>
                </w:p>
              </w:tc>
              <w:tc>
                <w:tcPr>
                  <w:tcW w:w="3709" w:type="dxa"/>
                  <w:shd w:val="clear" w:color="auto" w:fill="auto"/>
                  <w:vAlign w:val="center"/>
                </w:tcPr>
                <w:p w14:paraId="3BA7E9C1">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装置或者构筑物名称</w:t>
                  </w:r>
                </w:p>
              </w:tc>
              <w:tc>
                <w:tcPr>
                  <w:tcW w:w="2501" w:type="dxa"/>
                  <w:shd w:val="clear" w:color="auto" w:fill="auto"/>
                  <w:vAlign w:val="center"/>
                </w:tcPr>
                <w:p w14:paraId="6F237EE4">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防渗区域</w:t>
                  </w:r>
                </w:p>
              </w:tc>
            </w:tr>
            <w:tr w14:paraId="657B8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c>
                <w:tcPr>
                  <w:tcW w:w="1547" w:type="dxa"/>
                  <w:shd w:val="clear" w:color="auto" w:fill="auto"/>
                  <w:vAlign w:val="center"/>
                </w:tcPr>
                <w:p w14:paraId="7B5053F1">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重点防渗区</w:t>
                  </w:r>
                </w:p>
              </w:tc>
              <w:tc>
                <w:tcPr>
                  <w:tcW w:w="3709" w:type="dxa"/>
                  <w:shd w:val="clear" w:color="auto" w:fill="auto"/>
                  <w:vAlign w:val="center"/>
                </w:tcPr>
                <w:p w14:paraId="5D3FDA08">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危废暂存间</w:t>
                  </w:r>
                </w:p>
              </w:tc>
              <w:tc>
                <w:tcPr>
                  <w:tcW w:w="2501" w:type="dxa"/>
                  <w:shd w:val="clear" w:color="auto" w:fill="auto"/>
                  <w:vAlign w:val="center"/>
                </w:tcPr>
                <w:p w14:paraId="561AEE4D">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地面</w:t>
                  </w:r>
                </w:p>
              </w:tc>
            </w:tr>
            <w:tr w14:paraId="64B71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 w:hRule="atLeast"/>
              </w:trPr>
              <w:tc>
                <w:tcPr>
                  <w:tcW w:w="1547" w:type="dxa"/>
                  <w:shd w:val="clear" w:color="auto" w:fill="auto"/>
                  <w:vAlign w:val="center"/>
                </w:tcPr>
                <w:p w14:paraId="08B8E5DE">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简单防渗区</w:t>
                  </w:r>
                </w:p>
              </w:tc>
              <w:tc>
                <w:tcPr>
                  <w:tcW w:w="3709" w:type="dxa"/>
                  <w:shd w:val="clear" w:color="auto" w:fill="auto"/>
                  <w:vAlign w:val="center"/>
                </w:tcPr>
                <w:p w14:paraId="28CD5A2D">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项目生产车间等其他区域</w:t>
                  </w:r>
                </w:p>
              </w:tc>
              <w:tc>
                <w:tcPr>
                  <w:tcW w:w="2501" w:type="dxa"/>
                  <w:shd w:val="clear" w:color="auto" w:fill="auto"/>
                  <w:vAlign w:val="center"/>
                </w:tcPr>
                <w:p w14:paraId="3F96EFC6">
                  <w:pPr>
                    <w:jc w:val="center"/>
                    <w:rPr>
                      <w:rFonts w:hint="default" w:eastAsia="宋体"/>
                      <w:color w:val="000000" w:themeColor="text1"/>
                      <w:sz w:val="21"/>
                      <w:szCs w:val="24"/>
                      <w:highlight w:val="none"/>
                      <w:lang w:val="en-US" w:eastAsia="zh-CN"/>
                      <w14:textFill>
                        <w14:solidFill>
                          <w14:schemeClr w14:val="tx1"/>
                        </w14:solidFill>
                      </w14:textFill>
                    </w:rPr>
                  </w:pPr>
                  <w:r>
                    <w:rPr>
                      <w:rFonts w:hint="eastAsia"/>
                      <w:color w:val="000000" w:themeColor="text1"/>
                      <w:sz w:val="21"/>
                      <w:szCs w:val="24"/>
                      <w:highlight w:val="none"/>
                      <w:lang w:val="en-US" w:eastAsia="zh-CN"/>
                      <w14:textFill>
                        <w14:solidFill>
                          <w14:schemeClr w14:val="tx1"/>
                        </w14:solidFill>
                      </w14:textFill>
                    </w:rPr>
                    <w:t>地面</w:t>
                  </w:r>
                </w:p>
              </w:tc>
            </w:tr>
          </w:tbl>
          <w:p w14:paraId="5EB40ACF">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②防渗要求</w:t>
            </w:r>
          </w:p>
          <w:p w14:paraId="46D78CD2">
            <w:pPr>
              <w:spacing w:line="360" w:lineRule="auto"/>
              <w:ind w:firstLine="480" w:firstLineChars="200"/>
              <w:rPr>
                <w:rFonts w:hint="eastAsia"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根据《环境影响评价技术导则地下水环境》(HJ610-2016)的要求，重点防渗区的防渗性能</w:t>
            </w:r>
            <w:r>
              <w:rPr>
                <w:rFonts w:hint="eastAsia" w:cs="Times New Roman"/>
                <w:bCs/>
                <w:color w:val="000000" w:themeColor="text1"/>
                <w:kern w:val="2"/>
                <w:sz w:val="24"/>
                <w:szCs w:val="32"/>
                <w:highlight w:val="none"/>
                <w:lang w:val="en-US" w:eastAsia="zh-CN" w:bidi="ar-SA"/>
                <w14:textFill>
                  <w14:solidFill>
                    <w14:schemeClr w14:val="tx1"/>
                  </w14:solidFill>
                </w14:textFill>
              </w:rPr>
              <w:t>为：</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等效黏土防渗层</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6.0m，渗透系数</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1.0</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10</w:t>
            </w:r>
            <w:r>
              <w:rPr>
                <w:rFonts w:hint="eastAsia" w:cs="Times New Roman"/>
                <w:bCs/>
                <w:color w:val="000000" w:themeColor="text1"/>
                <w:kern w:val="2"/>
                <w:sz w:val="24"/>
                <w:szCs w:val="32"/>
                <w:highlight w:val="none"/>
                <w:vertAlign w:val="superscript"/>
                <w:lang w:val="en-US" w:eastAsia="zh-CN" w:bidi="ar-SA"/>
                <w14:textFill>
                  <w14:solidFill>
                    <w14:schemeClr w14:val="tx1"/>
                  </w14:solidFill>
                </w14:textFill>
              </w:rPr>
              <w:t>-7</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cm</w:t>
            </w:r>
            <w:r>
              <w:rPr>
                <w:rFonts w:hint="eastAsia" w:cs="Times New Roman"/>
                <w:bCs/>
                <w:color w:val="000000" w:themeColor="text1"/>
                <w:kern w:val="2"/>
                <w:sz w:val="24"/>
                <w:szCs w:val="32"/>
                <w:highlight w:val="none"/>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s。危险废物暂存场重点防渗区应按照《危险废物污染防治技术政策》及《危险废物贮存污染控制标准》(GB18597-2023)等危险废物处理的相关标准、法律法规的要求</w:t>
            </w:r>
            <w:r>
              <w:rPr>
                <w:rFonts w:hint="eastAsia" w:cs="Times New Roman"/>
                <w:bCs/>
                <w:color w:val="000000" w:themeColor="text1"/>
                <w:kern w:val="2"/>
                <w:sz w:val="24"/>
                <w:szCs w:val="32"/>
                <w:highlight w:val="none"/>
                <w:lang w:val="en-US" w:eastAsia="zh-CN" w:bidi="ar-SA"/>
                <w14:textFill>
                  <w14:solidFill>
                    <w14:schemeClr w14:val="tx1"/>
                  </w14:solidFill>
                </w14:textFill>
              </w:rPr>
              <w:t>。</w:t>
            </w:r>
          </w:p>
          <w:p w14:paraId="29EA7502">
            <w:pPr>
              <w:spacing w:line="360" w:lineRule="auto"/>
              <w:ind w:firstLine="480" w:firstLineChars="200"/>
              <w:rPr>
                <w:rFonts w:hint="default"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根据《环境影响评价技术导则地下水环境》(HJ610-2016)，</w:t>
            </w:r>
            <w:r>
              <w:rPr>
                <w:rFonts w:hint="eastAsia" w:cs="Times New Roman"/>
                <w:bCs/>
                <w:color w:val="000000" w:themeColor="text1"/>
                <w:kern w:val="2"/>
                <w:sz w:val="24"/>
                <w:szCs w:val="32"/>
                <w:highlight w:val="none"/>
                <w:lang w:val="en-US" w:eastAsia="zh-CN" w:bidi="ar-SA"/>
                <w14:textFill>
                  <w14:solidFill>
                    <w14:schemeClr w14:val="tx1"/>
                  </w14:solidFill>
                </w14:textFill>
              </w:rPr>
              <w:t>简单防渗区要求为一般地面硬化。一般工业固体废物暂存场一般防渗区应按照《一般工业固体废物贮存处置场污染控制标准》中固废临时贮存场所的要求进行设计。</w:t>
            </w:r>
          </w:p>
          <w:p w14:paraId="679C66AE">
            <w:pPr>
              <w:spacing w:line="360" w:lineRule="auto"/>
              <w:ind w:firstLine="480" w:firstLineChars="200"/>
              <w:rPr>
                <w:rFonts w:hint="default"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cs="Times New Roman"/>
                <w:bCs/>
                <w:color w:val="000000" w:themeColor="text1"/>
                <w:kern w:val="2"/>
                <w:sz w:val="24"/>
                <w:szCs w:val="32"/>
                <w:highlight w:val="none"/>
                <w:lang w:val="en-US" w:eastAsia="zh-CN" w:bidi="ar-SA"/>
                <w14:textFill>
                  <w14:solidFill>
                    <w14:schemeClr w14:val="tx1"/>
                  </w14:solidFill>
                </w14:textFill>
              </w:rPr>
              <w:t>（2）监控措施</w:t>
            </w:r>
          </w:p>
          <w:p w14:paraId="5C1CB81C">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①建立健全环境管理和监测制度，保证各环保设施正常运转，同时强化风险防范意识，如遇环保设施不能正常运转，应立即停产检修</w:t>
            </w:r>
            <w:r>
              <w:rPr>
                <w:rFonts w:hint="eastAsia" w:cs="Times New Roman"/>
                <w:bCs/>
                <w:color w:val="000000" w:themeColor="text1"/>
                <w:kern w:val="2"/>
                <w:sz w:val="24"/>
                <w:szCs w:val="32"/>
                <w:highlight w:val="none"/>
                <w:lang w:val="en-US" w:eastAsia="zh-CN" w:bidi="ar-SA"/>
                <w14:textFill>
                  <w14:solidFill>
                    <w14:schemeClr w14:val="tx1"/>
                  </w14:solidFill>
                </w14:textFill>
              </w:rPr>
              <w:t>；</w:t>
            </w:r>
          </w:p>
          <w:p w14:paraId="0343BDEF">
            <w:pPr>
              <w:spacing w:line="360" w:lineRule="auto"/>
              <w:ind w:firstLine="480" w:firstLineChars="200"/>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②若发生危险废物泄漏等，必要时委托有资质的单位对厂址周边地下水、土壤等进行跟踪监测，掌握厂址周边污染变化趋势。</w:t>
            </w:r>
          </w:p>
          <w:p w14:paraId="18626448">
            <w:pPr>
              <w:spacing w:line="360" w:lineRule="auto"/>
              <w:ind w:firstLine="480" w:firstLineChars="200"/>
              <w:rPr>
                <w:rFonts w:hint="eastAsia" w:cs="Times New Roman"/>
                <w:bCs/>
                <w:color w:val="000000" w:themeColor="text1"/>
                <w:kern w:val="2"/>
                <w:sz w:val="24"/>
                <w:szCs w:val="32"/>
                <w:highlight w:val="none"/>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32"/>
                <w:highlight w:val="none"/>
                <w:lang w:val="en-US" w:eastAsia="zh-CN" w:bidi="ar-SA"/>
                <w14:textFill>
                  <w14:solidFill>
                    <w14:schemeClr w14:val="tx1"/>
                  </w14:solidFill>
                </w14:textFill>
              </w:rPr>
              <w:t>③在今后的生产活动中，做好设备的维护、检修，杜绝跑、冒、滴、漏现象。同时，加强污染物产生主要环节的收集治理，加强厂区的安全防护、环境风险防范措施，以便及时发现事故隐患，及时采取有效的应对措施</w:t>
            </w:r>
            <w:r>
              <w:rPr>
                <w:rFonts w:hint="eastAsia" w:cs="Times New Roman"/>
                <w:bCs/>
                <w:color w:val="000000" w:themeColor="text1"/>
                <w:kern w:val="2"/>
                <w:sz w:val="24"/>
                <w:szCs w:val="32"/>
                <w:highlight w:val="none"/>
                <w:lang w:val="en-US" w:eastAsia="zh-CN" w:bidi="ar-SA"/>
                <w14:textFill>
                  <w14:solidFill>
                    <w14:schemeClr w14:val="tx1"/>
                  </w14:solidFill>
                </w14:textFill>
              </w:rPr>
              <w:t>。</w:t>
            </w:r>
          </w:p>
          <w:p w14:paraId="35860EB9">
            <w:pPr>
              <w:pStyle w:val="37"/>
              <w:spacing w:before="120" w:beforeLines="50"/>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14:textFill>
                  <w14:solidFill>
                    <w14:schemeClr w14:val="tx1"/>
                  </w14:solidFill>
                </w14:textFill>
              </w:rPr>
              <w:t>4</w:t>
            </w:r>
            <w:r>
              <w:rPr>
                <w:color w:val="000000" w:themeColor="text1"/>
                <w:sz w:val="24"/>
                <w:szCs w:val="21"/>
                <w:highlight w:val="none"/>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6生态环境影响分析</w:t>
            </w:r>
          </w:p>
          <w:p w14:paraId="757D39E6">
            <w:pPr>
              <w:spacing w:line="360" w:lineRule="auto"/>
              <w:ind w:firstLine="480" w:firstLineChars="200"/>
              <w:rPr>
                <w:rFonts w:hint="eastAsia" w:cs="Times New Roman"/>
                <w:bCs/>
                <w:color w:val="000000" w:themeColor="text1"/>
                <w:kern w:val="2"/>
                <w:sz w:val="24"/>
                <w:szCs w:val="32"/>
                <w:highlight w:val="none"/>
                <w:lang w:val="en-US" w:eastAsia="zh-CN" w:bidi="ar-SA"/>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本项目租用福建西诚电子有限公司在福建省福州市闽侯县祥谦镇辅翼村、卜洲村福建西诚电子工业园第三座1-3层，不涉及新增占地，不会对周边生态环境产生影响。</w:t>
            </w:r>
          </w:p>
          <w:p w14:paraId="41A0C5CB">
            <w:pPr>
              <w:pStyle w:val="37"/>
              <w:spacing w:before="120" w:beforeLines="50"/>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14:textFill>
                  <w14:solidFill>
                    <w14:schemeClr w14:val="tx1"/>
                  </w14:solidFill>
                </w14:textFill>
              </w:rPr>
              <w:t>4</w:t>
            </w:r>
            <w:r>
              <w:rPr>
                <w:color w:val="000000" w:themeColor="text1"/>
                <w:sz w:val="24"/>
                <w:szCs w:val="21"/>
                <w:highlight w:val="none"/>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7</w:t>
            </w:r>
            <w:r>
              <w:rPr>
                <w:color w:val="000000" w:themeColor="text1"/>
                <w:sz w:val="24"/>
                <w:szCs w:val="21"/>
                <w:highlight w:val="none"/>
                <w14:textFill>
                  <w14:solidFill>
                    <w14:schemeClr w14:val="tx1"/>
                  </w14:solidFill>
                </w14:textFill>
              </w:rPr>
              <w:t>环境风险</w:t>
            </w:r>
            <w:r>
              <w:rPr>
                <w:rFonts w:hint="eastAsia"/>
                <w:color w:val="000000" w:themeColor="text1"/>
                <w:sz w:val="24"/>
                <w:szCs w:val="21"/>
                <w:highlight w:val="none"/>
                <w:lang w:val="en-US" w:eastAsia="zh-CN"/>
                <w14:textFill>
                  <w14:solidFill>
                    <w14:schemeClr w14:val="tx1"/>
                  </w14:solidFill>
                </w14:textFill>
              </w:rPr>
              <w:t>影响分析和保护措施</w:t>
            </w:r>
          </w:p>
          <w:p w14:paraId="6513F49A">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4.7.1项目风险物质调查</w:t>
            </w:r>
          </w:p>
          <w:p w14:paraId="607214FF">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根据本项目涉及的原辅材料、产品、污染物等种类，经查询《建设项目环境风险评价技术导则》HJ169-2018)附录B可知，</w:t>
            </w:r>
            <w:r>
              <w:rPr>
                <w:rFonts w:hint="eastAsia" w:ascii="Times New Roman" w:hAnsi="Times New Roman" w:cs="Times New Roman"/>
                <w:color w:val="000000" w:themeColor="text1"/>
                <w:sz w:val="24"/>
                <w:szCs w:val="18"/>
                <w:highlight w:val="none"/>
                <w:lang w:val="en-US" w:eastAsia="zh-CN"/>
                <w14:textFill>
                  <w14:solidFill>
                    <w14:schemeClr w14:val="tx1"/>
                  </w14:solidFill>
                </w14:textFill>
              </w:rPr>
              <w:t>本项目</w:t>
            </w:r>
            <w:r>
              <w:rPr>
                <w:rFonts w:hint="default" w:ascii="Times New Roman" w:hAnsi="Times New Roman" w:cs="Times New Roman"/>
                <w:color w:val="000000" w:themeColor="text1"/>
                <w:sz w:val="24"/>
                <w:szCs w:val="18"/>
                <w:highlight w:val="none"/>
                <w14:textFill>
                  <w14:solidFill>
                    <w14:schemeClr w14:val="tx1"/>
                  </w14:solidFill>
                </w14:textFill>
              </w:rPr>
              <w:t>涉及</w:t>
            </w:r>
            <w:r>
              <w:rPr>
                <w:rFonts w:hint="eastAsia" w:ascii="Times New Roman" w:hAnsi="Times New Roman" w:cs="Times New Roman"/>
                <w:color w:val="000000" w:themeColor="text1"/>
                <w:sz w:val="24"/>
                <w:szCs w:val="18"/>
                <w:highlight w:val="none"/>
                <w:lang w:val="en-US" w:eastAsia="zh-CN"/>
                <w14:textFill>
                  <w14:solidFill>
                    <w14:schemeClr w14:val="tx1"/>
                  </w14:solidFill>
                </w14:textFill>
              </w:rPr>
              <w:t>的</w:t>
            </w:r>
            <w:r>
              <w:rPr>
                <w:rFonts w:hint="default" w:ascii="Times New Roman" w:hAnsi="Times New Roman" w:cs="Times New Roman"/>
                <w:color w:val="000000" w:themeColor="text1"/>
                <w:sz w:val="24"/>
                <w:szCs w:val="18"/>
                <w:highlight w:val="none"/>
                <w14:textFill>
                  <w14:solidFill>
                    <w14:schemeClr w14:val="tx1"/>
                  </w14:solidFill>
                </w14:textFill>
              </w:rPr>
              <w:t>危险</w:t>
            </w:r>
            <w:r>
              <w:rPr>
                <w:rFonts w:hint="eastAsia" w:cs="Times New Roman"/>
                <w:color w:val="000000" w:themeColor="text1"/>
                <w:sz w:val="24"/>
                <w:szCs w:val="18"/>
                <w:highlight w:val="none"/>
                <w:lang w:eastAsia="zh-CN"/>
                <w14:textFill>
                  <w14:solidFill>
                    <w14:schemeClr w14:val="tx1"/>
                  </w14:solidFill>
                </w14:textFill>
              </w:rPr>
              <w:t>物质</w:t>
            </w:r>
            <w:r>
              <w:rPr>
                <w:rFonts w:hint="eastAsia" w:ascii="Times New Roman" w:hAnsi="Times New Roman" w:cs="Times New Roman"/>
                <w:color w:val="000000" w:themeColor="text1"/>
                <w:sz w:val="24"/>
                <w:szCs w:val="18"/>
                <w:highlight w:val="none"/>
                <w:lang w:val="en-US" w:eastAsia="zh-CN"/>
                <w14:textFill>
                  <w14:solidFill>
                    <w14:schemeClr w14:val="tx1"/>
                  </w14:solidFill>
                </w14:textFill>
              </w:rPr>
              <w:t>主要</w:t>
            </w:r>
            <w:r>
              <w:rPr>
                <w:rFonts w:hint="default" w:ascii="Times New Roman" w:hAnsi="Times New Roman" w:cs="Times New Roman"/>
                <w:color w:val="000000" w:themeColor="text1"/>
                <w:sz w:val="24"/>
                <w:szCs w:val="18"/>
                <w:highlight w:val="none"/>
                <w14:textFill>
                  <w14:solidFill>
                    <w14:schemeClr w14:val="tx1"/>
                  </w14:solidFill>
                </w14:textFill>
              </w:rPr>
              <w:t>是危险废物中的</w:t>
            </w:r>
            <w:r>
              <w:rPr>
                <w:rFonts w:hint="default" w:ascii="Times New Roman" w:hAnsi="Times New Roman" w:cs="Times New Roman"/>
                <w:color w:val="000000" w:themeColor="text1"/>
                <w:sz w:val="24"/>
                <w:szCs w:val="18"/>
                <w:highlight w:val="none"/>
                <w:lang w:val="en-US" w:eastAsia="zh-CN"/>
                <w14:textFill>
                  <w14:solidFill>
                    <w14:schemeClr w14:val="tx1"/>
                  </w14:solidFill>
                </w14:textFill>
              </w:rPr>
              <w:t>废润滑油、废油桶、废活性炭等</w:t>
            </w:r>
            <w:r>
              <w:rPr>
                <w:rFonts w:hint="default" w:ascii="Times New Roman" w:hAnsi="Times New Roman" w:cs="Times New Roman"/>
                <w:color w:val="000000" w:themeColor="text1"/>
                <w:sz w:val="24"/>
                <w:szCs w:val="18"/>
                <w:highlight w:val="none"/>
                <w14:textFill>
                  <w14:solidFill>
                    <w14:schemeClr w14:val="tx1"/>
                  </w14:solidFill>
                </w14:textFill>
              </w:rPr>
              <w:t>。详见</w:t>
            </w:r>
            <w:r>
              <w:rPr>
                <w:rFonts w:hint="eastAsia" w:ascii="Times New Roman" w:hAnsi="Times New Roman" w:cs="Times New Roman"/>
                <w:color w:val="000000" w:themeColor="text1"/>
                <w:sz w:val="24"/>
                <w:szCs w:val="18"/>
                <w:highlight w:val="none"/>
                <w:lang w:val="en-US" w:eastAsia="zh-CN"/>
                <w14:textFill>
                  <w14:solidFill>
                    <w14:schemeClr w14:val="tx1"/>
                  </w14:solidFill>
                </w14:textFill>
              </w:rPr>
              <w:t>下</w:t>
            </w:r>
            <w:r>
              <w:rPr>
                <w:rFonts w:hint="default" w:ascii="Times New Roman" w:hAnsi="Times New Roman" w:cs="Times New Roman"/>
                <w:color w:val="000000" w:themeColor="text1"/>
                <w:sz w:val="24"/>
                <w:szCs w:val="18"/>
                <w:highlight w:val="none"/>
                <w14:textFill>
                  <w14:solidFill>
                    <w14:schemeClr w14:val="tx1"/>
                  </w14:solidFill>
                </w14:textFill>
              </w:rPr>
              <w:t>表。</w:t>
            </w:r>
          </w:p>
          <w:p w14:paraId="675F5039">
            <w:pPr>
              <w:pStyle w:val="83"/>
              <w:spacing w:line="360" w:lineRule="auto"/>
              <w:rPr>
                <w:rFonts w:hint="eastAsia" w:ascii="Times New Roman" w:hAnsi="Times New Roman" w:eastAsia="宋体" w:cs="宋体"/>
                <w:b/>
                <w:bCs w:val="0"/>
                <w:color w:val="000000" w:themeColor="text1"/>
                <w:kern w:val="2"/>
                <w:sz w:val="24"/>
                <w:szCs w:val="24"/>
                <w:highlight w:val="none"/>
                <w:lang w:val="en-US" w:eastAsia="zh-CN" w:bidi="ar-SA"/>
                <w14:textFill>
                  <w14:solidFill>
                    <w14:schemeClr w14:val="tx1"/>
                  </w14:solidFill>
                </w14:textFill>
              </w:rPr>
            </w:pPr>
            <w:bookmarkStart w:id="12" w:name="_Hlk160480025"/>
            <w:r>
              <w:rPr>
                <w:rFonts w:hint="eastAsia" w:hAnsi="Times New Roman" w:eastAsia="宋体" w:cs="宋体"/>
                <w:b/>
                <w:bCs w:val="0"/>
                <w:color w:val="000000" w:themeColor="text1"/>
                <w:kern w:val="2"/>
                <w:sz w:val="24"/>
                <w:szCs w:val="24"/>
                <w:highlight w:val="none"/>
                <w:lang w:val="en-US" w:eastAsia="zh-CN" w:bidi="ar-SA"/>
                <w14:textFill>
                  <w14:solidFill>
                    <w14:schemeClr w14:val="tx1"/>
                  </w14:solidFill>
                </w14:textFill>
              </w:rPr>
              <w:t>表4-10</w:t>
            </w:r>
            <w:r>
              <w:rPr>
                <w:rFonts w:hint="eastAsia" w:ascii="Times New Roman" w:hAnsi="Times New Roman" w:eastAsia="宋体" w:cs="宋体"/>
                <w:b/>
                <w:bCs w:val="0"/>
                <w:color w:val="000000" w:themeColor="text1"/>
                <w:kern w:val="2"/>
                <w:sz w:val="24"/>
                <w:szCs w:val="24"/>
                <w:highlight w:val="none"/>
                <w:lang w:val="en-US" w:eastAsia="zh-CN" w:bidi="ar-SA"/>
                <w14:textFill>
                  <w14:solidFill>
                    <w14:schemeClr w14:val="tx1"/>
                  </w14:solidFill>
                </w14:textFill>
              </w:rPr>
              <w:t xml:space="preserve"> </w:t>
            </w:r>
            <w:bookmarkEnd w:id="12"/>
            <w:r>
              <w:rPr>
                <w:rFonts w:hint="eastAsia" w:ascii="Times New Roman" w:hAnsi="Times New Roman" w:eastAsia="宋体" w:cs="宋体"/>
                <w:b/>
                <w:bCs w:val="0"/>
                <w:color w:val="000000" w:themeColor="text1"/>
                <w:kern w:val="2"/>
                <w:sz w:val="24"/>
                <w:szCs w:val="24"/>
                <w:highlight w:val="none"/>
                <w:lang w:val="en-US" w:eastAsia="zh-CN" w:bidi="ar-SA"/>
                <w14:textFill>
                  <w14:solidFill>
                    <w14:schemeClr w14:val="tx1"/>
                  </w14:solidFill>
                </w14:textFill>
              </w:rPr>
              <w:t xml:space="preserve"> </w:t>
            </w:r>
            <w:r>
              <w:rPr>
                <w:rFonts w:hint="eastAsia" w:hAnsi="Times New Roman" w:eastAsia="宋体" w:cs="宋体"/>
                <w:b/>
                <w:bCs w:val="0"/>
                <w:color w:val="000000" w:themeColor="text1"/>
                <w:kern w:val="2"/>
                <w:sz w:val="24"/>
                <w:szCs w:val="24"/>
                <w:highlight w:val="none"/>
                <w:lang w:val="en-US" w:eastAsia="zh-CN" w:bidi="ar-SA"/>
                <w14:textFill>
                  <w14:solidFill>
                    <w14:schemeClr w14:val="tx1"/>
                  </w14:solidFill>
                </w14:textFill>
              </w:rPr>
              <w:t>环境风险物质</w:t>
            </w:r>
            <w:r>
              <w:rPr>
                <w:rFonts w:hint="eastAsia" w:ascii="Times New Roman" w:hAnsi="Times New Roman" w:eastAsia="宋体" w:cs="宋体"/>
                <w:b/>
                <w:bCs w:val="0"/>
                <w:color w:val="000000" w:themeColor="text1"/>
                <w:kern w:val="2"/>
                <w:sz w:val="24"/>
                <w:szCs w:val="24"/>
                <w:highlight w:val="none"/>
                <w:lang w:val="en-US" w:eastAsia="zh-CN" w:bidi="ar-SA"/>
                <w14:textFill>
                  <w14:solidFill>
                    <w14:schemeClr w14:val="tx1"/>
                  </w14:solidFill>
                </w14:textFill>
              </w:rPr>
              <w:t>Q值计算</w:t>
            </w:r>
            <w:r>
              <w:rPr>
                <w:rFonts w:hint="eastAsia" w:hAnsi="Times New Roman" w:eastAsia="宋体" w:cs="宋体"/>
                <w:b/>
                <w:bCs w:val="0"/>
                <w:color w:val="000000" w:themeColor="text1"/>
                <w:kern w:val="2"/>
                <w:sz w:val="24"/>
                <w:szCs w:val="24"/>
                <w:highlight w:val="none"/>
                <w:lang w:val="en-US" w:eastAsia="zh-CN" w:bidi="ar-SA"/>
                <w14:textFill>
                  <w14:solidFill>
                    <w14:schemeClr w14:val="tx1"/>
                  </w14:solidFill>
                </w14:textFill>
              </w:rPr>
              <w:t>一览表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5"/>
              <w:gridCol w:w="1615"/>
              <w:gridCol w:w="1960"/>
              <w:gridCol w:w="2671"/>
            </w:tblGrid>
            <w:tr w14:paraId="30D4D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1220" w:type="pct"/>
                  <w:shd w:val="clear" w:color="auto" w:fill="auto"/>
                  <w:vAlign w:val="center"/>
                </w:tcPr>
                <w:p w14:paraId="7D597E99">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物质名称</w:t>
                  </w:r>
                </w:p>
              </w:tc>
              <w:tc>
                <w:tcPr>
                  <w:tcW w:w="977" w:type="pct"/>
                  <w:shd w:val="clear" w:color="auto" w:fill="auto"/>
                  <w:vAlign w:val="center"/>
                </w:tcPr>
                <w:p w14:paraId="35DE6B23">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临界量（t）</w:t>
                  </w:r>
                </w:p>
              </w:tc>
              <w:tc>
                <w:tcPr>
                  <w:tcW w:w="1185" w:type="pct"/>
                  <w:shd w:val="clear" w:color="auto" w:fill="auto"/>
                  <w:vAlign w:val="center"/>
                </w:tcPr>
                <w:p w14:paraId="01B800ED">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最大</w:t>
                  </w:r>
                  <w:r>
                    <w:rPr>
                      <w:rFonts w:hint="eastAsia" w:ascii="Times New Roman" w:hAnsi="Times New Roman" w:cs="Times New Roman"/>
                      <w:color w:val="000000" w:themeColor="text1"/>
                      <w:kern w:val="2"/>
                      <w:sz w:val="21"/>
                      <w:szCs w:val="21"/>
                      <w:highlight w:val="none"/>
                      <w:lang w:eastAsia="zh-CN"/>
                      <w14:textFill>
                        <w14:solidFill>
                          <w14:schemeClr w14:val="tx1"/>
                        </w14:solidFill>
                      </w14:textFill>
                    </w:rPr>
                    <w:t>存在</w:t>
                  </w:r>
                  <w:r>
                    <w:rPr>
                      <w:rFonts w:ascii="Times New Roman" w:hAnsi="Times New Roman" w:cs="Times New Roman"/>
                      <w:color w:val="000000" w:themeColor="text1"/>
                      <w:kern w:val="2"/>
                      <w:sz w:val="21"/>
                      <w:szCs w:val="21"/>
                      <w:highlight w:val="none"/>
                      <w14:textFill>
                        <w14:solidFill>
                          <w14:schemeClr w14:val="tx1"/>
                        </w14:solidFill>
                      </w14:textFill>
                    </w:rPr>
                    <w:t>量（t）</w:t>
                  </w:r>
                </w:p>
              </w:tc>
              <w:tc>
                <w:tcPr>
                  <w:tcW w:w="1616" w:type="pct"/>
                  <w:shd w:val="clear" w:color="auto" w:fill="auto"/>
                  <w:vAlign w:val="center"/>
                </w:tcPr>
                <w:p w14:paraId="784BC0A5">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该种危险物质Q值</w:t>
                  </w:r>
                </w:p>
              </w:tc>
            </w:tr>
            <w:tr w14:paraId="42D7A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trPr>
              <w:tc>
                <w:tcPr>
                  <w:tcW w:w="1220" w:type="pct"/>
                  <w:shd w:val="clear" w:color="auto" w:fill="auto"/>
                  <w:vAlign w:val="center"/>
                </w:tcPr>
                <w:p w14:paraId="3D637A8D">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废润滑油</w:t>
                  </w:r>
                </w:p>
              </w:tc>
              <w:tc>
                <w:tcPr>
                  <w:tcW w:w="977" w:type="pct"/>
                  <w:shd w:val="clear" w:color="auto" w:fill="auto"/>
                  <w:vAlign w:val="center"/>
                </w:tcPr>
                <w:p w14:paraId="3816B279">
                  <w:pPr>
                    <w:pStyle w:val="36"/>
                    <w:autoSpaceDE/>
                    <w:autoSpaceDN/>
                    <w:spacing w:before="0"/>
                    <w:ind w:left="0"/>
                    <w:jc w:val="center"/>
                    <w:rPr>
                      <w:rFonts w:hint="default"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2500</w:t>
                  </w:r>
                </w:p>
              </w:tc>
              <w:tc>
                <w:tcPr>
                  <w:tcW w:w="1185" w:type="pct"/>
                  <w:shd w:val="clear" w:color="auto" w:fill="auto"/>
                  <w:vAlign w:val="center"/>
                </w:tcPr>
                <w:p w14:paraId="7556C40D">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0.1</w:t>
                  </w:r>
                </w:p>
              </w:tc>
              <w:tc>
                <w:tcPr>
                  <w:tcW w:w="1616" w:type="pct"/>
                  <w:shd w:val="clear" w:color="auto" w:fill="auto"/>
                  <w:vAlign w:val="center"/>
                </w:tcPr>
                <w:p w14:paraId="073F59EE">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0.00004</w:t>
                  </w:r>
                </w:p>
              </w:tc>
            </w:tr>
            <w:tr w14:paraId="56FDE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1220" w:type="pct"/>
                  <w:shd w:val="clear" w:color="auto" w:fill="auto"/>
                  <w:vAlign w:val="center"/>
                </w:tcPr>
                <w:p w14:paraId="202F1DDE">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废油桶</w:t>
                  </w:r>
                </w:p>
              </w:tc>
              <w:tc>
                <w:tcPr>
                  <w:tcW w:w="977" w:type="pct"/>
                  <w:shd w:val="clear" w:color="auto" w:fill="auto"/>
                  <w:vAlign w:val="center"/>
                </w:tcPr>
                <w:p w14:paraId="59B824AC">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50</w:t>
                  </w:r>
                </w:p>
              </w:tc>
              <w:tc>
                <w:tcPr>
                  <w:tcW w:w="1185" w:type="pct"/>
                  <w:shd w:val="clear" w:color="auto" w:fill="auto"/>
                  <w:vAlign w:val="center"/>
                </w:tcPr>
                <w:p w14:paraId="501FE034">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0.1</w:t>
                  </w:r>
                </w:p>
              </w:tc>
              <w:tc>
                <w:tcPr>
                  <w:tcW w:w="1616" w:type="pct"/>
                  <w:shd w:val="clear" w:color="auto" w:fill="auto"/>
                  <w:vAlign w:val="center"/>
                </w:tcPr>
                <w:p w14:paraId="3CA49FF3">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0.002</w:t>
                  </w:r>
                </w:p>
              </w:tc>
            </w:tr>
            <w:tr w14:paraId="07AB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1220" w:type="pct"/>
                  <w:shd w:val="clear" w:color="auto" w:fill="auto"/>
                  <w:vAlign w:val="center"/>
                </w:tcPr>
                <w:p w14:paraId="50F8A911">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废活性炭</w:t>
                  </w:r>
                </w:p>
              </w:tc>
              <w:tc>
                <w:tcPr>
                  <w:tcW w:w="977" w:type="pct"/>
                  <w:shd w:val="clear" w:color="auto" w:fill="auto"/>
                  <w:vAlign w:val="center"/>
                </w:tcPr>
                <w:p w14:paraId="5D1C6CE2">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50</w:t>
                  </w:r>
                </w:p>
              </w:tc>
              <w:tc>
                <w:tcPr>
                  <w:tcW w:w="1185" w:type="pct"/>
                  <w:shd w:val="clear" w:color="auto" w:fill="auto"/>
                  <w:vAlign w:val="center"/>
                </w:tcPr>
                <w:p w14:paraId="0DAF15EA">
                  <w:pPr>
                    <w:pStyle w:val="36"/>
                    <w:autoSpaceDE/>
                    <w:autoSpaceDN/>
                    <w:spacing w:before="0"/>
                    <w:ind w:left="0" w:leftChars="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2.126</w:t>
                  </w:r>
                </w:p>
              </w:tc>
              <w:tc>
                <w:tcPr>
                  <w:tcW w:w="1616" w:type="pct"/>
                  <w:shd w:val="clear" w:color="auto" w:fill="auto"/>
                  <w:vAlign w:val="center"/>
                </w:tcPr>
                <w:p w14:paraId="549F2633">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0.04252</w:t>
                  </w:r>
                </w:p>
              </w:tc>
            </w:tr>
            <w:tr w14:paraId="31D13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383" w:type="pct"/>
                  <w:gridSpan w:val="3"/>
                  <w:shd w:val="clear" w:color="auto" w:fill="auto"/>
                  <w:vAlign w:val="center"/>
                </w:tcPr>
                <w:p w14:paraId="41287EC6">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ascii="Times New Roman" w:hAnsi="Times New Roman" w:cs="Times New Roman"/>
                      <w:color w:val="000000" w:themeColor="text1"/>
                      <w:kern w:val="2"/>
                      <w:sz w:val="21"/>
                      <w:szCs w:val="21"/>
                      <w:highlight w:val="none"/>
                      <w14:textFill>
                        <w14:solidFill>
                          <w14:schemeClr w14:val="tx1"/>
                        </w14:solidFill>
                      </w14:textFill>
                    </w:rPr>
                    <w:t>合计</w:t>
                  </w:r>
                </w:p>
              </w:tc>
              <w:tc>
                <w:tcPr>
                  <w:tcW w:w="1616" w:type="pct"/>
                  <w:shd w:val="clear" w:color="auto" w:fill="auto"/>
                  <w:vAlign w:val="center"/>
                </w:tcPr>
                <w:p w14:paraId="2DC70B5D">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0.04456</w:t>
                  </w:r>
                </w:p>
              </w:tc>
            </w:tr>
          </w:tbl>
          <w:p w14:paraId="379C7F5C">
            <w:pPr>
              <w:pStyle w:val="66"/>
              <w:ind w:firstLine="420"/>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经计算可知，本项目Q&lt;1，该项目环境风险潜势为</w:t>
            </w:r>
            <w:r>
              <w:rPr>
                <w:rFonts w:hint="eastAsia" w:ascii="Times New Roman" w:hAnsi="Times New Roman" w:eastAsia="宋体" w:cs="Times New Roman"/>
                <w:color w:val="000000" w:themeColor="text1"/>
                <w:sz w:val="24"/>
                <w:szCs w:val="18"/>
                <w:highlight w:val="none"/>
                <w:lang w:val="en-US" w:eastAsia="zh-CN"/>
                <w14:textFill>
                  <w14:solidFill>
                    <w14:schemeClr w14:val="tx1"/>
                  </w14:solidFill>
                </w14:textFill>
              </w:rPr>
              <w:t>Ⅰ</w:t>
            </w:r>
            <w:r>
              <w:rPr>
                <w:rFonts w:hint="default" w:ascii="Times New Roman" w:hAnsi="Times New Roman" w:eastAsia="宋体" w:cs="Times New Roman"/>
                <w:color w:val="000000" w:themeColor="text1"/>
                <w:sz w:val="24"/>
                <w:szCs w:val="18"/>
                <w:highlight w:val="none"/>
                <w14:textFill>
                  <w14:solidFill>
                    <w14:schemeClr w14:val="tx1"/>
                  </w14:solidFill>
                </w14:textFill>
              </w:rPr>
              <w:t>，不涉及重大风险源。因此本评价仅做简单分析。</w:t>
            </w:r>
          </w:p>
          <w:p w14:paraId="6FE74000">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4.7.2项目风险识别</w:t>
            </w:r>
          </w:p>
          <w:p w14:paraId="14AC356A">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通过对项目危险物质、行业及生产工艺、生产设备的识别结果，按照《建设项目环境风险评价技术导则》(HJ169-2018)附录B，评价给出风险识别结果见下表。</w:t>
            </w:r>
          </w:p>
          <w:p w14:paraId="13B1986B">
            <w:pPr>
              <w:pStyle w:val="83"/>
              <w:spacing w:line="360" w:lineRule="auto"/>
              <w:rPr>
                <w:rFonts w:hint="eastAsia" w:ascii="Times New Roman" w:hAnsi="Times New Roman" w:eastAsia="宋体" w:cs="宋体"/>
                <w:b/>
                <w:bCs w:val="0"/>
                <w:color w:val="000000" w:themeColor="text1"/>
                <w:kern w:val="2"/>
                <w:sz w:val="24"/>
                <w:szCs w:val="24"/>
                <w:highlight w:val="none"/>
                <w:lang w:val="en-US" w:eastAsia="zh-CN" w:bidi="ar-SA"/>
                <w14:textFill>
                  <w14:solidFill>
                    <w14:schemeClr w14:val="tx1"/>
                  </w14:solidFill>
                </w14:textFill>
              </w:rPr>
            </w:pPr>
            <w:r>
              <w:rPr>
                <w:rFonts w:hint="eastAsia" w:hAnsi="Times New Roman" w:eastAsia="宋体" w:cs="宋体"/>
                <w:b/>
                <w:bCs w:val="0"/>
                <w:color w:val="000000" w:themeColor="text1"/>
                <w:kern w:val="2"/>
                <w:sz w:val="24"/>
                <w:szCs w:val="24"/>
                <w:highlight w:val="none"/>
                <w:lang w:val="en-US" w:eastAsia="zh-CN" w:bidi="ar-SA"/>
                <w14:textFill>
                  <w14:solidFill>
                    <w14:schemeClr w14:val="tx1"/>
                  </w14:solidFill>
                </w14:textFill>
              </w:rPr>
              <w:t>表4-11</w:t>
            </w:r>
            <w:r>
              <w:rPr>
                <w:rFonts w:hint="eastAsia" w:ascii="Times New Roman" w:hAnsi="Times New Roman" w:eastAsia="宋体" w:cs="宋体"/>
                <w:b/>
                <w:bCs w:val="0"/>
                <w:color w:val="000000" w:themeColor="text1"/>
                <w:kern w:val="2"/>
                <w:sz w:val="24"/>
                <w:szCs w:val="24"/>
                <w:highlight w:val="none"/>
                <w:lang w:val="en-US" w:eastAsia="zh-CN" w:bidi="ar-SA"/>
                <w14:textFill>
                  <w14:solidFill>
                    <w14:schemeClr w14:val="tx1"/>
                  </w14:solidFill>
                </w14:textFill>
              </w:rPr>
              <w:t xml:space="preserve">  本项目环境风险源分布及影响途径一览表</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086"/>
              <w:gridCol w:w="1262"/>
              <w:gridCol w:w="1118"/>
              <w:gridCol w:w="1184"/>
              <w:gridCol w:w="1263"/>
              <w:gridCol w:w="1602"/>
            </w:tblGrid>
            <w:tr w14:paraId="359E2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451" w:type="pct"/>
                  <w:shd w:val="clear" w:color="auto" w:fill="auto"/>
                  <w:vAlign w:val="center"/>
                </w:tcPr>
                <w:p w14:paraId="0F41F5BF">
                  <w:pPr>
                    <w:pStyle w:val="36"/>
                    <w:autoSpaceDE/>
                    <w:autoSpaceDN/>
                    <w:spacing w:before="0"/>
                    <w:ind w:left="0"/>
                    <w:jc w:val="center"/>
                    <w:rPr>
                      <w:rFonts w:hint="eastAsia"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序号</w:t>
                  </w:r>
                </w:p>
              </w:tc>
              <w:tc>
                <w:tcPr>
                  <w:tcW w:w="657" w:type="pct"/>
                  <w:shd w:val="clear" w:color="auto" w:fill="auto"/>
                  <w:vAlign w:val="center"/>
                </w:tcPr>
                <w:p w14:paraId="4CCAD10B">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危险单元</w:t>
                  </w:r>
                </w:p>
              </w:tc>
              <w:tc>
                <w:tcPr>
                  <w:tcW w:w="763" w:type="pct"/>
                  <w:shd w:val="clear" w:color="auto" w:fill="auto"/>
                  <w:vAlign w:val="center"/>
                </w:tcPr>
                <w:p w14:paraId="2BCE1281">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风险源</w:t>
                  </w:r>
                </w:p>
              </w:tc>
              <w:tc>
                <w:tcPr>
                  <w:tcW w:w="676" w:type="pct"/>
                  <w:shd w:val="clear" w:color="auto" w:fill="auto"/>
                  <w:vAlign w:val="center"/>
                </w:tcPr>
                <w:p w14:paraId="55D22426">
                  <w:pPr>
                    <w:pStyle w:val="36"/>
                    <w:autoSpaceDE/>
                    <w:autoSpaceDN/>
                    <w:spacing w:before="0"/>
                    <w:ind w:left="0"/>
                    <w:jc w:val="center"/>
                    <w:rPr>
                      <w:rFonts w:hint="eastAsia" w:ascii="Times New Roman" w:hAnsi="Times New Roman" w:eastAsia="宋体" w:cs="Times New Roman"/>
                      <w:color w:val="000000" w:themeColor="text1"/>
                      <w:kern w:val="2"/>
                      <w:sz w:val="21"/>
                      <w:szCs w:val="21"/>
                      <w:highlight w:val="none"/>
                      <w:lang w:val="en-US"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主要风险</w:t>
                  </w:r>
                  <w:r>
                    <w:rPr>
                      <w:rFonts w:hint="eastAsia"/>
                      <w:color w:val="000000" w:themeColor="text1"/>
                      <w:sz w:val="21"/>
                      <w:szCs w:val="21"/>
                      <w:highlight w:val="none"/>
                      <w:lang w:val="en-US" w:eastAsia="zh-CN"/>
                      <w14:textFill>
                        <w14:solidFill>
                          <w14:schemeClr w14:val="tx1"/>
                        </w14:solidFill>
                      </w14:textFill>
                    </w:rPr>
                    <w:t>物质</w:t>
                  </w:r>
                </w:p>
              </w:tc>
              <w:tc>
                <w:tcPr>
                  <w:tcW w:w="716" w:type="pct"/>
                  <w:shd w:val="clear" w:color="auto" w:fill="auto"/>
                  <w:vAlign w:val="center"/>
                </w:tcPr>
                <w:p w14:paraId="03A93976">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环境风险类型</w:t>
                  </w:r>
                </w:p>
              </w:tc>
              <w:tc>
                <w:tcPr>
                  <w:tcW w:w="764" w:type="pct"/>
                  <w:shd w:val="clear" w:color="auto" w:fill="auto"/>
                  <w:vAlign w:val="center"/>
                </w:tcPr>
                <w:p w14:paraId="5A099036">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环境影响途径</w:t>
                  </w:r>
                </w:p>
              </w:tc>
              <w:tc>
                <w:tcPr>
                  <w:tcW w:w="969" w:type="pct"/>
                  <w:shd w:val="clear" w:color="auto" w:fill="auto"/>
                  <w:vAlign w:val="center"/>
                </w:tcPr>
                <w:p w14:paraId="6AC6C5A7">
                  <w:pPr>
                    <w:pStyle w:val="36"/>
                    <w:autoSpaceDE/>
                    <w:autoSpaceDN/>
                    <w:spacing w:before="0"/>
                    <w:ind w:left="0"/>
                    <w:jc w:val="center"/>
                    <w:rPr>
                      <w:rFonts w:ascii="Times New Roman" w:hAnsi="Times New Roman" w:cs="Times New Roman"/>
                      <w:color w:val="000000" w:themeColor="text1"/>
                      <w:kern w:val="2"/>
                      <w:sz w:val="21"/>
                      <w:szCs w:val="21"/>
                      <w:highlight w:val="none"/>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可能受影响环境敏感目标</w:t>
                  </w:r>
                </w:p>
              </w:tc>
            </w:tr>
            <w:tr w14:paraId="5D4E1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451" w:type="pct"/>
                  <w:shd w:val="clear" w:color="auto" w:fill="auto"/>
                  <w:vAlign w:val="center"/>
                </w:tcPr>
                <w:p w14:paraId="49DB24FC">
                  <w:pPr>
                    <w:pStyle w:val="36"/>
                    <w:autoSpaceDE/>
                    <w:autoSpaceDN/>
                    <w:spacing w:before="0"/>
                    <w:ind w:left="0" w:leftChars="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1</w:t>
                  </w:r>
                </w:p>
              </w:tc>
              <w:tc>
                <w:tcPr>
                  <w:tcW w:w="657" w:type="pct"/>
                  <w:shd w:val="clear" w:color="auto" w:fill="auto"/>
                  <w:vAlign w:val="center"/>
                </w:tcPr>
                <w:p w14:paraId="7A1266D2">
                  <w:pPr>
                    <w:pStyle w:val="36"/>
                    <w:autoSpaceDE/>
                    <w:autoSpaceDN/>
                    <w:spacing w:before="0"/>
                    <w:ind w:left="0" w:leftChars="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危废暂存间</w:t>
                  </w:r>
                </w:p>
              </w:tc>
              <w:tc>
                <w:tcPr>
                  <w:tcW w:w="763" w:type="pct"/>
                  <w:shd w:val="clear" w:color="auto" w:fill="auto"/>
                  <w:vAlign w:val="center"/>
                </w:tcPr>
                <w:p w14:paraId="16FE405E">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废润滑油</w:t>
                  </w:r>
                </w:p>
              </w:tc>
              <w:tc>
                <w:tcPr>
                  <w:tcW w:w="676" w:type="pct"/>
                  <w:shd w:val="clear" w:color="auto" w:fill="auto"/>
                  <w:vAlign w:val="center"/>
                </w:tcPr>
                <w:p w14:paraId="256F575C">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废润滑油</w:t>
                  </w:r>
                </w:p>
              </w:tc>
              <w:tc>
                <w:tcPr>
                  <w:tcW w:w="716" w:type="pct"/>
                  <w:shd w:val="clear" w:color="auto" w:fill="auto"/>
                  <w:vAlign w:val="center"/>
                </w:tcPr>
                <w:p w14:paraId="1C14A49E">
                  <w:pPr>
                    <w:pStyle w:val="36"/>
                    <w:autoSpaceDE/>
                    <w:autoSpaceDN/>
                    <w:spacing w:before="0"/>
                    <w:ind w:left="0" w:leftChars="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泄漏、火灾</w:t>
                  </w:r>
                </w:p>
              </w:tc>
              <w:tc>
                <w:tcPr>
                  <w:tcW w:w="764" w:type="pct"/>
                  <w:shd w:val="clear" w:color="auto" w:fill="auto"/>
                  <w:vAlign w:val="center"/>
                </w:tcPr>
                <w:p w14:paraId="4A942086">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大气扩散</w:t>
                  </w:r>
                  <w:r>
                    <w:rPr>
                      <w:rFonts w:hint="eastAsia"/>
                      <w:color w:val="000000" w:themeColor="text1"/>
                      <w:sz w:val="21"/>
                      <w:szCs w:val="21"/>
                      <w:highlight w:val="none"/>
                      <w:lang w:eastAsia="zh-CN"/>
                      <w14:textFill>
                        <w14:solidFill>
                          <w14:schemeClr w14:val="tx1"/>
                        </w14:solidFill>
                      </w14:textFill>
                    </w:rPr>
                    <w:t>、</w:t>
                  </w:r>
                  <w:r>
                    <w:rPr>
                      <w:rFonts w:hint="eastAsia" w:ascii="宋体" w:hAnsi="宋体"/>
                      <w:color w:val="000000" w:themeColor="text1"/>
                      <w:sz w:val="21"/>
                      <w:szCs w:val="21"/>
                      <w:highlight w:val="none"/>
                      <w14:textFill>
                        <w14:solidFill>
                          <w14:schemeClr w14:val="tx1"/>
                        </w14:solidFill>
                      </w14:textFill>
                    </w:rPr>
                    <w:t>土壤下渗、地表径流</w:t>
                  </w:r>
                </w:p>
              </w:tc>
              <w:tc>
                <w:tcPr>
                  <w:tcW w:w="969" w:type="pct"/>
                  <w:shd w:val="clear" w:color="auto" w:fill="auto"/>
                  <w:vAlign w:val="center"/>
                </w:tcPr>
                <w:p w14:paraId="6766D9B4">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周边</w:t>
                  </w:r>
                  <w:r>
                    <w:rPr>
                      <w:rFonts w:hint="eastAsia"/>
                      <w:color w:val="000000" w:themeColor="text1"/>
                      <w:sz w:val="21"/>
                      <w:szCs w:val="21"/>
                      <w:highlight w:val="none"/>
                      <w:lang w:val="en-US" w:eastAsia="zh-CN"/>
                      <w14:textFill>
                        <w14:solidFill>
                          <w14:schemeClr w14:val="tx1"/>
                        </w14:solidFill>
                      </w14:textFill>
                    </w:rPr>
                    <w:t>大气、</w:t>
                  </w:r>
                  <w:r>
                    <w:rPr>
                      <w:rFonts w:hint="eastAsia" w:ascii="宋体" w:hAnsi="宋体"/>
                      <w:color w:val="000000" w:themeColor="text1"/>
                      <w:sz w:val="21"/>
                      <w:szCs w:val="21"/>
                      <w:highlight w:val="none"/>
                      <w14:textFill>
                        <w14:solidFill>
                          <w14:schemeClr w14:val="tx1"/>
                        </w14:solidFill>
                      </w14:textFill>
                    </w:rPr>
                    <w:t>土壤、地下水、地表水</w:t>
                  </w:r>
                </w:p>
              </w:tc>
            </w:tr>
            <w:tr w14:paraId="0CAC0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451" w:type="pct"/>
                  <w:shd w:val="clear" w:color="auto" w:fill="auto"/>
                  <w:vAlign w:val="center"/>
                </w:tcPr>
                <w:p w14:paraId="7D86D0B5">
                  <w:pPr>
                    <w:pStyle w:val="36"/>
                    <w:autoSpaceDE/>
                    <w:autoSpaceDN/>
                    <w:spacing w:before="0"/>
                    <w:ind w:left="0" w:leftChars="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14:textFill>
                        <w14:solidFill>
                          <w14:schemeClr w14:val="tx1"/>
                        </w14:solidFill>
                      </w14:textFill>
                    </w:rPr>
                    <w:t>2</w:t>
                  </w:r>
                </w:p>
              </w:tc>
              <w:tc>
                <w:tcPr>
                  <w:tcW w:w="657" w:type="pct"/>
                  <w:shd w:val="clear" w:color="auto" w:fill="auto"/>
                  <w:vAlign w:val="center"/>
                </w:tcPr>
                <w:p w14:paraId="7F72692D">
                  <w:pPr>
                    <w:pStyle w:val="36"/>
                    <w:autoSpaceDE/>
                    <w:autoSpaceDN/>
                    <w:spacing w:before="0"/>
                    <w:ind w:left="0" w:leftChars="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废气处理装置</w:t>
                  </w:r>
                </w:p>
              </w:tc>
              <w:tc>
                <w:tcPr>
                  <w:tcW w:w="763" w:type="pct"/>
                  <w:shd w:val="clear" w:color="auto" w:fill="auto"/>
                  <w:vAlign w:val="center"/>
                </w:tcPr>
                <w:p w14:paraId="6281B1D7">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活性炭吸附装置</w:t>
                  </w:r>
                </w:p>
              </w:tc>
              <w:tc>
                <w:tcPr>
                  <w:tcW w:w="676" w:type="pct"/>
                  <w:shd w:val="clear" w:color="auto" w:fill="auto"/>
                  <w:vAlign w:val="center"/>
                </w:tcPr>
                <w:p w14:paraId="4CF34634">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超标废气</w:t>
                  </w:r>
                </w:p>
              </w:tc>
              <w:tc>
                <w:tcPr>
                  <w:tcW w:w="716" w:type="pct"/>
                  <w:shd w:val="clear" w:color="auto" w:fill="auto"/>
                  <w:vAlign w:val="center"/>
                </w:tcPr>
                <w:p w14:paraId="5AB7044D">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事故排放</w:t>
                  </w:r>
                </w:p>
              </w:tc>
              <w:tc>
                <w:tcPr>
                  <w:tcW w:w="764" w:type="pct"/>
                  <w:shd w:val="clear" w:color="auto" w:fill="auto"/>
                  <w:vAlign w:val="center"/>
                </w:tcPr>
                <w:p w14:paraId="00332AB7">
                  <w:pPr>
                    <w:pStyle w:val="36"/>
                    <w:autoSpaceDE/>
                    <w:autoSpaceDN/>
                    <w:spacing w:before="0"/>
                    <w:ind w:left="0" w:leftChars="0"/>
                    <w:jc w:val="center"/>
                    <w:rPr>
                      <w:rFonts w:ascii="Times New Roman" w:hAnsi="Times New Roman" w:cs="Times New Roman"/>
                      <w:color w:val="000000" w:themeColor="text1"/>
                      <w:kern w:val="2"/>
                      <w:sz w:val="21"/>
                      <w:szCs w:val="21"/>
                      <w:highlight w:val="none"/>
                      <w:lang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大气扩散</w:t>
                  </w:r>
                </w:p>
              </w:tc>
              <w:tc>
                <w:tcPr>
                  <w:tcW w:w="969" w:type="pct"/>
                  <w:shd w:val="clear" w:color="auto" w:fill="auto"/>
                  <w:vAlign w:val="center"/>
                </w:tcPr>
                <w:p w14:paraId="1AFD82B6">
                  <w:pPr>
                    <w:pStyle w:val="36"/>
                    <w:autoSpaceDE/>
                    <w:autoSpaceDN/>
                    <w:spacing w:before="0"/>
                    <w:ind w:left="0"/>
                    <w:jc w:val="center"/>
                    <w:rPr>
                      <w:rFonts w:hint="default" w:ascii="Times New Roman" w:hAnsi="Times New Roman" w:cs="Times New Roman"/>
                      <w:color w:val="000000" w:themeColor="text1"/>
                      <w:kern w:val="2"/>
                      <w:sz w:val="21"/>
                      <w:szCs w:val="21"/>
                      <w:highlight w:val="none"/>
                      <w:lang w:val="en-US" w:eastAsia="zh-CN"/>
                      <w14:textFill>
                        <w14:solidFill>
                          <w14:schemeClr w14:val="tx1"/>
                        </w14:solidFill>
                      </w14:textFill>
                    </w:rPr>
                  </w:pPr>
                  <w:r>
                    <w:rPr>
                      <w:rFonts w:hint="eastAsia" w:ascii="宋体" w:hAnsi="宋体"/>
                      <w:color w:val="000000" w:themeColor="text1"/>
                      <w:sz w:val="21"/>
                      <w:szCs w:val="21"/>
                      <w:highlight w:val="none"/>
                      <w14:textFill>
                        <w14:solidFill>
                          <w14:schemeClr w14:val="tx1"/>
                        </w14:solidFill>
                      </w14:textFill>
                    </w:rPr>
                    <w:t>周边大气环境</w:t>
                  </w:r>
                </w:p>
              </w:tc>
            </w:tr>
          </w:tbl>
          <w:p w14:paraId="0CFC4AFD">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4.7.3环境风险防范措施</w:t>
            </w:r>
          </w:p>
          <w:p w14:paraId="79417A42">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r>
              <w:rPr>
                <w:rFonts w:hint="eastAsia" w:ascii="Times New Roman" w:hAnsi="Times New Roman" w:cs="Times New Roman"/>
                <w:color w:val="000000" w:themeColor="text1"/>
                <w:sz w:val="24"/>
                <w:szCs w:val="18"/>
                <w:highlight w:val="none"/>
                <w:lang w:val="en-US" w:eastAsia="zh-CN"/>
                <w14:textFill>
                  <w14:solidFill>
                    <w14:schemeClr w14:val="tx1"/>
                  </w14:solidFill>
                </w14:textFill>
              </w:rPr>
              <w:t>1</w:t>
            </w: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废气</w:t>
            </w:r>
            <w:r>
              <w:rPr>
                <w:rFonts w:hint="default" w:ascii="Times New Roman" w:hAnsi="Times New Roman" w:cs="Times New Roman"/>
                <w:color w:val="000000" w:themeColor="text1"/>
                <w:sz w:val="24"/>
                <w:szCs w:val="18"/>
                <w:highlight w:val="none"/>
                <w14:textFill>
                  <w14:solidFill>
                    <w14:schemeClr w14:val="tx1"/>
                  </w14:solidFill>
                </w14:textFill>
              </w:rPr>
              <w:t>事故排放防范措施</w:t>
            </w:r>
          </w:p>
          <w:p w14:paraId="3C021786">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生产运行阶段，工厂设备应每个月全面检修一次，每天有专业人员检查生产设备等</w:t>
            </w:r>
            <w:r>
              <w:rPr>
                <w:rFonts w:hint="eastAsia" w:cs="Times New Roman"/>
                <w:color w:val="000000" w:themeColor="text1"/>
                <w:sz w:val="24"/>
                <w:szCs w:val="18"/>
                <w:highlight w:val="none"/>
                <w:lang w:eastAsia="zh-CN"/>
                <w14:textFill>
                  <w14:solidFill>
                    <w14:schemeClr w14:val="tx1"/>
                  </w14:solidFill>
                </w14:textFill>
              </w:rPr>
              <w:t>；</w:t>
            </w:r>
            <w:r>
              <w:rPr>
                <w:rFonts w:hint="default" w:ascii="Times New Roman" w:hAnsi="Times New Roman" w:cs="Times New Roman"/>
                <w:color w:val="000000" w:themeColor="text1"/>
                <w:sz w:val="24"/>
                <w:szCs w:val="18"/>
                <w:highlight w:val="none"/>
                <w14:textFill>
                  <w14:solidFill>
                    <w14:schemeClr w14:val="tx1"/>
                  </w14:solidFill>
                </w14:textFill>
              </w:rPr>
              <w:t>废气处理设施每天上下午各检查一次。如废气处理设施发生损坏时立即停止产生废气的生产环节，避免废气不经处理直接排到大气中，对员工和附近的敏感点产生不良影响，并立即请有关的技术人员进行维修。</w:t>
            </w:r>
          </w:p>
          <w:p w14:paraId="6FCFCF43">
            <w:pPr>
              <w:pStyle w:val="66"/>
              <w:ind w:firstLine="420"/>
              <w:rPr>
                <w:rFonts w:hint="eastAsia" w:ascii="Times New Roman" w:hAnsi="Times New Roman" w:eastAsia="宋体" w:cs="Times New Roman"/>
                <w:color w:val="000000" w:themeColor="text1"/>
                <w:sz w:val="24"/>
                <w:szCs w:val="18"/>
                <w:highlight w:val="none"/>
                <w:lang w:eastAsia="zh-CN"/>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r>
              <w:rPr>
                <w:rFonts w:hint="eastAsia" w:ascii="Times New Roman" w:hAnsi="Times New Roman" w:cs="Times New Roman"/>
                <w:color w:val="000000" w:themeColor="text1"/>
                <w:sz w:val="24"/>
                <w:szCs w:val="18"/>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r>
              <w:rPr>
                <w:rFonts w:hint="default" w:ascii="Times New Roman" w:hAnsi="Times New Roman" w:cs="Times New Roman"/>
                <w:color w:val="000000" w:themeColor="text1"/>
                <w:sz w:val="24"/>
                <w:szCs w:val="18"/>
                <w:highlight w:val="none"/>
                <w14:textFill>
                  <w14:solidFill>
                    <w14:schemeClr w14:val="tx1"/>
                  </w14:solidFill>
                </w14:textFill>
              </w:rPr>
              <w:t>火灾风险防范措施</w:t>
            </w:r>
          </w:p>
          <w:p w14:paraId="05B679F3">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1)按照各种物质消防应急措施要求，车间配置一定数量的消防器材、防毒护具，如沙土、推车式灭火器和防火防毒服等。</w:t>
            </w:r>
          </w:p>
          <w:p w14:paraId="03D2D285">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2)制定巡查制度，对有泄漏现象和迹象的部位及时采取处理措施。</w:t>
            </w:r>
          </w:p>
          <w:p w14:paraId="17334FF6">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3)加强火源管理，杜绝各种火种，严禁闲杂人员入内。</w:t>
            </w:r>
          </w:p>
          <w:p w14:paraId="5CED0518">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4)工作人员要熟练掌握操作技术和防火安全管理规定。</w:t>
            </w:r>
          </w:p>
          <w:p w14:paraId="125CF7E9">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eastAsia" w:cs="Times New Roman"/>
                <w:color w:val="000000" w:themeColor="text1"/>
                <w:sz w:val="24"/>
                <w:szCs w:val="18"/>
                <w:highlight w:val="none"/>
                <w:lang w:val="en-US" w:eastAsia="zh-CN"/>
                <w14:textFill>
                  <w14:solidFill>
                    <w14:schemeClr w14:val="tx1"/>
                  </w14:solidFill>
                </w14:textFill>
              </w:rPr>
              <w:t>5</w:t>
            </w:r>
            <w:r>
              <w:rPr>
                <w:rFonts w:hint="default" w:ascii="Times New Roman" w:hAnsi="Times New Roman" w:cs="Times New Roman"/>
                <w:color w:val="000000" w:themeColor="text1"/>
                <w:sz w:val="24"/>
                <w:szCs w:val="18"/>
                <w:highlight w:val="none"/>
                <w14:textFill>
                  <w14:solidFill>
                    <w14:schemeClr w14:val="tx1"/>
                  </w14:solidFill>
                </w14:textFill>
              </w:rPr>
              <w:t>)制定应急预案，明确火灾或泄漏时的疏散路线、通报机制和应急监测方案。</w:t>
            </w:r>
          </w:p>
          <w:p w14:paraId="601CF140">
            <w:pPr>
              <w:pStyle w:val="66"/>
              <w:ind w:firstLine="420"/>
              <w:rPr>
                <w:rFonts w:hint="eastAsia" w:cs="Times New Roman"/>
                <w:color w:val="000000" w:themeColor="text1"/>
                <w:sz w:val="24"/>
                <w:szCs w:val="18"/>
                <w:highlight w:val="none"/>
                <w:lang w:eastAsia="zh-CN"/>
                <w14:textFill>
                  <w14:solidFill>
                    <w14:schemeClr w14:val="tx1"/>
                  </w14:solidFill>
                </w14:textFill>
              </w:rPr>
            </w:pPr>
            <w:r>
              <w:rPr>
                <w:rFonts w:hint="eastAsia" w:cs="Times New Roman"/>
                <w:color w:val="000000" w:themeColor="text1"/>
                <w:sz w:val="24"/>
                <w:szCs w:val="18"/>
                <w:highlight w:val="none"/>
                <w:lang w:val="en-US" w:eastAsia="zh-CN"/>
                <w14:textFill>
                  <w14:solidFill>
                    <w14:schemeClr w14:val="tx1"/>
                  </w14:solidFill>
                </w14:textFill>
              </w:rPr>
              <w:t>6</w:t>
            </w:r>
            <w:r>
              <w:rPr>
                <w:rFonts w:hint="default" w:ascii="Times New Roman" w:hAnsi="Times New Roman" w:cs="Times New Roman"/>
                <w:color w:val="000000" w:themeColor="text1"/>
                <w:sz w:val="24"/>
                <w:szCs w:val="18"/>
                <w:highlight w:val="none"/>
                <w14:textFill>
                  <w14:solidFill>
                    <w14:schemeClr w14:val="tx1"/>
                  </w14:solidFill>
                </w14:textFill>
              </w:rPr>
              <w:t>)若发生火灾，应立即启动应急响应，通知下风向居民疏散或采取防护措施</w:t>
            </w:r>
            <w:r>
              <w:rPr>
                <w:rFonts w:hint="eastAsia" w:cs="Times New Roman"/>
                <w:color w:val="000000" w:themeColor="text1"/>
                <w:sz w:val="24"/>
                <w:szCs w:val="18"/>
                <w:highlight w:val="none"/>
                <w:lang w:eastAsia="zh-CN"/>
                <w14:textFill>
                  <w14:solidFill>
                    <w14:schemeClr w14:val="tx1"/>
                  </w14:solidFill>
                </w14:textFill>
              </w:rPr>
              <w:t>。</w:t>
            </w:r>
          </w:p>
          <w:p w14:paraId="21E26E9E">
            <w:pPr>
              <w:pStyle w:val="66"/>
              <w:ind w:firstLine="420"/>
              <w:rPr>
                <w:rFonts w:hint="eastAsia" w:cs="Times New Roman"/>
                <w:color w:val="000000" w:themeColor="text1"/>
                <w:sz w:val="24"/>
                <w:szCs w:val="18"/>
                <w:highlight w:val="none"/>
                <w:lang w:eastAsia="zh-CN"/>
                <w14:textFill>
                  <w14:solidFill>
                    <w14:schemeClr w14:val="tx1"/>
                  </w14:solidFill>
                </w14:textFill>
              </w:rPr>
            </w:pPr>
            <w:r>
              <w:rPr>
                <w:rFonts w:hint="eastAsia" w:cs="Times New Roman"/>
                <w:color w:val="000000" w:themeColor="text1"/>
                <w:sz w:val="24"/>
                <w:szCs w:val="18"/>
                <w:highlight w:val="none"/>
                <w:lang w:val="en-US" w:eastAsia="zh-CN"/>
                <w14:textFill>
                  <w14:solidFill>
                    <w14:schemeClr w14:val="tx1"/>
                  </w14:solidFill>
                </w14:textFill>
              </w:rPr>
              <w:t>7</w:t>
            </w:r>
            <w:r>
              <w:rPr>
                <w:rFonts w:hint="default" w:ascii="Times New Roman" w:hAnsi="Times New Roman" w:cs="Times New Roman"/>
                <w:color w:val="000000" w:themeColor="text1"/>
                <w:sz w:val="24"/>
                <w:szCs w:val="18"/>
                <w:highlight w:val="none"/>
                <w14:textFill>
                  <w14:solidFill>
                    <w14:schemeClr w14:val="tx1"/>
                  </w14:solidFill>
                </w14:textFill>
              </w:rPr>
              <w:t>)发生火灾</w:t>
            </w:r>
            <w:r>
              <w:rPr>
                <w:rFonts w:hint="eastAsia" w:cs="Times New Roman"/>
                <w:color w:val="000000" w:themeColor="text1"/>
                <w:sz w:val="24"/>
                <w:szCs w:val="18"/>
                <w:highlight w:val="none"/>
                <w:lang w:val="en-US" w:eastAsia="zh-CN"/>
                <w14:textFill>
                  <w14:solidFill>
                    <w14:schemeClr w14:val="tx1"/>
                  </w14:solidFill>
                </w14:textFill>
              </w:rPr>
              <w:t>时</w:t>
            </w:r>
            <w:r>
              <w:rPr>
                <w:rFonts w:hint="default" w:ascii="Times New Roman" w:hAnsi="Times New Roman" w:cs="Times New Roman"/>
                <w:color w:val="000000" w:themeColor="text1"/>
                <w:sz w:val="24"/>
                <w:szCs w:val="18"/>
                <w:highlight w:val="none"/>
                <w14:textFill>
                  <w14:solidFill>
                    <w14:schemeClr w14:val="tx1"/>
                  </w14:solidFill>
                </w14:textFill>
              </w:rPr>
              <w:t>，委托有资质的单位进行应急大气监测，监测因子包括非甲烷总烃、CO等；</w:t>
            </w:r>
          </w:p>
          <w:p w14:paraId="0A88C6CA">
            <w:pPr>
              <w:pStyle w:val="66"/>
              <w:ind w:firstLine="420"/>
              <w:rPr>
                <w:rFonts w:hint="default" w:ascii="Times New Roman" w:hAnsi="Times New Roman" w:cs="Times New Roman"/>
                <w:color w:val="000000" w:themeColor="text1"/>
                <w:sz w:val="24"/>
                <w:szCs w:val="18"/>
                <w:highlight w:val="none"/>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r>
              <w:rPr>
                <w:rFonts w:hint="eastAsia" w:cs="Times New Roman"/>
                <w:color w:val="000000" w:themeColor="text1"/>
                <w:sz w:val="24"/>
                <w:szCs w:val="18"/>
                <w:highlight w:val="none"/>
                <w:lang w:val="en-US" w:eastAsia="zh-CN"/>
                <w14:textFill>
                  <w14:solidFill>
                    <w14:schemeClr w14:val="tx1"/>
                  </w14:solidFill>
                </w14:textFill>
              </w:rPr>
              <w:t>3</w:t>
            </w: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r>
              <w:rPr>
                <w:rFonts w:hint="default" w:ascii="Times New Roman" w:hAnsi="Times New Roman" w:cs="Times New Roman"/>
                <w:color w:val="000000" w:themeColor="text1"/>
                <w:sz w:val="24"/>
                <w:szCs w:val="18"/>
                <w:highlight w:val="none"/>
                <w14:textFill>
                  <w14:solidFill>
                    <w14:schemeClr w14:val="tx1"/>
                  </w14:solidFill>
                </w14:textFill>
              </w:rPr>
              <w:t>危废泄漏风险防范措施</w:t>
            </w:r>
          </w:p>
          <w:p w14:paraId="0045D32F">
            <w:pPr>
              <w:pStyle w:val="66"/>
              <w:ind w:firstLine="420"/>
              <w:rPr>
                <w:rFonts w:hint="eastAsia" w:ascii="Times New Roman" w:hAnsi="Times New Roman" w:eastAsia="宋体" w:cs="Times New Roman"/>
                <w:color w:val="000000" w:themeColor="text1"/>
                <w:sz w:val="24"/>
                <w:szCs w:val="18"/>
                <w:highlight w:val="none"/>
                <w:lang w:eastAsia="zh-CN"/>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1)危废暂存场所按《危险废物贮存污染控制标准》(GB18597-2023)的要求规范化建设，并采取重点防渗措施，设置导流沟</w:t>
            </w: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p>
          <w:p w14:paraId="4B9D45D0">
            <w:pPr>
              <w:pStyle w:val="66"/>
              <w:ind w:firstLine="420"/>
              <w:rPr>
                <w:rFonts w:hint="eastAsia" w:ascii="Times New Roman" w:hAnsi="Times New Roman" w:eastAsia="宋体" w:cs="Times New Roman"/>
                <w:color w:val="000000" w:themeColor="text1"/>
                <w:sz w:val="24"/>
                <w:szCs w:val="18"/>
                <w:highlight w:val="none"/>
                <w:lang w:eastAsia="zh-CN"/>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2)禁止将性质不相容而未经安全性处置的危险废物混合收集、贮存、运输、处置，禁止将危险废物混入非危险废物中贮存、处置</w:t>
            </w: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p>
          <w:p w14:paraId="036A5B6D">
            <w:pPr>
              <w:pStyle w:val="66"/>
              <w:ind w:firstLine="420"/>
              <w:rPr>
                <w:rFonts w:hint="eastAsia" w:ascii="Times New Roman" w:hAnsi="Times New Roman" w:cs="Times New Roman"/>
                <w:color w:val="000000" w:themeColor="text1"/>
                <w:sz w:val="24"/>
                <w:szCs w:val="18"/>
                <w:highlight w:val="none"/>
                <w:lang w:eastAsia="zh-CN"/>
                <w14:textFill>
                  <w14:solidFill>
                    <w14:schemeClr w14:val="tx1"/>
                  </w14:solidFill>
                </w14:textFill>
              </w:rPr>
            </w:pPr>
            <w:r>
              <w:rPr>
                <w:rFonts w:hint="default" w:ascii="Times New Roman" w:hAnsi="Times New Roman" w:cs="Times New Roman"/>
                <w:color w:val="000000" w:themeColor="text1"/>
                <w:sz w:val="24"/>
                <w:szCs w:val="18"/>
                <w:highlight w:val="none"/>
                <w14:textFill>
                  <w14:solidFill>
                    <w14:schemeClr w14:val="tx1"/>
                  </w14:solidFill>
                </w14:textFill>
              </w:rPr>
              <w:t>3)必须定期对所贮存的危险废物包装容器及贮存设施进行检查，发现破损，应及时采取措施清理更换</w:t>
            </w: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p>
          <w:p w14:paraId="4FB708EC">
            <w:pPr>
              <w:pStyle w:val="66"/>
              <w:ind w:firstLine="420"/>
              <w:rPr>
                <w:rFonts w:hint="eastAsia" w:ascii="Times New Roman" w:hAnsi="Times New Roman" w:cs="Times New Roman"/>
                <w:color w:val="000000" w:themeColor="text1"/>
                <w:sz w:val="24"/>
                <w:szCs w:val="18"/>
                <w:highlight w:val="none"/>
                <w:lang w:eastAsia="zh-CN"/>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4)运输危险废物必须根据废物特性，采用符合相应标准的包装物、容器和运输工具；收集、贮存、运输、处置危险废物的场所、设施、设备、容器包装物及其他物品转作他用时，必须经过消除污染的处理，并经检测合格。</w:t>
            </w:r>
          </w:p>
          <w:p w14:paraId="4A4624C5">
            <w:pPr>
              <w:pStyle w:val="66"/>
              <w:ind w:firstLine="420"/>
              <w:rPr>
                <w:rFonts w:hint="eastAsia" w:ascii="Times New Roman" w:hAnsi="Times New Roman" w:cs="Times New Roman"/>
                <w:color w:val="000000" w:themeColor="text1"/>
                <w:sz w:val="24"/>
                <w:szCs w:val="18"/>
                <w:highlight w:val="none"/>
                <w:lang w:eastAsia="zh-CN"/>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5)为防止危险品发生</w:t>
            </w:r>
            <w:r>
              <w:rPr>
                <w:rFonts w:hint="eastAsia" w:cs="Times New Roman"/>
                <w:color w:val="000000" w:themeColor="text1"/>
                <w:sz w:val="24"/>
                <w:szCs w:val="18"/>
                <w:highlight w:val="none"/>
                <w:lang w:eastAsia="zh-CN"/>
                <w14:textFill>
                  <w14:solidFill>
                    <w14:schemeClr w14:val="tx1"/>
                  </w14:solidFill>
                </w14:textFill>
              </w:rPr>
              <w:t>泄漏</w:t>
            </w:r>
            <w:r>
              <w:rPr>
                <w:rFonts w:hint="eastAsia" w:ascii="Times New Roman" w:hAnsi="Times New Roman" w:cs="Times New Roman"/>
                <w:color w:val="000000" w:themeColor="text1"/>
                <w:sz w:val="24"/>
                <w:szCs w:val="18"/>
                <w:highlight w:val="none"/>
                <w:lang w:eastAsia="zh-CN"/>
                <w14:textFill>
                  <w14:solidFill>
                    <w14:schemeClr w14:val="tx1"/>
                  </w14:solidFill>
                </w14:textFill>
              </w:rPr>
              <w:t>污染附近的土壤及水体，应对其存放位置地面进行重点防渗处理。厂区内应有消防通道。采用防爆型照明、通风设施。禁止使用易产生火花的机械设备和工具。采用桶、瓶等专用储存容器的密封性应良好，放置时须防破损。在不影响生产的情况下，尽可能减少有机易燃物质的贮存量。加强职工管理，建立原料的日常保管、使用制度，进行必要的安全消防教育，并做好个人防护。</w:t>
            </w:r>
          </w:p>
          <w:p w14:paraId="74D25244">
            <w:pPr>
              <w:pStyle w:val="66"/>
              <w:ind w:firstLine="420"/>
              <w:rPr>
                <w:rFonts w:hint="eastAsia" w:ascii="Times New Roman" w:hAnsi="Times New Roman" w:cs="Times New Roman"/>
                <w:color w:val="000000" w:themeColor="text1"/>
                <w:sz w:val="24"/>
                <w:szCs w:val="18"/>
                <w:highlight w:val="none"/>
                <w:lang w:eastAsia="zh-CN"/>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w:t>
            </w:r>
            <w:r>
              <w:rPr>
                <w:rFonts w:hint="eastAsia" w:cs="Times New Roman"/>
                <w:color w:val="000000" w:themeColor="text1"/>
                <w:sz w:val="24"/>
                <w:szCs w:val="18"/>
                <w:highlight w:val="none"/>
                <w:lang w:val="en-US" w:eastAsia="zh-CN"/>
                <w14:textFill>
                  <w14:solidFill>
                    <w14:schemeClr w14:val="tx1"/>
                  </w14:solidFill>
                </w14:textFill>
              </w:rPr>
              <w:t>4</w:t>
            </w:r>
            <w:r>
              <w:rPr>
                <w:rFonts w:hint="eastAsia" w:ascii="Times New Roman" w:hAnsi="Times New Roman" w:cs="Times New Roman"/>
                <w:color w:val="000000" w:themeColor="text1"/>
                <w:sz w:val="24"/>
                <w:szCs w:val="18"/>
                <w:highlight w:val="none"/>
                <w:lang w:eastAsia="zh-CN"/>
                <w14:textFill>
                  <w14:solidFill>
                    <w14:schemeClr w14:val="tx1"/>
                  </w14:solidFill>
                </w14:textFill>
              </w:rPr>
              <w:t>）发生风险事故的应急措施</w:t>
            </w:r>
          </w:p>
          <w:p w14:paraId="2548E56D">
            <w:pPr>
              <w:pStyle w:val="66"/>
              <w:ind w:firstLine="420"/>
              <w:rPr>
                <w:rFonts w:hint="eastAsia" w:ascii="Times New Roman" w:hAnsi="Times New Roman" w:cs="Times New Roman"/>
                <w:color w:val="000000" w:themeColor="text1"/>
                <w:sz w:val="24"/>
                <w:szCs w:val="18"/>
                <w:highlight w:val="none"/>
                <w:lang w:eastAsia="zh-CN"/>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1)发生危废泄漏或消防事故时，应</w:t>
            </w:r>
            <w:r>
              <w:rPr>
                <w:rFonts w:hint="eastAsia" w:cs="Times New Roman"/>
                <w:color w:val="000000" w:themeColor="text1"/>
                <w:sz w:val="24"/>
                <w:szCs w:val="18"/>
                <w:highlight w:val="none"/>
                <w:lang w:eastAsia="zh-CN"/>
                <w14:textFill>
                  <w14:solidFill>
                    <w14:schemeClr w14:val="tx1"/>
                  </w14:solidFill>
                </w14:textFill>
              </w:rPr>
              <w:t>立即</w:t>
            </w:r>
            <w:r>
              <w:rPr>
                <w:rFonts w:hint="eastAsia" w:ascii="Times New Roman" w:hAnsi="Times New Roman" w:cs="Times New Roman"/>
                <w:color w:val="000000" w:themeColor="text1"/>
                <w:sz w:val="24"/>
                <w:szCs w:val="18"/>
                <w:highlight w:val="none"/>
                <w:lang w:eastAsia="zh-CN"/>
                <w14:textFill>
                  <w14:solidFill>
                    <w14:schemeClr w14:val="tx1"/>
                  </w14:solidFill>
                </w14:textFill>
              </w:rPr>
              <w:t>采取紧急堵漏措施，关闭雨水总闸防止有毒有害物质、事故废水继续外泄，启动紧急防火措施。建议建设单位配置应急</w:t>
            </w:r>
            <w:r>
              <w:rPr>
                <w:rFonts w:hint="eastAsia" w:cs="Times New Roman"/>
                <w:color w:val="000000" w:themeColor="text1"/>
                <w:sz w:val="24"/>
                <w:szCs w:val="18"/>
                <w:highlight w:val="none"/>
                <w:lang w:val="en-US" w:eastAsia="zh-CN"/>
                <w14:textFill>
                  <w14:solidFill>
                    <w14:schemeClr w14:val="tx1"/>
                  </w14:solidFill>
                </w14:textFill>
              </w:rPr>
              <w:t>物资</w:t>
            </w:r>
            <w:r>
              <w:rPr>
                <w:rFonts w:hint="eastAsia" w:ascii="Times New Roman" w:hAnsi="Times New Roman" w:cs="Times New Roman"/>
                <w:color w:val="000000" w:themeColor="text1"/>
                <w:sz w:val="24"/>
                <w:szCs w:val="18"/>
                <w:highlight w:val="none"/>
                <w:lang w:eastAsia="zh-CN"/>
                <w14:textFill>
                  <w14:solidFill>
                    <w14:schemeClr w14:val="tx1"/>
                  </w14:solidFill>
                </w14:textFill>
              </w:rPr>
              <w:t>，物料</w:t>
            </w:r>
            <w:r>
              <w:rPr>
                <w:rFonts w:hint="eastAsia" w:cs="Times New Roman"/>
                <w:color w:val="000000" w:themeColor="text1"/>
                <w:sz w:val="24"/>
                <w:szCs w:val="18"/>
                <w:highlight w:val="none"/>
                <w:lang w:val="en-US" w:eastAsia="zh-CN"/>
                <w14:textFill>
                  <w14:solidFill>
                    <w14:schemeClr w14:val="tx1"/>
                  </w14:solidFill>
                </w14:textFill>
              </w:rPr>
              <w:t>泄漏</w:t>
            </w:r>
            <w:r>
              <w:rPr>
                <w:rFonts w:hint="eastAsia" w:ascii="Times New Roman" w:hAnsi="Times New Roman" w:cs="Times New Roman"/>
                <w:color w:val="000000" w:themeColor="text1"/>
                <w:sz w:val="24"/>
                <w:szCs w:val="18"/>
                <w:highlight w:val="none"/>
                <w:lang w:eastAsia="zh-CN"/>
                <w14:textFill>
                  <w14:solidFill>
                    <w14:schemeClr w14:val="tx1"/>
                  </w14:solidFill>
                </w14:textFill>
              </w:rPr>
              <w:t>(主要是废润滑油)、消防废水时应及时收集，不得排入雨水和污水收集管网。</w:t>
            </w:r>
          </w:p>
          <w:p w14:paraId="21E1E5C7">
            <w:pPr>
              <w:pStyle w:val="66"/>
              <w:ind w:firstLine="420"/>
              <w:rPr>
                <w:rFonts w:hint="eastAsia" w:ascii="Times New Roman" w:hAnsi="Times New Roman" w:cs="Times New Roman"/>
                <w:color w:val="000000" w:themeColor="text1"/>
                <w:sz w:val="24"/>
                <w:szCs w:val="18"/>
                <w:highlight w:val="none"/>
                <w:lang w:eastAsia="zh-CN"/>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2)建立处理紧急事故的组织机构，规范事故处理人员的</w:t>
            </w:r>
            <w:r>
              <w:rPr>
                <w:rFonts w:hint="eastAsia" w:cs="Times New Roman"/>
                <w:color w:val="000000" w:themeColor="text1"/>
                <w:sz w:val="24"/>
                <w:szCs w:val="18"/>
                <w:highlight w:val="none"/>
                <w:lang w:eastAsia="zh-CN"/>
                <w14:textFill>
                  <w14:solidFill>
                    <w14:schemeClr w14:val="tx1"/>
                  </w14:solidFill>
                </w14:textFill>
              </w:rPr>
              <w:t>职责</w:t>
            </w:r>
            <w:r>
              <w:rPr>
                <w:rFonts w:hint="eastAsia" w:ascii="Times New Roman" w:hAnsi="Times New Roman" w:cs="Times New Roman"/>
                <w:color w:val="000000" w:themeColor="text1"/>
                <w:sz w:val="24"/>
                <w:szCs w:val="18"/>
                <w:highlight w:val="none"/>
                <w:lang w:eastAsia="zh-CN"/>
                <w14:textFill>
                  <w14:solidFill>
                    <w14:schemeClr w14:val="tx1"/>
                  </w14:solidFill>
                </w14:textFill>
              </w:rPr>
              <w:t>、任务，组织抢 险队伍，保障运输、</w:t>
            </w:r>
            <w:r>
              <w:rPr>
                <w:rFonts w:hint="eastAsia" w:cs="Times New Roman"/>
                <w:color w:val="000000" w:themeColor="text1"/>
                <w:sz w:val="24"/>
                <w:szCs w:val="18"/>
                <w:highlight w:val="none"/>
                <w:lang w:val="en-US" w:eastAsia="zh-CN"/>
                <w14:textFill>
                  <w14:solidFill>
                    <w14:schemeClr w14:val="tx1"/>
                  </w14:solidFill>
                </w14:textFill>
              </w:rPr>
              <w:t>物资</w:t>
            </w:r>
            <w:r>
              <w:rPr>
                <w:rFonts w:hint="eastAsia" w:ascii="Times New Roman" w:hAnsi="Times New Roman" w:cs="Times New Roman"/>
                <w:color w:val="000000" w:themeColor="text1"/>
                <w:sz w:val="24"/>
                <w:szCs w:val="18"/>
                <w:highlight w:val="none"/>
                <w:lang w:eastAsia="zh-CN"/>
                <w14:textFill>
                  <w14:solidFill>
                    <w14:schemeClr w14:val="tx1"/>
                  </w14:solidFill>
                </w14:textFill>
              </w:rPr>
              <w:t>、通讯、宣传等</w:t>
            </w:r>
            <w:r>
              <w:rPr>
                <w:rFonts w:hint="eastAsia" w:cs="Times New Roman"/>
                <w:color w:val="000000" w:themeColor="text1"/>
                <w:sz w:val="24"/>
                <w:szCs w:val="18"/>
                <w:highlight w:val="none"/>
                <w:lang w:eastAsia="zh-CN"/>
                <w14:textFill>
                  <w14:solidFill>
                    <w14:schemeClr w14:val="tx1"/>
                  </w14:solidFill>
                </w14:textFill>
              </w:rPr>
              <w:t>，</w:t>
            </w:r>
            <w:r>
              <w:rPr>
                <w:rFonts w:hint="eastAsia" w:ascii="Times New Roman" w:hAnsi="Times New Roman" w:cs="Times New Roman"/>
                <w:color w:val="000000" w:themeColor="text1"/>
                <w:sz w:val="24"/>
                <w:szCs w:val="18"/>
                <w:highlight w:val="none"/>
                <w:lang w:eastAsia="zh-CN"/>
                <w14:textFill>
                  <w14:solidFill>
                    <w14:schemeClr w14:val="tx1"/>
                  </w14:solidFill>
                </w14:textFill>
              </w:rPr>
              <w:t>使应急措施顺利实施。建立公司、车间、班组三级通讯联络网，保证信息畅通无阻。按照紧急事故汇报程序报告有关主管部门，向消防系统报警。</w:t>
            </w:r>
          </w:p>
          <w:p w14:paraId="57D4CA89">
            <w:pPr>
              <w:pStyle w:val="66"/>
              <w:ind w:firstLine="420"/>
              <w:rPr>
                <w:rFonts w:hint="eastAsia" w:ascii="Times New Roman" w:hAnsi="Times New Roman" w:cs="Times New Roman"/>
                <w:color w:val="000000" w:themeColor="text1"/>
                <w:sz w:val="24"/>
                <w:szCs w:val="18"/>
                <w:highlight w:val="none"/>
                <w:lang w:eastAsia="zh-CN"/>
                <w14:textFill>
                  <w14:solidFill>
                    <w14:schemeClr w14:val="tx1"/>
                  </w14:solidFill>
                </w14:textFill>
              </w:rPr>
            </w:pPr>
            <w:r>
              <w:rPr>
                <w:rFonts w:hint="eastAsia" w:ascii="Times New Roman" w:hAnsi="Times New Roman" w:cs="Times New Roman"/>
                <w:color w:val="000000" w:themeColor="text1"/>
                <w:sz w:val="24"/>
                <w:szCs w:val="18"/>
                <w:highlight w:val="none"/>
                <w:lang w:eastAsia="zh-CN"/>
                <w14:textFill>
                  <w14:solidFill>
                    <w14:schemeClr w14:val="tx1"/>
                  </w14:solidFill>
                </w14:textFill>
              </w:rPr>
              <w:t>3)成立应急救援小组，明确负责人及联系电话。加强平时培训，确保在事故发生时能快速作出反应、</w:t>
            </w:r>
          </w:p>
          <w:p w14:paraId="6A25AEA5">
            <w:pPr>
              <w:pStyle w:val="66"/>
              <w:ind w:firstLine="420"/>
              <w:rPr>
                <w:rFonts w:hint="eastAsia" w:ascii="Times New Roman" w:hAnsi="Times New Roman" w:cs="Times New Roman"/>
                <w:color w:val="000000" w:themeColor="text1"/>
                <w:sz w:val="24"/>
                <w:szCs w:val="18"/>
                <w:highlight w:val="none"/>
                <w:lang w:eastAsia="zh-CN"/>
                <w14:textFill>
                  <w14:solidFill>
                    <w14:schemeClr w14:val="tx1"/>
                  </w14:solidFill>
                </w14:textFill>
              </w:rPr>
            </w:pPr>
            <w:r>
              <w:rPr>
                <w:rFonts w:hint="eastAsia" w:ascii="Times New Roman" w:hAnsi="Times New Roman" w:cs="Times New Roman"/>
                <w:color w:val="000000" w:themeColor="text1"/>
                <w:sz w:val="24"/>
                <w:szCs w:val="18"/>
                <w:highlight w:val="none"/>
                <w:lang w:val="en-US" w:eastAsia="zh-CN"/>
                <w14:textFill>
                  <w14:solidFill>
                    <w14:schemeClr w14:val="tx1"/>
                  </w14:solidFill>
                </w14:textFill>
              </w:rPr>
              <w:t>4</w:t>
            </w:r>
            <w:r>
              <w:rPr>
                <w:rFonts w:hint="eastAsia" w:ascii="Times New Roman" w:hAnsi="Times New Roman" w:cs="Times New Roman"/>
                <w:color w:val="000000" w:themeColor="text1"/>
                <w:sz w:val="24"/>
                <w:szCs w:val="18"/>
                <w:highlight w:val="none"/>
                <w:lang w:eastAsia="zh-CN"/>
                <w14:textFill>
                  <w14:solidFill>
                    <w14:schemeClr w14:val="tx1"/>
                  </w14:solidFill>
                </w14:textFill>
              </w:rPr>
              <w:t>)事故发生时，应迅速将危险区的人员撤离至安全区。生产员工须了解各类化学物质的危险性、健康毒害性及所采取的安全和健康防范措施，生产车间应配备急救设备及药品，有关人员应学会自救互救。医务室要建立初期急救措施，以对中毒人员能迅速进行初期处理后送医院治疗。建设单位必须做好风险防范和减缓措施，杜绝风险事故的发生。</w:t>
            </w:r>
          </w:p>
          <w:p w14:paraId="02BC5DE0">
            <w:pPr>
              <w:pStyle w:val="37"/>
              <w:rPr>
                <w:rFonts w:hint="default" w:eastAsia="黑体"/>
                <w:color w:val="000000" w:themeColor="text1"/>
                <w:sz w:val="24"/>
                <w:szCs w:val="21"/>
                <w:highlight w:val="none"/>
                <w:lang w:val="en-US" w:eastAsia="zh-CN"/>
                <w14:textFill>
                  <w14:solidFill>
                    <w14:schemeClr w14:val="tx1"/>
                  </w14:solidFill>
                </w14:textFill>
              </w:rPr>
            </w:pPr>
            <w:r>
              <w:rPr>
                <w:rFonts w:hint="eastAsia"/>
                <w:color w:val="000000" w:themeColor="text1"/>
                <w:sz w:val="24"/>
                <w:szCs w:val="21"/>
                <w:highlight w:val="none"/>
                <w:lang w:val="en-US" w:eastAsia="zh-CN"/>
                <w14:textFill>
                  <w14:solidFill>
                    <w14:schemeClr w14:val="tx1"/>
                  </w14:solidFill>
                </w14:textFill>
              </w:rPr>
              <w:t>4.7.4环境风险分析结论</w:t>
            </w:r>
          </w:p>
          <w:p w14:paraId="280C6591">
            <w:pPr>
              <w:pStyle w:val="66"/>
              <w:ind w:firstLine="420"/>
              <w:rPr>
                <w:rFonts w:hint="default" w:ascii="Times New Roman" w:hAnsi="Times New Roman"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18"/>
                <w:highlight w:val="none"/>
                <w:lang w:val="en-US" w:eastAsia="zh-CN"/>
                <w14:textFill>
                  <w14:solidFill>
                    <w14:schemeClr w14:val="tx1"/>
                  </w14:solidFill>
                </w14:textFill>
              </w:rPr>
              <w:t>本项目涉及危险物质，但不构成重大危险源，环境风险主要为厂区火灾事故、危废暂存间废润滑油的</w:t>
            </w:r>
            <w:r>
              <w:rPr>
                <w:rFonts w:hint="eastAsia" w:cs="Times New Roman"/>
                <w:color w:val="000000" w:themeColor="text1"/>
                <w:sz w:val="24"/>
                <w:szCs w:val="18"/>
                <w:highlight w:val="none"/>
                <w:lang w:val="en-US" w:eastAsia="zh-CN"/>
                <w14:textFill>
                  <w14:solidFill>
                    <w14:schemeClr w14:val="tx1"/>
                  </w14:solidFill>
                </w14:textFill>
              </w:rPr>
              <w:t>泄漏</w:t>
            </w:r>
            <w:r>
              <w:rPr>
                <w:rFonts w:hint="default" w:ascii="Times New Roman" w:hAnsi="Times New Roman" w:cs="Times New Roman"/>
                <w:color w:val="000000" w:themeColor="text1"/>
                <w:sz w:val="24"/>
                <w:szCs w:val="18"/>
                <w:highlight w:val="none"/>
                <w:lang w:val="en-US" w:eastAsia="zh-CN"/>
                <w14:textFill>
                  <w14:solidFill>
                    <w14:schemeClr w14:val="tx1"/>
                  </w14:solidFill>
                </w14:textFill>
              </w:rPr>
              <w:t>、废气治理设施事故排放。建设单位在采取本评价建议的环境风险防范和减缓措施，可杜绝风险事故的发生。本项目的环境风险在可接受范围内。</w:t>
            </w:r>
          </w:p>
          <w:p w14:paraId="7F51E573">
            <w:pPr>
              <w:pStyle w:val="37"/>
              <w:rPr>
                <w:rFonts w:hint="default" w:eastAsia="黑体"/>
                <w:color w:val="000000" w:themeColor="text1"/>
                <w:sz w:val="24"/>
                <w:szCs w:val="21"/>
                <w:highlight w:val="none"/>
                <w:lang w:val="en-US" w:eastAsia="zh-CN"/>
                <w14:textFill>
                  <w14:solidFill>
                    <w14:schemeClr w14:val="tx1"/>
                  </w14:solidFill>
                </w14:textFill>
              </w:rPr>
            </w:pPr>
            <w:r>
              <w:rPr>
                <w:color w:val="000000" w:themeColor="text1"/>
                <w:sz w:val="24"/>
                <w:szCs w:val="21"/>
                <w:highlight w:val="none"/>
                <w14:textFill>
                  <w14:solidFill>
                    <w14:schemeClr w14:val="tx1"/>
                  </w14:solidFill>
                </w14:textFill>
              </w:rPr>
              <w:t>4.</w:t>
            </w:r>
            <w:r>
              <w:rPr>
                <w:rFonts w:hint="eastAsia"/>
                <w:color w:val="000000" w:themeColor="text1"/>
                <w:sz w:val="24"/>
                <w:szCs w:val="21"/>
                <w:highlight w:val="none"/>
                <w:lang w:val="en-US" w:eastAsia="zh-CN"/>
                <w14:textFill>
                  <w14:solidFill>
                    <w14:schemeClr w14:val="tx1"/>
                  </w14:solidFill>
                </w14:textFill>
              </w:rPr>
              <w:t>8环保投资</w:t>
            </w:r>
          </w:p>
          <w:p w14:paraId="75E828EF">
            <w:pPr>
              <w:pStyle w:val="66"/>
              <w:ind w:firstLine="420"/>
              <w:rPr>
                <w:rFonts w:hint="default" w:ascii="Times New Roman" w:hAnsi="Times New Roman" w:cs="Times New Roman"/>
                <w:color w:val="000000" w:themeColor="text1"/>
                <w:sz w:val="24"/>
                <w:szCs w:val="18"/>
                <w:highlight w:val="none"/>
                <w:lang w:val="en-US" w:eastAsia="zh-CN"/>
                <w14:textFill>
                  <w14:solidFill>
                    <w14:schemeClr w14:val="tx1"/>
                  </w14:solidFill>
                </w14:textFill>
              </w:rPr>
            </w:pPr>
            <w:r>
              <w:rPr>
                <w:rFonts w:hint="eastAsia" w:cs="Times New Roman"/>
                <w:color w:val="000000" w:themeColor="text1"/>
                <w:sz w:val="24"/>
                <w:szCs w:val="18"/>
                <w:highlight w:val="none"/>
                <w:lang w:val="en-US" w:eastAsia="zh-CN"/>
                <w14:textFill>
                  <w14:solidFill>
                    <w14:schemeClr w14:val="tx1"/>
                  </w14:solidFill>
                </w14:textFill>
              </w:rPr>
              <w:t>本项目环保投资为××万元，其中××万用于建设</w:t>
            </w:r>
            <w:r>
              <w:rPr>
                <w:rFonts w:hint="eastAsia"/>
                <w:color w:val="000000" w:themeColor="text1"/>
                <w:sz w:val="24"/>
                <w:szCs w:val="21"/>
                <w:highlight w:val="none"/>
                <w:lang w:val="en-US" w:eastAsia="zh-CN"/>
                <w14:textFill>
                  <w14:solidFill>
                    <w14:schemeClr w14:val="tx1"/>
                  </w14:solidFill>
                </w14:textFill>
              </w:rPr>
              <w:t>“集气罩收集+二级活性炭吸附”废气治理设施，</w:t>
            </w:r>
            <w:r>
              <w:rPr>
                <w:rFonts w:hint="eastAsia" w:cs="Times New Roman"/>
                <w:color w:val="000000" w:themeColor="text1"/>
                <w:sz w:val="24"/>
                <w:szCs w:val="18"/>
                <w:highlight w:val="none"/>
                <w:lang w:val="en-US"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万用于建设危废暂存间，</w:t>
            </w:r>
            <w:r>
              <w:rPr>
                <w:rFonts w:hint="eastAsia" w:cs="Times New Roman"/>
                <w:color w:val="000000" w:themeColor="text1"/>
                <w:sz w:val="24"/>
                <w:szCs w:val="18"/>
                <w:highlight w:val="none"/>
                <w:lang w:val="en-US" w:eastAsia="zh-CN"/>
                <w14:textFill>
                  <w14:solidFill>
                    <w14:schemeClr w14:val="tx1"/>
                  </w14:solidFill>
                </w14:textFill>
              </w:rPr>
              <w:t>××</w:t>
            </w:r>
            <w:r>
              <w:rPr>
                <w:rFonts w:hint="eastAsia"/>
                <w:color w:val="000000" w:themeColor="text1"/>
                <w:sz w:val="24"/>
                <w:szCs w:val="21"/>
                <w:highlight w:val="none"/>
                <w:lang w:val="en-US" w:eastAsia="zh-CN"/>
                <w14:textFill>
                  <w14:solidFill>
                    <w14:schemeClr w14:val="tx1"/>
                  </w14:solidFill>
                </w14:textFill>
              </w:rPr>
              <w:t>万元用于噪声减震。</w:t>
            </w:r>
          </w:p>
          <w:p w14:paraId="1E4797CF">
            <w:pPr>
              <w:pStyle w:val="37"/>
              <w:rPr>
                <w:color w:val="000000" w:themeColor="text1"/>
                <w:sz w:val="24"/>
                <w:szCs w:val="21"/>
                <w:highlight w:val="none"/>
                <w14:textFill>
                  <w14:solidFill>
                    <w14:schemeClr w14:val="tx1"/>
                  </w14:solidFill>
                </w14:textFill>
              </w:rPr>
            </w:pPr>
            <w:r>
              <w:rPr>
                <w:color w:val="000000" w:themeColor="text1"/>
                <w:sz w:val="24"/>
                <w:szCs w:val="21"/>
                <w:highlight w:val="none"/>
                <w14:textFill>
                  <w14:solidFill>
                    <w14:schemeClr w14:val="tx1"/>
                  </w14:solidFill>
                </w14:textFill>
              </w:rPr>
              <w:t>4.</w:t>
            </w:r>
            <w:r>
              <w:rPr>
                <w:rFonts w:hint="eastAsia"/>
                <w:color w:val="000000" w:themeColor="text1"/>
                <w:sz w:val="24"/>
                <w:szCs w:val="21"/>
                <w:highlight w:val="none"/>
                <w:lang w:val="en-US" w:eastAsia="zh-CN"/>
                <w14:textFill>
                  <w14:solidFill>
                    <w14:schemeClr w14:val="tx1"/>
                  </w14:solidFill>
                </w14:textFill>
              </w:rPr>
              <w:t>9</w:t>
            </w:r>
            <w:r>
              <w:rPr>
                <w:color w:val="000000" w:themeColor="text1"/>
                <w:sz w:val="24"/>
                <w:szCs w:val="21"/>
                <w:highlight w:val="none"/>
                <w14:textFill>
                  <w14:solidFill>
                    <w14:schemeClr w14:val="tx1"/>
                  </w14:solidFill>
                </w14:textFill>
              </w:rPr>
              <w:t>自行监测计划</w:t>
            </w:r>
          </w:p>
          <w:p w14:paraId="7AF0A4BA">
            <w:pPr>
              <w:pStyle w:val="66"/>
              <w:ind w:firstLine="420"/>
              <w:rPr>
                <w:color w:val="000000" w:themeColor="text1"/>
                <w:sz w:val="24"/>
                <w:szCs w:val="32"/>
                <w:highlight w:val="none"/>
                <w14:textFill>
                  <w14:solidFill>
                    <w14:schemeClr w14:val="tx1"/>
                  </w14:solidFill>
                </w14:textFill>
              </w:rPr>
            </w:pPr>
            <w:r>
              <w:rPr>
                <w:color w:val="000000" w:themeColor="text1"/>
                <w:sz w:val="24"/>
                <w:szCs w:val="32"/>
                <w:highlight w:val="none"/>
                <w14:textFill>
                  <w14:solidFill>
                    <w14:schemeClr w14:val="tx1"/>
                  </w14:solidFill>
                </w14:textFill>
              </w:rPr>
              <w:t>为切实控制本工程治理设施的有效运行和污染物达标排放，落实排放总量控制制度，本环评根据《建设项目环境保护管理条例》第八条的规定，对建设项目提出环境监测计划建议。</w:t>
            </w:r>
          </w:p>
          <w:p w14:paraId="11A86D9B">
            <w:pPr>
              <w:pStyle w:val="66"/>
              <w:ind w:firstLine="420"/>
              <w:rPr>
                <w:rFonts w:hint="default"/>
                <w:b/>
                <w:color w:val="000000" w:themeColor="text1"/>
                <w:sz w:val="24"/>
                <w:szCs w:val="32"/>
                <w:highlight w:val="none"/>
                <w:lang w:val="en-US"/>
                <w14:textFill>
                  <w14:solidFill>
                    <w14:schemeClr w14:val="tx1"/>
                  </w14:solidFill>
                </w14:textFill>
              </w:rPr>
            </w:pPr>
            <w:r>
              <w:rPr>
                <w:color w:val="000000" w:themeColor="text1"/>
                <w:sz w:val="24"/>
                <w:szCs w:val="32"/>
                <w:highlight w:val="none"/>
                <w14:textFill>
                  <w14:solidFill>
                    <w14:schemeClr w14:val="tx1"/>
                  </w14:solidFill>
                </w14:textFill>
              </w:rPr>
              <w:t>根据</w:t>
            </w:r>
            <w:r>
              <w:rPr>
                <w:rFonts w:hint="eastAsia"/>
                <w:color w:val="000000" w:themeColor="text1"/>
                <w:sz w:val="24"/>
                <w:szCs w:val="32"/>
                <w:highlight w:val="none"/>
                <w14:textFill>
                  <w14:solidFill>
                    <w14:schemeClr w14:val="tx1"/>
                  </w14:solidFill>
                </w14:textFill>
              </w:rPr>
              <w:t>《排污许可证申请与核发技术规范</w:t>
            </w:r>
            <w:r>
              <w:rPr>
                <w:rFonts w:hint="eastAsia"/>
                <w:color w:val="000000" w:themeColor="text1"/>
                <w:sz w:val="24"/>
                <w:szCs w:val="32"/>
                <w:highlight w:val="none"/>
                <w:lang w:val="en-US" w:eastAsia="zh-CN"/>
                <w14:textFill>
                  <w14:solidFill>
                    <w14:schemeClr w14:val="tx1"/>
                  </w14:solidFill>
                </w14:textFill>
              </w:rPr>
              <w:t xml:space="preserve"> </w:t>
            </w:r>
            <w:r>
              <w:rPr>
                <w:rFonts w:hint="eastAsia"/>
                <w:color w:val="000000" w:themeColor="text1"/>
                <w:sz w:val="24"/>
                <w:szCs w:val="32"/>
                <w:highlight w:val="none"/>
                <w14:textFill>
                  <w14:solidFill>
                    <w14:schemeClr w14:val="tx1"/>
                  </w14:solidFill>
                </w14:textFill>
              </w:rPr>
              <w:t>橡胶和塑料制品工业》（HJ1122—2020）</w:t>
            </w:r>
            <w:r>
              <w:rPr>
                <w:rFonts w:hint="eastAsia"/>
                <w:color w:val="000000" w:themeColor="text1"/>
                <w:sz w:val="24"/>
                <w:szCs w:val="32"/>
                <w:highlight w:val="none"/>
                <w:lang w:eastAsia="zh-CN"/>
                <w14:textFill>
                  <w14:solidFill>
                    <w14:schemeClr w14:val="tx1"/>
                  </w14:solidFill>
                </w14:textFill>
              </w:rPr>
              <w:t>《排污单位自行监测技术指南 橡胶和塑料制品》（HJ 1207—2021）</w:t>
            </w:r>
            <w:r>
              <w:rPr>
                <w:color w:val="000000" w:themeColor="text1"/>
                <w:sz w:val="24"/>
                <w:szCs w:val="32"/>
                <w:highlight w:val="none"/>
                <w14:textFill>
                  <w14:solidFill>
                    <w14:schemeClr w14:val="tx1"/>
                  </w14:solidFill>
                </w14:textFill>
              </w:rPr>
              <w:t xml:space="preserve">《排污单位自行监测技术指南 </w:t>
            </w:r>
            <w:r>
              <w:rPr>
                <w:rFonts w:hint="eastAsia"/>
                <w:color w:val="000000" w:themeColor="text1"/>
                <w:sz w:val="24"/>
                <w:szCs w:val="32"/>
                <w:highlight w:val="none"/>
                <w:lang w:val="en-US" w:eastAsia="zh-CN"/>
                <w14:textFill>
                  <w14:solidFill>
                    <w14:schemeClr w14:val="tx1"/>
                  </w14:solidFill>
                </w14:textFill>
              </w:rPr>
              <w:t>总则</w:t>
            </w:r>
            <w:r>
              <w:rPr>
                <w:color w:val="000000" w:themeColor="text1"/>
                <w:sz w:val="24"/>
                <w:szCs w:val="32"/>
                <w:highlight w:val="none"/>
                <w14:textFill>
                  <w14:solidFill>
                    <w14:schemeClr w14:val="tx1"/>
                  </w14:solidFill>
                </w14:textFill>
              </w:rPr>
              <w:t>》（HJ8</w:t>
            </w:r>
            <w:r>
              <w:rPr>
                <w:rFonts w:hint="eastAsia"/>
                <w:color w:val="000000" w:themeColor="text1"/>
                <w:sz w:val="24"/>
                <w:szCs w:val="32"/>
                <w:highlight w:val="none"/>
                <w:lang w:val="en-US" w:eastAsia="zh-CN"/>
                <w14:textFill>
                  <w14:solidFill>
                    <w14:schemeClr w14:val="tx1"/>
                  </w14:solidFill>
                </w14:textFill>
              </w:rPr>
              <w:t>19</w:t>
            </w:r>
            <w:r>
              <w:rPr>
                <w:color w:val="000000" w:themeColor="text1"/>
                <w:sz w:val="24"/>
                <w:szCs w:val="32"/>
                <w:highlight w:val="none"/>
                <w14:textFill>
                  <w14:solidFill>
                    <w14:schemeClr w14:val="tx1"/>
                  </w14:solidFill>
                </w14:textFill>
              </w:rPr>
              <w:t>-2017），</w:t>
            </w:r>
            <w:r>
              <w:rPr>
                <w:rFonts w:hint="eastAsia"/>
                <w:color w:val="000000" w:themeColor="text1"/>
                <w:sz w:val="24"/>
                <w:szCs w:val="32"/>
                <w:highlight w:val="none"/>
                <w14:textFill>
                  <w14:solidFill>
                    <w14:schemeClr w14:val="tx1"/>
                  </w14:solidFill>
                </w14:textFill>
              </w:rPr>
              <w:t>本项目实施后，</w:t>
            </w:r>
            <w:r>
              <w:rPr>
                <w:rFonts w:hint="eastAsia"/>
                <w:b w:val="0"/>
                <w:bCs/>
                <w:color w:val="000000" w:themeColor="text1"/>
                <w:sz w:val="24"/>
                <w:szCs w:val="32"/>
                <w:highlight w:val="none"/>
                <w14:textFill>
                  <w14:solidFill>
                    <w14:schemeClr w14:val="tx1"/>
                  </w14:solidFill>
                </w14:textFill>
              </w:rPr>
              <w:t>全厂运营期环境监测计划</w:t>
            </w:r>
            <w:r>
              <w:rPr>
                <w:b w:val="0"/>
                <w:bCs/>
                <w:color w:val="000000" w:themeColor="text1"/>
                <w:sz w:val="24"/>
                <w:szCs w:val="32"/>
                <w:highlight w:val="none"/>
                <w14:textFill>
                  <w14:solidFill>
                    <w14:schemeClr w14:val="tx1"/>
                  </w14:solidFill>
                </w14:textFill>
              </w:rPr>
              <w:t>见</w:t>
            </w:r>
            <w:r>
              <w:rPr>
                <w:rFonts w:hint="eastAsia"/>
                <w:b w:val="0"/>
                <w:bCs/>
                <w:color w:val="000000" w:themeColor="text1"/>
                <w:sz w:val="24"/>
                <w:szCs w:val="32"/>
                <w:highlight w:val="none"/>
                <w14:textFill>
                  <w14:solidFill>
                    <w14:schemeClr w14:val="tx1"/>
                  </w14:solidFill>
                </w14:textFill>
              </w:rPr>
              <w:t>下</w:t>
            </w:r>
            <w:r>
              <w:rPr>
                <w:b w:val="0"/>
                <w:bCs/>
                <w:color w:val="000000" w:themeColor="text1"/>
                <w:sz w:val="24"/>
                <w:szCs w:val="32"/>
                <w:highlight w:val="none"/>
                <w14:textFill>
                  <w14:solidFill>
                    <w14:schemeClr w14:val="tx1"/>
                  </w14:solidFill>
                </w14:textFill>
              </w:rPr>
              <w:t>表。</w:t>
            </w:r>
            <w:r>
              <w:rPr>
                <w:rFonts w:hint="eastAsia"/>
                <w:b w:val="0"/>
                <w:bCs/>
                <w:color w:val="000000" w:themeColor="text1"/>
                <w:sz w:val="24"/>
                <w:szCs w:val="32"/>
                <w:highlight w:val="none"/>
                <w:lang w:val="en-US" w:eastAsia="zh-CN"/>
                <w14:textFill>
                  <w14:solidFill>
                    <w14:schemeClr w14:val="tx1"/>
                  </w14:solidFill>
                </w14:textFill>
              </w:rPr>
              <w:t>本项目不涉及生产废水、生活污水采用隔油+化粪池处理后经市政管网排入污水处理厂处理，属于间接排放，根据</w:t>
            </w:r>
            <w:r>
              <w:rPr>
                <w:rFonts w:hint="eastAsia"/>
                <w:color w:val="000000" w:themeColor="text1"/>
                <w:sz w:val="24"/>
                <w:szCs w:val="32"/>
                <w:highlight w:val="none"/>
                <w:lang w:eastAsia="zh-CN"/>
                <w14:textFill>
                  <w14:solidFill>
                    <w14:schemeClr w14:val="tx1"/>
                  </w14:solidFill>
                </w14:textFill>
              </w:rPr>
              <w:t>自行监测技术指南，</w:t>
            </w:r>
            <w:r>
              <w:rPr>
                <w:rFonts w:hint="eastAsia"/>
                <w:color w:val="000000" w:themeColor="text1"/>
                <w:sz w:val="24"/>
                <w:szCs w:val="32"/>
                <w:highlight w:val="none"/>
                <w:lang w:val="en-US" w:eastAsia="zh-CN"/>
                <w14:textFill>
                  <w14:solidFill>
                    <w14:schemeClr w14:val="tx1"/>
                  </w14:solidFill>
                </w14:textFill>
              </w:rPr>
              <w:t>可不开展自行监测。</w:t>
            </w:r>
          </w:p>
          <w:p w14:paraId="49B33550">
            <w:pPr>
              <w:pStyle w:val="69"/>
              <w:spacing w:line="360" w:lineRule="auto"/>
              <w:rPr>
                <w:rFonts w:hint="default"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pPr>
            <w:bookmarkStart w:id="13" w:name="_Hlk160795959"/>
            <w:r>
              <w:rPr>
                <w:rFonts w:hint="default"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表 4-</w:t>
            </w:r>
            <w:r>
              <w:rPr>
                <w:rFonts w:hint="eastAsia"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12</w:t>
            </w:r>
            <w:r>
              <w:rPr>
                <w:rFonts w:hint="default" w:ascii="Times New Roman" w:hAnsi="Times New Roman" w:eastAsia="宋体" w:cs="宋体"/>
                <w:b/>
                <w:color w:val="000000" w:themeColor="text1"/>
                <w:kern w:val="2"/>
                <w:sz w:val="24"/>
                <w:szCs w:val="24"/>
                <w:highlight w:val="none"/>
                <w:lang w:val="en-US" w:eastAsia="zh-CN" w:bidi="ar-SA"/>
                <w14:textFill>
                  <w14:solidFill>
                    <w14:schemeClr w14:val="tx1"/>
                  </w14:solidFill>
                </w14:textFill>
              </w:rPr>
              <w:t xml:space="preserve">  本项目运营期监测计划</w:t>
            </w:r>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1711"/>
              <w:gridCol w:w="1306"/>
              <w:gridCol w:w="1357"/>
              <w:gridCol w:w="3106"/>
            </w:tblGrid>
            <w:tr w14:paraId="51F54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72" w:type="pct"/>
                  <w:shd w:val="clear" w:color="auto" w:fill="auto"/>
                  <w:vAlign w:val="center"/>
                </w:tcPr>
                <w:p w14:paraId="3574DF44">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监测对象</w:t>
                  </w:r>
                </w:p>
              </w:tc>
              <w:tc>
                <w:tcPr>
                  <w:tcW w:w="1035" w:type="pct"/>
                  <w:shd w:val="clear" w:color="auto" w:fill="auto"/>
                  <w:vAlign w:val="center"/>
                </w:tcPr>
                <w:p w14:paraId="62E2689E">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监测点</w:t>
                  </w:r>
                </w:p>
              </w:tc>
              <w:tc>
                <w:tcPr>
                  <w:tcW w:w="790" w:type="pct"/>
                  <w:shd w:val="clear" w:color="auto" w:fill="auto"/>
                  <w:vAlign w:val="center"/>
                </w:tcPr>
                <w:p w14:paraId="048E6E1D">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监测因子</w:t>
                  </w:r>
                </w:p>
              </w:tc>
              <w:tc>
                <w:tcPr>
                  <w:tcW w:w="821" w:type="pct"/>
                  <w:shd w:val="clear" w:color="auto" w:fill="auto"/>
                  <w:vAlign w:val="center"/>
                </w:tcPr>
                <w:p w14:paraId="3C35D5D9">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监测频率</w:t>
                  </w:r>
                </w:p>
              </w:tc>
              <w:tc>
                <w:tcPr>
                  <w:tcW w:w="1879" w:type="pct"/>
                  <w:shd w:val="clear" w:color="auto" w:fill="auto"/>
                  <w:vAlign w:val="center"/>
                </w:tcPr>
                <w:p w14:paraId="4FA1E8B8">
                  <w:pPr>
                    <w:jc w:val="center"/>
                    <w:rPr>
                      <w:bCs/>
                      <w:color w:val="000000" w:themeColor="text1"/>
                      <w:sz w:val="21"/>
                      <w:szCs w:val="21"/>
                      <w:highlight w:val="none"/>
                      <w14:textFill>
                        <w14:solidFill>
                          <w14:schemeClr w14:val="tx1"/>
                        </w14:solidFill>
                      </w14:textFill>
                    </w:rPr>
                  </w:pPr>
                  <w:r>
                    <w:rPr>
                      <w:rFonts w:hint="eastAsia"/>
                      <w:bCs/>
                      <w:color w:val="000000" w:themeColor="text1"/>
                      <w:sz w:val="21"/>
                      <w:szCs w:val="21"/>
                      <w:highlight w:val="none"/>
                      <w14:textFill>
                        <w14:solidFill>
                          <w14:schemeClr w14:val="tx1"/>
                        </w14:solidFill>
                      </w14:textFill>
                    </w:rPr>
                    <w:t>控制标准</w:t>
                  </w:r>
                </w:p>
              </w:tc>
            </w:tr>
            <w:tr w14:paraId="3BADD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472" w:type="pct"/>
                  <w:vMerge w:val="restart"/>
                  <w:shd w:val="clear" w:color="auto" w:fill="auto"/>
                  <w:vAlign w:val="center"/>
                </w:tcPr>
                <w:p w14:paraId="388CA5F1">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废气</w:t>
                  </w:r>
                </w:p>
              </w:tc>
              <w:tc>
                <w:tcPr>
                  <w:tcW w:w="1035" w:type="pct"/>
                  <w:shd w:val="clear" w:color="auto" w:fill="auto"/>
                  <w:vAlign w:val="center"/>
                </w:tcPr>
                <w:p w14:paraId="3FFE1400">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吹塑废气排气筒（DA001）</w:t>
                  </w:r>
                </w:p>
              </w:tc>
              <w:tc>
                <w:tcPr>
                  <w:tcW w:w="790" w:type="pct"/>
                  <w:shd w:val="clear" w:color="auto" w:fill="auto"/>
                  <w:vAlign w:val="center"/>
                </w:tcPr>
                <w:p w14:paraId="6ECE6659">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气量</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非甲烷总烃</w:t>
                  </w:r>
                </w:p>
              </w:tc>
              <w:tc>
                <w:tcPr>
                  <w:tcW w:w="821" w:type="pct"/>
                  <w:shd w:val="clear" w:color="auto" w:fill="auto"/>
                  <w:vAlign w:val="center"/>
                </w:tcPr>
                <w:p w14:paraId="6CA94656">
                  <w:pPr>
                    <w:jc w:val="center"/>
                    <w:rPr>
                      <w:rFonts w:hint="eastAsia"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1</w:t>
                  </w:r>
                  <w:r>
                    <w:rPr>
                      <w:rFonts w:hint="eastAsia"/>
                      <w:color w:val="000000" w:themeColor="text1"/>
                      <w:sz w:val="21"/>
                      <w:szCs w:val="21"/>
                      <w:highlight w:val="none"/>
                      <w14:textFill>
                        <w14:solidFill>
                          <w14:schemeClr w14:val="tx1"/>
                        </w14:solidFill>
                      </w14:textFill>
                    </w:rPr>
                    <w:t>次</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年</w:t>
                  </w:r>
                </w:p>
              </w:tc>
              <w:tc>
                <w:tcPr>
                  <w:tcW w:w="1879" w:type="pct"/>
                  <w:shd w:val="clear" w:color="auto" w:fill="auto"/>
                  <w:vAlign w:val="center"/>
                </w:tcPr>
                <w:p w14:paraId="1A94AD9A">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《合成树脂工业污染物排放标准》</w:t>
                  </w:r>
                  <w:r>
                    <w:rPr>
                      <w:rFonts w:hint="eastAsia"/>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14:textFill>
                        <w14:solidFill>
                          <w14:schemeClr w14:val="tx1"/>
                        </w14:solidFill>
                      </w14:textFill>
                    </w:rPr>
                    <w:t>GB31572-2015)及修改单的表</w:t>
                  </w:r>
                  <w:r>
                    <w:rPr>
                      <w:rFonts w:hint="eastAsia"/>
                      <w:color w:val="000000" w:themeColor="text1"/>
                      <w:sz w:val="21"/>
                      <w:szCs w:val="21"/>
                      <w:highlight w:val="none"/>
                      <w:lang w:val="en-US" w:eastAsia="zh-CN"/>
                      <w14:textFill>
                        <w14:solidFill>
                          <w14:schemeClr w14:val="tx1"/>
                        </w14:solidFill>
                      </w14:textFill>
                    </w:rPr>
                    <w:t>5</w:t>
                  </w:r>
                  <w:r>
                    <w:rPr>
                      <w:rFonts w:hint="eastAsia"/>
                      <w:color w:val="000000" w:themeColor="text1"/>
                      <w:sz w:val="21"/>
                      <w:szCs w:val="21"/>
                      <w:highlight w:val="none"/>
                      <w14:textFill>
                        <w14:solidFill>
                          <w14:schemeClr w14:val="tx1"/>
                        </w14:solidFill>
                      </w14:textFill>
                    </w:rPr>
                    <w:t>的大气污染物</w:t>
                  </w:r>
                  <w:r>
                    <w:rPr>
                      <w:rFonts w:hint="eastAsia"/>
                      <w:color w:val="000000" w:themeColor="text1"/>
                      <w:sz w:val="21"/>
                      <w:szCs w:val="21"/>
                      <w:highlight w:val="none"/>
                      <w:lang w:val="en-US" w:eastAsia="zh-CN"/>
                      <w14:textFill>
                        <w14:solidFill>
                          <w14:schemeClr w14:val="tx1"/>
                        </w14:solidFill>
                      </w14:textFill>
                    </w:rPr>
                    <w:t>特别</w:t>
                  </w:r>
                  <w:r>
                    <w:rPr>
                      <w:rFonts w:hint="eastAsia"/>
                      <w:color w:val="000000" w:themeColor="text1"/>
                      <w:sz w:val="21"/>
                      <w:szCs w:val="21"/>
                      <w:highlight w:val="none"/>
                      <w14:textFill>
                        <w14:solidFill>
                          <w14:schemeClr w14:val="tx1"/>
                        </w14:solidFill>
                      </w14:textFill>
                    </w:rPr>
                    <w:t>排放限值</w:t>
                  </w:r>
                </w:p>
              </w:tc>
            </w:tr>
            <w:tr w14:paraId="3A10F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472" w:type="pct"/>
                  <w:vMerge w:val="continue"/>
                  <w:shd w:val="clear" w:color="auto" w:fill="auto"/>
                  <w:vAlign w:val="center"/>
                </w:tcPr>
                <w:p w14:paraId="2EAB391C">
                  <w:pPr>
                    <w:jc w:val="center"/>
                    <w:rPr>
                      <w:color w:val="000000" w:themeColor="text1"/>
                      <w:sz w:val="21"/>
                      <w:szCs w:val="21"/>
                      <w:highlight w:val="none"/>
                      <w14:textFill>
                        <w14:solidFill>
                          <w14:schemeClr w14:val="tx1"/>
                        </w14:solidFill>
                      </w14:textFill>
                    </w:rPr>
                  </w:pPr>
                </w:p>
              </w:tc>
              <w:tc>
                <w:tcPr>
                  <w:tcW w:w="1035" w:type="pct"/>
                  <w:shd w:val="clear" w:color="auto" w:fill="auto"/>
                  <w:vAlign w:val="center"/>
                </w:tcPr>
                <w:p w14:paraId="413DFAE9">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厂界无组织监控点</w:t>
                  </w:r>
                </w:p>
              </w:tc>
              <w:tc>
                <w:tcPr>
                  <w:tcW w:w="790" w:type="pct"/>
                  <w:shd w:val="clear" w:color="auto" w:fill="auto"/>
                  <w:vAlign w:val="center"/>
                </w:tcPr>
                <w:p w14:paraId="428A3CD4">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非甲烷总烃</w:t>
                  </w:r>
                </w:p>
              </w:tc>
              <w:tc>
                <w:tcPr>
                  <w:tcW w:w="821" w:type="pct"/>
                  <w:shd w:val="clear" w:color="auto" w:fill="auto"/>
                  <w:vAlign w:val="center"/>
                </w:tcPr>
                <w:p w14:paraId="2D062261">
                  <w:pPr>
                    <w:jc w:val="center"/>
                    <w:rPr>
                      <w:rFonts w:hint="eastAsia" w:eastAsia="宋体"/>
                      <w:color w:val="000000" w:themeColor="text1"/>
                      <w:sz w:val="21"/>
                      <w:szCs w:val="21"/>
                      <w:highlight w:val="none"/>
                      <w:lang w:val="en-US" w:eastAsia="zh-CN"/>
                      <w14:textFill>
                        <w14:solidFill>
                          <w14:schemeClr w14:val="tx1"/>
                        </w14:solidFill>
                      </w14:textFill>
                    </w:rPr>
                  </w:pPr>
                  <w:r>
                    <w:rPr>
                      <w:color w:val="000000" w:themeColor="text1"/>
                      <w:sz w:val="21"/>
                      <w:szCs w:val="21"/>
                      <w:highlight w:val="none"/>
                      <w14:textFill>
                        <w14:solidFill>
                          <w14:schemeClr w14:val="tx1"/>
                        </w14:solidFill>
                      </w14:textFill>
                    </w:rPr>
                    <w:t>1</w:t>
                  </w:r>
                  <w:r>
                    <w:rPr>
                      <w:rFonts w:hint="eastAsia"/>
                      <w:color w:val="000000" w:themeColor="text1"/>
                      <w:sz w:val="21"/>
                      <w:szCs w:val="21"/>
                      <w:highlight w:val="none"/>
                      <w14:textFill>
                        <w14:solidFill>
                          <w14:schemeClr w14:val="tx1"/>
                        </w14:solidFill>
                      </w14:textFill>
                    </w:rPr>
                    <w:t>次</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年</w:t>
                  </w:r>
                </w:p>
              </w:tc>
              <w:tc>
                <w:tcPr>
                  <w:tcW w:w="1879" w:type="pct"/>
                  <w:shd w:val="clear" w:color="auto" w:fill="auto"/>
                  <w:vAlign w:val="center"/>
                </w:tcPr>
                <w:p w14:paraId="47EC0402">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《合成树脂工业污染物排放标准》(GB31572-2015)及修改单中表9企业边界大气污染物</w:t>
                  </w:r>
                  <w:r>
                    <w:rPr>
                      <w:rFonts w:hint="eastAsia"/>
                      <w:color w:val="000000" w:themeColor="text1"/>
                      <w:sz w:val="21"/>
                      <w:szCs w:val="21"/>
                      <w:highlight w:val="none"/>
                      <w:lang w:val="en-US" w:eastAsia="zh-CN"/>
                      <w14:textFill>
                        <w14:solidFill>
                          <w14:schemeClr w14:val="tx1"/>
                        </w14:solidFill>
                      </w14:textFill>
                    </w:rPr>
                    <w:t>浓度</w:t>
                  </w:r>
                  <w:r>
                    <w:rPr>
                      <w:rFonts w:hint="eastAsia"/>
                      <w:color w:val="000000" w:themeColor="text1"/>
                      <w:sz w:val="21"/>
                      <w:szCs w:val="21"/>
                      <w:highlight w:val="none"/>
                      <w14:textFill>
                        <w14:solidFill>
                          <w14:schemeClr w14:val="tx1"/>
                        </w14:solidFill>
                      </w14:textFill>
                    </w:rPr>
                    <w:t>限值</w:t>
                  </w:r>
                </w:p>
              </w:tc>
            </w:tr>
            <w:tr w14:paraId="7E6CA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472" w:type="pct"/>
                  <w:vMerge w:val="continue"/>
                  <w:shd w:val="clear" w:color="auto" w:fill="auto"/>
                  <w:vAlign w:val="center"/>
                </w:tcPr>
                <w:p w14:paraId="15DEE12A">
                  <w:pPr>
                    <w:jc w:val="center"/>
                    <w:rPr>
                      <w:color w:val="000000" w:themeColor="text1"/>
                      <w:sz w:val="21"/>
                      <w:szCs w:val="21"/>
                      <w:highlight w:val="none"/>
                      <w14:textFill>
                        <w14:solidFill>
                          <w14:schemeClr w14:val="tx1"/>
                        </w14:solidFill>
                      </w14:textFill>
                    </w:rPr>
                  </w:pPr>
                </w:p>
              </w:tc>
              <w:tc>
                <w:tcPr>
                  <w:tcW w:w="1035" w:type="pct"/>
                  <w:shd w:val="clear" w:color="auto" w:fill="auto"/>
                  <w:vAlign w:val="center"/>
                </w:tcPr>
                <w:p w14:paraId="6EB02031">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厂区内</w:t>
                  </w:r>
                  <w:r>
                    <w:rPr>
                      <w:rFonts w:hint="eastAsia"/>
                      <w:color w:val="000000" w:themeColor="text1"/>
                      <w:sz w:val="21"/>
                      <w:szCs w:val="21"/>
                      <w:highlight w:val="none"/>
                      <w14:textFill>
                        <w14:solidFill>
                          <w14:schemeClr w14:val="tx1"/>
                        </w14:solidFill>
                      </w14:textFill>
                    </w:rPr>
                    <w:t>无组织监控点</w:t>
                  </w:r>
                </w:p>
              </w:tc>
              <w:tc>
                <w:tcPr>
                  <w:tcW w:w="790" w:type="pct"/>
                  <w:shd w:val="clear" w:color="auto" w:fill="auto"/>
                  <w:vAlign w:val="center"/>
                </w:tcPr>
                <w:p w14:paraId="5B1DEE06">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非甲烷总烃</w:t>
                  </w:r>
                </w:p>
              </w:tc>
              <w:tc>
                <w:tcPr>
                  <w:tcW w:w="821" w:type="pct"/>
                  <w:shd w:val="clear" w:color="auto" w:fill="auto"/>
                  <w:vAlign w:val="center"/>
                </w:tcPr>
                <w:p w14:paraId="192D3C8A">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r>
                    <w:rPr>
                      <w:rFonts w:hint="eastAsia"/>
                      <w:color w:val="000000" w:themeColor="text1"/>
                      <w:sz w:val="21"/>
                      <w:szCs w:val="21"/>
                      <w:highlight w:val="none"/>
                      <w14:textFill>
                        <w14:solidFill>
                          <w14:schemeClr w14:val="tx1"/>
                        </w14:solidFill>
                      </w14:textFill>
                    </w:rPr>
                    <w:t>次</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年</w:t>
                  </w:r>
                </w:p>
              </w:tc>
              <w:tc>
                <w:tcPr>
                  <w:tcW w:w="1879" w:type="pct"/>
                  <w:shd w:val="clear" w:color="auto" w:fill="auto"/>
                  <w:vAlign w:val="center"/>
                </w:tcPr>
                <w:p w14:paraId="140C61FD">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《挥发性有机物无组织排放控制标准（GB37822-2019）》</w:t>
                  </w:r>
                  <w:r>
                    <w:rPr>
                      <w:rFonts w:hint="eastAsia"/>
                      <w:color w:val="000000" w:themeColor="text1"/>
                      <w:sz w:val="21"/>
                      <w:szCs w:val="21"/>
                      <w:highlight w:val="none"/>
                      <w:lang w:val="en-US" w:eastAsia="zh-CN"/>
                      <w14:textFill>
                        <w14:solidFill>
                          <w14:schemeClr w14:val="tx1"/>
                        </w14:solidFill>
                      </w14:textFill>
                    </w:rPr>
                    <w:t>附录A表A.1厂区内VOCs无组织特别排放限值</w:t>
                  </w:r>
                </w:p>
              </w:tc>
            </w:tr>
            <w:tr w14:paraId="6D1D1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472" w:type="pct"/>
                  <w:shd w:val="clear" w:color="auto" w:fill="auto"/>
                  <w:vAlign w:val="center"/>
                </w:tcPr>
                <w:p w14:paraId="73C9F206">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噪声</w:t>
                  </w:r>
                </w:p>
              </w:tc>
              <w:tc>
                <w:tcPr>
                  <w:tcW w:w="1035" w:type="pct"/>
                  <w:shd w:val="clear" w:color="auto" w:fill="auto"/>
                  <w:vAlign w:val="center"/>
                </w:tcPr>
                <w:p w14:paraId="67CF1CFF">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厂界外</w:t>
                  </w:r>
                  <w:r>
                    <w:rPr>
                      <w:color w:val="000000" w:themeColor="text1"/>
                      <w:sz w:val="21"/>
                      <w:szCs w:val="21"/>
                      <w:highlight w:val="none"/>
                      <w14:textFill>
                        <w14:solidFill>
                          <w14:schemeClr w14:val="tx1"/>
                        </w14:solidFill>
                      </w14:textFill>
                    </w:rPr>
                    <w:t>1m</w:t>
                  </w:r>
                  <w:r>
                    <w:rPr>
                      <w:rFonts w:hint="eastAsia"/>
                      <w:color w:val="000000" w:themeColor="text1"/>
                      <w:sz w:val="21"/>
                      <w:szCs w:val="21"/>
                      <w:highlight w:val="none"/>
                      <w14:textFill>
                        <w14:solidFill>
                          <w14:schemeClr w14:val="tx1"/>
                        </w14:solidFill>
                      </w14:textFill>
                    </w:rPr>
                    <w:t>（</w:t>
                  </w:r>
                  <w:r>
                    <w:rPr>
                      <w:color w:val="000000" w:themeColor="text1"/>
                      <w:sz w:val="21"/>
                      <w:szCs w:val="21"/>
                      <w:highlight w:val="none"/>
                      <w14:textFill>
                        <w14:solidFill>
                          <w14:schemeClr w14:val="tx1"/>
                        </w14:solidFill>
                      </w14:textFill>
                    </w:rPr>
                    <w:t>4</w:t>
                  </w:r>
                  <w:r>
                    <w:rPr>
                      <w:rFonts w:hint="eastAsia"/>
                      <w:color w:val="000000" w:themeColor="text1"/>
                      <w:sz w:val="21"/>
                      <w:szCs w:val="21"/>
                      <w:highlight w:val="none"/>
                      <w14:textFill>
                        <w14:solidFill>
                          <w14:schemeClr w14:val="tx1"/>
                        </w14:solidFill>
                      </w14:textFill>
                    </w:rPr>
                    <w:t>个点位）</w:t>
                  </w:r>
                </w:p>
              </w:tc>
              <w:tc>
                <w:tcPr>
                  <w:tcW w:w="790" w:type="pct"/>
                  <w:shd w:val="clear" w:color="auto" w:fill="auto"/>
                  <w:vAlign w:val="center"/>
                </w:tcPr>
                <w:p w14:paraId="6C174AB0">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等效连续</w:t>
                  </w:r>
                  <w:r>
                    <w:rPr>
                      <w:color w:val="000000" w:themeColor="text1"/>
                      <w:sz w:val="21"/>
                      <w:szCs w:val="21"/>
                      <w:highlight w:val="none"/>
                      <w14:textFill>
                        <w14:solidFill>
                          <w14:schemeClr w14:val="tx1"/>
                        </w14:solidFill>
                      </w14:textFill>
                    </w:rPr>
                    <w:t>A</w:t>
                  </w:r>
                  <w:r>
                    <w:rPr>
                      <w:rFonts w:hint="eastAsia"/>
                      <w:color w:val="000000" w:themeColor="text1"/>
                      <w:sz w:val="21"/>
                      <w:szCs w:val="21"/>
                      <w:highlight w:val="none"/>
                      <w14:textFill>
                        <w14:solidFill>
                          <w14:schemeClr w14:val="tx1"/>
                        </w14:solidFill>
                      </w14:textFill>
                    </w:rPr>
                    <w:t>声级</w:t>
                  </w:r>
                </w:p>
              </w:tc>
              <w:tc>
                <w:tcPr>
                  <w:tcW w:w="821" w:type="pct"/>
                  <w:shd w:val="clear" w:color="auto" w:fill="auto"/>
                  <w:vAlign w:val="center"/>
                </w:tcPr>
                <w:p w14:paraId="207F6FF0">
                  <w:pPr>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r>
                    <w:rPr>
                      <w:rFonts w:hint="eastAsia"/>
                      <w:color w:val="000000" w:themeColor="text1"/>
                      <w:sz w:val="21"/>
                      <w:szCs w:val="21"/>
                      <w:highlight w:val="none"/>
                      <w14:textFill>
                        <w14:solidFill>
                          <w14:schemeClr w14:val="tx1"/>
                        </w14:solidFill>
                      </w14:textFill>
                    </w:rPr>
                    <w:t>次</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14:textFill>
                        <w14:solidFill>
                          <w14:schemeClr w14:val="tx1"/>
                        </w14:solidFill>
                      </w14:textFill>
                    </w:rPr>
                    <w:t>季</w:t>
                  </w:r>
                </w:p>
              </w:tc>
              <w:tc>
                <w:tcPr>
                  <w:tcW w:w="1879" w:type="pct"/>
                  <w:shd w:val="clear" w:color="auto" w:fill="auto"/>
                  <w:vAlign w:val="center"/>
                </w:tcPr>
                <w:p w14:paraId="797DFAF1">
                  <w:pPr>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《工业企业厂界环境噪声排放标准》（</w:t>
                  </w:r>
                  <w:r>
                    <w:rPr>
                      <w:color w:val="000000" w:themeColor="text1"/>
                      <w:sz w:val="21"/>
                      <w:szCs w:val="21"/>
                      <w:highlight w:val="none"/>
                      <w14:textFill>
                        <w14:solidFill>
                          <w14:schemeClr w14:val="tx1"/>
                        </w14:solidFill>
                      </w14:textFill>
                    </w:rPr>
                    <w:t>GB12348-2008</w:t>
                  </w:r>
                  <w:r>
                    <w:rPr>
                      <w:rFonts w:hint="eastAsia"/>
                      <w:color w:val="000000" w:themeColor="text1"/>
                      <w:sz w:val="21"/>
                      <w:szCs w:val="21"/>
                      <w:highlight w:val="none"/>
                      <w14:textFill>
                        <w14:solidFill>
                          <w14:schemeClr w14:val="tx1"/>
                        </w14:solidFill>
                      </w14:textFill>
                    </w:rPr>
                    <w:t>）中的3类标准</w:t>
                  </w:r>
                </w:p>
              </w:tc>
            </w:tr>
            <w:bookmarkEnd w:id="13"/>
          </w:tbl>
          <w:p w14:paraId="1D15BD3C">
            <w:pPr>
              <w:spacing w:line="360" w:lineRule="auto"/>
              <w:ind w:firstLine="480" w:firstLineChars="200"/>
              <w:rPr>
                <w:rFonts w:hint="eastAsia" w:cs="宋体"/>
                <w:color w:val="000000" w:themeColor="text1"/>
                <w:sz w:val="24"/>
                <w:szCs w:val="32"/>
                <w:highlight w:val="none"/>
                <w14:textFill>
                  <w14:solidFill>
                    <w14:schemeClr w14:val="tx1"/>
                  </w14:solidFill>
                </w14:textFill>
              </w:rPr>
            </w:pPr>
          </w:p>
          <w:p w14:paraId="39BC66E2">
            <w:pPr>
              <w:spacing w:line="360" w:lineRule="auto"/>
              <w:ind w:firstLine="480" w:firstLineChars="200"/>
              <w:rPr>
                <w:rFonts w:hint="eastAsia" w:cs="宋体"/>
                <w:color w:val="000000" w:themeColor="text1"/>
                <w:sz w:val="24"/>
                <w:szCs w:val="32"/>
                <w:highlight w:val="none"/>
                <w14:textFill>
                  <w14:solidFill>
                    <w14:schemeClr w14:val="tx1"/>
                  </w14:solidFill>
                </w14:textFill>
              </w:rPr>
            </w:pPr>
          </w:p>
          <w:p w14:paraId="2BB671D8">
            <w:pPr>
              <w:spacing w:line="360" w:lineRule="auto"/>
              <w:ind w:firstLine="480" w:firstLineChars="200"/>
              <w:rPr>
                <w:rFonts w:hint="eastAsia" w:cs="宋体"/>
                <w:color w:val="000000" w:themeColor="text1"/>
                <w:sz w:val="24"/>
                <w:szCs w:val="32"/>
                <w:highlight w:val="none"/>
                <w14:textFill>
                  <w14:solidFill>
                    <w14:schemeClr w14:val="tx1"/>
                  </w14:solidFill>
                </w14:textFill>
              </w:rPr>
            </w:pPr>
          </w:p>
          <w:p w14:paraId="341490FA">
            <w:pPr>
              <w:spacing w:line="360" w:lineRule="auto"/>
              <w:ind w:firstLine="480" w:firstLineChars="200"/>
              <w:rPr>
                <w:rFonts w:hint="eastAsia" w:cs="宋体"/>
                <w:color w:val="000000" w:themeColor="text1"/>
                <w:sz w:val="24"/>
                <w:szCs w:val="32"/>
                <w:highlight w:val="none"/>
                <w14:textFill>
                  <w14:solidFill>
                    <w14:schemeClr w14:val="tx1"/>
                  </w14:solidFill>
                </w14:textFill>
              </w:rPr>
            </w:pPr>
          </w:p>
          <w:p w14:paraId="31AC4E38">
            <w:pPr>
              <w:spacing w:line="360" w:lineRule="auto"/>
              <w:ind w:firstLine="480" w:firstLineChars="200"/>
              <w:rPr>
                <w:rFonts w:hint="eastAsia" w:cs="宋体"/>
                <w:color w:val="000000" w:themeColor="text1"/>
                <w:sz w:val="24"/>
                <w:szCs w:val="32"/>
                <w:highlight w:val="none"/>
                <w14:textFill>
                  <w14:solidFill>
                    <w14:schemeClr w14:val="tx1"/>
                  </w14:solidFill>
                </w14:textFill>
              </w:rPr>
            </w:pPr>
          </w:p>
        </w:tc>
      </w:tr>
    </w:tbl>
    <w:p w14:paraId="2BAD6AB8">
      <w:pPr>
        <w:spacing w:line="360" w:lineRule="auto"/>
        <w:rPr>
          <w:rFonts w:cs="宋体"/>
          <w:color w:val="000000" w:themeColor="text1"/>
          <w:sz w:val="24"/>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35834822">
      <w:pPr>
        <w:pStyle w:val="26"/>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14" w:name="_Toc22069"/>
      <w:r>
        <w:rPr>
          <w:rFonts w:hint="eastAsia" w:ascii="黑体" w:hAnsi="黑体" w:eastAsia="黑体"/>
          <w:snapToGrid w:val="0"/>
          <w:color w:val="000000" w:themeColor="text1"/>
          <w:sz w:val="30"/>
          <w:szCs w:val="30"/>
          <w:highlight w:val="none"/>
          <w14:textFill>
            <w14:solidFill>
              <w14:schemeClr w14:val="tx1"/>
            </w14:solidFill>
          </w14:textFill>
        </w:rPr>
        <w:t>五、</w:t>
      </w:r>
      <w:bookmarkStart w:id="15" w:name="_Hlk54167917"/>
      <w:r>
        <w:rPr>
          <w:rFonts w:hint="eastAsia" w:ascii="黑体" w:hAnsi="黑体" w:eastAsia="黑体"/>
          <w:snapToGrid w:val="0"/>
          <w:color w:val="000000" w:themeColor="text1"/>
          <w:sz w:val="30"/>
          <w:szCs w:val="30"/>
          <w:highlight w:val="none"/>
          <w14:textFill>
            <w14:solidFill>
              <w14:schemeClr w14:val="tx1"/>
            </w14:solidFill>
          </w14:textFill>
        </w:rPr>
        <w:t>环境保护措施监督检查清单</w:t>
      </w:r>
      <w:bookmarkEnd w:id="14"/>
      <w:bookmarkEnd w:id="15"/>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112"/>
        <w:gridCol w:w="1477"/>
        <w:gridCol w:w="1305"/>
        <w:gridCol w:w="2115"/>
        <w:gridCol w:w="2791"/>
      </w:tblGrid>
      <w:tr w14:paraId="42886D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25" w:hRule="atLeast"/>
          <w:tblHeader/>
          <w:jc w:val="center"/>
        </w:trPr>
        <w:tc>
          <w:tcPr>
            <w:tcW w:w="1112" w:type="dxa"/>
            <w:tcBorders>
              <w:tl2br w:val="single" w:color="auto" w:sz="4" w:space="0"/>
            </w:tcBorders>
          </w:tcPr>
          <w:p w14:paraId="08730969">
            <w:pPr>
              <w:adjustRightInd w:val="0"/>
              <w:snapToGrid w:val="0"/>
              <w:jc w:val="righ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内容</w:t>
            </w:r>
          </w:p>
          <w:p w14:paraId="403CB871">
            <w:pPr>
              <w:adjustRightInd w:val="0"/>
              <w:snapToGrid w:val="0"/>
              <w:ind w:right="420"/>
              <w:jc w:val="right"/>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要素</w:t>
            </w:r>
          </w:p>
        </w:tc>
        <w:tc>
          <w:tcPr>
            <w:tcW w:w="1477" w:type="dxa"/>
            <w:vAlign w:val="center"/>
          </w:tcPr>
          <w:p w14:paraId="6C7FD923">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排放口(编号、名称)/污染源</w:t>
            </w:r>
          </w:p>
        </w:tc>
        <w:tc>
          <w:tcPr>
            <w:tcW w:w="1305" w:type="dxa"/>
            <w:vAlign w:val="center"/>
          </w:tcPr>
          <w:p w14:paraId="7FB9F50B">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污染物项目</w:t>
            </w:r>
          </w:p>
        </w:tc>
        <w:tc>
          <w:tcPr>
            <w:tcW w:w="2115" w:type="dxa"/>
            <w:vAlign w:val="center"/>
          </w:tcPr>
          <w:p w14:paraId="1BFAA567">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环境保护措施</w:t>
            </w:r>
          </w:p>
        </w:tc>
        <w:tc>
          <w:tcPr>
            <w:tcW w:w="2791" w:type="dxa"/>
            <w:vAlign w:val="center"/>
          </w:tcPr>
          <w:p w14:paraId="79A82460">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执行标准</w:t>
            </w:r>
          </w:p>
        </w:tc>
      </w:tr>
      <w:tr w14:paraId="52E904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73" w:hRule="atLeast"/>
          <w:jc w:val="center"/>
        </w:trPr>
        <w:tc>
          <w:tcPr>
            <w:tcW w:w="1112" w:type="dxa"/>
            <w:vMerge w:val="restart"/>
            <w:vAlign w:val="center"/>
          </w:tcPr>
          <w:p w14:paraId="06DA3CC6">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大气环境</w:t>
            </w:r>
          </w:p>
        </w:tc>
        <w:tc>
          <w:tcPr>
            <w:tcW w:w="1477" w:type="dxa"/>
            <w:vAlign w:val="center"/>
          </w:tcPr>
          <w:p w14:paraId="7D5A336B">
            <w:pPr>
              <w:adjustRightInd w:val="0"/>
              <w:snapToGrid w:val="0"/>
              <w:jc w:val="center"/>
              <w:rPr>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t>吹塑废气</w:t>
            </w:r>
            <w:r>
              <w:rPr>
                <w:rFonts w:ascii="Times New Roman" w:hAnsi="Times New Roman" w:eastAsia="宋体" w:cs="Times New Roman"/>
                <w:color w:val="000000" w:themeColor="text1"/>
                <w:kern w:val="0"/>
                <w:sz w:val="24"/>
                <w:szCs w:val="24"/>
                <w:highlight w:val="none"/>
                <w:lang w:val="en-US" w:eastAsia="en-US" w:bidi="ar-SA"/>
                <w14:textFill>
                  <w14:solidFill>
                    <w14:schemeClr w14:val="tx1"/>
                  </w14:solidFill>
                </w14:textFill>
              </w:rPr>
              <w:t xml:space="preserve"> DA001</w:t>
            </w:r>
          </w:p>
        </w:tc>
        <w:tc>
          <w:tcPr>
            <w:tcW w:w="1305" w:type="dxa"/>
            <w:vAlign w:val="center"/>
          </w:tcPr>
          <w:p w14:paraId="0873989E">
            <w:pPr>
              <w:pStyle w:val="36"/>
              <w:spacing w:before="75"/>
              <w:ind w:left="161" w:right="144" w:firstLine="2" w:firstLineChars="1"/>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非甲烷总烃</w:t>
            </w:r>
          </w:p>
        </w:tc>
        <w:tc>
          <w:tcPr>
            <w:tcW w:w="2115" w:type="dxa"/>
            <w:vAlign w:val="center"/>
          </w:tcPr>
          <w:p w14:paraId="55B2ABE8">
            <w:pPr>
              <w:adjustRightInd w:val="0"/>
              <w:snapToGrid w:val="0"/>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集气罩+二级活性炭吸附</w:t>
            </w:r>
          </w:p>
        </w:tc>
        <w:tc>
          <w:tcPr>
            <w:tcW w:w="2791" w:type="dxa"/>
          </w:tcPr>
          <w:p w14:paraId="4279BA33">
            <w:pPr>
              <w:pStyle w:val="36"/>
              <w:spacing w:before="102" w:line="242" w:lineRule="auto"/>
              <w:ind w:left="0" w:right="86"/>
              <w:jc w:val="both"/>
              <w:rPr>
                <w:rFonts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《合成树脂工业污染物排放标准》(GB31572-2015)及修改单的表</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的大气污染物排放限值</w:t>
            </w:r>
          </w:p>
        </w:tc>
      </w:tr>
      <w:tr w14:paraId="798107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05" w:hRule="atLeast"/>
          <w:jc w:val="center"/>
        </w:trPr>
        <w:tc>
          <w:tcPr>
            <w:tcW w:w="1112" w:type="dxa"/>
            <w:vMerge w:val="continue"/>
            <w:vAlign w:val="center"/>
          </w:tcPr>
          <w:p w14:paraId="3F17B0B4">
            <w:pPr>
              <w:adjustRightInd w:val="0"/>
              <w:snapToGrid w:val="0"/>
              <w:jc w:val="center"/>
              <w:rPr>
                <w:color w:val="000000" w:themeColor="text1"/>
                <w:szCs w:val="21"/>
                <w:highlight w:val="none"/>
                <w14:textFill>
                  <w14:solidFill>
                    <w14:schemeClr w14:val="tx1"/>
                  </w14:solidFill>
                </w14:textFill>
              </w:rPr>
            </w:pPr>
          </w:p>
        </w:tc>
        <w:tc>
          <w:tcPr>
            <w:tcW w:w="1477" w:type="dxa"/>
            <w:vAlign w:val="center"/>
          </w:tcPr>
          <w:p w14:paraId="379674E0">
            <w:pPr>
              <w:adjustRightInd w:val="0"/>
              <w:snapToGrid w:val="0"/>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无组织排放</w:t>
            </w:r>
          </w:p>
        </w:tc>
        <w:tc>
          <w:tcPr>
            <w:tcW w:w="1305" w:type="dxa"/>
            <w:vAlign w:val="center"/>
          </w:tcPr>
          <w:p w14:paraId="220E8660">
            <w:pPr>
              <w:pStyle w:val="36"/>
              <w:spacing w:before="76"/>
              <w:ind w:left="161" w:right="144" w:firstLine="2" w:firstLineChars="1"/>
              <w:jc w:val="center"/>
              <w:rPr>
                <w:rFonts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非甲烷总烃</w:t>
            </w:r>
          </w:p>
        </w:tc>
        <w:tc>
          <w:tcPr>
            <w:tcW w:w="2115" w:type="dxa"/>
            <w:vAlign w:val="center"/>
          </w:tcPr>
          <w:p w14:paraId="2245D1EA">
            <w:pPr>
              <w:adjustRightInd w:val="0"/>
              <w:snapToGrid w:val="0"/>
              <w:jc w:val="center"/>
              <w:rPr>
                <w:rFonts w:hint="default"/>
                <w:color w:val="000000" w:themeColor="text1"/>
                <w:sz w:val="24"/>
                <w:szCs w:val="24"/>
                <w:highlight w:val="none"/>
                <w:lang w:val="en-US"/>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密闭式集气罩负压收集，尽量减少无组织排放</w:t>
            </w:r>
          </w:p>
        </w:tc>
        <w:tc>
          <w:tcPr>
            <w:tcW w:w="2791" w:type="dxa"/>
            <w:vAlign w:val="center"/>
          </w:tcPr>
          <w:p w14:paraId="6B92CAF5">
            <w:pPr>
              <w:adjustRightInd w:val="0"/>
              <w:snapToGrid w:val="0"/>
              <w:rPr>
                <w:rFonts w:hint="eastAsia" w:eastAsia="宋体"/>
                <w:color w:val="000000" w:themeColor="text1"/>
                <w:sz w:val="24"/>
                <w:szCs w:val="24"/>
                <w:highlight w:val="none"/>
                <w:lang w:eastAsia="zh-CN"/>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厂界执行</w:t>
            </w:r>
            <w:r>
              <w:rPr>
                <w:rFonts w:hint="eastAsia"/>
                <w:color w:val="000000" w:themeColor="text1"/>
                <w:sz w:val="24"/>
                <w:szCs w:val="24"/>
                <w:highlight w:val="none"/>
                <w14:textFill>
                  <w14:solidFill>
                    <w14:schemeClr w14:val="tx1"/>
                  </w14:solidFill>
                </w14:textFill>
              </w:rPr>
              <w:t>《合成树脂工业污染物排放标准》(GB31572-2015)及修改单中表9企业边界大气污染物</w:t>
            </w:r>
            <w:r>
              <w:rPr>
                <w:rFonts w:hint="eastAsia"/>
                <w:color w:val="000000" w:themeColor="text1"/>
                <w:sz w:val="24"/>
                <w:szCs w:val="24"/>
                <w:highlight w:val="none"/>
                <w:lang w:val="en-US" w:eastAsia="zh-CN"/>
                <w14:textFill>
                  <w14:solidFill>
                    <w14:schemeClr w14:val="tx1"/>
                  </w14:solidFill>
                </w14:textFill>
              </w:rPr>
              <w:t>浓</w:t>
            </w:r>
            <w:r>
              <w:rPr>
                <w:rFonts w:hint="eastAsia"/>
                <w:color w:val="000000" w:themeColor="text1"/>
                <w:sz w:val="24"/>
                <w:szCs w:val="24"/>
                <w:highlight w:val="none"/>
                <w14:textFill>
                  <w14:solidFill>
                    <w14:schemeClr w14:val="tx1"/>
                  </w14:solidFill>
                </w14:textFill>
              </w:rPr>
              <w:t>度限值</w:t>
            </w:r>
            <w:r>
              <w:rPr>
                <w:rFonts w:hint="eastAsia"/>
                <w:color w:val="000000" w:themeColor="text1"/>
                <w:sz w:val="24"/>
                <w:szCs w:val="24"/>
                <w:highlight w:val="none"/>
                <w:lang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厂区内监控点执行《挥发性有机物无组织排放控制标准（GB37822-2019）》附录A表A.1厂区内VOCs无组织特别排放限值</w:t>
            </w:r>
          </w:p>
        </w:tc>
      </w:tr>
      <w:tr w14:paraId="079609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50" w:hRule="atLeast"/>
          <w:jc w:val="center"/>
        </w:trPr>
        <w:tc>
          <w:tcPr>
            <w:tcW w:w="1112" w:type="dxa"/>
            <w:vMerge w:val="restart"/>
            <w:vAlign w:val="center"/>
          </w:tcPr>
          <w:p w14:paraId="62B83652">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地表水环境</w:t>
            </w:r>
          </w:p>
        </w:tc>
        <w:tc>
          <w:tcPr>
            <w:tcW w:w="1477" w:type="dxa"/>
            <w:vMerge w:val="restart"/>
            <w:vAlign w:val="center"/>
          </w:tcPr>
          <w:p w14:paraId="3B44EBB3">
            <w:pPr>
              <w:adjustRightInd w:val="0"/>
              <w:snapToGrid w:val="0"/>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生活污水</w:t>
            </w:r>
          </w:p>
          <w:p w14:paraId="5008E598">
            <w:pPr>
              <w:adjustRightInd w:val="0"/>
              <w:snapToGrid w:val="0"/>
              <w:jc w:val="center"/>
              <w:rPr>
                <w:rFonts w:hint="eastAsia" w:eastAsia="宋体"/>
                <w:color w:val="000000" w:themeColor="text1"/>
                <w:sz w:val="24"/>
                <w:szCs w:val="24"/>
                <w:highlight w:val="none"/>
                <w:lang w:val="en-US" w:eastAsia="zh-CN"/>
                <w14:textFill>
                  <w14:solidFill>
                    <w14:schemeClr w14:val="tx1"/>
                  </w14:solidFill>
                </w14:textFill>
              </w:rPr>
            </w:pPr>
            <w:r>
              <w:rPr>
                <w:rFonts w:hint="eastAsia"/>
                <w:color w:val="000000" w:themeColor="text1"/>
                <w:sz w:val="24"/>
                <w:szCs w:val="24"/>
                <w:highlight w:val="none"/>
                <w14:textFill>
                  <w14:solidFill>
                    <w14:schemeClr w14:val="tx1"/>
                  </w14:solidFill>
                </w14:textFill>
              </w:rPr>
              <w:t>D</w:t>
            </w:r>
            <w:r>
              <w:rPr>
                <w:color w:val="000000" w:themeColor="text1"/>
                <w:sz w:val="24"/>
                <w:szCs w:val="24"/>
                <w:highlight w:val="none"/>
                <w14:textFill>
                  <w14:solidFill>
                    <w14:schemeClr w14:val="tx1"/>
                  </w14:solidFill>
                </w14:textFill>
              </w:rPr>
              <w:t>W00</w:t>
            </w:r>
            <w:r>
              <w:rPr>
                <w:rFonts w:hint="eastAsia"/>
                <w:color w:val="000000" w:themeColor="text1"/>
                <w:sz w:val="24"/>
                <w:szCs w:val="24"/>
                <w:highlight w:val="none"/>
                <w:lang w:val="en-US" w:eastAsia="zh-CN"/>
                <w14:textFill>
                  <w14:solidFill>
                    <w14:schemeClr w14:val="tx1"/>
                  </w14:solidFill>
                </w14:textFill>
              </w:rPr>
              <w:t>1</w:t>
            </w:r>
          </w:p>
        </w:tc>
        <w:tc>
          <w:tcPr>
            <w:tcW w:w="1305" w:type="dxa"/>
            <w:vAlign w:val="center"/>
          </w:tcPr>
          <w:p w14:paraId="005CD117">
            <w:pPr>
              <w:pStyle w:val="36"/>
              <w:spacing w:before="87"/>
              <w:ind w:left="165" w:right="144"/>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position w:val="2"/>
                <w:sz w:val="24"/>
                <w:szCs w:val="24"/>
                <w:highlight w:val="none"/>
                <w14:textFill>
                  <w14:solidFill>
                    <w14:schemeClr w14:val="tx1"/>
                  </w14:solidFill>
                </w14:textFill>
              </w:rPr>
              <w:t>COD</w:t>
            </w:r>
            <w:r>
              <w:rPr>
                <w:rFonts w:ascii="Times New Roman" w:hAnsi="Times New Roman" w:cs="Times New Roman"/>
                <w:color w:val="000000" w:themeColor="text1"/>
                <w:sz w:val="24"/>
                <w:szCs w:val="24"/>
                <w:highlight w:val="none"/>
                <w:vertAlign w:val="subscript"/>
                <w14:textFill>
                  <w14:solidFill>
                    <w14:schemeClr w14:val="tx1"/>
                  </w14:solidFill>
                </w14:textFill>
              </w:rPr>
              <w:t>Cr</w:t>
            </w:r>
          </w:p>
        </w:tc>
        <w:tc>
          <w:tcPr>
            <w:tcW w:w="2115" w:type="dxa"/>
            <w:vMerge w:val="restart"/>
            <w:vAlign w:val="center"/>
          </w:tcPr>
          <w:p w14:paraId="03CDFCCE">
            <w:pPr>
              <w:adjustRightInd w:val="0"/>
              <w:snapToGrid w:val="0"/>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经</w:t>
            </w:r>
            <w:r>
              <w:rPr>
                <w:rFonts w:hint="eastAsia"/>
                <w:color w:val="000000" w:themeColor="text1"/>
                <w:sz w:val="24"/>
                <w:szCs w:val="24"/>
                <w:highlight w:val="none"/>
                <w:lang w:val="en-US" w:eastAsia="zh-CN"/>
                <w14:textFill>
                  <w14:solidFill>
                    <w14:schemeClr w14:val="tx1"/>
                  </w14:solidFill>
                </w14:textFill>
              </w:rPr>
              <w:t>隔油+化粪池</w:t>
            </w:r>
            <w:r>
              <w:rPr>
                <w:rFonts w:hint="eastAsia"/>
                <w:color w:val="000000" w:themeColor="text1"/>
                <w:sz w:val="24"/>
                <w:szCs w:val="24"/>
                <w:highlight w:val="none"/>
                <w14:textFill>
                  <w14:solidFill>
                    <w14:schemeClr w14:val="tx1"/>
                  </w14:solidFill>
                </w14:textFill>
              </w:rPr>
              <w:t>预处理后排入市政污水管网，送往福建青口海峡环保有限公司(</w:t>
            </w:r>
            <w:r>
              <w:rPr>
                <w:rFonts w:hint="eastAsia"/>
                <w:color w:val="000000" w:themeColor="text1"/>
                <w:sz w:val="24"/>
                <w:szCs w:val="24"/>
                <w:highlight w:val="none"/>
                <w:lang w:eastAsia="zh-CN"/>
                <w14:textFill>
                  <w14:solidFill>
                    <w14:schemeClr w14:val="tx1"/>
                  </w14:solidFill>
                </w14:textFill>
              </w:rPr>
              <w:t>青口新区污水处理厂</w:t>
            </w:r>
            <w:r>
              <w:rPr>
                <w:rFonts w:hint="eastAsia"/>
                <w:color w:val="000000" w:themeColor="text1"/>
                <w:sz w:val="24"/>
                <w:szCs w:val="24"/>
                <w:highlight w:val="none"/>
                <w14:textFill>
                  <w14:solidFill>
                    <w14:schemeClr w14:val="tx1"/>
                  </w14:solidFill>
                </w14:textFill>
              </w:rPr>
              <w:t>)集中处理</w:t>
            </w:r>
          </w:p>
        </w:tc>
        <w:tc>
          <w:tcPr>
            <w:tcW w:w="2791" w:type="dxa"/>
            <w:vMerge w:val="restart"/>
            <w:vAlign w:val="center"/>
          </w:tcPr>
          <w:p w14:paraId="10682D14">
            <w:pPr>
              <w:adjustRightInd w:val="0"/>
              <w:snapToGrid w:val="0"/>
              <w:jc w:val="center"/>
              <w:rPr>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《污水综合排放标准》(GB8978-1996)表4中三级标准，其中氨氮参照执行《污水排入城镇下水道水质标准》(GBT 31962-2015)表1中B级标准限值</w:t>
            </w:r>
          </w:p>
        </w:tc>
      </w:tr>
      <w:tr w14:paraId="49FE76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41" w:hRule="atLeast"/>
          <w:jc w:val="center"/>
        </w:trPr>
        <w:tc>
          <w:tcPr>
            <w:tcW w:w="1112" w:type="dxa"/>
            <w:vMerge w:val="continue"/>
            <w:vAlign w:val="center"/>
          </w:tcPr>
          <w:p w14:paraId="21FC4357">
            <w:pPr>
              <w:adjustRightInd w:val="0"/>
              <w:snapToGrid w:val="0"/>
              <w:jc w:val="center"/>
              <w:rPr>
                <w:color w:val="000000" w:themeColor="text1"/>
                <w:szCs w:val="21"/>
                <w:highlight w:val="none"/>
                <w14:textFill>
                  <w14:solidFill>
                    <w14:schemeClr w14:val="tx1"/>
                  </w14:solidFill>
                </w14:textFill>
              </w:rPr>
            </w:pPr>
          </w:p>
        </w:tc>
        <w:tc>
          <w:tcPr>
            <w:tcW w:w="1477" w:type="dxa"/>
            <w:vMerge w:val="continue"/>
            <w:vAlign w:val="center"/>
          </w:tcPr>
          <w:p w14:paraId="65B01444">
            <w:pPr>
              <w:adjustRightInd w:val="0"/>
              <w:snapToGrid w:val="0"/>
              <w:jc w:val="center"/>
              <w:rPr>
                <w:color w:val="000000" w:themeColor="text1"/>
                <w:sz w:val="24"/>
                <w:szCs w:val="24"/>
                <w:highlight w:val="none"/>
                <w14:textFill>
                  <w14:solidFill>
                    <w14:schemeClr w14:val="tx1"/>
                  </w14:solidFill>
                </w14:textFill>
              </w:rPr>
            </w:pPr>
          </w:p>
        </w:tc>
        <w:tc>
          <w:tcPr>
            <w:tcW w:w="1305" w:type="dxa"/>
            <w:vAlign w:val="center"/>
          </w:tcPr>
          <w:p w14:paraId="2F066AFB">
            <w:pPr>
              <w:pStyle w:val="36"/>
              <w:spacing w:before="87"/>
              <w:ind w:left="164" w:right="144"/>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position w:val="2"/>
                <w:sz w:val="24"/>
                <w:szCs w:val="24"/>
                <w:highlight w:val="none"/>
                <w14:textFill>
                  <w14:solidFill>
                    <w14:schemeClr w14:val="tx1"/>
                  </w14:solidFill>
                </w14:textFill>
              </w:rPr>
              <w:t>BOD</w:t>
            </w:r>
            <w:r>
              <w:rPr>
                <w:rFonts w:ascii="Times New Roman" w:hAnsi="Times New Roman" w:cs="Times New Roman"/>
                <w:color w:val="000000" w:themeColor="text1"/>
                <w:sz w:val="24"/>
                <w:szCs w:val="24"/>
                <w:highlight w:val="none"/>
                <w:vertAlign w:val="subscript"/>
                <w14:textFill>
                  <w14:solidFill>
                    <w14:schemeClr w14:val="tx1"/>
                  </w14:solidFill>
                </w14:textFill>
              </w:rPr>
              <w:t>5</w:t>
            </w:r>
          </w:p>
        </w:tc>
        <w:tc>
          <w:tcPr>
            <w:tcW w:w="2115" w:type="dxa"/>
            <w:vMerge w:val="continue"/>
            <w:vAlign w:val="center"/>
          </w:tcPr>
          <w:p w14:paraId="2442DB21">
            <w:pPr>
              <w:adjustRightInd w:val="0"/>
              <w:snapToGrid w:val="0"/>
              <w:jc w:val="center"/>
              <w:rPr>
                <w:color w:val="000000" w:themeColor="text1"/>
                <w:sz w:val="24"/>
                <w:szCs w:val="24"/>
                <w:highlight w:val="none"/>
                <w14:textFill>
                  <w14:solidFill>
                    <w14:schemeClr w14:val="tx1"/>
                  </w14:solidFill>
                </w14:textFill>
              </w:rPr>
            </w:pPr>
          </w:p>
        </w:tc>
        <w:tc>
          <w:tcPr>
            <w:tcW w:w="2791" w:type="dxa"/>
            <w:vMerge w:val="continue"/>
            <w:vAlign w:val="center"/>
          </w:tcPr>
          <w:p w14:paraId="33DD4074">
            <w:pPr>
              <w:adjustRightInd w:val="0"/>
              <w:snapToGrid w:val="0"/>
              <w:jc w:val="center"/>
              <w:rPr>
                <w:color w:val="000000" w:themeColor="text1"/>
                <w:sz w:val="24"/>
                <w:szCs w:val="24"/>
                <w:highlight w:val="none"/>
                <w14:textFill>
                  <w14:solidFill>
                    <w14:schemeClr w14:val="tx1"/>
                  </w14:solidFill>
                </w14:textFill>
              </w:rPr>
            </w:pPr>
          </w:p>
        </w:tc>
      </w:tr>
      <w:tr w14:paraId="129247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34" w:hRule="atLeast"/>
          <w:jc w:val="center"/>
        </w:trPr>
        <w:tc>
          <w:tcPr>
            <w:tcW w:w="1112" w:type="dxa"/>
            <w:vMerge w:val="continue"/>
            <w:vAlign w:val="center"/>
          </w:tcPr>
          <w:p w14:paraId="4209C7D0">
            <w:pPr>
              <w:adjustRightInd w:val="0"/>
              <w:snapToGrid w:val="0"/>
              <w:jc w:val="center"/>
              <w:rPr>
                <w:color w:val="000000" w:themeColor="text1"/>
                <w:szCs w:val="21"/>
                <w:highlight w:val="none"/>
                <w14:textFill>
                  <w14:solidFill>
                    <w14:schemeClr w14:val="tx1"/>
                  </w14:solidFill>
                </w14:textFill>
              </w:rPr>
            </w:pPr>
          </w:p>
        </w:tc>
        <w:tc>
          <w:tcPr>
            <w:tcW w:w="1477" w:type="dxa"/>
            <w:vMerge w:val="continue"/>
            <w:vAlign w:val="center"/>
          </w:tcPr>
          <w:p w14:paraId="0C435A5F">
            <w:pPr>
              <w:adjustRightInd w:val="0"/>
              <w:snapToGrid w:val="0"/>
              <w:jc w:val="center"/>
              <w:rPr>
                <w:color w:val="000000" w:themeColor="text1"/>
                <w:sz w:val="24"/>
                <w:szCs w:val="24"/>
                <w:highlight w:val="none"/>
                <w14:textFill>
                  <w14:solidFill>
                    <w14:schemeClr w14:val="tx1"/>
                  </w14:solidFill>
                </w14:textFill>
              </w:rPr>
            </w:pPr>
          </w:p>
        </w:tc>
        <w:tc>
          <w:tcPr>
            <w:tcW w:w="1305" w:type="dxa"/>
            <w:vAlign w:val="center"/>
          </w:tcPr>
          <w:p w14:paraId="0EEE9FE5">
            <w:pPr>
              <w:pStyle w:val="36"/>
              <w:spacing w:before="89"/>
              <w:ind w:left="161" w:right="144"/>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SS</w:t>
            </w:r>
          </w:p>
        </w:tc>
        <w:tc>
          <w:tcPr>
            <w:tcW w:w="2115" w:type="dxa"/>
            <w:vMerge w:val="continue"/>
            <w:vAlign w:val="center"/>
          </w:tcPr>
          <w:p w14:paraId="7378BC33">
            <w:pPr>
              <w:adjustRightInd w:val="0"/>
              <w:snapToGrid w:val="0"/>
              <w:jc w:val="center"/>
              <w:rPr>
                <w:color w:val="000000" w:themeColor="text1"/>
                <w:sz w:val="24"/>
                <w:szCs w:val="24"/>
                <w:highlight w:val="none"/>
                <w14:textFill>
                  <w14:solidFill>
                    <w14:schemeClr w14:val="tx1"/>
                  </w14:solidFill>
                </w14:textFill>
              </w:rPr>
            </w:pPr>
          </w:p>
        </w:tc>
        <w:tc>
          <w:tcPr>
            <w:tcW w:w="2791" w:type="dxa"/>
            <w:vMerge w:val="continue"/>
            <w:vAlign w:val="center"/>
          </w:tcPr>
          <w:p w14:paraId="79D8F094">
            <w:pPr>
              <w:adjustRightInd w:val="0"/>
              <w:snapToGrid w:val="0"/>
              <w:jc w:val="center"/>
              <w:rPr>
                <w:color w:val="000000" w:themeColor="text1"/>
                <w:sz w:val="24"/>
                <w:szCs w:val="24"/>
                <w:highlight w:val="none"/>
                <w14:textFill>
                  <w14:solidFill>
                    <w14:schemeClr w14:val="tx1"/>
                  </w14:solidFill>
                </w14:textFill>
              </w:rPr>
            </w:pPr>
          </w:p>
        </w:tc>
      </w:tr>
      <w:tr w14:paraId="48E14A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4" w:hRule="atLeast"/>
          <w:jc w:val="center"/>
        </w:trPr>
        <w:tc>
          <w:tcPr>
            <w:tcW w:w="1112" w:type="dxa"/>
            <w:vMerge w:val="continue"/>
            <w:vAlign w:val="center"/>
          </w:tcPr>
          <w:p w14:paraId="10DEAADE">
            <w:pPr>
              <w:adjustRightInd w:val="0"/>
              <w:snapToGrid w:val="0"/>
              <w:jc w:val="center"/>
              <w:rPr>
                <w:color w:val="000000" w:themeColor="text1"/>
                <w:szCs w:val="21"/>
                <w:highlight w:val="none"/>
                <w14:textFill>
                  <w14:solidFill>
                    <w14:schemeClr w14:val="tx1"/>
                  </w14:solidFill>
                </w14:textFill>
              </w:rPr>
            </w:pPr>
          </w:p>
        </w:tc>
        <w:tc>
          <w:tcPr>
            <w:tcW w:w="1477" w:type="dxa"/>
            <w:vMerge w:val="continue"/>
            <w:vAlign w:val="center"/>
          </w:tcPr>
          <w:p w14:paraId="494DB09C">
            <w:pPr>
              <w:adjustRightInd w:val="0"/>
              <w:snapToGrid w:val="0"/>
              <w:jc w:val="center"/>
              <w:rPr>
                <w:color w:val="000000" w:themeColor="text1"/>
                <w:sz w:val="24"/>
                <w:szCs w:val="24"/>
                <w:highlight w:val="none"/>
                <w14:textFill>
                  <w14:solidFill>
                    <w14:schemeClr w14:val="tx1"/>
                  </w14:solidFill>
                </w14:textFill>
              </w:rPr>
            </w:pPr>
          </w:p>
        </w:tc>
        <w:tc>
          <w:tcPr>
            <w:tcW w:w="1305" w:type="dxa"/>
            <w:vAlign w:val="center"/>
          </w:tcPr>
          <w:p w14:paraId="447D1FB9">
            <w:pPr>
              <w:pStyle w:val="36"/>
              <w:spacing w:before="88"/>
              <w:ind w:left="163" w:right="144"/>
              <w:jc w:val="center"/>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position w:val="2"/>
                <w:sz w:val="24"/>
                <w:szCs w:val="24"/>
                <w:highlight w:val="none"/>
                <w14:textFill>
                  <w14:solidFill>
                    <w14:schemeClr w14:val="tx1"/>
                  </w14:solidFill>
                </w14:textFill>
              </w:rPr>
              <w:t>NH</w:t>
            </w:r>
            <w:r>
              <w:rPr>
                <w:rFonts w:ascii="Times New Roman" w:hAnsi="Times New Roman" w:cs="Times New Roman"/>
                <w:color w:val="000000" w:themeColor="text1"/>
                <w:sz w:val="24"/>
                <w:szCs w:val="24"/>
                <w:highlight w:val="none"/>
                <w:vertAlign w:val="subscript"/>
                <w14:textFill>
                  <w14:solidFill>
                    <w14:schemeClr w14:val="tx1"/>
                  </w14:solidFill>
                </w14:textFill>
              </w:rPr>
              <w:t>3</w:t>
            </w:r>
            <w:r>
              <w:rPr>
                <w:rFonts w:ascii="Times New Roman" w:hAnsi="Times New Roman" w:cs="Times New Roman"/>
                <w:color w:val="000000" w:themeColor="text1"/>
                <w:position w:val="2"/>
                <w:sz w:val="24"/>
                <w:szCs w:val="24"/>
                <w:highlight w:val="none"/>
                <w14:textFill>
                  <w14:solidFill>
                    <w14:schemeClr w14:val="tx1"/>
                  </w14:solidFill>
                </w14:textFill>
              </w:rPr>
              <w:t>-N</w:t>
            </w:r>
          </w:p>
        </w:tc>
        <w:tc>
          <w:tcPr>
            <w:tcW w:w="2115" w:type="dxa"/>
            <w:vMerge w:val="continue"/>
            <w:vAlign w:val="center"/>
          </w:tcPr>
          <w:p w14:paraId="0F36C7E3">
            <w:pPr>
              <w:adjustRightInd w:val="0"/>
              <w:snapToGrid w:val="0"/>
              <w:jc w:val="center"/>
              <w:rPr>
                <w:color w:val="000000" w:themeColor="text1"/>
                <w:sz w:val="24"/>
                <w:szCs w:val="24"/>
                <w:highlight w:val="none"/>
                <w14:textFill>
                  <w14:solidFill>
                    <w14:schemeClr w14:val="tx1"/>
                  </w14:solidFill>
                </w14:textFill>
              </w:rPr>
            </w:pPr>
          </w:p>
        </w:tc>
        <w:tc>
          <w:tcPr>
            <w:tcW w:w="2791" w:type="dxa"/>
            <w:vMerge w:val="continue"/>
            <w:vAlign w:val="center"/>
          </w:tcPr>
          <w:p w14:paraId="439F1479">
            <w:pPr>
              <w:adjustRightInd w:val="0"/>
              <w:snapToGrid w:val="0"/>
              <w:jc w:val="center"/>
              <w:rPr>
                <w:color w:val="000000" w:themeColor="text1"/>
                <w:sz w:val="24"/>
                <w:szCs w:val="24"/>
                <w:highlight w:val="none"/>
                <w14:textFill>
                  <w14:solidFill>
                    <w14:schemeClr w14:val="tx1"/>
                  </w14:solidFill>
                </w14:textFill>
              </w:rPr>
            </w:pPr>
          </w:p>
        </w:tc>
      </w:tr>
      <w:tr w14:paraId="25B7DA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25" w:hRule="atLeast"/>
          <w:jc w:val="center"/>
        </w:trPr>
        <w:tc>
          <w:tcPr>
            <w:tcW w:w="1112" w:type="dxa"/>
            <w:vAlign w:val="center"/>
          </w:tcPr>
          <w:p w14:paraId="06059384">
            <w:pPr>
              <w:adjustRightInd w:val="0"/>
              <w:snapToGrid w:val="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声环境</w:t>
            </w:r>
          </w:p>
        </w:tc>
        <w:tc>
          <w:tcPr>
            <w:tcW w:w="1477" w:type="dxa"/>
            <w:vAlign w:val="center"/>
          </w:tcPr>
          <w:p w14:paraId="1EF8E1C2">
            <w:pPr>
              <w:pStyle w:val="36"/>
              <w:spacing w:before="151"/>
              <w:ind w:left="173" w:right="158"/>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生产设备</w:t>
            </w:r>
          </w:p>
        </w:tc>
        <w:tc>
          <w:tcPr>
            <w:tcW w:w="1305" w:type="dxa"/>
            <w:vAlign w:val="center"/>
          </w:tcPr>
          <w:p w14:paraId="4CF988CC">
            <w:pPr>
              <w:pStyle w:val="36"/>
              <w:spacing w:before="151"/>
              <w:ind w:left="161" w:right="144"/>
              <w:jc w:val="center"/>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噪声</w:t>
            </w:r>
          </w:p>
        </w:tc>
        <w:tc>
          <w:tcPr>
            <w:tcW w:w="2115" w:type="dxa"/>
            <w:vAlign w:val="center"/>
          </w:tcPr>
          <w:p w14:paraId="1C01D23A">
            <w:pPr>
              <w:pStyle w:val="36"/>
              <w:keepNext w:val="0"/>
              <w:keepLines w:val="0"/>
              <w:pageBreakBefore w:val="0"/>
              <w:widowControl w:val="0"/>
              <w:kinsoku/>
              <w:wordWrap/>
              <w:overflowPunct/>
              <w:topLinePunct w:val="0"/>
              <w:autoSpaceDE w:val="0"/>
              <w:autoSpaceDN w:val="0"/>
              <w:bidi w:val="0"/>
              <w:adjustRightInd/>
              <w:snapToGrid/>
              <w:spacing w:before="0"/>
              <w:ind w:left="0" w:right="0"/>
              <w:jc w:val="center"/>
              <w:textAlignment w:val="auto"/>
              <w:rPr>
                <w:rFonts w:ascii="Times New Roman" w:hAnsi="Times New Roman" w:cs="Times New Roman"/>
                <w:color w:val="000000" w:themeColor="text1"/>
                <w:position w:val="2"/>
                <w:sz w:val="24"/>
                <w:szCs w:val="24"/>
                <w:highlight w:val="none"/>
                <w:lang w:eastAsia="zh-CN"/>
                <w14:textFill>
                  <w14:solidFill>
                    <w14:schemeClr w14:val="tx1"/>
                  </w14:solidFill>
                </w14:textFill>
              </w:rPr>
            </w:pPr>
            <w:r>
              <w:rPr>
                <w:rFonts w:ascii="Times New Roman" w:hAnsi="Times New Roman" w:cs="Times New Roman"/>
                <w:color w:val="000000" w:themeColor="text1"/>
                <w:position w:val="2"/>
                <w:sz w:val="24"/>
                <w:szCs w:val="24"/>
                <w:highlight w:val="none"/>
                <w:lang w:eastAsia="zh-CN"/>
                <w14:textFill>
                  <w14:solidFill>
                    <w14:schemeClr w14:val="tx1"/>
                  </w14:solidFill>
                </w14:textFill>
              </w:rPr>
              <w:t>采用低噪声设备，降低声源噪声；所有电动设备的基座应安装防振减振垫片，与动力设备连接的管道</w:t>
            </w:r>
            <w:r>
              <w:rPr>
                <w:rFonts w:hint="eastAsia" w:ascii="Times New Roman" w:hAnsi="Times New Roman" w:cs="Times New Roman"/>
                <w:color w:val="000000" w:themeColor="text1"/>
                <w:position w:val="2"/>
                <w:sz w:val="24"/>
                <w:szCs w:val="24"/>
                <w:highlight w:val="none"/>
                <w:lang w:eastAsia="zh-CN"/>
                <w14:textFill>
                  <w14:solidFill>
                    <w14:schemeClr w14:val="tx1"/>
                  </w14:solidFill>
                </w14:textFill>
              </w:rPr>
              <w:t>应安装软性接头，并对管道进行加固处理，防止因设备、管道振动引起的噪声。</w:t>
            </w:r>
          </w:p>
        </w:tc>
        <w:tc>
          <w:tcPr>
            <w:tcW w:w="2791" w:type="dxa"/>
            <w:vAlign w:val="center"/>
          </w:tcPr>
          <w:p w14:paraId="0CEAC5ED">
            <w:pPr>
              <w:pStyle w:val="36"/>
              <w:spacing w:before="87"/>
              <w:ind w:left="164" w:right="144"/>
              <w:jc w:val="center"/>
              <w:rPr>
                <w:rFonts w:ascii="Times New Roman" w:hAnsi="Times New Roman" w:cs="Times New Roman"/>
                <w:color w:val="000000" w:themeColor="text1"/>
                <w:position w:val="2"/>
                <w:sz w:val="24"/>
                <w:szCs w:val="24"/>
                <w:highlight w:val="none"/>
                <w:lang w:eastAsia="zh-CN"/>
                <w14:textFill>
                  <w14:solidFill>
                    <w14:schemeClr w14:val="tx1"/>
                  </w14:solidFill>
                </w14:textFill>
              </w:rPr>
            </w:pPr>
            <w:r>
              <w:rPr>
                <w:rFonts w:ascii="Times New Roman" w:hAnsi="Times New Roman" w:cs="Times New Roman"/>
                <w:color w:val="000000" w:themeColor="text1"/>
                <w:position w:val="2"/>
                <w:sz w:val="24"/>
                <w:szCs w:val="24"/>
                <w:highlight w:val="none"/>
                <w:lang w:eastAsia="zh-CN"/>
                <w14:textFill>
                  <w14:solidFill>
                    <w14:schemeClr w14:val="tx1"/>
                  </w14:solidFill>
                </w14:textFill>
              </w:rPr>
              <w:t>《工业企业厂界环境噪声排放标准》（GB12348-2008）中3类标准</w:t>
            </w:r>
          </w:p>
        </w:tc>
      </w:tr>
      <w:tr w14:paraId="5C9604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76" w:hRule="atLeast"/>
          <w:jc w:val="center"/>
        </w:trPr>
        <w:tc>
          <w:tcPr>
            <w:tcW w:w="1112" w:type="dxa"/>
            <w:vAlign w:val="center"/>
          </w:tcPr>
          <w:p w14:paraId="193A02AF">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固体废物</w:t>
            </w:r>
          </w:p>
        </w:tc>
        <w:tc>
          <w:tcPr>
            <w:tcW w:w="7688" w:type="dxa"/>
            <w:gridSpan w:val="4"/>
            <w:vAlign w:val="center"/>
          </w:tcPr>
          <w:p w14:paraId="6185C399">
            <w:pPr>
              <w:adjustRightInd w:val="0"/>
              <w:snapToGrid w:val="0"/>
              <w:spacing w:line="360" w:lineRule="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1、一般固废暂存于各车间临时存放处，其贮存、设计、运行管理等应执行《</w:t>
            </w:r>
            <w:r>
              <w:rPr>
                <w:rFonts w:hint="eastAsia"/>
                <w:color w:val="000000" w:themeColor="text1"/>
                <w:sz w:val="24"/>
                <w:szCs w:val="24"/>
                <w:highlight w:val="none"/>
                <w:lang w:eastAsia="zh-CN"/>
                <w14:textFill>
                  <w14:solidFill>
                    <w14:schemeClr w14:val="tx1"/>
                  </w14:solidFill>
                </w14:textFill>
              </w:rPr>
              <w:t>中华人民共和国</w:t>
            </w:r>
            <w:r>
              <w:rPr>
                <w:color w:val="000000" w:themeColor="text1"/>
                <w:sz w:val="24"/>
                <w:szCs w:val="24"/>
                <w:highlight w:val="none"/>
                <w14:textFill>
                  <w14:solidFill>
                    <w14:schemeClr w14:val="tx1"/>
                  </w14:solidFill>
                </w14:textFill>
              </w:rPr>
              <w:t>固体废物污染环境防治法》中的有关规定。一般工业固体废物采用库房、包装工具（罐、桶、包装袋等）贮存一般工业固体废物过程的污染控制，其贮存过程应满足相应防渗漏、防雨淋、防扬尘等环境保护要求。一般工业固体废物：</w:t>
            </w:r>
            <w:r>
              <w:rPr>
                <w:rFonts w:hint="eastAsia"/>
                <w:color w:val="000000" w:themeColor="text1"/>
                <w:sz w:val="24"/>
                <w:szCs w:val="24"/>
                <w:highlight w:val="none"/>
                <w:lang w:val="en-US" w:eastAsia="zh-CN"/>
                <w14:textFill>
                  <w14:solidFill>
                    <w14:schemeClr w14:val="tx1"/>
                  </w14:solidFill>
                </w14:textFill>
              </w:rPr>
              <w:t>废塑料边角料、残次品</w:t>
            </w:r>
            <w:r>
              <w:rPr>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废包装材料，收集后外售给回收企业综合利用</w:t>
            </w:r>
            <w:r>
              <w:rPr>
                <w:color w:val="000000" w:themeColor="text1"/>
                <w:sz w:val="24"/>
                <w:szCs w:val="24"/>
                <w:highlight w:val="none"/>
                <w14:textFill>
                  <w14:solidFill>
                    <w14:schemeClr w14:val="tx1"/>
                  </w14:solidFill>
                </w14:textFill>
              </w:rPr>
              <w:t>。</w:t>
            </w:r>
          </w:p>
          <w:p w14:paraId="63AD9E1F">
            <w:pPr>
              <w:adjustRightInd w:val="0"/>
              <w:snapToGrid w:val="0"/>
              <w:spacing w:line="360" w:lineRule="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2、拟在</w:t>
            </w:r>
            <w:r>
              <w:rPr>
                <w:rFonts w:hint="eastAsia"/>
                <w:color w:val="000000" w:themeColor="text1"/>
                <w:sz w:val="24"/>
                <w:szCs w:val="24"/>
                <w:highlight w:val="none"/>
                <w:lang w:val="en-US" w:eastAsia="zh-CN"/>
                <w14:textFill>
                  <w14:solidFill>
                    <w14:schemeClr w14:val="tx1"/>
                  </w14:solidFill>
                </w14:textFill>
              </w:rPr>
              <w:t>三楼厂房东北角</w:t>
            </w:r>
            <w:r>
              <w:rPr>
                <w:color w:val="000000" w:themeColor="text1"/>
                <w:sz w:val="24"/>
                <w:szCs w:val="24"/>
                <w:highlight w:val="none"/>
                <w14:textFill>
                  <w14:solidFill>
                    <w14:schemeClr w14:val="tx1"/>
                  </w14:solidFill>
                </w14:textFill>
              </w:rPr>
              <w:t>设一个危险固废暂存间，面积约为</w:t>
            </w:r>
            <w:r>
              <w:rPr>
                <w:rFonts w:hint="eastAsia"/>
                <w:color w:val="000000" w:themeColor="text1"/>
                <w:sz w:val="24"/>
                <w:szCs w:val="24"/>
                <w:highlight w:val="none"/>
                <w:lang w:val="en-US" w:eastAsia="zh-CN"/>
                <w14:textFill>
                  <w14:solidFill>
                    <w14:schemeClr w14:val="tx1"/>
                  </w14:solidFill>
                </w14:textFill>
              </w:rPr>
              <w:t>8</w:t>
            </w:r>
            <w:r>
              <w:rPr>
                <w:color w:val="000000" w:themeColor="text1"/>
                <w:sz w:val="24"/>
                <w:szCs w:val="24"/>
                <w:highlight w:val="none"/>
                <w14:textFill>
                  <w14:solidFill>
                    <w14:schemeClr w14:val="tx1"/>
                  </w14:solidFill>
                </w14:textFill>
              </w:rPr>
              <w:t>m</w:t>
            </w:r>
            <w:r>
              <w:rPr>
                <w:rFonts w:hint="eastAsia"/>
                <w:color w:val="000000" w:themeColor="text1"/>
                <w:sz w:val="24"/>
                <w:szCs w:val="24"/>
                <w:highlight w:val="none"/>
                <w:vertAlign w:val="superscript"/>
                <w:lang w:val="en-US" w:eastAsia="zh-CN"/>
                <w14:textFill>
                  <w14:solidFill>
                    <w14:schemeClr w14:val="tx1"/>
                  </w14:solidFill>
                </w14:textFill>
              </w:rPr>
              <w:t>2</w:t>
            </w:r>
            <w:r>
              <w:rPr>
                <w:color w:val="000000" w:themeColor="text1"/>
                <w:sz w:val="24"/>
                <w:szCs w:val="24"/>
                <w:highlight w:val="none"/>
                <w14:textFill>
                  <w14:solidFill>
                    <w14:schemeClr w14:val="tx1"/>
                  </w14:solidFill>
                </w14:textFill>
              </w:rPr>
              <w:t>，为了防止储存过程的二次污染，要求危险废物暂存间应严格按照</w:t>
            </w:r>
            <w:r>
              <w:rPr>
                <w:rFonts w:hint="eastAsia"/>
                <w:color w:val="000000" w:themeColor="text1"/>
                <w:sz w:val="24"/>
                <w:szCs w:val="24"/>
                <w:highlight w:val="none"/>
                <w:lang w:val="en-US" w:eastAsia="zh-CN"/>
                <w14:textFill>
                  <w14:solidFill>
                    <w14:schemeClr w14:val="tx1"/>
                  </w14:solidFill>
                </w14:textFill>
              </w:rPr>
              <w:t>《危险废物贮存污染控制标准》（GB18597-2023）</w:t>
            </w:r>
            <w:r>
              <w:rPr>
                <w:color w:val="000000" w:themeColor="text1"/>
                <w:sz w:val="24"/>
                <w:szCs w:val="24"/>
                <w:highlight w:val="none"/>
                <w14:textFill>
                  <w14:solidFill>
                    <w14:schemeClr w14:val="tx1"/>
                  </w14:solidFill>
                </w14:textFill>
              </w:rPr>
              <w:t>的相关要求执行，并在危险废物暂存间明显位置悬挂危险废物标识。危险废物：</w:t>
            </w:r>
            <w:r>
              <w:rPr>
                <w:rFonts w:hint="eastAsia"/>
                <w:color w:val="000000" w:themeColor="text1"/>
                <w:sz w:val="24"/>
                <w:szCs w:val="24"/>
                <w:highlight w:val="none"/>
                <w:lang w:val="en-US" w:eastAsia="zh-CN"/>
                <w14:textFill>
                  <w14:solidFill>
                    <w14:schemeClr w14:val="tx1"/>
                  </w14:solidFill>
                </w14:textFill>
              </w:rPr>
              <w:t>废润滑油、废油桶、废活性炭等</w:t>
            </w:r>
            <w:r>
              <w:rPr>
                <w:color w:val="000000" w:themeColor="text1"/>
                <w:sz w:val="24"/>
                <w:szCs w:val="24"/>
                <w:highlight w:val="none"/>
                <w14:textFill>
                  <w14:solidFill>
                    <w14:schemeClr w14:val="tx1"/>
                  </w14:solidFill>
                </w14:textFill>
              </w:rPr>
              <w:t>；危险废物暂存于危废间，委托具有相关资质的单位回收处置。</w:t>
            </w:r>
          </w:p>
          <w:p w14:paraId="1697E76D">
            <w:pPr>
              <w:adjustRightInd w:val="0"/>
              <w:snapToGrid w:val="0"/>
              <w:spacing w:line="360" w:lineRule="auto"/>
              <w:rPr>
                <w:rFonts w:ascii="宋体" w:hAnsi="宋体" w:cs="宋体"/>
                <w:color w:val="000000" w:themeColor="text1"/>
                <w:szCs w:val="21"/>
                <w:highlight w:val="none"/>
                <w14:textFill>
                  <w14:solidFill>
                    <w14:schemeClr w14:val="tx1"/>
                  </w14:solidFill>
                </w14:textFill>
              </w:rPr>
            </w:pPr>
            <w:r>
              <w:rPr>
                <w:color w:val="000000" w:themeColor="text1"/>
                <w:sz w:val="24"/>
                <w:szCs w:val="24"/>
                <w:highlight w:val="none"/>
                <w14:textFill>
                  <w14:solidFill>
                    <w14:schemeClr w14:val="tx1"/>
                  </w14:solidFill>
                </w14:textFill>
              </w:rPr>
              <w:t>3、生活垃圾：环卫部门定期清运处理。</w:t>
            </w:r>
          </w:p>
        </w:tc>
      </w:tr>
      <w:tr w14:paraId="744544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76" w:hRule="atLeast"/>
          <w:jc w:val="center"/>
        </w:trPr>
        <w:tc>
          <w:tcPr>
            <w:tcW w:w="1112" w:type="dxa"/>
            <w:vAlign w:val="center"/>
          </w:tcPr>
          <w:p w14:paraId="022872E7">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土壤及地下水</w:t>
            </w:r>
          </w:p>
          <w:p w14:paraId="64CCBB64">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污染防治措施</w:t>
            </w:r>
          </w:p>
        </w:tc>
        <w:tc>
          <w:tcPr>
            <w:tcW w:w="7688" w:type="dxa"/>
            <w:gridSpan w:val="4"/>
            <w:vAlign w:val="center"/>
          </w:tcPr>
          <w:p w14:paraId="1D3DE35E">
            <w:pPr>
              <w:adjustRightInd w:val="0"/>
              <w:snapToGrid w:val="0"/>
              <w:spacing w:line="360" w:lineRule="auto"/>
              <w:jc w:val="left"/>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1、土壤防治措施：做好设备的维护、检修，杜绝跑、冒、滴、漏现象。同时，加强污染物产生主要环节的安全防护、报警措施，以便及时发现事故隐患，采取有效的应对措施。</w:t>
            </w:r>
          </w:p>
          <w:p w14:paraId="6A48572D">
            <w:pPr>
              <w:adjustRightInd w:val="0"/>
              <w:snapToGrid w:val="0"/>
              <w:spacing w:line="360" w:lineRule="auto"/>
              <w:jc w:val="left"/>
              <w:rPr>
                <w:color w:val="000000" w:themeColor="text1"/>
                <w:szCs w:val="21"/>
                <w:highlight w:val="none"/>
                <w14:textFill>
                  <w14:solidFill>
                    <w14:schemeClr w14:val="tx1"/>
                  </w14:solidFill>
                </w14:textFill>
              </w:rPr>
            </w:pPr>
            <w:r>
              <w:rPr>
                <w:color w:val="000000" w:themeColor="text1"/>
                <w:sz w:val="24"/>
                <w:szCs w:val="24"/>
                <w:highlight w:val="none"/>
                <w14:textFill>
                  <w14:solidFill>
                    <w14:schemeClr w14:val="tx1"/>
                  </w14:solidFill>
                </w14:textFill>
              </w:rPr>
              <w:t>2、地下水污染防治措施：</w:t>
            </w:r>
            <w:r>
              <w:rPr>
                <w:rFonts w:hint="eastAsia"/>
                <w:color w:val="000000" w:themeColor="text1"/>
                <w:sz w:val="24"/>
                <w:szCs w:val="24"/>
                <w:highlight w:val="none"/>
                <w:lang w:val="en-US" w:eastAsia="zh-CN"/>
                <w14:textFill>
                  <w14:solidFill>
                    <w14:schemeClr w14:val="tx1"/>
                  </w14:solidFill>
                </w14:textFill>
              </w:rPr>
              <w:t>合理进行防渗区域划分，危废暂存间满足重点防渗区的防渗要求，一般工业固体废物暂存场一般防渗区应按照《一般工业固体废物贮存处置场污染控制标准》中固废临时贮存场所的要求进行设计</w:t>
            </w:r>
            <w:r>
              <w:rPr>
                <w:color w:val="000000" w:themeColor="text1"/>
                <w:sz w:val="24"/>
                <w:szCs w:val="24"/>
                <w:highlight w:val="none"/>
                <w14:textFill>
                  <w14:solidFill>
                    <w14:schemeClr w14:val="tx1"/>
                  </w14:solidFill>
                </w14:textFill>
              </w:rPr>
              <w:t>。</w:t>
            </w:r>
          </w:p>
        </w:tc>
      </w:tr>
      <w:tr w14:paraId="26746B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76" w:hRule="atLeast"/>
          <w:jc w:val="center"/>
        </w:trPr>
        <w:tc>
          <w:tcPr>
            <w:tcW w:w="1112" w:type="dxa"/>
            <w:vAlign w:val="center"/>
          </w:tcPr>
          <w:p w14:paraId="206FEB97">
            <w:pPr>
              <w:adjustRightInd w:val="0"/>
              <w:snapToGrid w:val="0"/>
              <w:jc w:val="center"/>
              <w:rPr>
                <w:rFonts w:ascii="宋体" w:hAnsi="宋体" w:cs="宋体"/>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生态保护措施</w:t>
            </w:r>
          </w:p>
        </w:tc>
        <w:tc>
          <w:tcPr>
            <w:tcW w:w="7688" w:type="dxa"/>
            <w:gridSpan w:val="4"/>
            <w:vAlign w:val="center"/>
          </w:tcPr>
          <w:p w14:paraId="00ADCBE9">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本项目租用福建西诚电子有限公司在福建省福州市闽侯县祥谦镇辅翼村、卜洲村福建西诚电子工业园第三座1-3层，不涉及新增占地，不会对周边生态环境产生影响。</w:t>
            </w:r>
          </w:p>
        </w:tc>
      </w:tr>
      <w:tr w14:paraId="68E02E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76" w:hRule="atLeast"/>
          <w:jc w:val="center"/>
        </w:trPr>
        <w:tc>
          <w:tcPr>
            <w:tcW w:w="1112" w:type="dxa"/>
            <w:vAlign w:val="center"/>
          </w:tcPr>
          <w:p w14:paraId="5B3EC7C0">
            <w:pPr>
              <w:adjustRightInd w:val="0"/>
              <w:snapToGrid w:val="0"/>
              <w:jc w:val="center"/>
              <w:rPr>
                <w:rFonts w:ascii="宋体" w:hAnsi="宋体" w:cs="宋体"/>
                <w:color w:val="000000" w:themeColor="text1"/>
                <w:spacing w:val="-8"/>
                <w:szCs w:val="21"/>
                <w:highlight w:val="none"/>
                <w14:textFill>
                  <w14:solidFill>
                    <w14:schemeClr w14:val="tx1"/>
                  </w14:solidFill>
                </w14:textFill>
              </w:rPr>
            </w:pPr>
            <w:r>
              <w:rPr>
                <w:rFonts w:hint="eastAsia" w:ascii="宋体" w:hAnsi="宋体" w:cs="宋体"/>
                <w:color w:val="000000" w:themeColor="text1"/>
                <w:spacing w:val="-8"/>
                <w:szCs w:val="21"/>
                <w:highlight w:val="none"/>
                <w14:textFill>
                  <w14:solidFill>
                    <w14:schemeClr w14:val="tx1"/>
                  </w14:solidFill>
                </w14:textFill>
              </w:rPr>
              <w:t>环境风险</w:t>
            </w:r>
          </w:p>
          <w:p w14:paraId="1281F246">
            <w:pPr>
              <w:adjustRightInd w:val="0"/>
              <w:snapToGrid w:val="0"/>
              <w:jc w:val="center"/>
              <w:rPr>
                <w:rFonts w:ascii="宋体" w:hAnsi="宋体" w:cs="宋体"/>
                <w:color w:val="000000" w:themeColor="text1"/>
                <w:spacing w:val="-8"/>
                <w:szCs w:val="21"/>
                <w:highlight w:val="none"/>
                <w14:textFill>
                  <w14:solidFill>
                    <w14:schemeClr w14:val="tx1"/>
                  </w14:solidFill>
                </w14:textFill>
              </w:rPr>
            </w:pPr>
            <w:r>
              <w:rPr>
                <w:rFonts w:hint="eastAsia" w:ascii="宋体" w:hAnsi="宋体" w:cs="宋体"/>
                <w:color w:val="000000" w:themeColor="text1"/>
                <w:spacing w:val="-8"/>
                <w:szCs w:val="21"/>
                <w:highlight w:val="none"/>
                <w14:textFill>
                  <w14:solidFill>
                    <w14:schemeClr w14:val="tx1"/>
                  </w14:solidFill>
                </w14:textFill>
              </w:rPr>
              <w:t>防范措施</w:t>
            </w:r>
          </w:p>
        </w:tc>
        <w:tc>
          <w:tcPr>
            <w:tcW w:w="7688" w:type="dxa"/>
            <w:gridSpan w:val="4"/>
            <w:vAlign w:val="center"/>
          </w:tcPr>
          <w:p w14:paraId="1E38173D">
            <w:pPr>
              <w:keepNext w:val="0"/>
              <w:keepLines w:val="0"/>
              <w:pageBreakBefore w:val="0"/>
              <w:widowControl w:val="0"/>
              <w:kinsoku/>
              <w:wordWrap/>
              <w:overflowPunct/>
              <w:topLinePunct w:val="0"/>
              <w:autoSpaceDE/>
              <w:autoSpaceDN/>
              <w:bidi w:val="0"/>
              <w:adjustRightInd w:val="0"/>
              <w:snapToGrid w:val="0"/>
              <w:spacing w:before="157" w:beforeLines="50" w:line="360" w:lineRule="auto"/>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定期进行设备检修工作；车间配置一定数量的消防器材、防毒护具；危废暂存场所</w:t>
            </w:r>
            <w:r>
              <w:rPr>
                <w:rFonts w:hint="eastAsia" w:cs="Times New Roman"/>
                <w:color w:val="000000" w:themeColor="text1"/>
                <w:sz w:val="24"/>
                <w:szCs w:val="24"/>
                <w:highlight w:val="none"/>
                <w:lang w:val="en-US" w:eastAsia="zh-CN"/>
                <w14:textFill>
                  <w14:solidFill>
                    <w14:schemeClr w14:val="tx1"/>
                  </w14:solidFill>
                </w14:textFill>
              </w:rPr>
              <w:t>按照</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《危险废物贮存污染控制标准》(GB18597-2023)的要求规范化建设；发生危废泄漏或消防事故时，应</w:t>
            </w:r>
            <w:r>
              <w:rPr>
                <w:rFonts w:hint="eastAsia" w:cs="Times New Roman"/>
                <w:color w:val="000000" w:themeColor="text1"/>
                <w:sz w:val="24"/>
                <w:szCs w:val="24"/>
                <w:highlight w:val="none"/>
                <w:lang w:val="en-US" w:eastAsia="zh-CN"/>
                <w14:textFill>
                  <w14:solidFill>
                    <w14:schemeClr w14:val="tx1"/>
                  </w14:solidFill>
                </w14:textFill>
              </w:rPr>
              <w:t>立即</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采取紧急堵漏措施，关闭雨水总闸防止有毒有害物质、事故废水继续外泄，启动紧急防火措施</w:t>
            </w:r>
            <w:r>
              <w:rPr>
                <w:rFonts w:hint="default" w:ascii="Times New Roman" w:hAnsi="Times New Roman" w:cs="Times New Roman"/>
                <w:color w:val="000000" w:themeColor="text1"/>
                <w:sz w:val="24"/>
                <w:szCs w:val="24"/>
                <w:highlight w:val="none"/>
                <w14:textFill>
                  <w14:solidFill>
                    <w14:schemeClr w14:val="tx1"/>
                  </w14:solidFill>
                </w14:textFill>
              </w:rPr>
              <w:t>。</w:t>
            </w:r>
          </w:p>
        </w:tc>
      </w:tr>
      <w:tr w14:paraId="2FDE4B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02" w:hRule="atLeast"/>
          <w:jc w:val="center"/>
        </w:trPr>
        <w:tc>
          <w:tcPr>
            <w:tcW w:w="1112" w:type="dxa"/>
            <w:vAlign w:val="center"/>
          </w:tcPr>
          <w:p w14:paraId="7B5CB062">
            <w:pPr>
              <w:adjustRightInd w:val="0"/>
              <w:snapToGrid w:val="0"/>
              <w:jc w:val="center"/>
              <w:rPr>
                <w:rFonts w:ascii="宋体" w:hAnsi="宋体" w:cs="宋体"/>
                <w:color w:val="000000" w:themeColor="text1"/>
                <w:spacing w:val="-8"/>
                <w:szCs w:val="21"/>
                <w:highlight w:val="none"/>
                <w14:textFill>
                  <w14:solidFill>
                    <w14:schemeClr w14:val="tx1"/>
                  </w14:solidFill>
                </w14:textFill>
              </w:rPr>
            </w:pPr>
            <w:r>
              <w:rPr>
                <w:rFonts w:hint="eastAsia" w:ascii="宋体" w:hAnsi="宋体" w:cs="宋体"/>
                <w:color w:val="000000" w:themeColor="text1"/>
                <w:spacing w:val="-8"/>
                <w:szCs w:val="21"/>
                <w:highlight w:val="none"/>
                <w14:textFill>
                  <w14:solidFill>
                    <w14:schemeClr w14:val="tx1"/>
                  </w14:solidFill>
                </w14:textFill>
              </w:rPr>
              <w:t>其他环境</w:t>
            </w:r>
          </w:p>
          <w:p w14:paraId="2DE7A833">
            <w:pPr>
              <w:adjustRightInd w:val="0"/>
              <w:snapToGrid w:val="0"/>
              <w:jc w:val="center"/>
              <w:rPr>
                <w:rFonts w:ascii="宋体" w:hAnsi="宋体" w:cs="宋体"/>
                <w:color w:val="000000" w:themeColor="text1"/>
                <w:spacing w:val="-8"/>
                <w:szCs w:val="21"/>
                <w:highlight w:val="none"/>
                <w14:textFill>
                  <w14:solidFill>
                    <w14:schemeClr w14:val="tx1"/>
                  </w14:solidFill>
                </w14:textFill>
              </w:rPr>
            </w:pPr>
            <w:r>
              <w:rPr>
                <w:rFonts w:hint="eastAsia" w:ascii="宋体" w:hAnsi="宋体" w:cs="宋体"/>
                <w:color w:val="000000" w:themeColor="text1"/>
                <w:spacing w:val="-8"/>
                <w:szCs w:val="21"/>
                <w:highlight w:val="none"/>
                <w14:textFill>
                  <w14:solidFill>
                    <w14:schemeClr w14:val="tx1"/>
                  </w14:solidFill>
                </w14:textFill>
              </w:rPr>
              <w:t>管理要求</w:t>
            </w:r>
          </w:p>
        </w:tc>
        <w:tc>
          <w:tcPr>
            <w:tcW w:w="7688" w:type="dxa"/>
            <w:gridSpan w:val="4"/>
            <w:vAlign w:val="center"/>
          </w:tcPr>
          <w:p w14:paraId="2B2C651A">
            <w:pPr>
              <w:adjustRightInd w:val="0"/>
              <w:snapToGrid w:val="0"/>
              <w:spacing w:line="360" w:lineRule="auto"/>
              <w:rPr>
                <w:b/>
                <w:color w:val="000000" w:themeColor="text1"/>
                <w:sz w:val="24"/>
                <w:szCs w:val="24"/>
                <w:highlight w:val="none"/>
                <w14:textFill>
                  <w14:solidFill>
                    <w14:schemeClr w14:val="tx1"/>
                  </w14:solidFill>
                </w14:textFill>
              </w:rPr>
            </w:pPr>
            <w:r>
              <w:rPr>
                <w:b/>
                <w:color w:val="000000" w:themeColor="text1"/>
                <w:sz w:val="24"/>
                <w:szCs w:val="24"/>
                <w:highlight w:val="none"/>
                <w14:textFill>
                  <w14:solidFill>
                    <w14:schemeClr w14:val="tx1"/>
                  </w14:solidFill>
                </w14:textFill>
              </w:rPr>
              <w:t>1、施工期环境管理要求</w:t>
            </w:r>
          </w:p>
          <w:p w14:paraId="612F4F3D">
            <w:pPr>
              <w:adjustRightInd w:val="0"/>
              <w:snapToGrid w:val="0"/>
              <w:spacing w:line="360" w:lineRule="auto"/>
              <w:rPr>
                <w:color w:val="000000" w:themeColor="text1"/>
                <w:sz w:val="24"/>
                <w:szCs w:val="24"/>
                <w:highlight w:val="none"/>
                <w14:textFill>
                  <w14:solidFill>
                    <w14:schemeClr w14:val="tx1"/>
                  </w14:solidFill>
                </w14:textFill>
              </w:rPr>
            </w:pPr>
            <w:r>
              <w:rPr>
                <w:rFonts w:hint="eastAsia"/>
                <w:color w:val="000000" w:themeColor="text1"/>
                <w:sz w:val="24"/>
                <w:szCs w:val="24"/>
                <w:highlight w:val="none"/>
                <w:lang w:val="en-US" w:eastAsia="zh-CN"/>
                <w14:textFill>
                  <w14:solidFill>
                    <w14:schemeClr w14:val="tx1"/>
                  </w14:solidFill>
                </w14:textFill>
              </w:rPr>
              <w:t>本项目利用现有车间生产，不新增用地，不进行厂房建设，因此不存在厂房等主体工程施工期环境影响</w:t>
            </w:r>
            <w:r>
              <w:rPr>
                <w:color w:val="000000" w:themeColor="text1"/>
                <w:sz w:val="24"/>
                <w:szCs w:val="24"/>
                <w:highlight w:val="none"/>
                <w14:textFill>
                  <w14:solidFill>
                    <w14:schemeClr w14:val="tx1"/>
                  </w14:solidFill>
                </w14:textFill>
              </w:rPr>
              <w:t>。</w:t>
            </w:r>
          </w:p>
          <w:p w14:paraId="6EFFCB39">
            <w:pPr>
              <w:adjustRightInd w:val="0"/>
              <w:snapToGrid w:val="0"/>
              <w:spacing w:line="360" w:lineRule="auto"/>
              <w:rPr>
                <w:b/>
                <w:color w:val="000000" w:themeColor="text1"/>
                <w:sz w:val="24"/>
                <w:szCs w:val="24"/>
                <w:highlight w:val="none"/>
                <w14:textFill>
                  <w14:solidFill>
                    <w14:schemeClr w14:val="tx1"/>
                  </w14:solidFill>
                </w14:textFill>
              </w:rPr>
            </w:pPr>
            <w:r>
              <w:rPr>
                <w:b/>
                <w:color w:val="000000" w:themeColor="text1"/>
                <w:sz w:val="24"/>
                <w:szCs w:val="24"/>
                <w:highlight w:val="none"/>
                <w14:textFill>
                  <w14:solidFill>
                    <w14:schemeClr w14:val="tx1"/>
                  </w14:solidFill>
                </w14:textFill>
              </w:rPr>
              <w:t>2、运营期环境管理要求</w:t>
            </w:r>
          </w:p>
          <w:p w14:paraId="66243168">
            <w:pPr>
              <w:adjustRightInd w:val="0"/>
              <w:snapToGrid w:val="0"/>
              <w:spacing w:line="360" w:lineRule="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运营期的环境管理重点是各项环境保护措施的落实，环保设施运行的管理和维护，日常的监测及污染事故的防范和应急处理。</w:t>
            </w:r>
          </w:p>
          <w:p w14:paraId="15884B9C">
            <w:pPr>
              <w:adjustRightInd w:val="0"/>
              <w:snapToGrid w:val="0"/>
              <w:spacing w:line="360" w:lineRule="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排污口规范化管理是实施污染物总量控制的基础性工作之一，也是总量控制不可缺少的一部分内容。此项工作可强化污染物的现场监督检查，促进企业加强管理和污染治理，实施污染物排放科学化、定量化管理。建设单位应如实填写《中华人民共和国规范化排污口标志登记证》的有关内容，由生态环境主管部门签发登记证。建设单位应把排污口情况如排污口的性质、编号、排污口位置以及主要排放的污染物的种类、数量、浓度、排放规律、排放去向以及污染治理实施的运行情况建档管理，并报送生态环境主管部门备案。企业应尽快向当地环境保护部门提交《排污许可证申请表》，经生态环境部门审核后，核发排污许可证。项目投入试运营后应及时开展竣工环保自主验收。为了方便监测人员对排气筒进行监测，企业应按照GB/T16157-1996《固定污染源排气中颗粒物测定与气体污染物采样方法》的规定要求，在排气筒上预留永久性采样监测孔。发生污染事故时，增加监测频次，按照应急监测要求进行监测。</w:t>
            </w:r>
          </w:p>
          <w:p w14:paraId="28C95792">
            <w:pPr>
              <w:adjustRightInd w:val="0"/>
              <w:snapToGrid w:val="0"/>
              <w:spacing w:line="360" w:lineRule="auto"/>
              <w:rPr>
                <w:b/>
                <w:color w:val="000000" w:themeColor="text1"/>
                <w:sz w:val="24"/>
                <w:szCs w:val="24"/>
                <w:highlight w:val="none"/>
                <w14:textFill>
                  <w14:solidFill>
                    <w14:schemeClr w14:val="tx1"/>
                  </w14:solidFill>
                </w14:textFill>
              </w:rPr>
            </w:pPr>
            <w:r>
              <w:rPr>
                <w:b/>
                <w:color w:val="000000" w:themeColor="text1"/>
                <w:sz w:val="24"/>
                <w:szCs w:val="24"/>
                <w:highlight w:val="none"/>
                <w14:textFill>
                  <w14:solidFill>
                    <w14:schemeClr w14:val="tx1"/>
                  </w14:solidFill>
                </w14:textFill>
              </w:rPr>
              <w:t>3、生产中的环境管理</w:t>
            </w:r>
          </w:p>
          <w:p w14:paraId="370B9838">
            <w:pPr>
              <w:adjustRightInd w:val="0"/>
              <w:snapToGrid w:val="0"/>
              <w:spacing w:line="360" w:lineRule="auto"/>
              <w:rPr>
                <w:color w:val="000000" w:themeColor="text1"/>
                <w:sz w:val="24"/>
                <w:szCs w:val="24"/>
                <w:highlight w:val="none"/>
                <w14:textFill>
                  <w14:solidFill>
                    <w14:schemeClr w14:val="tx1"/>
                  </w14:solidFill>
                </w14:textFill>
              </w:rPr>
            </w:pPr>
            <w:r>
              <w:rPr>
                <w:color w:val="000000" w:themeColor="text1"/>
                <w:sz w:val="24"/>
                <w:szCs w:val="24"/>
                <w:highlight w:val="none"/>
                <w14:textFill>
                  <w14:solidFill>
                    <w14:schemeClr w14:val="tx1"/>
                  </w14:solidFill>
                </w14:textFill>
              </w:rPr>
              <w:t>所有的员工都应受到相应的岗位培训，能胜任岗位工作后方可上岗。所有的岗位都应有相应的操作规程，完整的运行记录，和畅通的信息交流通道。</w:t>
            </w:r>
          </w:p>
          <w:p w14:paraId="4F3142D8">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r>
              <w:rPr>
                <w:rFonts w:hint="default"/>
                <w:b/>
                <w:color w:val="000000" w:themeColor="text1"/>
                <w:sz w:val="24"/>
                <w:szCs w:val="24"/>
                <w:highlight w:val="none"/>
                <w:lang w:val="en-US" w:eastAsia="zh-CN"/>
                <w14:textFill>
                  <w14:solidFill>
                    <w14:schemeClr w14:val="tx1"/>
                  </w14:solidFill>
                </w14:textFill>
              </w:rPr>
              <w:t>4、与排污许可证的衔接</w:t>
            </w:r>
          </w:p>
          <w:p w14:paraId="6E094E8C">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本项目主要从事车载塑料袋生产</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根据《固定污染源排污许可分类管理名录（2019年版）》（生态环境部 第11号），本项目对应</w:t>
            </w:r>
            <w:r>
              <w:rPr>
                <w:rFonts w:hint="eastAsia"/>
                <w:color w:val="000000" w:themeColor="text1"/>
                <w:sz w:val="24"/>
                <w:szCs w:val="24"/>
                <w:highlight w:val="none"/>
                <w:lang w:val="en-US" w:eastAsia="zh-CN"/>
                <w14:textFill>
                  <w14:solidFill>
                    <w14:schemeClr w14:val="tx1"/>
                  </w14:solidFill>
                </w14:textFill>
              </w:rPr>
              <w:t>名录中“二十四</w:t>
            </w:r>
            <w:r>
              <w:rPr>
                <w:rFonts w:hint="default"/>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橡胶和塑料制品业29</w:t>
            </w:r>
            <w:r>
              <w:rPr>
                <w:rFonts w:hint="default"/>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62塑料制品业292</w:t>
            </w:r>
            <w:r>
              <w:rPr>
                <w:rFonts w:hint="default"/>
                <w:color w:val="000000" w:themeColor="text1"/>
                <w:sz w:val="24"/>
                <w:szCs w:val="24"/>
                <w:highlight w:val="none"/>
                <w:lang w:val="en-US" w:eastAsia="zh-CN"/>
                <w14:textFill>
                  <w14:solidFill>
                    <w14:schemeClr w14:val="tx1"/>
                  </w14:solidFill>
                </w14:textFill>
              </w:rPr>
              <w:t>——塑料丝、绳及编织品制造2923</w:t>
            </w:r>
            <w:r>
              <w:rPr>
                <w:rFonts w:hint="eastAsia"/>
                <w:color w:val="000000" w:themeColor="text1"/>
                <w:sz w:val="24"/>
                <w:szCs w:val="24"/>
                <w:highlight w:val="none"/>
                <w:lang w:val="en-US" w:eastAsia="zh-CN"/>
                <w14:textFill>
                  <w14:solidFill>
                    <w14:schemeClr w14:val="tx1"/>
                  </w14:solidFill>
                </w14:textFill>
              </w:rPr>
              <w:t>”</w:t>
            </w:r>
            <w:r>
              <w:rPr>
                <w:rFonts w:hint="default"/>
                <w:color w:val="000000" w:themeColor="text1"/>
                <w:sz w:val="24"/>
                <w:szCs w:val="24"/>
                <w:highlight w:val="none"/>
                <w:lang w:val="en-US" w:eastAsia="zh-CN"/>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不涉及改性，</w:t>
            </w:r>
            <w:r>
              <w:rPr>
                <w:rFonts w:hint="default"/>
                <w:color w:val="000000" w:themeColor="text1"/>
                <w:sz w:val="24"/>
                <w:szCs w:val="24"/>
                <w:highlight w:val="none"/>
                <w:lang w:val="en-US" w:eastAsia="zh-CN"/>
                <w14:textFill>
                  <w14:solidFill>
                    <w14:schemeClr w14:val="tx1"/>
                  </w14:solidFill>
                </w14:textFill>
              </w:rPr>
              <w:t>进行排污许可</w:t>
            </w:r>
            <w:r>
              <w:rPr>
                <w:rFonts w:hint="eastAsia"/>
                <w:color w:val="000000" w:themeColor="text1"/>
                <w:sz w:val="24"/>
                <w:szCs w:val="24"/>
                <w:highlight w:val="none"/>
                <w:lang w:val="en-US" w:eastAsia="zh-CN"/>
                <w14:textFill>
                  <w14:solidFill>
                    <w14:schemeClr w14:val="tx1"/>
                  </w14:solidFill>
                </w14:textFill>
              </w:rPr>
              <w:t>登记</w:t>
            </w:r>
            <w:r>
              <w:rPr>
                <w:rFonts w:hint="default"/>
                <w:color w:val="000000" w:themeColor="text1"/>
                <w:sz w:val="24"/>
                <w:szCs w:val="24"/>
                <w:highlight w:val="none"/>
                <w:lang w:val="en-US" w:eastAsia="zh-CN"/>
                <w14:textFill>
                  <w14:solidFill>
                    <w14:schemeClr w14:val="tx1"/>
                  </w14:solidFill>
                </w14:textFill>
              </w:rPr>
              <w:t>管理，建设单位应当在启动生产设施或者发生实际排污之前在全国排污许可证管理信息平台完成排污许可</w:t>
            </w:r>
            <w:r>
              <w:rPr>
                <w:rFonts w:hint="eastAsia"/>
                <w:color w:val="000000" w:themeColor="text1"/>
                <w:sz w:val="24"/>
                <w:szCs w:val="24"/>
                <w:highlight w:val="none"/>
                <w:lang w:val="en-US" w:eastAsia="zh-CN"/>
                <w14:textFill>
                  <w14:solidFill>
                    <w14:schemeClr w14:val="tx1"/>
                  </w14:solidFill>
                </w14:textFill>
              </w:rPr>
              <w:t>登记。</w:t>
            </w:r>
          </w:p>
          <w:p w14:paraId="10198FA6">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2AB59A9D">
            <w:pPr>
              <w:adjustRightInd w:val="0"/>
              <w:snapToGrid w:val="0"/>
              <w:spacing w:line="360" w:lineRule="auto"/>
              <w:rPr>
                <w:rFonts w:hint="default"/>
                <w:color w:val="000000" w:themeColor="text1"/>
                <w:sz w:val="24"/>
                <w:szCs w:val="24"/>
                <w:highlight w:val="none"/>
                <w:lang w:val="en-US" w:eastAsia="zh-CN"/>
                <w14:textFill>
                  <w14:solidFill>
                    <w14:schemeClr w14:val="tx1"/>
                  </w14:solidFill>
                </w14:textFill>
              </w:rPr>
            </w:pPr>
            <w:r>
              <w:rPr>
                <w:rFonts w:hint="eastAsia"/>
                <w:b/>
                <w:color w:val="000000" w:themeColor="text1"/>
                <w:sz w:val="24"/>
                <w:szCs w:val="24"/>
                <w:highlight w:val="none"/>
                <w:lang w:val="en-US" w:eastAsia="zh-CN"/>
                <w14:textFill>
                  <w14:solidFill>
                    <w14:schemeClr w14:val="tx1"/>
                  </w14:solidFill>
                </w14:textFill>
              </w:rPr>
              <w:t>5</w:t>
            </w:r>
            <w:r>
              <w:rPr>
                <w:rFonts w:hint="default"/>
                <w:b/>
                <w:color w:val="000000" w:themeColor="text1"/>
                <w:sz w:val="24"/>
                <w:szCs w:val="24"/>
                <w:highlight w:val="none"/>
                <w:lang w:val="en-US" w:eastAsia="zh-CN"/>
                <w14:textFill>
                  <w14:solidFill>
                    <w14:schemeClr w14:val="tx1"/>
                  </w14:solidFill>
                </w14:textFill>
              </w:rPr>
              <w:t>、</w:t>
            </w:r>
            <w:r>
              <w:rPr>
                <w:rFonts w:hint="eastAsia"/>
                <w:b/>
                <w:color w:val="000000" w:themeColor="text1"/>
                <w:sz w:val="24"/>
                <w:szCs w:val="24"/>
                <w:highlight w:val="none"/>
                <w:lang w:val="en-US" w:eastAsia="zh-CN"/>
                <w14:textFill>
                  <w14:solidFill>
                    <w14:schemeClr w14:val="tx1"/>
                  </w14:solidFill>
                </w14:textFill>
              </w:rPr>
              <w:t>竣工环保验收</w:t>
            </w:r>
          </w:p>
          <w:p w14:paraId="2C35EC64">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r>
              <w:rPr>
                <w:rFonts w:hint="default"/>
                <w:color w:val="000000" w:themeColor="text1"/>
                <w:sz w:val="24"/>
                <w:szCs w:val="24"/>
                <w:highlight w:val="none"/>
                <w:lang w:val="en-US" w:eastAsia="zh-CN"/>
                <w14:textFill>
                  <w14:solidFill>
                    <w14:schemeClr w14:val="tx1"/>
                  </w14:solidFill>
                </w14:textFill>
              </w:rPr>
              <w:t>项目投入试运营后应及时开展竣工环保自主验收。根据《建设项目竣工环境保护验收暂行办法》（国环规环评[2017]4号）第十二条：除需要取得排污许可证的水和大气污染防治设施外，其他环境保护设施的验收期限一般不超过3个月。需要对该类环境保护设施进行调试或者整改的，验收期限可以适当延期，但最长不超过12个月。验收期限是指自建设项目环境保护设施竣工之日起至建设单位向社会公开验收报告之日止的时间</w:t>
            </w:r>
            <w:r>
              <w:rPr>
                <w:rFonts w:hint="eastAsia"/>
                <w:color w:val="000000" w:themeColor="text1"/>
                <w:sz w:val="24"/>
                <w:szCs w:val="24"/>
                <w:highlight w:val="none"/>
                <w:lang w:val="en-US" w:eastAsia="zh-CN"/>
                <w14:textFill>
                  <w14:solidFill>
                    <w14:schemeClr w14:val="tx1"/>
                  </w14:solidFill>
                </w14:textFill>
              </w:rPr>
              <w:t>。</w:t>
            </w:r>
          </w:p>
          <w:p w14:paraId="4986E458">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667B90A2">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7DA8A54E">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146029BB">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5183AFAE">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79408A7F">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045FFF81">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6F9FA346">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4E259845">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3E5DB998">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6B6BC31C">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1410AD88">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1D59E086">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0D7F4ED7">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64402321">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711ED421">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5AC7C8AD">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0F6C19B5">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5462945F">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5F0121AA">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1545101D">
            <w:pPr>
              <w:adjustRightInd w:val="0"/>
              <w:snapToGrid w:val="0"/>
              <w:spacing w:line="360" w:lineRule="auto"/>
              <w:rPr>
                <w:rFonts w:hint="eastAsia"/>
                <w:color w:val="000000" w:themeColor="text1"/>
                <w:sz w:val="24"/>
                <w:szCs w:val="24"/>
                <w:highlight w:val="none"/>
                <w:lang w:val="en-US" w:eastAsia="zh-CN"/>
                <w14:textFill>
                  <w14:solidFill>
                    <w14:schemeClr w14:val="tx1"/>
                  </w14:solidFill>
                </w14:textFill>
              </w:rPr>
            </w:pPr>
          </w:p>
          <w:p w14:paraId="11F8BE85">
            <w:pPr>
              <w:adjustRightInd w:val="0"/>
              <w:snapToGrid w:val="0"/>
              <w:spacing w:line="360" w:lineRule="auto"/>
              <w:rPr>
                <w:rFonts w:hint="default"/>
                <w:color w:val="000000" w:themeColor="text1"/>
                <w:sz w:val="24"/>
                <w:szCs w:val="24"/>
                <w:highlight w:val="none"/>
                <w:lang w:val="en-US" w:eastAsia="zh-CN"/>
                <w14:textFill>
                  <w14:solidFill>
                    <w14:schemeClr w14:val="tx1"/>
                  </w14:solidFill>
                </w14:textFill>
              </w:rPr>
            </w:pPr>
          </w:p>
        </w:tc>
      </w:tr>
    </w:tbl>
    <w:p w14:paraId="39CC987F">
      <w:pPr>
        <w:pStyle w:val="26"/>
        <w:jc w:val="center"/>
        <w:outlineLvl w:val="0"/>
        <w:rPr>
          <w:snapToGrid w:val="0"/>
          <w:color w:val="000000" w:themeColor="text1"/>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657C62F0">
      <w:pPr>
        <w:jc w:val="center"/>
        <w:outlineLvl w:val="0"/>
        <w:rPr>
          <w:rFonts w:ascii="黑体" w:hAnsi="黑体" w:eastAsia="黑体"/>
          <w:snapToGrid w:val="0"/>
          <w:color w:val="000000" w:themeColor="text1"/>
          <w:sz w:val="30"/>
          <w:szCs w:val="30"/>
          <w:highlight w:val="none"/>
          <w14:textFill>
            <w14:solidFill>
              <w14:schemeClr w14:val="tx1"/>
            </w14:solidFill>
          </w14:textFill>
        </w:rPr>
      </w:pPr>
      <w:bookmarkStart w:id="16" w:name="_Toc31838"/>
      <w:r>
        <w:rPr>
          <w:rFonts w:hint="eastAsia" w:ascii="黑体" w:hAnsi="黑体" w:eastAsia="黑体"/>
          <w:snapToGrid w:val="0"/>
          <w:color w:val="000000" w:themeColor="text1"/>
          <w:sz w:val="30"/>
          <w:szCs w:val="30"/>
          <w:highlight w:val="none"/>
          <w14:textFill>
            <w14:solidFill>
              <w14:schemeClr w14:val="tx1"/>
            </w14:solidFill>
          </w14:textFill>
        </w:rPr>
        <w:t>六、结论</w:t>
      </w:r>
      <w:bookmarkEnd w:id="16"/>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342F1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5F705392">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ascii="宋体" w:cs="宋体"/>
                <w:color w:val="000000" w:themeColor="text1"/>
                <w:sz w:val="24"/>
                <w:highlight w:val="none"/>
                <w14:textFill>
                  <w14:solidFill>
                    <w14:schemeClr w14:val="tx1"/>
                  </w14:solidFill>
                </w14:textFill>
              </w:rPr>
            </w:pPr>
            <w:r>
              <w:rPr>
                <w:rFonts w:hint="eastAsia" w:ascii="宋体" w:cs="宋体"/>
                <w:color w:val="000000" w:themeColor="text1"/>
                <w:sz w:val="24"/>
                <w:szCs w:val="32"/>
                <w:highlight w:val="none"/>
                <w14:textFill>
                  <w14:solidFill>
                    <w14:schemeClr w14:val="tx1"/>
                  </w14:solidFill>
                </w14:textFill>
              </w:rPr>
              <w:t>综上所述，项目建设符合相关产业政策及</w:t>
            </w:r>
            <w:r>
              <w:rPr>
                <w:rFonts w:hint="eastAsia" w:ascii="宋体" w:cs="宋体"/>
                <w:color w:val="000000" w:themeColor="text1"/>
                <w:sz w:val="24"/>
                <w:szCs w:val="32"/>
                <w:highlight w:val="none"/>
                <w:lang w:val="en-US" w:eastAsia="zh-CN"/>
                <w14:textFill>
                  <w14:solidFill>
                    <w14:schemeClr w14:val="tx1"/>
                  </w14:solidFill>
                </w14:textFill>
              </w:rPr>
              <w:t>生态环境分区管控</w:t>
            </w:r>
            <w:r>
              <w:rPr>
                <w:rFonts w:hint="eastAsia" w:ascii="宋体" w:cs="宋体"/>
                <w:color w:val="000000" w:themeColor="text1"/>
                <w:sz w:val="24"/>
                <w:szCs w:val="32"/>
                <w:highlight w:val="none"/>
                <w14:textFill>
                  <w14:solidFill>
                    <w14:schemeClr w14:val="tx1"/>
                  </w14:solidFill>
                </w14:textFill>
              </w:rPr>
              <w:t>要求，选址符合产业园区规划及规划环评要求。本项目在采用国内先进的生产工艺、清洁生产技术和有效的污染防治措施后，能够实现污染物达标排放，同时满足主要污染物排放总量控制要求；针对突发性事故，应制定环境风险防范措施，使环境事故风险影响达到可接受水平；建设单位在严格落实本报告提出的各项环保措施和执行“三同时”的情况下，从环境影响角度分析，本项目的建设是可行的。</w:t>
            </w:r>
          </w:p>
        </w:tc>
      </w:tr>
    </w:tbl>
    <w:p w14:paraId="25296C79">
      <w:pPr>
        <w:pStyle w:val="12"/>
        <w:rPr>
          <w:snapToGrid w:val="0"/>
          <w:color w:val="000000" w:themeColor="text1"/>
          <w:highlight w:val="none"/>
          <w14:textFill>
            <w14:solidFill>
              <w14:schemeClr w14:val="tx1"/>
            </w14:solidFill>
          </w14:textFill>
        </w:rPr>
      </w:pPr>
      <w:bookmarkStart w:id="17" w:name="五、环境保护措施监督检查清单"/>
      <w:bookmarkEnd w:id="17"/>
      <w:bookmarkStart w:id="18" w:name="_bookmark5"/>
      <w:bookmarkEnd w:id="18"/>
      <w:bookmarkStart w:id="19" w:name="六、结论"/>
      <w:bookmarkEnd w:id="19"/>
      <w:bookmarkStart w:id="20" w:name="福建青泰不锈钢深加工项目"/>
      <w:bookmarkEnd w:id="20"/>
      <w:bookmarkStart w:id="21" w:name="环境风险影响专项评价"/>
      <w:bookmarkEnd w:id="21"/>
      <w:bookmarkStart w:id="22" w:name="_bookmark6"/>
      <w:bookmarkEnd w:id="22"/>
    </w:p>
    <w:p w14:paraId="646664FD">
      <w:pPr>
        <w:pStyle w:val="12"/>
        <w:rPr>
          <w:snapToGrid w:val="0"/>
          <w:color w:val="000000" w:themeColor="text1"/>
          <w:highlight w:val="none"/>
          <w14:textFill>
            <w14:solidFill>
              <w14:schemeClr w14:val="tx1"/>
            </w14:solidFill>
          </w14:textFill>
        </w:rPr>
      </w:pPr>
    </w:p>
    <w:p w14:paraId="0A1353C1">
      <w:pPr>
        <w:pStyle w:val="26"/>
        <w:jc w:val="center"/>
        <w:outlineLvl w:val="0"/>
        <w:rPr>
          <w:snapToGrid w:val="0"/>
          <w:color w:val="000000" w:themeColor="text1"/>
          <w:highlight w:val="none"/>
          <w14:textFill>
            <w14:solidFill>
              <w14:schemeClr w14:val="tx1"/>
            </w14:solidFill>
          </w14:textFill>
        </w:rPr>
        <w:sectPr>
          <w:headerReference r:id="rId8" w:type="default"/>
          <w:footerReference r:id="rId9"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074E1FB2">
      <w:pPr>
        <w:pStyle w:val="26"/>
        <w:adjustRightInd w:val="0"/>
        <w:snapToGrid w:val="0"/>
        <w:spacing w:before="0" w:beforeAutospacing="0" w:after="0" w:afterAutospacing="0" w:line="648" w:lineRule="auto"/>
        <w:outlineLvl w:val="0"/>
        <w:rPr>
          <w:rFonts w:ascii="黑体" w:hAnsi="黑体" w:eastAsia="黑体"/>
          <w:snapToGrid w:val="0"/>
          <w:color w:val="000000" w:themeColor="text1"/>
          <w:sz w:val="32"/>
          <w:szCs w:val="32"/>
          <w:highlight w:val="none"/>
          <w14:textFill>
            <w14:solidFill>
              <w14:schemeClr w14:val="tx1"/>
            </w14:solidFill>
          </w14:textFill>
        </w:rPr>
      </w:pPr>
      <w:bookmarkStart w:id="23" w:name="_Toc160740698"/>
      <w:bookmarkStart w:id="24" w:name="_Toc3990"/>
      <w:r>
        <w:rPr>
          <w:rFonts w:hint="eastAsia" w:ascii="黑体" w:hAnsi="黑体" w:eastAsia="黑体"/>
          <w:snapToGrid w:val="0"/>
          <w:color w:val="000000" w:themeColor="text1"/>
          <w:sz w:val="32"/>
          <w:szCs w:val="32"/>
          <w:highlight w:val="none"/>
          <w14:textFill>
            <w14:solidFill>
              <w14:schemeClr w14:val="tx1"/>
            </w14:solidFill>
          </w14:textFill>
        </w:rPr>
        <w:t>附表2</w:t>
      </w:r>
      <w:bookmarkEnd w:id="23"/>
      <w:bookmarkEnd w:id="24"/>
    </w:p>
    <w:p w14:paraId="5B229D38">
      <w:pPr>
        <w:pStyle w:val="26"/>
        <w:adjustRightInd w:val="0"/>
        <w:snapToGrid w:val="0"/>
        <w:spacing w:before="0" w:beforeAutospacing="0" w:after="0" w:afterAutospacing="0" w:line="552" w:lineRule="auto"/>
        <w:jc w:val="center"/>
        <w:outlineLvl w:val="0"/>
        <w:rPr>
          <w:rFonts w:ascii="方正小标宋_GBK" w:hAnsi="黑体" w:eastAsia="方正小标宋_GBK"/>
          <w:snapToGrid w:val="0"/>
          <w:color w:val="000000" w:themeColor="text1"/>
          <w:sz w:val="38"/>
          <w:szCs w:val="38"/>
          <w:highlight w:val="none"/>
          <w14:textFill>
            <w14:solidFill>
              <w14:schemeClr w14:val="tx1"/>
            </w14:solidFill>
          </w14:textFill>
        </w:rPr>
      </w:pPr>
      <w:bookmarkStart w:id="25" w:name="_Toc9347"/>
      <w:r>
        <w:rPr>
          <w:rFonts w:hint="eastAsia" w:ascii="方正小标宋_GBK" w:hAnsi="黑体" w:eastAsia="方正小标宋_GBK"/>
          <w:snapToGrid w:val="0"/>
          <w:color w:val="000000" w:themeColor="text1"/>
          <w:sz w:val="38"/>
          <w:szCs w:val="38"/>
          <w:highlight w:val="none"/>
          <w14:textFill>
            <w14:solidFill>
              <w14:schemeClr w14:val="tx1"/>
            </w14:solidFill>
          </w14:textFill>
        </w:rPr>
        <w:t>建设项目污染物排放量汇总表</w:t>
      </w:r>
      <w:bookmarkEnd w:id="25"/>
    </w:p>
    <w:tbl>
      <w:tblPr>
        <w:tblStyle w:val="30"/>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655"/>
        <w:gridCol w:w="1130"/>
      </w:tblGrid>
      <w:tr w14:paraId="75C3C2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blHeader/>
        </w:trPr>
        <w:tc>
          <w:tcPr>
            <w:tcW w:w="1588" w:type="dxa"/>
            <w:tcBorders>
              <w:tl2br w:val="single" w:color="auto" w:sz="4" w:space="0"/>
            </w:tcBorders>
            <w:tcMar>
              <w:left w:w="28" w:type="dxa"/>
              <w:right w:w="28" w:type="dxa"/>
            </w:tcMar>
            <w:vAlign w:val="center"/>
          </w:tcPr>
          <w:p w14:paraId="59F657F7">
            <w:pPr>
              <w:pStyle w:val="57"/>
              <w:spacing w:beforeLines="0" w:afterLines="0" w:line="240" w:lineRule="auto"/>
              <w:jc w:val="right"/>
              <w:rPr>
                <w:rFonts w:ascii="黑体" w:hAnsi="黑体" w:eastAsia="黑体" w:cs="宋体"/>
                <w:snapToGrid w:val="0"/>
                <w:color w:val="000000" w:themeColor="text1"/>
                <w:spacing w:val="-6"/>
                <w:kern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Cs w:val="21"/>
                <w:highlight w:val="none"/>
                <w14:textFill>
                  <w14:solidFill>
                    <w14:schemeClr w14:val="tx1"/>
                  </w14:solidFill>
                </w14:textFill>
              </w:rPr>
              <w:t>项目</w:t>
            </w:r>
          </w:p>
          <w:p w14:paraId="5A998AC7">
            <w:pPr>
              <w:pStyle w:val="57"/>
              <w:spacing w:beforeLines="0" w:afterLines="0" w:line="240" w:lineRule="auto"/>
              <w:jc w:val="left"/>
              <w:rPr>
                <w:rFonts w:ascii="黑体" w:hAnsi="黑体" w:eastAsia="黑体" w:cs="宋体"/>
                <w:snapToGrid w:val="0"/>
                <w:color w:val="000000" w:themeColor="text1"/>
                <w:spacing w:val="-6"/>
                <w:kern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Cs w:val="21"/>
                <w:highlight w:val="none"/>
                <w14:textFill>
                  <w14:solidFill>
                    <w14:schemeClr w14:val="tx1"/>
                  </w14:solidFill>
                </w14:textFill>
              </w:rPr>
              <w:t>分类</w:t>
            </w:r>
          </w:p>
        </w:tc>
        <w:tc>
          <w:tcPr>
            <w:tcW w:w="1417" w:type="dxa"/>
            <w:tcMar>
              <w:left w:w="28" w:type="dxa"/>
              <w:right w:w="28" w:type="dxa"/>
            </w:tcMar>
            <w:vAlign w:val="center"/>
          </w:tcPr>
          <w:p w14:paraId="4F6DCB49">
            <w:pPr>
              <w:pStyle w:val="57"/>
              <w:spacing w:beforeLines="0" w:afterLines="0" w:line="240" w:lineRule="auto"/>
              <w:rPr>
                <w:rFonts w:ascii="黑体" w:hAnsi="黑体" w:eastAsia="黑体" w:cs="宋体"/>
                <w:snapToGrid w:val="0"/>
                <w:color w:val="000000" w:themeColor="text1"/>
                <w:spacing w:val="-6"/>
                <w:kern w:val="21"/>
                <w:sz w:val="21"/>
                <w:szCs w:val="21"/>
                <w:highlight w:val="none"/>
                <w14:textFill>
                  <w14:solidFill>
                    <w14:schemeClr w14:val="tx1"/>
                  </w14:solidFill>
                </w14:textFill>
              </w:rPr>
            </w:pPr>
            <w:r>
              <w:rPr>
                <w:rFonts w:hint="eastAsia" w:ascii="黑体" w:hAnsi="黑体" w:eastAsia="黑体" w:cs="宋体"/>
                <w:snapToGrid w:val="0"/>
                <w:color w:val="000000" w:themeColor="text1"/>
                <w:spacing w:val="-6"/>
                <w:kern w:val="21"/>
                <w:sz w:val="21"/>
                <w:szCs w:val="21"/>
                <w:highlight w:val="none"/>
                <w14:textFill>
                  <w14:solidFill>
                    <w14:schemeClr w14:val="tx1"/>
                  </w14:solidFill>
                </w14:textFill>
              </w:rPr>
              <w:t>污染物名称</w:t>
            </w:r>
          </w:p>
        </w:tc>
        <w:tc>
          <w:tcPr>
            <w:tcW w:w="1701" w:type="dxa"/>
            <w:tcMar>
              <w:left w:w="28" w:type="dxa"/>
              <w:right w:w="28" w:type="dxa"/>
            </w:tcMar>
            <w:vAlign w:val="center"/>
          </w:tcPr>
          <w:p w14:paraId="421C84F0">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现有工程</w:t>
            </w:r>
          </w:p>
          <w:p w14:paraId="5B24C7B9">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体</w:t>
            </w:r>
            <w:r>
              <w:rPr>
                <w:rFonts w:ascii="黑体" w:hAnsi="黑体" w:eastAsia="黑体"/>
                <w:snapToGrid w:val="0"/>
                <w:color w:val="000000" w:themeColor="text1"/>
                <w:spacing w:val="-6"/>
                <w:kern w:val="21"/>
                <w:sz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物</w:t>
            </w:r>
            <w:r>
              <w:rPr>
                <w:rFonts w:ascii="黑体" w:hAnsi="黑体" w:eastAsia="黑体"/>
                <w:snapToGrid w:val="0"/>
                <w:color w:val="000000" w:themeColor="text1"/>
                <w:spacing w:val="-6"/>
                <w:kern w:val="21"/>
                <w:sz w:val="21"/>
                <w:szCs w:val="21"/>
                <w:highlight w:val="none"/>
                <w14:textFill>
                  <w14:solidFill>
                    <w14:schemeClr w14:val="tx1"/>
                  </w14:solidFill>
                </w14:textFill>
              </w:rPr>
              <w:t>产生量）</w: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 w:val="21"/>
                <w:szCs w:val="21"/>
                <w:highlight w:val="none"/>
                <w14:textFill>
                  <w14:solidFill>
                    <w14:schemeClr w14:val="tx1"/>
                  </w14:solidFill>
                </w14:textFill>
              </w:rPr>
              <w:instrText xml:space="preserve"> = 1 \* GB3 \* MERGEFORMAT </w:instrTex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 w:val="21"/>
                <w:szCs w:val="21"/>
                <w:highlight w:val="none"/>
                <w14:textFill>
                  <w14:solidFill>
                    <w14:schemeClr w14:val="tx1"/>
                  </w14:solidFill>
                </w14:textFill>
              </w:rPr>
              <w:t>①</w: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c>
          <w:tcPr>
            <w:tcW w:w="1276" w:type="dxa"/>
            <w:tcMar>
              <w:left w:w="28" w:type="dxa"/>
              <w:right w:w="28" w:type="dxa"/>
            </w:tcMar>
            <w:vAlign w:val="center"/>
          </w:tcPr>
          <w:p w14:paraId="2D0EEA90">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现有工程</w:t>
            </w:r>
          </w:p>
          <w:p w14:paraId="30494E6F">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许可排放量</w:t>
            </w:r>
          </w:p>
          <w:p w14:paraId="0752D40A">
            <w:pPr>
              <w:pStyle w:val="57"/>
              <w:spacing w:beforeLines="0" w:afterLines="0"/>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 w:val="21"/>
                <w:szCs w:val="21"/>
                <w:highlight w:val="none"/>
                <w14:textFill>
                  <w14:solidFill>
                    <w14:schemeClr w14:val="tx1"/>
                  </w14:solidFill>
                </w14:textFill>
              </w:rPr>
              <w:instrText xml:space="preserve"> = 2 \* GB3 \* MERGEFORMAT </w:instrTex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snapToGrid w:val="0"/>
                <w:color w:val="000000" w:themeColor="text1"/>
                <w:spacing w:val="-6"/>
                <w:kern w:val="21"/>
                <w:sz w:val="21"/>
                <w:szCs w:val="21"/>
                <w:highlight w:val="none"/>
                <w14:textFill>
                  <w14:solidFill>
                    <w14:schemeClr w14:val="tx1"/>
                  </w14:solidFill>
                </w14:textFill>
              </w:rPr>
              <w:t>②</w: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c>
          <w:tcPr>
            <w:tcW w:w="1701" w:type="dxa"/>
            <w:tcMar>
              <w:left w:w="28" w:type="dxa"/>
              <w:right w:w="28" w:type="dxa"/>
            </w:tcMar>
            <w:vAlign w:val="center"/>
          </w:tcPr>
          <w:p w14:paraId="0F9D43B3">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在建工程</w:t>
            </w:r>
          </w:p>
          <w:p w14:paraId="1F3AE91F">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体</w:t>
            </w:r>
            <w:r>
              <w:rPr>
                <w:rFonts w:ascii="黑体" w:hAnsi="黑体" w:eastAsia="黑体"/>
                <w:snapToGrid w:val="0"/>
                <w:color w:val="000000" w:themeColor="text1"/>
                <w:spacing w:val="-6"/>
                <w:kern w:val="21"/>
                <w:sz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物</w:t>
            </w:r>
            <w:r>
              <w:rPr>
                <w:rFonts w:ascii="黑体" w:hAnsi="黑体" w:eastAsia="黑体"/>
                <w:snapToGrid w:val="0"/>
                <w:color w:val="000000" w:themeColor="text1"/>
                <w:spacing w:val="-6"/>
                <w:kern w:val="21"/>
                <w:sz w:val="21"/>
                <w:szCs w:val="21"/>
                <w:highlight w:val="none"/>
                <w14:textFill>
                  <w14:solidFill>
                    <w14:schemeClr w14:val="tx1"/>
                  </w14:solidFill>
                </w14:textFill>
              </w:rPr>
              <w:t>产生量）</w: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 w:val="21"/>
                <w:szCs w:val="21"/>
                <w:highlight w:val="none"/>
                <w14:textFill>
                  <w14:solidFill>
                    <w14:schemeClr w14:val="tx1"/>
                  </w14:solidFill>
                </w14:textFill>
              </w:rPr>
              <w:instrText xml:space="preserve"> = 3 \* GB3 \* MERGEFORMAT </w:instrTex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 w:val="21"/>
                <w:szCs w:val="21"/>
                <w:highlight w:val="none"/>
                <w14:textFill>
                  <w14:solidFill>
                    <w14:schemeClr w14:val="tx1"/>
                  </w14:solidFill>
                </w14:textFill>
              </w:rPr>
              <w:t>③</w: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c>
          <w:tcPr>
            <w:tcW w:w="1559" w:type="dxa"/>
            <w:tcMar>
              <w:left w:w="28" w:type="dxa"/>
              <w:right w:w="28" w:type="dxa"/>
            </w:tcMar>
            <w:vAlign w:val="center"/>
          </w:tcPr>
          <w:p w14:paraId="320DFB7E">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本项目</w:t>
            </w:r>
          </w:p>
          <w:p w14:paraId="5D75D136">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排放量（固</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体</w:t>
            </w:r>
            <w:r>
              <w:rPr>
                <w:rFonts w:ascii="黑体" w:hAnsi="黑体" w:eastAsia="黑体"/>
                <w:snapToGrid w:val="0"/>
                <w:color w:val="000000" w:themeColor="text1"/>
                <w:spacing w:val="-6"/>
                <w:kern w:val="21"/>
                <w:sz w:val="21"/>
                <w:szCs w:val="21"/>
                <w:highlight w:val="none"/>
                <w14:textFill>
                  <w14:solidFill>
                    <w14:schemeClr w14:val="tx1"/>
                  </w14:solidFill>
                </w14:textFill>
              </w:rPr>
              <w:t>废</w:t>
            </w:r>
            <w:r>
              <w:rPr>
                <w:rFonts w:hint="eastAsia" w:ascii="黑体" w:hAnsi="黑体" w:eastAsia="黑体"/>
                <w:snapToGrid w:val="0"/>
                <w:color w:val="000000" w:themeColor="text1"/>
                <w:spacing w:val="-6"/>
                <w:kern w:val="21"/>
                <w:sz w:val="21"/>
                <w:szCs w:val="21"/>
                <w:highlight w:val="none"/>
                <w14:textFill>
                  <w14:solidFill>
                    <w14:schemeClr w14:val="tx1"/>
                  </w14:solidFill>
                </w14:textFill>
              </w:rPr>
              <w:t>物</w:t>
            </w:r>
            <w:r>
              <w:rPr>
                <w:rFonts w:ascii="黑体" w:hAnsi="黑体" w:eastAsia="黑体"/>
                <w:snapToGrid w:val="0"/>
                <w:color w:val="000000" w:themeColor="text1"/>
                <w:spacing w:val="-6"/>
                <w:kern w:val="21"/>
                <w:sz w:val="21"/>
                <w:szCs w:val="21"/>
                <w:highlight w:val="none"/>
                <w14:textFill>
                  <w14:solidFill>
                    <w14:schemeClr w14:val="tx1"/>
                  </w14:solidFill>
                </w14:textFill>
              </w:rPr>
              <w:t>产生量）</w: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 w:val="21"/>
                <w:szCs w:val="21"/>
                <w:highlight w:val="none"/>
                <w14:textFill>
                  <w14:solidFill>
                    <w14:schemeClr w14:val="tx1"/>
                  </w14:solidFill>
                </w14:textFill>
              </w:rPr>
              <w:instrText xml:space="preserve"> = 4 \* GB3 \* MERGEFORMAT </w:instrTex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 w:val="21"/>
                <w:szCs w:val="21"/>
                <w:highlight w:val="none"/>
                <w14:textFill>
                  <w14:solidFill>
                    <w14:schemeClr w14:val="tx1"/>
                  </w14:solidFill>
                </w14:textFill>
              </w:rPr>
              <w:t>④</w: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c>
          <w:tcPr>
            <w:tcW w:w="1761" w:type="dxa"/>
            <w:tcMar>
              <w:left w:w="28" w:type="dxa"/>
              <w:right w:w="28" w:type="dxa"/>
            </w:tcMar>
            <w:vAlign w:val="center"/>
          </w:tcPr>
          <w:p w14:paraId="0BE7E68D">
            <w:pPr>
              <w:pStyle w:val="57"/>
              <w:spacing w:beforeLines="0" w:afterLines="0" w:line="240" w:lineRule="auto"/>
              <w:rPr>
                <w:rFonts w:ascii="黑体" w:hAnsi="黑体" w:eastAsia="黑体"/>
                <w:snapToGrid w:val="0"/>
                <w:color w:val="000000" w:themeColor="text1"/>
                <w:spacing w:val="-16"/>
                <w:kern w:val="21"/>
                <w:sz w:val="21"/>
                <w:szCs w:val="21"/>
                <w:highlight w:val="none"/>
                <w14:textFill>
                  <w14:solidFill>
                    <w14:schemeClr w14:val="tx1"/>
                  </w14:solidFill>
                </w14:textFill>
              </w:rPr>
            </w:pPr>
            <w:r>
              <w:rPr>
                <w:rFonts w:ascii="黑体" w:hAnsi="黑体" w:eastAsia="黑体"/>
                <w:snapToGrid w:val="0"/>
                <w:color w:val="000000" w:themeColor="text1"/>
                <w:spacing w:val="-16"/>
                <w:kern w:val="21"/>
                <w:sz w:val="21"/>
                <w:szCs w:val="21"/>
                <w:highlight w:val="none"/>
                <w14:textFill>
                  <w14:solidFill>
                    <w14:schemeClr w14:val="tx1"/>
                  </w14:solidFill>
                </w14:textFill>
              </w:rPr>
              <w:t>以新带老削减量</w:t>
            </w:r>
          </w:p>
          <w:p w14:paraId="5A847235">
            <w:pPr>
              <w:pStyle w:val="57"/>
              <w:spacing w:beforeLines="0" w:afterLines="0" w:line="240" w:lineRule="auto"/>
              <w:rPr>
                <w:rFonts w:ascii="黑体" w:hAnsi="黑体" w:eastAsia="黑体"/>
                <w:snapToGrid w:val="0"/>
                <w:color w:val="000000" w:themeColor="text1"/>
                <w:spacing w:val="-16"/>
                <w:kern w:val="21"/>
                <w:sz w:val="21"/>
                <w:szCs w:val="21"/>
                <w:highlight w:val="none"/>
                <w14:textFill>
                  <w14:solidFill>
                    <w14:schemeClr w14:val="tx1"/>
                  </w14:solidFill>
                </w14:textFill>
              </w:rPr>
            </w:pPr>
            <w:r>
              <w:rPr>
                <w:rFonts w:ascii="黑体" w:hAnsi="黑体" w:eastAsia="黑体"/>
                <w:snapToGrid w:val="0"/>
                <w:color w:val="000000" w:themeColor="text1"/>
                <w:spacing w:val="-16"/>
                <w:kern w:val="21"/>
                <w:sz w:val="21"/>
                <w:szCs w:val="21"/>
                <w:highlight w:val="none"/>
                <w14:textFill>
                  <w14:solidFill>
                    <w14:schemeClr w14:val="tx1"/>
                  </w14:solidFill>
                </w14:textFill>
              </w:rPr>
              <w:t>（新建项目不填）</w:t>
            </w:r>
            <w:r>
              <w:rPr>
                <w:rFonts w:ascii="黑体" w:hAnsi="黑体" w:eastAsia="黑体"/>
                <w:snapToGrid w:val="0"/>
                <w:color w:val="000000" w:themeColor="text1"/>
                <w:spacing w:val="-16"/>
                <w:kern w:val="21"/>
                <w:sz w:val="21"/>
                <w:szCs w:val="21"/>
                <w:highlight w:val="none"/>
                <w14:textFill>
                  <w14:solidFill>
                    <w14:schemeClr w14:val="tx1"/>
                  </w14:solidFill>
                </w14:textFill>
              </w:rPr>
              <w:fldChar w:fldCharType="begin"/>
            </w:r>
            <w:r>
              <w:rPr>
                <w:rFonts w:ascii="黑体" w:hAnsi="黑体" w:eastAsia="黑体"/>
                <w:snapToGrid w:val="0"/>
                <w:color w:val="000000" w:themeColor="text1"/>
                <w:spacing w:val="-16"/>
                <w:kern w:val="21"/>
                <w:sz w:val="21"/>
                <w:szCs w:val="21"/>
                <w:highlight w:val="none"/>
                <w14:textFill>
                  <w14:solidFill>
                    <w14:schemeClr w14:val="tx1"/>
                  </w14:solidFill>
                </w14:textFill>
              </w:rPr>
              <w:instrText xml:space="preserve"> = 5 \* GB3 \* MERGEFORMAT </w:instrText>
            </w:r>
            <w:r>
              <w:rPr>
                <w:rFonts w:ascii="黑体" w:hAnsi="黑体" w:eastAsia="黑体"/>
                <w:snapToGrid w:val="0"/>
                <w:color w:val="000000" w:themeColor="text1"/>
                <w:spacing w:val="-1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 w:val="21"/>
                <w:szCs w:val="21"/>
                <w:highlight w:val="none"/>
                <w14:textFill>
                  <w14:solidFill>
                    <w14:schemeClr w14:val="tx1"/>
                  </w14:solidFill>
                </w14:textFill>
              </w:rPr>
              <w:t>⑤</w:t>
            </w:r>
            <w:r>
              <w:rPr>
                <w:rFonts w:ascii="黑体" w:hAnsi="黑体" w:eastAsia="黑体"/>
                <w:snapToGrid w:val="0"/>
                <w:color w:val="000000" w:themeColor="text1"/>
                <w:spacing w:val="-16"/>
                <w:kern w:val="21"/>
                <w:sz w:val="21"/>
                <w:szCs w:val="21"/>
                <w:highlight w:val="none"/>
                <w14:textFill>
                  <w14:solidFill>
                    <w14:schemeClr w14:val="tx1"/>
                  </w14:solidFill>
                </w14:textFill>
              </w:rPr>
              <w:fldChar w:fldCharType="end"/>
            </w:r>
          </w:p>
        </w:tc>
        <w:tc>
          <w:tcPr>
            <w:tcW w:w="1655" w:type="dxa"/>
            <w:tcMar>
              <w:left w:w="28" w:type="dxa"/>
              <w:right w:w="28" w:type="dxa"/>
            </w:tcMar>
            <w:vAlign w:val="center"/>
          </w:tcPr>
          <w:p w14:paraId="261E43EE">
            <w:pPr>
              <w:pStyle w:val="57"/>
              <w:spacing w:beforeLines="0" w:afterLines="0" w:line="240" w:lineRule="auto"/>
              <w:rPr>
                <w:rFonts w:ascii="黑体" w:hAnsi="黑体" w:eastAsia="黑体"/>
                <w:snapToGrid w:val="0"/>
                <w:color w:val="000000" w:themeColor="text1"/>
                <w:spacing w:val="-16"/>
                <w:kern w:val="21"/>
                <w:sz w:val="21"/>
                <w:szCs w:val="21"/>
                <w:highlight w:val="none"/>
                <w14:textFill>
                  <w14:solidFill>
                    <w14:schemeClr w14:val="tx1"/>
                  </w14:solidFill>
                </w14:textFill>
              </w:rPr>
            </w:pPr>
            <w:r>
              <w:rPr>
                <w:rFonts w:ascii="黑体" w:hAnsi="黑体" w:eastAsia="黑体"/>
                <w:snapToGrid w:val="0"/>
                <w:color w:val="000000" w:themeColor="text1"/>
                <w:spacing w:val="-16"/>
                <w:kern w:val="21"/>
                <w:sz w:val="21"/>
                <w:szCs w:val="21"/>
                <w:highlight w:val="none"/>
                <w14:textFill>
                  <w14:solidFill>
                    <w14:schemeClr w14:val="tx1"/>
                  </w14:solidFill>
                </w14:textFill>
              </w:rPr>
              <w:t>本项目建成后</w:t>
            </w:r>
          </w:p>
          <w:p w14:paraId="7220D1C8">
            <w:pPr>
              <w:pStyle w:val="57"/>
              <w:spacing w:beforeLines="0" w:afterLines="0" w:line="240" w:lineRule="auto"/>
              <w:rPr>
                <w:rFonts w:ascii="黑体" w:hAnsi="黑体" w:eastAsia="黑体"/>
                <w:snapToGrid w:val="0"/>
                <w:color w:val="000000" w:themeColor="text1"/>
                <w:spacing w:val="-16"/>
                <w:kern w:val="21"/>
                <w:sz w:val="21"/>
                <w:szCs w:val="21"/>
                <w:highlight w:val="none"/>
                <w14:textFill>
                  <w14:solidFill>
                    <w14:schemeClr w14:val="tx1"/>
                  </w14:solidFill>
                </w14:textFill>
              </w:rPr>
            </w:pPr>
            <w:r>
              <w:rPr>
                <w:rFonts w:hint="eastAsia" w:ascii="黑体" w:hAnsi="黑体" w:eastAsia="黑体"/>
                <w:snapToGrid w:val="0"/>
                <w:color w:val="000000" w:themeColor="text1"/>
                <w:spacing w:val="-16"/>
                <w:kern w:val="21"/>
                <w:sz w:val="21"/>
                <w:szCs w:val="21"/>
                <w:highlight w:val="none"/>
                <w14:textFill>
                  <w14:solidFill>
                    <w14:schemeClr w14:val="tx1"/>
                  </w14:solidFill>
                </w14:textFill>
              </w:rPr>
              <w:t>全厂</w:t>
            </w:r>
            <w:r>
              <w:rPr>
                <w:rFonts w:ascii="黑体" w:hAnsi="黑体" w:eastAsia="黑体"/>
                <w:snapToGrid w:val="0"/>
                <w:color w:val="000000" w:themeColor="text1"/>
                <w:spacing w:val="-16"/>
                <w:kern w:val="21"/>
                <w:sz w:val="21"/>
                <w:szCs w:val="21"/>
                <w:highlight w:val="none"/>
                <w14:textFill>
                  <w14:solidFill>
                    <w14:schemeClr w14:val="tx1"/>
                  </w14:solidFill>
                </w14:textFill>
              </w:rPr>
              <w:t>排放量（固</w:t>
            </w:r>
            <w:r>
              <w:rPr>
                <w:rFonts w:hint="eastAsia" w:ascii="黑体" w:hAnsi="黑体" w:eastAsia="黑体"/>
                <w:snapToGrid w:val="0"/>
                <w:color w:val="000000" w:themeColor="text1"/>
                <w:spacing w:val="-16"/>
                <w:kern w:val="21"/>
                <w:sz w:val="21"/>
                <w:szCs w:val="21"/>
                <w:highlight w:val="none"/>
                <w14:textFill>
                  <w14:solidFill>
                    <w14:schemeClr w14:val="tx1"/>
                  </w14:solidFill>
                </w14:textFill>
              </w:rPr>
              <w:t>体</w:t>
            </w:r>
            <w:r>
              <w:rPr>
                <w:rFonts w:ascii="黑体" w:hAnsi="黑体" w:eastAsia="黑体"/>
                <w:snapToGrid w:val="0"/>
                <w:color w:val="000000" w:themeColor="text1"/>
                <w:spacing w:val="-16"/>
                <w:kern w:val="21"/>
                <w:sz w:val="21"/>
                <w:szCs w:val="21"/>
                <w:highlight w:val="none"/>
                <w14:textFill>
                  <w14:solidFill>
                    <w14:schemeClr w14:val="tx1"/>
                  </w14:solidFill>
                </w14:textFill>
              </w:rPr>
              <w:t>废</w:t>
            </w:r>
            <w:r>
              <w:rPr>
                <w:rFonts w:hint="eastAsia" w:ascii="黑体" w:hAnsi="黑体" w:eastAsia="黑体"/>
                <w:snapToGrid w:val="0"/>
                <w:color w:val="000000" w:themeColor="text1"/>
                <w:spacing w:val="-16"/>
                <w:kern w:val="21"/>
                <w:sz w:val="21"/>
                <w:szCs w:val="21"/>
                <w:highlight w:val="none"/>
                <w14:textFill>
                  <w14:solidFill>
                    <w14:schemeClr w14:val="tx1"/>
                  </w14:solidFill>
                </w14:textFill>
              </w:rPr>
              <w:t>物</w:t>
            </w:r>
            <w:r>
              <w:rPr>
                <w:rFonts w:ascii="黑体" w:hAnsi="黑体" w:eastAsia="黑体"/>
                <w:snapToGrid w:val="0"/>
                <w:color w:val="000000" w:themeColor="text1"/>
                <w:spacing w:val="-16"/>
                <w:kern w:val="21"/>
                <w:sz w:val="21"/>
                <w:szCs w:val="21"/>
                <w:highlight w:val="none"/>
                <w14:textFill>
                  <w14:solidFill>
                    <w14:schemeClr w14:val="tx1"/>
                  </w14:solidFill>
                </w14:textFill>
              </w:rPr>
              <w:t>产生量）</w:t>
            </w:r>
            <w:r>
              <w:rPr>
                <w:rFonts w:ascii="黑体" w:hAnsi="黑体" w:eastAsia="黑体"/>
                <w:snapToGrid w:val="0"/>
                <w:color w:val="000000" w:themeColor="text1"/>
                <w:spacing w:val="-16"/>
                <w:kern w:val="21"/>
                <w:sz w:val="21"/>
                <w:szCs w:val="21"/>
                <w:highlight w:val="none"/>
                <w14:textFill>
                  <w14:solidFill>
                    <w14:schemeClr w14:val="tx1"/>
                  </w14:solidFill>
                </w14:textFill>
              </w:rPr>
              <w:fldChar w:fldCharType="begin"/>
            </w:r>
            <w:r>
              <w:rPr>
                <w:rFonts w:ascii="黑体" w:hAnsi="黑体" w:eastAsia="黑体"/>
                <w:snapToGrid w:val="0"/>
                <w:color w:val="000000" w:themeColor="text1"/>
                <w:spacing w:val="-16"/>
                <w:kern w:val="21"/>
                <w:sz w:val="21"/>
                <w:szCs w:val="21"/>
                <w:highlight w:val="none"/>
                <w14:textFill>
                  <w14:solidFill>
                    <w14:schemeClr w14:val="tx1"/>
                  </w14:solidFill>
                </w14:textFill>
              </w:rPr>
              <w:instrText xml:space="preserve"> = 6 \* GB3 \* MERGEFORMAT </w:instrText>
            </w:r>
            <w:r>
              <w:rPr>
                <w:rFonts w:ascii="黑体" w:hAnsi="黑体" w:eastAsia="黑体"/>
                <w:snapToGrid w:val="0"/>
                <w:color w:val="000000" w:themeColor="text1"/>
                <w:spacing w:val="-1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 w:val="21"/>
                <w:szCs w:val="21"/>
                <w:highlight w:val="none"/>
                <w14:textFill>
                  <w14:solidFill>
                    <w14:schemeClr w14:val="tx1"/>
                  </w14:solidFill>
                </w14:textFill>
              </w:rPr>
              <w:t>⑥</w:t>
            </w:r>
            <w:r>
              <w:rPr>
                <w:rFonts w:ascii="黑体" w:hAnsi="黑体" w:eastAsia="黑体"/>
                <w:snapToGrid w:val="0"/>
                <w:color w:val="000000" w:themeColor="text1"/>
                <w:spacing w:val="-16"/>
                <w:kern w:val="21"/>
                <w:sz w:val="21"/>
                <w:szCs w:val="21"/>
                <w:highlight w:val="none"/>
                <w14:textFill>
                  <w14:solidFill>
                    <w14:schemeClr w14:val="tx1"/>
                  </w14:solidFill>
                </w14:textFill>
              </w:rPr>
              <w:fldChar w:fldCharType="end"/>
            </w:r>
          </w:p>
        </w:tc>
        <w:tc>
          <w:tcPr>
            <w:tcW w:w="1130" w:type="dxa"/>
            <w:tcMar>
              <w:left w:w="28" w:type="dxa"/>
              <w:right w:w="28" w:type="dxa"/>
            </w:tcMar>
            <w:vAlign w:val="center"/>
          </w:tcPr>
          <w:p w14:paraId="701CDB11">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t>变化量</w:t>
            </w:r>
          </w:p>
          <w:p w14:paraId="1E0D0D4B">
            <w:pPr>
              <w:pStyle w:val="57"/>
              <w:spacing w:beforeLines="0" w:afterLines="0" w:line="240" w:lineRule="auto"/>
              <w:rPr>
                <w:rFonts w:ascii="黑体" w:hAnsi="黑体" w:eastAsia="黑体"/>
                <w:snapToGrid w:val="0"/>
                <w:color w:val="000000" w:themeColor="text1"/>
                <w:spacing w:val="-6"/>
                <w:kern w:val="21"/>
                <w:sz w:val="21"/>
                <w:szCs w:val="21"/>
                <w:highlight w:val="none"/>
                <w14:textFill>
                  <w14:solidFill>
                    <w14:schemeClr w14:val="tx1"/>
                  </w14:solidFill>
                </w14:textFill>
              </w:rPr>
            </w:pP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begin"/>
            </w:r>
            <w:r>
              <w:rPr>
                <w:rFonts w:ascii="黑体" w:hAnsi="黑体" w:eastAsia="黑体"/>
                <w:snapToGrid w:val="0"/>
                <w:color w:val="000000" w:themeColor="text1"/>
                <w:spacing w:val="-6"/>
                <w:kern w:val="21"/>
                <w:sz w:val="21"/>
                <w:szCs w:val="21"/>
                <w:highlight w:val="none"/>
                <w14:textFill>
                  <w14:solidFill>
                    <w14:schemeClr w14:val="tx1"/>
                  </w14:solidFill>
                </w14:textFill>
              </w:rPr>
              <w:instrText xml:space="preserve"> = 7 \* GB3 \* MERGEFORMAT </w:instrTex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separate"/>
            </w:r>
            <w:r>
              <w:rPr>
                <w:rFonts w:hint="eastAsia" w:ascii="黑体" w:hAnsi="黑体" w:eastAsia="黑体" w:cs="宋体"/>
                <w:color w:val="000000" w:themeColor="text1"/>
                <w:kern w:val="2"/>
                <w:sz w:val="21"/>
                <w:szCs w:val="21"/>
                <w:highlight w:val="none"/>
                <w14:textFill>
                  <w14:solidFill>
                    <w14:schemeClr w14:val="tx1"/>
                  </w14:solidFill>
                </w14:textFill>
              </w:rPr>
              <w:t>⑦</w:t>
            </w:r>
            <w:r>
              <w:rPr>
                <w:rFonts w:ascii="黑体" w:hAnsi="黑体" w:eastAsia="黑体"/>
                <w:snapToGrid w:val="0"/>
                <w:color w:val="000000" w:themeColor="text1"/>
                <w:spacing w:val="-6"/>
                <w:kern w:val="21"/>
                <w:sz w:val="21"/>
                <w:szCs w:val="21"/>
                <w:highlight w:val="none"/>
                <w14:textFill>
                  <w14:solidFill>
                    <w14:schemeClr w14:val="tx1"/>
                  </w14:solidFill>
                </w14:textFill>
              </w:rPr>
              <w:fldChar w:fldCharType="end"/>
            </w:r>
          </w:p>
        </w:tc>
      </w:tr>
      <w:tr w14:paraId="21DC7D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7201C575">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废气</w:t>
            </w:r>
          </w:p>
        </w:tc>
        <w:tc>
          <w:tcPr>
            <w:tcW w:w="1417" w:type="dxa"/>
            <w:vAlign w:val="center"/>
          </w:tcPr>
          <w:p w14:paraId="4901106A">
            <w:pPr>
              <w:widowControl/>
              <w:jc w:val="center"/>
              <w:rPr>
                <w:color w:val="000000" w:themeColor="text1"/>
                <w:kern w:val="0"/>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颗粒物</w:t>
            </w:r>
          </w:p>
        </w:tc>
        <w:tc>
          <w:tcPr>
            <w:tcW w:w="1701" w:type="dxa"/>
            <w:vAlign w:val="center"/>
          </w:tcPr>
          <w:p w14:paraId="48DF9689">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449EF26A">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20C6B4E3">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02161CEB">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61" w:type="dxa"/>
            <w:vAlign w:val="center"/>
          </w:tcPr>
          <w:p w14:paraId="25601C8B">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7333CAAD">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130" w:type="dxa"/>
            <w:vAlign w:val="center"/>
          </w:tcPr>
          <w:p w14:paraId="24F338F3">
            <w:pPr>
              <w:jc w:val="center"/>
              <w:rPr>
                <w:rFonts w:eastAsia="等线"/>
                <w:color w:val="000000" w:themeColor="text1"/>
                <w:sz w:val="21"/>
                <w:szCs w:val="21"/>
                <w:highlight w:val="none"/>
                <w14:textFill>
                  <w14:solidFill>
                    <w14:schemeClr w14:val="tx1"/>
                  </w14:solidFill>
                </w14:textFill>
              </w:rPr>
            </w:pPr>
            <w:r>
              <w:rPr>
                <w:rFonts w:eastAsia="等线"/>
                <w:color w:val="000000" w:themeColor="text1"/>
                <w:sz w:val="21"/>
                <w:szCs w:val="21"/>
                <w:highlight w:val="none"/>
                <w14:textFill>
                  <w14:solidFill>
                    <w14:schemeClr w14:val="tx1"/>
                  </w14:solidFill>
                </w14:textFill>
              </w:rPr>
              <w:t>+</w:t>
            </w:r>
            <w:r>
              <w:rPr>
                <w:rFonts w:hint="eastAsia" w:eastAsia="等线"/>
                <w:color w:val="000000" w:themeColor="text1"/>
                <w:sz w:val="21"/>
                <w:szCs w:val="21"/>
                <w:highlight w:val="none"/>
                <w14:textFill>
                  <w14:solidFill>
                    <w14:schemeClr w14:val="tx1"/>
                  </w14:solidFill>
                </w14:textFill>
              </w:rPr>
              <w:t>0</w:t>
            </w:r>
          </w:p>
        </w:tc>
      </w:tr>
      <w:tr w14:paraId="524CD2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2C93156">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1B76830A">
            <w:pPr>
              <w:jc w:val="center"/>
              <w:rPr>
                <w:rFonts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二氧化硫</w:t>
            </w:r>
          </w:p>
        </w:tc>
        <w:tc>
          <w:tcPr>
            <w:tcW w:w="1701" w:type="dxa"/>
            <w:vAlign w:val="center"/>
          </w:tcPr>
          <w:p w14:paraId="2C8DE575">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5AA896A3">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10A7E2F4">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13BA6829">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61" w:type="dxa"/>
            <w:vAlign w:val="center"/>
          </w:tcPr>
          <w:p w14:paraId="713AA53D">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71E205C6">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130" w:type="dxa"/>
            <w:vAlign w:val="center"/>
          </w:tcPr>
          <w:p w14:paraId="07047D6F">
            <w:pPr>
              <w:jc w:val="center"/>
              <w:rPr>
                <w:rFonts w:eastAsia="等线"/>
                <w:color w:val="000000" w:themeColor="text1"/>
                <w:sz w:val="21"/>
                <w:szCs w:val="21"/>
                <w:highlight w:val="none"/>
                <w14:textFill>
                  <w14:solidFill>
                    <w14:schemeClr w14:val="tx1"/>
                  </w14:solidFill>
                </w14:textFill>
              </w:rPr>
            </w:pPr>
            <w:r>
              <w:rPr>
                <w:rFonts w:eastAsia="等线"/>
                <w:color w:val="000000" w:themeColor="text1"/>
                <w:sz w:val="21"/>
                <w:szCs w:val="21"/>
                <w:highlight w:val="none"/>
                <w14:textFill>
                  <w14:solidFill>
                    <w14:schemeClr w14:val="tx1"/>
                  </w14:solidFill>
                </w14:textFill>
              </w:rPr>
              <w:t>+</w:t>
            </w:r>
            <w:r>
              <w:rPr>
                <w:rFonts w:hint="eastAsia" w:eastAsia="等线"/>
                <w:color w:val="000000" w:themeColor="text1"/>
                <w:sz w:val="21"/>
                <w:szCs w:val="21"/>
                <w:highlight w:val="none"/>
                <w14:textFill>
                  <w14:solidFill>
                    <w14:schemeClr w14:val="tx1"/>
                  </w14:solidFill>
                </w14:textFill>
              </w:rPr>
              <w:t>0</w:t>
            </w:r>
          </w:p>
        </w:tc>
      </w:tr>
      <w:tr w14:paraId="22B74F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8376E00">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3183E7F8">
            <w:pPr>
              <w:jc w:val="center"/>
              <w:rPr>
                <w:rFonts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氮氧化物</w:t>
            </w:r>
          </w:p>
        </w:tc>
        <w:tc>
          <w:tcPr>
            <w:tcW w:w="1701" w:type="dxa"/>
            <w:vAlign w:val="center"/>
          </w:tcPr>
          <w:p w14:paraId="2C66D323">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7FBEA879">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50522417">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7A3F6330">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61" w:type="dxa"/>
            <w:vAlign w:val="center"/>
          </w:tcPr>
          <w:p w14:paraId="6CCD2AA9">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15EA89E9">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130" w:type="dxa"/>
            <w:vAlign w:val="center"/>
          </w:tcPr>
          <w:p w14:paraId="61B97480">
            <w:pPr>
              <w:jc w:val="center"/>
              <w:rPr>
                <w:rFonts w:eastAsia="等线"/>
                <w:color w:val="000000" w:themeColor="text1"/>
                <w:sz w:val="21"/>
                <w:szCs w:val="21"/>
                <w:highlight w:val="none"/>
                <w14:textFill>
                  <w14:solidFill>
                    <w14:schemeClr w14:val="tx1"/>
                  </w14:solidFill>
                </w14:textFill>
              </w:rPr>
            </w:pPr>
            <w:r>
              <w:rPr>
                <w:rFonts w:eastAsia="等线"/>
                <w:color w:val="000000" w:themeColor="text1"/>
                <w:sz w:val="21"/>
                <w:szCs w:val="21"/>
                <w:highlight w:val="none"/>
                <w14:textFill>
                  <w14:solidFill>
                    <w14:schemeClr w14:val="tx1"/>
                  </w14:solidFill>
                </w14:textFill>
              </w:rPr>
              <w:t>+</w:t>
            </w:r>
            <w:r>
              <w:rPr>
                <w:rFonts w:hint="eastAsia" w:eastAsia="等线"/>
                <w:color w:val="000000" w:themeColor="text1"/>
                <w:sz w:val="21"/>
                <w:szCs w:val="21"/>
                <w:highlight w:val="none"/>
                <w14:textFill>
                  <w14:solidFill>
                    <w14:schemeClr w14:val="tx1"/>
                  </w14:solidFill>
                </w14:textFill>
              </w:rPr>
              <w:t>0</w:t>
            </w:r>
          </w:p>
        </w:tc>
      </w:tr>
      <w:tr w14:paraId="39C935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D8239D8">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37F21240">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非甲烷总烃</w:t>
            </w:r>
          </w:p>
        </w:tc>
        <w:tc>
          <w:tcPr>
            <w:tcW w:w="1701" w:type="dxa"/>
            <w:vAlign w:val="center"/>
          </w:tcPr>
          <w:p w14:paraId="5CB2E19D">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55861EFF">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15600A1C">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2070961C">
            <w:pPr>
              <w:jc w:val="center"/>
              <w:rPr>
                <w:rFonts w:hint="default" w:eastAsia="等线"/>
                <w:color w:val="000000" w:themeColor="text1"/>
                <w:sz w:val="21"/>
                <w:szCs w:val="21"/>
                <w:highlight w:val="none"/>
                <w:lang w:val="en-US" w:eastAsia="zh-CN"/>
                <w14:textFill>
                  <w14:solidFill>
                    <w14:schemeClr w14:val="tx1"/>
                  </w14:solidFill>
                </w14:textFill>
              </w:rPr>
            </w:pPr>
            <w:r>
              <w:rPr>
                <w:rFonts w:hint="eastAsia" w:eastAsia="等线"/>
                <w:color w:val="000000" w:themeColor="text1"/>
                <w:sz w:val="21"/>
                <w:szCs w:val="21"/>
                <w:highlight w:val="none"/>
                <w:lang w:val="en-US" w:eastAsia="zh-CN"/>
                <w14:textFill>
                  <w14:solidFill>
                    <w14:schemeClr w14:val="tx1"/>
                  </w14:solidFill>
                </w14:textFill>
              </w:rPr>
              <w:t>0.0624</w:t>
            </w:r>
          </w:p>
        </w:tc>
        <w:tc>
          <w:tcPr>
            <w:tcW w:w="1761" w:type="dxa"/>
            <w:vAlign w:val="center"/>
          </w:tcPr>
          <w:p w14:paraId="1A3B8405">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7844711B">
            <w:pPr>
              <w:jc w:val="center"/>
              <w:rPr>
                <w:rFonts w:hint="default" w:eastAsia="等线"/>
                <w:color w:val="000000" w:themeColor="text1"/>
                <w:sz w:val="21"/>
                <w:szCs w:val="21"/>
                <w:highlight w:val="none"/>
                <w:lang w:val="en-US"/>
                <w14:textFill>
                  <w14:solidFill>
                    <w14:schemeClr w14:val="tx1"/>
                  </w14:solidFill>
                </w14:textFill>
              </w:rPr>
            </w:pPr>
            <w:r>
              <w:rPr>
                <w:rFonts w:hint="eastAsia" w:eastAsia="等线"/>
                <w:color w:val="000000" w:themeColor="text1"/>
                <w:sz w:val="21"/>
                <w:szCs w:val="21"/>
                <w:highlight w:val="none"/>
                <w:lang w:val="en-US" w:eastAsia="zh-CN"/>
                <w14:textFill>
                  <w14:solidFill>
                    <w14:schemeClr w14:val="tx1"/>
                  </w14:solidFill>
                </w14:textFill>
              </w:rPr>
              <w:t>0.0624</w:t>
            </w:r>
          </w:p>
        </w:tc>
        <w:tc>
          <w:tcPr>
            <w:tcW w:w="1130" w:type="dxa"/>
            <w:vAlign w:val="center"/>
          </w:tcPr>
          <w:p w14:paraId="74B408F9">
            <w:pPr>
              <w:jc w:val="center"/>
              <w:rPr>
                <w:rFonts w:hint="default" w:eastAsia="等线"/>
                <w:color w:val="000000" w:themeColor="text1"/>
                <w:sz w:val="21"/>
                <w:szCs w:val="21"/>
                <w:highlight w:val="none"/>
                <w:lang w:val="en-US"/>
                <w14:textFill>
                  <w14:solidFill>
                    <w14:schemeClr w14:val="tx1"/>
                  </w14:solidFill>
                </w14:textFill>
              </w:rPr>
            </w:pPr>
            <w:r>
              <w:rPr>
                <w:rFonts w:eastAsia="等线"/>
                <w:color w:val="000000" w:themeColor="text1"/>
                <w:sz w:val="21"/>
                <w:szCs w:val="21"/>
                <w:highlight w:val="none"/>
                <w14:textFill>
                  <w14:solidFill>
                    <w14:schemeClr w14:val="tx1"/>
                  </w14:solidFill>
                </w14:textFill>
              </w:rPr>
              <w:t>+</w:t>
            </w:r>
            <w:r>
              <w:rPr>
                <w:rFonts w:hint="eastAsia" w:eastAsia="等线"/>
                <w:color w:val="000000" w:themeColor="text1"/>
                <w:sz w:val="21"/>
                <w:szCs w:val="21"/>
                <w:highlight w:val="none"/>
                <w:lang w:val="en-US" w:eastAsia="zh-CN"/>
                <w14:textFill>
                  <w14:solidFill>
                    <w14:schemeClr w14:val="tx1"/>
                  </w14:solidFill>
                </w14:textFill>
              </w:rPr>
              <w:t>0.0624</w:t>
            </w:r>
          </w:p>
        </w:tc>
      </w:tr>
      <w:tr w14:paraId="07731D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0C13EC82">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废水</w:t>
            </w:r>
          </w:p>
        </w:tc>
        <w:tc>
          <w:tcPr>
            <w:tcW w:w="1417" w:type="dxa"/>
            <w:vAlign w:val="center"/>
          </w:tcPr>
          <w:p w14:paraId="7364FE55">
            <w:pPr>
              <w:jc w:val="center"/>
              <w:rPr>
                <w:rFonts w:eastAsia="等线"/>
                <w:color w:val="000000" w:themeColor="text1"/>
                <w:sz w:val="21"/>
                <w:szCs w:val="21"/>
                <w:highlight w:val="none"/>
                <w14:textFill>
                  <w14:solidFill>
                    <w14:schemeClr w14:val="tx1"/>
                  </w14:solidFill>
                </w14:textFill>
              </w:rPr>
            </w:pPr>
            <w:r>
              <w:rPr>
                <w:rFonts w:eastAsia="等线"/>
                <w:color w:val="000000" w:themeColor="text1"/>
                <w:sz w:val="21"/>
                <w:szCs w:val="21"/>
                <w:highlight w:val="none"/>
                <w14:textFill>
                  <w14:solidFill>
                    <w14:schemeClr w14:val="tx1"/>
                  </w14:solidFill>
                </w14:textFill>
              </w:rPr>
              <w:t>COD</w:t>
            </w:r>
          </w:p>
        </w:tc>
        <w:tc>
          <w:tcPr>
            <w:tcW w:w="1701" w:type="dxa"/>
            <w:vAlign w:val="center"/>
          </w:tcPr>
          <w:p w14:paraId="047DEB2F">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6DB4178E">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30F8863E">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4942C27A">
            <w:pPr>
              <w:keepNext w:val="0"/>
              <w:keepLines w:val="0"/>
              <w:widowControl/>
              <w:suppressLineNumbers w:val="0"/>
              <w:jc w:val="center"/>
              <w:textAlignment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0.0518 </w:t>
            </w:r>
          </w:p>
        </w:tc>
        <w:tc>
          <w:tcPr>
            <w:tcW w:w="1761" w:type="dxa"/>
            <w:vAlign w:val="center"/>
          </w:tcPr>
          <w:p w14:paraId="212BA6E0">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22ADB013">
            <w:pPr>
              <w:keepNext w:val="0"/>
              <w:keepLines w:val="0"/>
              <w:widowControl/>
              <w:suppressLineNumbers w:val="0"/>
              <w:jc w:val="center"/>
              <w:textAlignment w:val="center"/>
              <w:rPr>
                <w:rFonts w:eastAsia="等线"/>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0.0518 </w:t>
            </w:r>
          </w:p>
        </w:tc>
        <w:tc>
          <w:tcPr>
            <w:tcW w:w="1130" w:type="dxa"/>
            <w:vAlign w:val="center"/>
          </w:tcPr>
          <w:p w14:paraId="7C48946D">
            <w:pPr>
              <w:keepNext w:val="0"/>
              <w:keepLines w:val="0"/>
              <w:widowControl/>
              <w:suppressLineNumbers w:val="0"/>
              <w:jc w:val="center"/>
              <w:textAlignment w:val="center"/>
              <w:rPr>
                <w:rFonts w:eastAsia="等线"/>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0.0518 </w:t>
            </w:r>
          </w:p>
        </w:tc>
      </w:tr>
      <w:tr w14:paraId="0D2394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63B9903">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1769E275">
            <w:pPr>
              <w:jc w:val="center"/>
              <w:rPr>
                <w:rFonts w:eastAsia="等线"/>
                <w:color w:val="000000" w:themeColor="text1"/>
                <w:sz w:val="21"/>
                <w:szCs w:val="21"/>
                <w:highlight w:val="none"/>
                <w14:textFill>
                  <w14:solidFill>
                    <w14:schemeClr w14:val="tx1"/>
                  </w14:solidFill>
                </w14:textFill>
              </w:rPr>
            </w:pPr>
            <w:r>
              <w:rPr>
                <w:rFonts w:eastAsia="等线"/>
                <w:color w:val="000000" w:themeColor="text1"/>
                <w:sz w:val="21"/>
                <w:szCs w:val="21"/>
                <w:highlight w:val="none"/>
                <w14:textFill>
                  <w14:solidFill>
                    <w14:schemeClr w14:val="tx1"/>
                  </w14:solidFill>
                </w14:textFill>
              </w:rPr>
              <w:t>BOD</w:t>
            </w:r>
            <w:r>
              <w:rPr>
                <w:rFonts w:eastAsia="等线"/>
                <w:color w:val="000000" w:themeColor="text1"/>
                <w:sz w:val="21"/>
                <w:szCs w:val="21"/>
                <w:highlight w:val="none"/>
                <w:vertAlign w:val="subscript"/>
                <w14:textFill>
                  <w14:solidFill>
                    <w14:schemeClr w14:val="tx1"/>
                  </w14:solidFill>
                </w14:textFill>
              </w:rPr>
              <w:t>5</w:t>
            </w:r>
          </w:p>
        </w:tc>
        <w:tc>
          <w:tcPr>
            <w:tcW w:w="1701" w:type="dxa"/>
            <w:vAlign w:val="center"/>
          </w:tcPr>
          <w:p w14:paraId="5421583A">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1E428BFA">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7A00C6AA">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0AD26797">
            <w:pPr>
              <w:keepNext w:val="0"/>
              <w:keepLines w:val="0"/>
              <w:widowControl/>
              <w:suppressLineNumbers w:val="0"/>
              <w:jc w:val="center"/>
              <w:textAlignment w:val="center"/>
              <w:rPr>
                <w:rFonts w:hint="default" w:eastAsia="等线"/>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0.0380 </w:t>
            </w:r>
          </w:p>
        </w:tc>
        <w:tc>
          <w:tcPr>
            <w:tcW w:w="1761" w:type="dxa"/>
            <w:vAlign w:val="center"/>
          </w:tcPr>
          <w:p w14:paraId="44DCBAD6">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62F8794F">
            <w:pPr>
              <w:keepNext w:val="0"/>
              <w:keepLines w:val="0"/>
              <w:widowControl/>
              <w:suppressLineNumbers w:val="0"/>
              <w:jc w:val="center"/>
              <w:textAlignment w:val="center"/>
              <w:rPr>
                <w:rFonts w:eastAsia="等线"/>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0.0380 </w:t>
            </w:r>
          </w:p>
        </w:tc>
        <w:tc>
          <w:tcPr>
            <w:tcW w:w="1130" w:type="dxa"/>
            <w:vAlign w:val="center"/>
          </w:tcPr>
          <w:p w14:paraId="7152B62B">
            <w:pPr>
              <w:keepNext w:val="0"/>
              <w:keepLines w:val="0"/>
              <w:widowControl/>
              <w:suppressLineNumbers w:val="0"/>
              <w:jc w:val="center"/>
              <w:textAlignment w:val="center"/>
              <w:rPr>
                <w:rFonts w:eastAsia="等线"/>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0.0380 </w:t>
            </w:r>
          </w:p>
        </w:tc>
      </w:tr>
      <w:tr w14:paraId="767562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8F53BF4">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6309D44F">
            <w:pPr>
              <w:jc w:val="center"/>
              <w:rPr>
                <w:rFonts w:eastAsia="等线"/>
                <w:color w:val="000000" w:themeColor="text1"/>
                <w:sz w:val="21"/>
                <w:szCs w:val="21"/>
                <w:highlight w:val="none"/>
                <w14:textFill>
                  <w14:solidFill>
                    <w14:schemeClr w14:val="tx1"/>
                  </w14:solidFill>
                </w14:textFill>
              </w:rPr>
            </w:pPr>
            <w:r>
              <w:rPr>
                <w:rFonts w:eastAsia="等线"/>
                <w:color w:val="000000" w:themeColor="text1"/>
                <w:sz w:val="21"/>
                <w:szCs w:val="21"/>
                <w:highlight w:val="none"/>
                <w14:textFill>
                  <w14:solidFill>
                    <w14:schemeClr w14:val="tx1"/>
                  </w14:solidFill>
                </w14:textFill>
              </w:rPr>
              <w:t>SS</w:t>
            </w:r>
          </w:p>
        </w:tc>
        <w:tc>
          <w:tcPr>
            <w:tcW w:w="1701" w:type="dxa"/>
            <w:vAlign w:val="center"/>
          </w:tcPr>
          <w:p w14:paraId="0B22BE48">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4EEA92FE">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1815F504">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1D654CA8">
            <w:pPr>
              <w:keepNext w:val="0"/>
              <w:keepLines w:val="0"/>
              <w:widowControl/>
              <w:suppressLineNumbers w:val="0"/>
              <w:jc w:val="center"/>
              <w:textAlignment w:val="center"/>
              <w:rPr>
                <w:rFonts w:hint="default" w:eastAsia="等线"/>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0.0302 </w:t>
            </w:r>
          </w:p>
        </w:tc>
        <w:tc>
          <w:tcPr>
            <w:tcW w:w="1761" w:type="dxa"/>
            <w:vAlign w:val="center"/>
          </w:tcPr>
          <w:p w14:paraId="523A9755">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2CCC6A9A">
            <w:pPr>
              <w:keepNext w:val="0"/>
              <w:keepLines w:val="0"/>
              <w:widowControl/>
              <w:suppressLineNumbers w:val="0"/>
              <w:jc w:val="center"/>
              <w:textAlignment w:val="center"/>
              <w:rPr>
                <w:rFonts w:eastAsia="等线"/>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0.0302 </w:t>
            </w:r>
          </w:p>
        </w:tc>
        <w:tc>
          <w:tcPr>
            <w:tcW w:w="1130" w:type="dxa"/>
            <w:vAlign w:val="center"/>
          </w:tcPr>
          <w:p w14:paraId="39225DCD">
            <w:pPr>
              <w:keepNext w:val="0"/>
              <w:keepLines w:val="0"/>
              <w:widowControl/>
              <w:suppressLineNumbers w:val="0"/>
              <w:jc w:val="center"/>
              <w:textAlignment w:val="center"/>
              <w:rPr>
                <w:rFonts w:eastAsia="等线"/>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0.0302 </w:t>
            </w:r>
          </w:p>
        </w:tc>
      </w:tr>
      <w:tr w14:paraId="012B00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05970EF">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524E41F0">
            <w:pPr>
              <w:jc w:val="center"/>
              <w:rPr>
                <w:rFonts w:eastAsia="等线"/>
                <w:color w:val="000000" w:themeColor="text1"/>
                <w:sz w:val="21"/>
                <w:szCs w:val="21"/>
                <w:highlight w:val="none"/>
                <w14:textFill>
                  <w14:solidFill>
                    <w14:schemeClr w14:val="tx1"/>
                  </w14:solidFill>
                </w14:textFill>
              </w:rPr>
            </w:pPr>
            <w:r>
              <w:rPr>
                <w:rFonts w:eastAsia="等线"/>
                <w:color w:val="000000" w:themeColor="text1"/>
                <w:sz w:val="21"/>
                <w:szCs w:val="21"/>
                <w:highlight w:val="none"/>
                <w14:textFill>
                  <w14:solidFill>
                    <w14:schemeClr w14:val="tx1"/>
                  </w14:solidFill>
                </w14:textFill>
              </w:rPr>
              <w:t>NH</w:t>
            </w:r>
            <w:r>
              <w:rPr>
                <w:rFonts w:eastAsia="等线"/>
                <w:color w:val="000000" w:themeColor="text1"/>
                <w:sz w:val="21"/>
                <w:szCs w:val="21"/>
                <w:highlight w:val="none"/>
                <w:vertAlign w:val="subscript"/>
                <w14:textFill>
                  <w14:solidFill>
                    <w14:schemeClr w14:val="tx1"/>
                  </w14:solidFill>
                </w14:textFill>
              </w:rPr>
              <w:t>3</w:t>
            </w:r>
            <w:r>
              <w:rPr>
                <w:rFonts w:eastAsia="等线"/>
                <w:color w:val="000000" w:themeColor="text1"/>
                <w:sz w:val="21"/>
                <w:szCs w:val="21"/>
                <w:highlight w:val="none"/>
                <w14:textFill>
                  <w14:solidFill>
                    <w14:schemeClr w14:val="tx1"/>
                  </w14:solidFill>
                </w14:textFill>
              </w:rPr>
              <w:t>-N</w:t>
            </w:r>
          </w:p>
        </w:tc>
        <w:tc>
          <w:tcPr>
            <w:tcW w:w="1701" w:type="dxa"/>
            <w:vAlign w:val="center"/>
          </w:tcPr>
          <w:p w14:paraId="1F44681C">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1E5ABE6F">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1A486E03">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67B119B7">
            <w:pPr>
              <w:keepNext w:val="0"/>
              <w:keepLines w:val="0"/>
              <w:widowControl/>
              <w:suppressLineNumbers w:val="0"/>
              <w:jc w:val="center"/>
              <w:textAlignment w:val="center"/>
              <w:rPr>
                <w:rFonts w:hint="default" w:eastAsia="等线"/>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0.0068 </w:t>
            </w:r>
          </w:p>
        </w:tc>
        <w:tc>
          <w:tcPr>
            <w:tcW w:w="1761" w:type="dxa"/>
            <w:vAlign w:val="center"/>
          </w:tcPr>
          <w:p w14:paraId="10347D44">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48B64FE0">
            <w:pPr>
              <w:keepNext w:val="0"/>
              <w:keepLines w:val="0"/>
              <w:widowControl/>
              <w:suppressLineNumbers w:val="0"/>
              <w:jc w:val="center"/>
              <w:textAlignment w:val="center"/>
              <w:rPr>
                <w:rFonts w:eastAsia="等线"/>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0.0068 </w:t>
            </w:r>
          </w:p>
        </w:tc>
        <w:tc>
          <w:tcPr>
            <w:tcW w:w="1130" w:type="dxa"/>
            <w:vAlign w:val="center"/>
          </w:tcPr>
          <w:p w14:paraId="15232ABB">
            <w:pPr>
              <w:keepNext w:val="0"/>
              <w:keepLines w:val="0"/>
              <w:widowControl/>
              <w:suppressLineNumbers w:val="0"/>
              <w:jc w:val="center"/>
              <w:textAlignment w:val="center"/>
              <w:rPr>
                <w:rFonts w:eastAsia="等线"/>
                <w:color w:val="000000" w:themeColor="text1"/>
                <w:sz w:val="21"/>
                <w:szCs w:val="21"/>
                <w:highlight w:val="none"/>
                <w14:textFill>
                  <w14:solidFill>
                    <w14:schemeClr w14:val="tx1"/>
                  </w14:solidFill>
                </w14:textFill>
              </w:rPr>
            </w:pPr>
            <w:r>
              <w:rPr>
                <w:rFonts w:hint="eastAsia" w:cs="Times New Roman"/>
                <w:i w:val="0"/>
                <w:iCs w:val="0"/>
                <w:color w:val="000000" w:themeColor="text1"/>
                <w:kern w:val="0"/>
                <w:sz w:val="21"/>
                <w:szCs w:val="21"/>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 xml:space="preserve">0.0068 </w:t>
            </w:r>
          </w:p>
        </w:tc>
      </w:tr>
      <w:tr w14:paraId="2CDB07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69ADF4CC">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一般工业</w:t>
            </w:r>
          </w:p>
          <w:p w14:paraId="51951C89">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固体废物</w:t>
            </w:r>
          </w:p>
        </w:tc>
        <w:tc>
          <w:tcPr>
            <w:tcW w:w="1417" w:type="dxa"/>
            <w:vAlign w:val="center"/>
          </w:tcPr>
          <w:p w14:paraId="6074A4AF">
            <w:pPr>
              <w:jc w:val="center"/>
              <w:rPr>
                <w:rFonts w:ascii="宋体" w:hAnsi="宋体" w:cs="宋体"/>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废塑料边角料、残次品</w:t>
            </w:r>
          </w:p>
        </w:tc>
        <w:tc>
          <w:tcPr>
            <w:tcW w:w="1701" w:type="dxa"/>
            <w:vAlign w:val="center"/>
          </w:tcPr>
          <w:p w14:paraId="75DEC382">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7DFF4EAE">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467A5E2D">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5F7BACA7">
            <w:pPr>
              <w:jc w:val="center"/>
              <w:rPr>
                <w:rFonts w:hint="default" w:eastAsia="等线"/>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1.7443</w:t>
            </w:r>
          </w:p>
        </w:tc>
        <w:tc>
          <w:tcPr>
            <w:tcW w:w="1761" w:type="dxa"/>
            <w:vAlign w:val="center"/>
          </w:tcPr>
          <w:p w14:paraId="269B6760">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32D98626">
            <w:pPr>
              <w:jc w:val="center"/>
              <w:rPr>
                <w:rFonts w:hint="default" w:eastAsia="等线"/>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1.7443</w:t>
            </w:r>
          </w:p>
        </w:tc>
        <w:tc>
          <w:tcPr>
            <w:tcW w:w="1130" w:type="dxa"/>
            <w:vAlign w:val="center"/>
          </w:tcPr>
          <w:p w14:paraId="5DFC2317">
            <w:pPr>
              <w:jc w:val="center"/>
              <w:rPr>
                <w:rFonts w:hint="default" w:eastAsia="等线"/>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+1.7443</w:t>
            </w:r>
          </w:p>
        </w:tc>
      </w:tr>
      <w:tr w14:paraId="5AB41C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9ED39FD">
            <w:pPr>
              <w:pStyle w:val="57"/>
              <w:spacing w:beforeLines="0" w:afterLines="0" w:line="240" w:lineRule="auto"/>
              <w:rPr>
                <w:rFonts w:hint="eastAsia"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0353F3E0">
            <w:pPr>
              <w:jc w:val="center"/>
              <w:rPr>
                <w:rFonts w:hint="eastAsia" w:ascii="宋体" w:hAnsi="宋体"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废包装材料</w:t>
            </w:r>
          </w:p>
        </w:tc>
        <w:tc>
          <w:tcPr>
            <w:tcW w:w="1701" w:type="dxa"/>
            <w:vAlign w:val="center"/>
          </w:tcPr>
          <w:p w14:paraId="0406DD52">
            <w:pPr>
              <w:jc w:val="center"/>
              <w:rPr>
                <w:rFonts w:hint="eastAsia"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6215BF6E">
            <w:pPr>
              <w:jc w:val="center"/>
              <w:rPr>
                <w:rFonts w:hint="eastAsia"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3E6101FB">
            <w:pPr>
              <w:jc w:val="center"/>
              <w:rPr>
                <w:rFonts w:hint="eastAsia"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1C33EED9">
            <w:pPr>
              <w:jc w:val="center"/>
              <w:rPr>
                <w:rFonts w:hint="eastAsia"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1761" w:type="dxa"/>
            <w:vAlign w:val="center"/>
          </w:tcPr>
          <w:p w14:paraId="61D853F2">
            <w:pPr>
              <w:jc w:val="center"/>
              <w:rPr>
                <w:rFonts w:hint="eastAsia"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1E1EB3C0">
            <w:pPr>
              <w:jc w:val="center"/>
              <w:rPr>
                <w:rFonts w:hint="eastAsia"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1130" w:type="dxa"/>
            <w:vAlign w:val="center"/>
          </w:tcPr>
          <w:p w14:paraId="63ACF76E">
            <w:pPr>
              <w:jc w:val="center"/>
              <w:rPr>
                <w:rFonts w:hint="eastAsia"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r>
      <w:tr w14:paraId="29569D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13AD0259">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r>
              <w:rPr>
                <w:rFonts w:hint="eastAsia" w:hAnsi="宋体" w:cs="宋体"/>
                <w:snapToGrid w:val="0"/>
                <w:color w:val="000000" w:themeColor="text1"/>
                <w:kern w:val="21"/>
                <w:szCs w:val="21"/>
                <w:highlight w:val="none"/>
                <w14:textFill>
                  <w14:solidFill>
                    <w14:schemeClr w14:val="tx1"/>
                  </w14:solidFill>
                </w14:textFill>
              </w:rPr>
              <w:t>危险废物</w:t>
            </w:r>
          </w:p>
        </w:tc>
        <w:tc>
          <w:tcPr>
            <w:tcW w:w="1417" w:type="dxa"/>
            <w:vAlign w:val="center"/>
          </w:tcPr>
          <w:p w14:paraId="6F3FBAD0">
            <w:pPr>
              <w:jc w:val="center"/>
              <w:rPr>
                <w:rFonts w:ascii="宋体" w:hAnsi="宋体"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废润滑油</w:t>
            </w:r>
          </w:p>
        </w:tc>
        <w:tc>
          <w:tcPr>
            <w:tcW w:w="1701" w:type="dxa"/>
            <w:vAlign w:val="center"/>
          </w:tcPr>
          <w:p w14:paraId="7AEEBD63">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33E47AAC">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5F42EE20">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25B63312">
            <w:pPr>
              <w:jc w:val="center"/>
              <w:rPr>
                <w:rFonts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1761" w:type="dxa"/>
            <w:vAlign w:val="center"/>
          </w:tcPr>
          <w:p w14:paraId="59D1ED2A">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658443DD">
            <w:pPr>
              <w:jc w:val="center"/>
              <w:rPr>
                <w:rFonts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1130" w:type="dxa"/>
            <w:vAlign w:val="center"/>
          </w:tcPr>
          <w:p w14:paraId="1E2C6CCC">
            <w:pPr>
              <w:jc w:val="center"/>
              <w:rPr>
                <w:rFonts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r>
      <w:tr w14:paraId="4BCC6C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AD519B3">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5C47D785">
            <w:pPr>
              <w:jc w:val="center"/>
              <w:rPr>
                <w:rFonts w:ascii="宋体" w:hAnsi="宋体"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废油桶</w:t>
            </w:r>
          </w:p>
        </w:tc>
        <w:tc>
          <w:tcPr>
            <w:tcW w:w="1701" w:type="dxa"/>
            <w:vAlign w:val="center"/>
          </w:tcPr>
          <w:p w14:paraId="4B23EDF2">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3C6C3495">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1E29FF8A">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4C3D0894">
            <w:pPr>
              <w:jc w:val="center"/>
              <w:rPr>
                <w:rFonts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1761" w:type="dxa"/>
            <w:vAlign w:val="center"/>
          </w:tcPr>
          <w:p w14:paraId="5C7EFF7D">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0F1C4391">
            <w:pPr>
              <w:jc w:val="center"/>
              <w:rPr>
                <w:rFonts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c>
          <w:tcPr>
            <w:tcW w:w="1130" w:type="dxa"/>
            <w:vAlign w:val="center"/>
          </w:tcPr>
          <w:p w14:paraId="4A58CD65">
            <w:pPr>
              <w:jc w:val="center"/>
              <w:rPr>
                <w:rFonts w:eastAsia="等线"/>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+0.1</w:t>
            </w:r>
          </w:p>
        </w:tc>
      </w:tr>
      <w:tr w14:paraId="5356FB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C6FA377">
            <w:pPr>
              <w:pStyle w:val="57"/>
              <w:spacing w:beforeLines="0" w:afterLines="0" w:line="240" w:lineRule="auto"/>
              <w:rPr>
                <w:rFonts w:hAnsi="宋体" w:cs="宋体"/>
                <w:snapToGrid w:val="0"/>
                <w:color w:val="000000" w:themeColor="text1"/>
                <w:kern w:val="21"/>
                <w:szCs w:val="21"/>
                <w:highlight w:val="none"/>
                <w14:textFill>
                  <w14:solidFill>
                    <w14:schemeClr w14:val="tx1"/>
                  </w14:solidFill>
                </w14:textFill>
              </w:rPr>
            </w:pPr>
          </w:p>
        </w:tc>
        <w:tc>
          <w:tcPr>
            <w:tcW w:w="1417" w:type="dxa"/>
            <w:vAlign w:val="center"/>
          </w:tcPr>
          <w:p w14:paraId="61DF03AA">
            <w:pPr>
              <w:jc w:val="center"/>
              <w:rPr>
                <w:rFonts w:ascii="宋体" w:hAnsi="宋体"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lang w:val="en-US" w:eastAsia="zh-CN"/>
                <w14:textFill>
                  <w14:solidFill>
                    <w14:schemeClr w14:val="tx1"/>
                  </w14:solidFill>
                </w14:textFill>
              </w:rPr>
              <w:t>废活性炭</w:t>
            </w:r>
          </w:p>
        </w:tc>
        <w:tc>
          <w:tcPr>
            <w:tcW w:w="1701" w:type="dxa"/>
            <w:vAlign w:val="center"/>
          </w:tcPr>
          <w:p w14:paraId="439C7F47">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276" w:type="dxa"/>
            <w:vAlign w:val="center"/>
          </w:tcPr>
          <w:p w14:paraId="65CB9D8F">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701" w:type="dxa"/>
            <w:vAlign w:val="center"/>
          </w:tcPr>
          <w:p w14:paraId="4F685DD3">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559" w:type="dxa"/>
            <w:vAlign w:val="center"/>
          </w:tcPr>
          <w:p w14:paraId="71E4508D">
            <w:pPr>
              <w:jc w:val="center"/>
              <w:rPr>
                <w:rFonts w:hint="default" w:eastAsia="等线"/>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2.126</w:t>
            </w:r>
          </w:p>
        </w:tc>
        <w:tc>
          <w:tcPr>
            <w:tcW w:w="1761" w:type="dxa"/>
            <w:vAlign w:val="center"/>
          </w:tcPr>
          <w:p w14:paraId="5EF31673">
            <w:pPr>
              <w:jc w:val="center"/>
              <w:rPr>
                <w:rFonts w:eastAsia="等线"/>
                <w:color w:val="000000" w:themeColor="text1"/>
                <w:sz w:val="21"/>
                <w:szCs w:val="21"/>
                <w:highlight w:val="none"/>
                <w14:textFill>
                  <w14:solidFill>
                    <w14:schemeClr w14:val="tx1"/>
                  </w14:solidFill>
                </w14:textFill>
              </w:rPr>
            </w:pPr>
            <w:r>
              <w:rPr>
                <w:rFonts w:hint="eastAsia" w:eastAsia="等线"/>
                <w:color w:val="000000" w:themeColor="text1"/>
                <w:sz w:val="21"/>
                <w:szCs w:val="21"/>
                <w:highlight w:val="none"/>
                <w14:textFill>
                  <w14:solidFill>
                    <w14:schemeClr w14:val="tx1"/>
                  </w14:solidFill>
                </w14:textFill>
              </w:rPr>
              <w:t>/</w:t>
            </w:r>
          </w:p>
        </w:tc>
        <w:tc>
          <w:tcPr>
            <w:tcW w:w="1655" w:type="dxa"/>
            <w:vAlign w:val="center"/>
          </w:tcPr>
          <w:p w14:paraId="2EB122E7">
            <w:pPr>
              <w:jc w:val="center"/>
              <w:rPr>
                <w:rFonts w:hint="default" w:eastAsia="等线"/>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2.126</w:t>
            </w:r>
          </w:p>
        </w:tc>
        <w:tc>
          <w:tcPr>
            <w:tcW w:w="1130" w:type="dxa"/>
            <w:vAlign w:val="center"/>
          </w:tcPr>
          <w:p w14:paraId="5C94CBB0">
            <w:pPr>
              <w:jc w:val="center"/>
              <w:rPr>
                <w:rFonts w:hint="default" w:eastAsia="等线"/>
                <w:color w:val="000000" w:themeColor="text1"/>
                <w:sz w:val="21"/>
                <w:szCs w:val="21"/>
                <w:highlight w:val="none"/>
                <w:lang w:val="en-US"/>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+2.126</w:t>
            </w:r>
          </w:p>
        </w:tc>
      </w:tr>
    </w:tbl>
    <w:p w14:paraId="494476CB">
      <w:pPr>
        <w:pStyle w:val="57"/>
        <w:spacing w:before="192" w:beforeLines="80" w:after="24"/>
        <w:jc w:val="left"/>
        <w:rPr>
          <w:rFonts w:hAnsi="宋体"/>
          <w:snapToGrid w:val="0"/>
          <w:color w:val="000000" w:themeColor="text1"/>
          <w:spacing w:val="-6"/>
          <w:kern w:val="21"/>
          <w:szCs w:val="21"/>
          <w:highlight w:val="none"/>
          <w14:textFill>
            <w14:solidFill>
              <w14:schemeClr w14:val="tx1"/>
            </w14:solidFill>
          </w14:textFill>
        </w:rPr>
      </w:pPr>
      <w:r>
        <w:rPr>
          <w:rFonts w:hAnsi="宋体"/>
          <w:snapToGrid w:val="0"/>
          <w:color w:val="000000" w:themeColor="text1"/>
          <w:kern w:val="21"/>
          <w:szCs w:val="21"/>
          <w:highlight w:val="none"/>
          <w14:textFill>
            <w14:solidFill>
              <w14:schemeClr w14:val="tx1"/>
            </w14:solidFill>
          </w14:textFill>
        </w:rPr>
        <w:t>注：</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3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③</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4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④</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5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⑤</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7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⑦</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p>
    <w:p w14:paraId="628E357E">
      <w:pPr>
        <w:rPr>
          <w:color w:val="000000" w:themeColor="text1"/>
          <w:highlight w:val="none"/>
          <w14:textFill>
            <w14:solidFill>
              <w14:schemeClr w14:val="tx1"/>
            </w14:solidFill>
          </w14:textFill>
        </w:rPr>
      </w:pPr>
    </w:p>
    <w:p w14:paraId="7A90D14C">
      <w:pPr>
        <w:rPr>
          <w:color w:val="000000" w:themeColor="text1"/>
          <w:highlight w:val="none"/>
          <w14:textFill>
            <w14:solidFill>
              <w14:schemeClr w14:val="tx1"/>
            </w14:solidFill>
          </w14:textFill>
        </w:rPr>
        <w:sectPr>
          <w:footerReference r:id="rId10"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8C2AC57">
      <w:pPr>
        <w:pStyle w:val="26"/>
        <w:adjustRightInd w:val="0"/>
        <w:snapToGrid w:val="0"/>
        <w:spacing w:before="0" w:beforeAutospacing="0" w:after="0" w:afterAutospacing="0"/>
        <w:outlineLvl w:val="0"/>
        <w:rPr>
          <w:rFonts w:ascii="黑体" w:hAnsi="黑体" w:eastAsia="黑体"/>
          <w:snapToGrid w:val="0"/>
          <w:color w:val="000000" w:themeColor="text1"/>
          <w:sz w:val="32"/>
          <w:szCs w:val="32"/>
          <w:highlight w:val="none"/>
          <w14:textFill>
            <w14:solidFill>
              <w14:schemeClr w14:val="tx1"/>
            </w14:solidFill>
          </w14:textFill>
        </w:rPr>
      </w:pPr>
      <w:bookmarkStart w:id="26" w:name="_Toc6896"/>
      <w:r>
        <w:rPr>
          <w:rFonts w:hint="eastAsia" w:ascii="黑体" w:hAnsi="黑体" w:eastAsia="黑体"/>
          <w:snapToGrid w:val="0"/>
          <w:color w:val="000000" w:themeColor="text1"/>
          <w:sz w:val="32"/>
          <w:szCs w:val="32"/>
          <w:highlight w:val="none"/>
          <w14:textFill>
            <w14:solidFill>
              <w14:schemeClr w14:val="tx1"/>
            </w14:solidFill>
          </w14:textFill>
        </w:rPr>
        <w:t>附图</w:t>
      </w:r>
      <w:bookmarkEnd w:id="26"/>
    </w:p>
    <w:p w14:paraId="6F5A5EFE">
      <w:pPr>
        <w:pStyle w:val="12"/>
        <w:jc w:val="center"/>
        <w:rPr>
          <w:rFonts w:hint="eastAsia" w:eastAsia="宋体"/>
          <w:snapToGrid w:val="0"/>
          <w:color w:val="000000" w:themeColor="text1"/>
          <w:highlight w:val="none"/>
          <w:lang w:eastAsia="zh-CN"/>
          <w14:textFill>
            <w14:solidFill>
              <w14:schemeClr w14:val="tx1"/>
            </w14:solidFill>
          </w14:textFill>
        </w:rPr>
      </w:pPr>
      <w:r>
        <w:rPr>
          <w:rFonts w:hint="eastAsia" w:eastAsia="宋体"/>
          <w:snapToGrid w:val="0"/>
          <w:color w:val="000000" w:themeColor="text1"/>
          <w:highlight w:val="none"/>
          <w:lang w:eastAsia="zh-CN"/>
          <w14:textFill>
            <w14:solidFill>
              <w14:schemeClr w14:val="tx1"/>
            </w14:solidFill>
          </w14:textFill>
        </w:rPr>
        <w:drawing>
          <wp:inline distT="0" distB="0" distL="114300" distR="114300">
            <wp:extent cx="5351145" cy="7863840"/>
            <wp:effectExtent l="0" t="0" r="1905" b="3810"/>
            <wp:docPr id="60" name="图片 60" descr="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地理位置图"/>
                    <pic:cNvPicPr>
                      <a:picLocks noChangeAspect="1"/>
                    </pic:cNvPicPr>
                  </pic:nvPicPr>
                  <pic:blipFill>
                    <a:blip r:embed="rId43"/>
                    <a:stretch>
                      <a:fillRect/>
                    </a:stretch>
                  </pic:blipFill>
                  <pic:spPr>
                    <a:xfrm>
                      <a:off x="0" y="0"/>
                      <a:ext cx="5351145" cy="7863840"/>
                    </a:xfrm>
                    <a:prstGeom prst="rect">
                      <a:avLst/>
                    </a:prstGeom>
                  </pic:spPr>
                </pic:pic>
              </a:graphicData>
            </a:graphic>
          </wp:inline>
        </w:drawing>
      </w:r>
    </w:p>
    <w:p w14:paraId="78FB2ADC">
      <w:pPr>
        <w:jc w:val="center"/>
        <w:rPr>
          <w:b/>
          <w:bCs w:val="0"/>
          <w:color w:val="000000" w:themeColor="text1"/>
          <w:sz w:val="24"/>
          <w:highlight w:val="none"/>
          <w14:textFill>
            <w14:solidFill>
              <w14:schemeClr w14:val="tx1"/>
            </w14:solidFill>
          </w14:textFill>
        </w:rPr>
      </w:pPr>
      <w:r>
        <w:rPr>
          <w:b/>
          <w:bCs w:val="0"/>
          <w:color w:val="000000" w:themeColor="text1"/>
          <w:sz w:val="24"/>
          <w:highlight w:val="none"/>
          <w14:textFill>
            <w14:solidFill>
              <w14:schemeClr w14:val="tx1"/>
            </w14:solidFill>
          </w14:textFill>
        </w:rPr>
        <w:t xml:space="preserve">附图1  </w:t>
      </w:r>
      <w:r>
        <w:rPr>
          <w:rFonts w:hint="eastAsia"/>
          <w:b/>
          <w:bCs w:val="0"/>
          <w:color w:val="000000" w:themeColor="text1"/>
          <w:sz w:val="24"/>
          <w:highlight w:val="none"/>
          <w14:textFill>
            <w14:solidFill>
              <w14:schemeClr w14:val="tx1"/>
            </w14:solidFill>
          </w14:textFill>
        </w:rPr>
        <w:t>项目地理位置布</w:t>
      </w:r>
      <w:r>
        <w:rPr>
          <w:b/>
          <w:bCs w:val="0"/>
          <w:color w:val="000000" w:themeColor="text1"/>
          <w:sz w:val="24"/>
          <w:highlight w:val="none"/>
          <w14:textFill>
            <w14:solidFill>
              <w14:schemeClr w14:val="tx1"/>
            </w14:solidFill>
          </w14:textFill>
        </w:rPr>
        <w:t>图</w:t>
      </w:r>
    </w:p>
    <w:p w14:paraId="715CB5EE">
      <w:pPr>
        <w:jc w:val="center"/>
        <w:rPr>
          <w:b/>
          <w:bCs w:val="0"/>
          <w:color w:val="000000" w:themeColor="text1"/>
          <w:sz w:val="24"/>
          <w:highlight w:val="none"/>
          <w14:textFill>
            <w14:solidFill>
              <w14:schemeClr w14:val="tx1"/>
            </w14:solidFill>
          </w14:textFill>
        </w:rPr>
        <w:sectPr>
          <w:footerReference r:id="rId11"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1618186">
      <w:pPr>
        <w:jc w:val="center"/>
        <w:rPr>
          <w:rFonts w:hint="eastAsia" w:eastAsia="宋体"/>
          <w:b/>
          <w:bCs w:val="0"/>
          <w:color w:val="000000" w:themeColor="text1"/>
          <w:sz w:val="24"/>
          <w:highlight w:val="none"/>
          <w:lang w:eastAsia="zh-CN"/>
          <w14:textFill>
            <w14:solidFill>
              <w14:schemeClr w14:val="tx1"/>
            </w14:solidFill>
          </w14:textFill>
        </w:rPr>
      </w:pPr>
      <w:r>
        <w:rPr>
          <w:rFonts w:hint="eastAsia" w:eastAsia="宋体"/>
          <w:b/>
          <w:bCs w:val="0"/>
          <w:color w:val="000000" w:themeColor="text1"/>
          <w:sz w:val="24"/>
          <w:highlight w:val="none"/>
          <w:lang w:eastAsia="zh-CN"/>
          <w14:textFill>
            <w14:solidFill>
              <w14:schemeClr w14:val="tx1"/>
            </w14:solidFill>
          </w14:textFill>
        </w:rPr>
        <w:drawing>
          <wp:inline distT="0" distB="0" distL="114300" distR="114300">
            <wp:extent cx="7110730" cy="5367655"/>
            <wp:effectExtent l="0" t="0" r="13970" b="4445"/>
            <wp:docPr id="22" name="图片 22" descr="环保目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环保目标图"/>
                    <pic:cNvPicPr>
                      <a:picLocks noChangeAspect="1"/>
                    </pic:cNvPicPr>
                  </pic:nvPicPr>
                  <pic:blipFill>
                    <a:blip r:embed="rId44"/>
                    <a:stretch>
                      <a:fillRect/>
                    </a:stretch>
                  </pic:blipFill>
                  <pic:spPr>
                    <a:xfrm>
                      <a:off x="0" y="0"/>
                      <a:ext cx="7110730" cy="5367655"/>
                    </a:xfrm>
                    <a:prstGeom prst="rect">
                      <a:avLst/>
                    </a:prstGeom>
                  </pic:spPr>
                </pic:pic>
              </a:graphicData>
            </a:graphic>
          </wp:inline>
        </w:drawing>
      </w:r>
    </w:p>
    <w:p w14:paraId="62CFB6C4">
      <w:pPr>
        <w:jc w:val="center"/>
        <w:rPr>
          <w:color w:val="000000" w:themeColor="text1"/>
          <w:highlight w:val="none"/>
          <w14:textFill>
            <w14:solidFill>
              <w14:schemeClr w14:val="tx1"/>
            </w14:solidFill>
          </w14:textFill>
        </w:rPr>
      </w:pPr>
      <w:r>
        <w:rPr>
          <w:b/>
          <w:bCs w:val="0"/>
          <w:color w:val="000000" w:themeColor="text1"/>
          <w:sz w:val="24"/>
          <w:highlight w:val="none"/>
          <w14:textFill>
            <w14:solidFill>
              <w14:schemeClr w14:val="tx1"/>
            </w14:solidFill>
          </w14:textFill>
        </w:rPr>
        <w:t>附图</w:t>
      </w:r>
      <w:r>
        <w:rPr>
          <w:rFonts w:hint="eastAsia"/>
          <w:b/>
          <w:bCs w:val="0"/>
          <w:color w:val="000000" w:themeColor="text1"/>
          <w:sz w:val="24"/>
          <w:highlight w:val="none"/>
          <w:lang w:val="en-US" w:eastAsia="zh-CN"/>
          <w14:textFill>
            <w14:solidFill>
              <w14:schemeClr w14:val="tx1"/>
            </w14:solidFill>
          </w14:textFill>
        </w:rPr>
        <w:t>5</w:t>
      </w:r>
      <w:r>
        <w:rPr>
          <w:b/>
          <w:bCs w:val="0"/>
          <w:color w:val="000000" w:themeColor="text1"/>
          <w:sz w:val="24"/>
          <w:highlight w:val="none"/>
          <w14:textFill>
            <w14:solidFill>
              <w14:schemeClr w14:val="tx1"/>
            </w14:solidFill>
          </w14:textFill>
        </w:rPr>
        <w:t xml:space="preserve">  </w:t>
      </w:r>
      <w:r>
        <w:rPr>
          <w:rFonts w:hint="eastAsia"/>
          <w:b/>
          <w:bCs w:val="0"/>
          <w:color w:val="000000" w:themeColor="text1"/>
          <w:sz w:val="24"/>
          <w:highlight w:val="none"/>
          <w:lang w:val="en-US" w:eastAsia="zh-CN"/>
          <w14:textFill>
            <w14:solidFill>
              <w14:schemeClr w14:val="tx1"/>
            </w14:solidFill>
          </w14:textFill>
        </w:rPr>
        <w:t>本</w:t>
      </w:r>
      <w:r>
        <w:rPr>
          <w:rFonts w:hint="eastAsia"/>
          <w:b/>
          <w:bCs w:val="0"/>
          <w:color w:val="000000" w:themeColor="text1"/>
          <w:sz w:val="24"/>
          <w:highlight w:val="none"/>
          <w14:textFill>
            <w14:solidFill>
              <w14:schemeClr w14:val="tx1"/>
            </w14:solidFill>
          </w14:textFill>
        </w:rPr>
        <w:t>项目</w:t>
      </w:r>
      <w:r>
        <w:rPr>
          <w:rFonts w:hint="eastAsia"/>
          <w:b/>
          <w:bCs w:val="0"/>
          <w:color w:val="000000" w:themeColor="text1"/>
          <w:sz w:val="24"/>
          <w:highlight w:val="none"/>
          <w:lang w:val="en-US" w:eastAsia="zh-CN"/>
          <w14:textFill>
            <w14:solidFill>
              <w14:schemeClr w14:val="tx1"/>
            </w14:solidFill>
          </w14:textFill>
        </w:rPr>
        <w:t>周边环保目标图</w:t>
      </w:r>
    </w:p>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A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auto"/>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3000502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0EB0C4">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05F88A">
    <w:pPr>
      <w:pStyle w:val="19"/>
      <w:framePr w:wrap="around" w:vAnchor="text" w:hAnchor="margin" w:xAlign="center" w:y="1"/>
      <w:rPr>
        <w:rStyle w:val="33"/>
      </w:rPr>
    </w:pPr>
    <w:r>
      <w:fldChar w:fldCharType="begin"/>
    </w:r>
    <w:r>
      <w:rPr>
        <w:rStyle w:val="33"/>
      </w:rPr>
      <w:instrText xml:space="preserve">PAGE  </w:instrText>
    </w:r>
    <w:r>
      <w:fldChar w:fldCharType="end"/>
    </w:r>
  </w:p>
  <w:p w14:paraId="111C98DB">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2A8F6">
    <w:pPr>
      <w:pStyle w:val="19"/>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48780B">
    <w:pPr>
      <w:pStyle w:val="19"/>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7753EF">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14:paraId="2C7753EF">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E3D28">
    <w:pPr>
      <w:pStyle w:val="12"/>
      <w:spacing w:line="14" w:lineRule="auto"/>
      <w:ind w:firstLine="480"/>
      <w:rPr>
        <w:sz w:val="12"/>
      </w:rPr>
    </w:pPr>
    <w:r>
      <w:rPr>
        <w:sz w:val="12"/>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1BF3D1">
                          <w:pPr>
                            <w:pStyle w:val="19"/>
                          </w:pPr>
                          <w:r>
                            <w:fldChar w:fldCharType="begin"/>
                          </w:r>
                          <w:r>
                            <w:instrText xml:space="preserve"> PAGE  \* MERGEFORMAT </w:instrText>
                          </w:r>
                          <w:r>
                            <w:fldChar w:fldCharType="separate"/>
                          </w:r>
                          <w:r>
                            <w:t>48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3A1BF3D1">
                    <w:pPr>
                      <w:pStyle w:val="19"/>
                    </w:pPr>
                    <w:r>
                      <w:fldChar w:fldCharType="begin"/>
                    </w:r>
                    <w:r>
                      <w:instrText xml:space="preserve"> PAGE  \* MERGEFORMAT </w:instrText>
                    </w:r>
                    <w:r>
                      <w:fldChar w:fldCharType="separate"/>
                    </w:r>
                    <w:r>
                      <w:t>48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65E1E4">
    <w:pPr>
      <w:pStyle w:val="19"/>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57F657">
                          <w:pPr>
                            <w:pStyle w:val="19"/>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14:paraId="6E57F657">
                    <w:pPr>
                      <w:pStyle w:val="19"/>
                    </w:pPr>
                    <w:r>
                      <w:fldChar w:fldCharType="begin"/>
                    </w:r>
                    <w:r>
                      <w:instrText xml:space="preserve"> PAGE  \* MERGEFORMAT </w:instrText>
                    </w:r>
                    <w:r>
                      <w:fldChar w:fldCharType="separate"/>
                    </w:r>
                    <w:r>
                      <w:t>49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08472E">
    <w:pPr>
      <w:pStyle w:val="19"/>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3C012D">
                          <w:pPr>
                            <w:pStyle w:val="19"/>
                          </w:pPr>
                          <w:r>
                            <w:fldChar w:fldCharType="begin"/>
                          </w:r>
                          <w:r>
                            <w:instrText xml:space="preserve"> PAGE  \* MERGEFORMAT </w:instrText>
                          </w:r>
                          <w:r>
                            <w:fldChar w:fldCharType="separate"/>
                          </w:r>
                          <w:r>
                            <w:t>51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313C012D">
                    <w:pPr>
                      <w:pStyle w:val="19"/>
                    </w:pPr>
                    <w:r>
                      <w:fldChar w:fldCharType="begin"/>
                    </w:r>
                    <w:r>
                      <w:instrText xml:space="preserve"> PAGE  \* MERGEFORMAT </w:instrText>
                    </w:r>
                    <w:r>
                      <w:fldChar w:fldCharType="separate"/>
                    </w:r>
                    <w:r>
                      <w:t>51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002BED">
    <w:pPr>
      <w:pStyle w:val="20"/>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8726BA">
    <w:pPr>
      <w:jc w:val="center"/>
      <w:rPr>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6B46E95"/>
    <w:multiLevelType w:val="multilevel"/>
    <w:tmpl w:val="26B46E95"/>
    <w:lvl w:ilvl="0" w:tentative="0">
      <w:start w:val="1"/>
      <w:numFmt w:val="decimal"/>
      <w:pStyle w:val="73"/>
      <w:suff w:val="space"/>
      <w:lvlText w:val="%1"/>
      <w:lvlJc w:val="left"/>
      <w:pPr>
        <w:tabs>
          <w:tab w:val="left" w:pos="0"/>
        </w:tabs>
        <w:ind w:left="0" w:firstLine="0"/>
      </w:pPr>
      <w:rPr>
        <w:rFonts w:hint="default" w:ascii="Times New Roman" w:hAnsi="Times New Roman" w:eastAsia="黑体" w:cs="Times New Roman"/>
        <w:b/>
        <w:i w:val="0"/>
        <w:sz w:val="32"/>
      </w:rPr>
    </w:lvl>
    <w:lvl w:ilvl="1" w:tentative="0">
      <w:start w:val="1"/>
      <w:numFmt w:val="decimal"/>
      <w:suff w:val="space"/>
      <w:lvlText w:val="%1.%2"/>
      <w:lvlJc w:val="left"/>
      <w:pPr>
        <w:ind w:left="0" w:firstLine="0"/>
      </w:pPr>
      <w:rPr>
        <w:rFonts w:hint="default" w:ascii="Times New Roman" w:hAnsi="Times New Roman" w:eastAsia="黑体" w:cs="Times New Roman"/>
        <w:b/>
        <w:i w:val="0"/>
        <w:sz w:val="30"/>
      </w:rPr>
    </w:lvl>
    <w:lvl w:ilvl="2" w:tentative="0">
      <w:start w:val="1"/>
      <w:numFmt w:val="decimal"/>
      <w:suff w:val="space"/>
      <w:lvlText w:val="%1.%2.%3"/>
      <w:lvlJc w:val="left"/>
      <w:pPr>
        <w:ind w:left="142" w:firstLine="0"/>
      </w:pPr>
      <w:rPr>
        <w:rFonts w:hint="default" w:ascii="Times New Roman" w:hAnsi="Times New Roman" w:eastAsia="黑体" w:cs="Times New Roman"/>
        <w:b/>
        <w:bCs w:val="0"/>
        <w:i w:val="0"/>
        <w:iCs w:val="0"/>
        <w:caps w:val="0"/>
        <w:smallCaps w:val="0"/>
        <w:strike w:val="0"/>
        <w:dstrike w:val="0"/>
        <w:color w:val="000000"/>
        <w:spacing w:val="0"/>
        <w:position w:val="0"/>
        <w:sz w:val="28"/>
        <w:u w:val="none"/>
      </w:rPr>
    </w:lvl>
    <w:lvl w:ilvl="3" w:tentative="0">
      <w:start w:val="1"/>
      <w:numFmt w:val="decimal"/>
      <w:suff w:val="space"/>
      <w:lvlText w:val="%1.%2.%3.%4"/>
      <w:lvlJc w:val="left"/>
      <w:pPr>
        <w:ind w:left="0" w:firstLine="0"/>
      </w:pPr>
      <w:rPr>
        <w:rFonts w:hint="default" w:ascii="Times New Roman" w:hAnsi="Times New Roman" w:eastAsia="黑体" w:cs="Times New Roman"/>
        <w:b/>
        <w:bCs w:val="0"/>
        <w:i w:val="0"/>
        <w:iCs w:val="0"/>
        <w:caps w:val="0"/>
        <w:smallCaps w:val="0"/>
        <w:strike w:val="0"/>
        <w:dstrike w:val="0"/>
        <w:color w:val="000000"/>
        <w:spacing w:val="0"/>
        <w:position w:val="0"/>
        <w:sz w:val="24"/>
        <w:u w:val="none"/>
      </w:rPr>
    </w:lvl>
    <w:lvl w:ilvl="4" w:tentative="0">
      <w:start w:val="1"/>
      <w:numFmt w:val="decimal"/>
      <w:lvlText w:val="%5%2."/>
      <w:lvlJc w:val="left"/>
      <w:pPr>
        <w:tabs>
          <w:tab w:val="left" w:pos="720"/>
        </w:tabs>
        <w:ind w:left="0" w:firstLine="0"/>
      </w:pPr>
      <w:rPr>
        <w:rFonts w:ascii="Times New Roman" w:hAnsi="Times New Roman" w:cs="Times New Roman"/>
        <w:b w:val="0"/>
        <w:bCs w:val="0"/>
        <w:i w:val="0"/>
        <w:iCs w:val="0"/>
        <w:caps w:val="0"/>
        <w:smallCaps w:val="0"/>
        <w:strike w:val="0"/>
        <w:dstrike w:val="0"/>
        <w:color w:val="000000"/>
        <w:spacing w:val="0"/>
        <w:position w:val="0"/>
        <w:u w:val="none"/>
      </w:rPr>
    </w:lvl>
    <w:lvl w:ilvl="5" w:tentative="0">
      <w:start w:val="1"/>
      <w:numFmt w:val="decimal"/>
      <w:lvlText w:val="%1.%2.%3.%4.%5.%6"/>
      <w:lvlJc w:val="left"/>
      <w:pPr>
        <w:tabs>
          <w:tab w:val="left" w:pos="1152"/>
        </w:tabs>
        <w:ind w:left="0" w:firstLine="0"/>
      </w:pPr>
    </w:lvl>
    <w:lvl w:ilvl="6" w:tentative="0">
      <w:start w:val="1"/>
      <w:numFmt w:val="decimal"/>
      <w:lvlText w:val="%1.%2.%3.%4.%5.%6.%7"/>
      <w:lvlJc w:val="left"/>
      <w:pPr>
        <w:tabs>
          <w:tab w:val="left" w:pos="1296"/>
        </w:tabs>
        <w:ind w:left="0" w:firstLine="0"/>
      </w:pPr>
    </w:lvl>
    <w:lvl w:ilvl="7" w:tentative="0">
      <w:start w:val="1"/>
      <w:numFmt w:val="decimal"/>
      <w:lvlText w:val="%1.%2.%3.%4.%5.%6.%7.%8"/>
      <w:lvlJc w:val="left"/>
      <w:pPr>
        <w:tabs>
          <w:tab w:val="left" w:pos="1440"/>
        </w:tabs>
        <w:ind w:left="0" w:firstLine="0"/>
      </w:pPr>
    </w:lvl>
    <w:lvl w:ilvl="8" w:tentative="0">
      <w:start w:val="1"/>
      <w:numFmt w:val="decimal"/>
      <w:lvlText w:val="%1.%2.%3.%4.%5.%6.%7.%8.%9"/>
      <w:lvlJc w:val="left"/>
      <w:pPr>
        <w:tabs>
          <w:tab w:val="left" w:pos="1584"/>
        </w:tabs>
        <w:ind w:left="0" w:firstLine="0"/>
      </w:pPr>
    </w:lvl>
  </w:abstractNum>
  <w:abstractNum w:abstractNumId="1">
    <w:nsid w:val="72C075B7"/>
    <w:multiLevelType w:val="multilevel"/>
    <w:tmpl w:val="72C075B7"/>
    <w:lvl w:ilvl="0" w:tentative="0">
      <w:start w:val="1"/>
      <w:numFmt w:val="decimal"/>
      <w:pStyle w:val="27"/>
      <w:lvlText w:val="%1"/>
      <w:lvlJc w:val="left"/>
      <w:pPr>
        <w:ind w:left="0" w:firstLine="0"/>
      </w:pPr>
      <w:rPr>
        <w:rFonts w:hint="eastAsia"/>
      </w:rPr>
    </w:lvl>
    <w:lvl w:ilvl="1" w:tentative="0">
      <w:start w:val="1"/>
      <w:numFmt w:val="decimal"/>
      <w:pStyle w:val="3"/>
      <w:suff w:val="space"/>
      <w:lvlText w:val="%1.%2"/>
      <w:lvlJc w:val="left"/>
      <w:pPr>
        <w:ind w:left="0" w:firstLine="0"/>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2B1A"/>
    <w:rsid w:val="0000312D"/>
    <w:rsid w:val="000036CE"/>
    <w:rsid w:val="000060B3"/>
    <w:rsid w:val="000062A8"/>
    <w:rsid w:val="000070B6"/>
    <w:rsid w:val="000118FC"/>
    <w:rsid w:val="0001191A"/>
    <w:rsid w:val="00011AE2"/>
    <w:rsid w:val="00013654"/>
    <w:rsid w:val="0001767C"/>
    <w:rsid w:val="0002030C"/>
    <w:rsid w:val="00021901"/>
    <w:rsid w:val="00022855"/>
    <w:rsid w:val="00022975"/>
    <w:rsid w:val="00024874"/>
    <w:rsid w:val="000263BC"/>
    <w:rsid w:val="000279B0"/>
    <w:rsid w:val="00031CC2"/>
    <w:rsid w:val="0003206D"/>
    <w:rsid w:val="000329CF"/>
    <w:rsid w:val="00032EBF"/>
    <w:rsid w:val="0003313B"/>
    <w:rsid w:val="0003447B"/>
    <w:rsid w:val="00035832"/>
    <w:rsid w:val="000420B3"/>
    <w:rsid w:val="0004364B"/>
    <w:rsid w:val="00046B87"/>
    <w:rsid w:val="00046E90"/>
    <w:rsid w:val="00050209"/>
    <w:rsid w:val="000503BA"/>
    <w:rsid w:val="000503CB"/>
    <w:rsid w:val="00052649"/>
    <w:rsid w:val="0005496C"/>
    <w:rsid w:val="000603B7"/>
    <w:rsid w:val="000616A7"/>
    <w:rsid w:val="000616AD"/>
    <w:rsid w:val="00061B1F"/>
    <w:rsid w:val="00061F74"/>
    <w:rsid w:val="0006221B"/>
    <w:rsid w:val="00063C38"/>
    <w:rsid w:val="00065BDA"/>
    <w:rsid w:val="00065CFE"/>
    <w:rsid w:val="0006753E"/>
    <w:rsid w:val="00070118"/>
    <w:rsid w:val="00071F03"/>
    <w:rsid w:val="0007225C"/>
    <w:rsid w:val="00072831"/>
    <w:rsid w:val="000733C4"/>
    <w:rsid w:val="000736B5"/>
    <w:rsid w:val="00074783"/>
    <w:rsid w:val="00074C03"/>
    <w:rsid w:val="00076149"/>
    <w:rsid w:val="0007643A"/>
    <w:rsid w:val="00076ACF"/>
    <w:rsid w:val="0008070B"/>
    <w:rsid w:val="000810AC"/>
    <w:rsid w:val="00081A02"/>
    <w:rsid w:val="00082231"/>
    <w:rsid w:val="00082F28"/>
    <w:rsid w:val="00084054"/>
    <w:rsid w:val="00084C88"/>
    <w:rsid w:val="00085C9C"/>
    <w:rsid w:val="000863F0"/>
    <w:rsid w:val="000869A9"/>
    <w:rsid w:val="00090271"/>
    <w:rsid w:val="00090387"/>
    <w:rsid w:val="000911A0"/>
    <w:rsid w:val="00091635"/>
    <w:rsid w:val="00092D38"/>
    <w:rsid w:val="0009377B"/>
    <w:rsid w:val="0009506B"/>
    <w:rsid w:val="00096621"/>
    <w:rsid w:val="00096B42"/>
    <w:rsid w:val="00096B53"/>
    <w:rsid w:val="0009727E"/>
    <w:rsid w:val="00097FFC"/>
    <w:rsid w:val="000A10ED"/>
    <w:rsid w:val="000A20C9"/>
    <w:rsid w:val="000B058F"/>
    <w:rsid w:val="000B2074"/>
    <w:rsid w:val="000B28BC"/>
    <w:rsid w:val="000B3174"/>
    <w:rsid w:val="000B4467"/>
    <w:rsid w:val="000B4ACC"/>
    <w:rsid w:val="000B4DB9"/>
    <w:rsid w:val="000B5050"/>
    <w:rsid w:val="000B616C"/>
    <w:rsid w:val="000C074F"/>
    <w:rsid w:val="000C09AC"/>
    <w:rsid w:val="000C1679"/>
    <w:rsid w:val="000C2A0B"/>
    <w:rsid w:val="000C2B0C"/>
    <w:rsid w:val="000C3465"/>
    <w:rsid w:val="000C767F"/>
    <w:rsid w:val="000D13AC"/>
    <w:rsid w:val="000D1686"/>
    <w:rsid w:val="000D1DD0"/>
    <w:rsid w:val="000D357D"/>
    <w:rsid w:val="000D364A"/>
    <w:rsid w:val="000D4EA2"/>
    <w:rsid w:val="000D5A44"/>
    <w:rsid w:val="000D6770"/>
    <w:rsid w:val="000D7716"/>
    <w:rsid w:val="000E05E1"/>
    <w:rsid w:val="000E0C51"/>
    <w:rsid w:val="000E0DE3"/>
    <w:rsid w:val="000E1998"/>
    <w:rsid w:val="000E38F3"/>
    <w:rsid w:val="000E3ED2"/>
    <w:rsid w:val="000E54F1"/>
    <w:rsid w:val="000E60D2"/>
    <w:rsid w:val="000E66CA"/>
    <w:rsid w:val="000E7396"/>
    <w:rsid w:val="000F05A2"/>
    <w:rsid w:val="000F399B"/>
    <w:rsid w:val="000F424F"/>
    <w:rsid w:val="000F458C"/>
    <w:rsid w:val="000F4DB3"/>
    <w:rsid w:val="000F6716"/>
    <w:rsid w:val="000F789E"/>
    <w:rsid w:val="0010212C"/>
    <w:rsid w:val="001038BB"/>
    <w:rsid w:val="00103959"/>
    <w:rsid w:val="0010551A"/>
    <w:rsid w:val="00107999"/>
    <w:rsid w:val="00107BD4"/>
    <w:rsid w:val="001119F1"/>
    <w:rsid w:val="00111E5F"/>
    <w:rsid w:val="0011309F"/>
    <w:rsid w:val="001141D3"/>
    <w:rsid w:val="001142DB"/>
    <w:rsid w:val="00114F4A"/>
    <w:rsid w:val="00116BDF"/>
    <w:rsid w:val="0012468C"/>
    <w:rsid w:val="00124C1F"/>
    <w:rsid w:val="00124CB8"/>
    <w:rsid w:val="001254BE"/>
    <w:rsid w:val="00126F9C"/>
    <w:rsid w:val="0013086C"/>
    <w:rsid w:val="00131E54"/>
    <w:rsid w:val="00131F42"/>
    <w:rsid w:val="00132403"/>
    <w:rsid w:val="00132788"/>
    <w:rsid w:val="001333ED"/>
    <w:rsid w:val="001357F1"/>
    <w:rsid w:val="00140994"/>
    <w:rsid w:val="00140FA8"/>
    <w:rsid w:val="00142CFF"/>
    <w:rsid w:val="00142FEB"/>
    <w:rsid w:val="00143A2D"/>
    <w:rsid w:val="00144CD2"/>
    <w:rsid w:val="00145A41"/>
    <w:rsid w:val="001462B6"/>
    <w:rsid w:val="00147059"/>
    <w:rsid w:val="001477C2"/>
    <w:rsid w:val="00150CA2"/>
    <w:rsid w:val="001511B2"/>
    <w:rsid w:val="00151675"/>
    <w:rsid w:val="00151B81"/>
    <w:rsid w:val="00153BFC"/>
    <w:rsid w:val="001562F7"/>
    <w:rsid w:val="00157435"/>
    <w:rsid w:val="00160BCC"/>
    <w:rsid w:val="001614DA"/>
    <w:rsid w:val="0016176A"/>
    <w:rsid w:val="001643AC"/>
    <w:rsid w:val="00164C9A"/>
    <w:rsid w:val="0016700C"/>
    <w:rsid w:val="00167173"/>
    <w:rsid w:val="00172DA1"/>
    <w:rsid w:val="0017303F"/>
    <w:rsid w:val="00174743"/>
    <w:rsid w:val="00174984"/>
    <w:rsid w:val="0017504D"/>
    <w:rsid w:val="00175F95"/>
    <w:rsid w:val="0017671A"/>
    <w:rsid w:val="00176747"/>
    <w:rsid w:val="00177422"/>
    <w:rsid w:val="0018127B"/>
    <w:rsid w:val="00181E84"/>
    <w:rsid w:val="0018353E"/>
    <w:rsid w:val="00184470"/>
    <w:rsid w:val="00184590"/>
    <w:rsid w:val="00185686"/>
    <w:rsid w:val="001870D1"/>
    <w:rsid w:val="0018768E"/>
    <w:rsid w:val="0018781E"/>
    <w:rsid w:val="00187E68"/>
    <w:rsid w:val="00190FD3"/>
    <w:rsid w:val="0019262D"/>
    <w:rsid w:val="001927A6"/>
    <w:rsid w:val="00192806"/>
    <w:rsid w:val="00192C37"/>
    <w:rsid w:val="00192CD0"/>
    <w:rsid w:val="00193352"/>
    <w:rsid w:val="001933CE"/>
    <w:rsid w:val="0019423C"/>
    <w:rsid w:val="001956E6"/>
    <w:rsid w:val="00195D4B"/>
    <w:rsid w:val="0019765C"/>
    <w:rsid w:val="001A00FD"/>
    <w:rsid w:val="001A1B35"/>
    <w:rsid w:val="001A1EC9"/>
    <w:rsid w:val="001A48A2"/>
    <w:rsid w:val="001A57DC"/>
    <w:rsid w:val="001A585F"/>
    <w:rsid w:val="001A5F94"/>
    <w:rsid w:val="001A6F61"/>
    <w:rsid w:val="001B0DAA"/>
    <w:rsid w:val="001B107F"/>
    <w:rsid w:val="001B18D2"/>
    <w:rsid w:val="001B37BA"/>
    <w:rsid w:val="001B5A01"/>
    <w:rsid w:val="001B6ECF"/>
    <w:rsid w:val="001B72B8"/>
    <w:rsid w:val="001B73FD"/>
    <w:rsid w:val="001C0446"/>
    <w:rsid w:val="001C28A5"/>
    <w:rsid w:val="001C374C"/>
    <w:rsid w:val="001C5650"/>
    <w:rsid w:val="001C67B8"/>
    <w:rsid w:val="001C6898"/>
    <w:rsid w:val="001C69B3"/>
    <w:rsid w:val="001C6BF8"/>
    <w:rsid w:val="001D07ED"/>
    <w:rsid w:val="001D1000"/>
    <w:rsid w:val="001D47B3"/>
    <w:rsid w:val="001D5280"/>
    <w:rsid w:val="001D5595"/>
    <w:rsid w:val="001D7874"/>
    <w:rsid w:val="001D7F22"/>
    <w:rsid w:val="001E04F8"/>
    <w:rsid w:val="001E3B18"/>
    <w:rsid w:val="001E57F0"/>
    <w:rsid w:val="001E6C92"/>
    <w:rsid w:val="001E6E8D"/>
    <w:rsid w:val="001F0F17"/>
    <w:rsid w:val="001F25D0"/>
    <w:rsid w:val="001F2D20"/>
    <w:rsid w:val="001F3347"/>
    <w:rsid w:val="001F69E4"/>
    <w:rsid w:val="001F7E8C"/>
    <w:rsid w:val="002016EE"/>
    <w:rsid w:val="00202C9A"/>
    <w:rsid w:val="00204AE8"/>
    <w:rsid w:val="0020789F"/>
    <w:rsid w:val="002125B4"/>
    <w:rsid w:val="002137C2"/>
    <w:rsid w:val="00213E5C"/>
    <w:rsid w:val="00214FA7"/>
    <w:rsid w:val="002155B8"/>
    <w:rsid w:val="0021573D"/>
    <w:rsid w:val="00216389"/>
    <w:rsid w:val="00220D67"/>
    <w:rsid w:val="00220F24"/>
    <w:rsid w:val="00220F41"/>
    <w:rsid w:val="00221F6F"/>
    <w:rsid w:val="0022231D"/>
    <w:rsid w:val="00223483"/>
    <w:rsid w:val="00223AC1"/>
    <w:rsid w:val="00224839"/>
    <w:rsid w:val="00224858"/>
    <w:rsid w:val="002249B2"/>
    <w:rsid w:val="00225EF9"/>
    <w:rsid w:val="0022621A"/>
    <w:rsid w:val="00226574"/>
    <w:rsid w:val="002265D3"/>
    <w:rsid w:val="0022680C"/>
    <w:rsid w:val="002278EC"/>
    <w:rsid w:val="00230355"/>
    <w:rsid w:val="00230952"/>
    <w:rsid w:val="0023280E"/>
    <w:rsid w:val="002331C1"/>
    <w:rsid w:val="00233360"/>
    <w:rsid w:val="00236784"/>
    <w:rsid w:val="002377D1"/>
    <w:rsid w:val="002400BE"/>
    <w:rsid w:val="00240560"/>
    <w:rsid w:val="0024154A"/>
    <w:rsid w:val="002442FC"/>
    <w:rsid w:val="0024488B"/>
    <w:rsid w:val="00246745"/>
    <w:rsid w:val="00246925"/>
    <w:rsid w:val="002477C1"/>
    <w:rsid w:val="00247969"/>
    <w:rsid w:val="002506BC"/>
    <w:rsid w:val="00250D6F"/>
    <w:rsid w:val="002513F7"/>
    <w:rsid w:val="00251E46"/>
    <w:rsid w:val="002520B3"/>
    <w:rsid w:val="00252899"/>
    <w:rsid w:val="00254345"/>
    <w:rsid w:val="002559DE"/>
    <w:rsid w:val="00255D41"/>
    <w:rsid w:val="00255EF6"/>
    <w:rsid w:val="002612D3"/>
    <w:rsid w:val="002626E7"/>
    <w:rsid w:val="00262755"/>
    <w:rsid w:val="00264557"/>
    <w:rsid w:val="002655B9"/>
    <w:rsid w:val="0026649A"/>
    <w:rsid w:val="00267050"/>
    <w:rsid w:val="00267FB4"/>
    <w:rsid w:val="00270293"/>
    <w:rsid w:val="0027129C"/>
    <w:rsid w:val="00272B43"/>
    <w:rsid w:val="0027584C"/>
    <w:rsid w:val="00276DB2"/>
    <w:rsid w:val="0027743F"/>
    <w:rsid w:val="002805AB"/>
    <w:rsid w:val="00282BB9"/>
    <w:rsid w:val="00284204"/>
    <w:rsid w:val="00286224"/>
    <w:rsid w:val="00286243"/>
    <w:rsid w:val="00286864"/>
    <w:rsid w:val="00287298"/>
    <w:rsid w:val="002908CE"/>
    <w:rsid w:val="002915F7"/>
    <w:rsid w:val="00291773"/>
    <w:rsid w:val="00292127"/>
    <w:rsid w:val="0029229D"/>
    <w:rsid w:val="002925F9"/>
    <w:rsid w:val="002942DF"/>
    <w:rsid w:val="002953D2"/>
    <w:rsid w:val="002956C3"/>
    <w:rsid w:val="00296FC8"/>
    <w:rsid w:val="00297655"/>
    <w:rsid w:val="002978B0"/>
    <w:rsid w:val="00297B95"/>
    <w:rsid w:val="002A0C0D"/>
    <w:rsid w:val="002A168C"/>
    <w:rsid w:val="002A2F32"/>
    <w:rsid w:val="002A3DC7"/>
    <w:rsid w:val="002A4594"/>
    <w:rsid w:val="002B1658"/>
    <w:rsid w:val="002B4188"/>
    <w:rsid w:val="002B49E2"/>
    <w:rsid w:val="002B56C5"/>
    <w:rsid w:val="002B63EF"/>
    <w:rsid w:val="002B6495"/>
    <w:rsid w:val="002B6964"/>
    <w:rsid w:val="002B6B23"/>
    <w:rsid w:val="002B6D23"/>
    <w:rsid w:val="002B7B00"/>
    <w:rsid w:val="002B7C44"/>
    <w:rsid w:val="002C1083"/>
    <w:rsid w:val="002C2B17"/>
    <w:rsid w:val="002C3956"/>
    <w:rsid w:val="002C6873"/>
    <w:rsid w:val="002C6B4B"/>
    <w:rsid w:val="002C722C"/>
    <w:rsid w:val="002D0B07"/>
    <w:rsid w:val="002D3ABF"/>
    <w:rsid w:val="002D3DD0"/>
    <w:rsid w:val="002D53A3"/>
    <w:rsid w:val="002E1F3A"/>
    <w:rsid w:val="002E1F72"/>
    <w:rsid w:val="002E23D0"/>
    <w:rsid w:val="002E298A"/>
    <w:rsid w:val="002E40A4"/>
    <w:rsid w:val="002E4298"/>
    <w:rsid w:val="002E5C84"/>
    <w:rsid w:val="002E6DCD"/>
    <w:rsid w:val="002F114B"/>
    <w:rsid w:val="002F157E"/>
    <w:rsid w:val="002F2666"/>
    <w:rsid w:val="002F4536"/>
    <w:rsid w:val="002F6190"/>
    <w:rsid w:val="002F631B"/>
    <w:rsid w:val="00301978"/>
    <w:rsid w:val="00301D3C"/>
    <w:rsid w:val="00301F2D"/>
    <w:rsid w:val="00301FC5"/>
    <w:rsid w:val="00302523"/>
    <w:rsid w:val="0030332C"/>
    <w:rsid w:val="00304509"/>
    <w:rsid w:val="003051C2"/>
    <w:rsid w:val="00305646"/>
    <w:rsid w:val="0030584C"/>
    <w:rsid w:val="00310013"/>
    <w:rsid w:val="00310883"/>
    <w:rsid w:val="00311C18"/>
    <w:rsid w:val="00312296"/>
    <w:rsid w:val="0031323C"/>
    <w:rsid w:val="00314348"/>
    <w:rsid w:val="00314BA0"/>
    <w:rsid w:val="00314F0E"/>
    <w:rsid w:val="0031538A"/>
    <w:rsid w:val="00317FF6"/>
    <w:rsid w:val="00321D8E"/>
    <w:rsid w:val="0032209F"/>
    <w:rsid w:val="003246E9"/>
    <w:rsid w:val="00325928"/>
    <w:rsid w:val="00332863"/>
    <w:rsid w:val="00333A2A"/>
    <w:rsid w:val="00333E52"/>
    <w:rsid w:val="003346D1"/>
    <w:rsid w:val="00334DD9"/>
    <w:rsid w:val="00336532"/>
    <w:rsid w:val="0033684D"/>
    <w:rsid w:val="00337B42"/>
    <w:rsid w:val="00340356"/>
    <w:rsid w:val="00341B42"/>
    <w:rsid w:val="00342EF7"/>
    <w:rsid w:val="0034348F"/>
    <w:rsid w:val="003441D3"/>
    <w:rsid w:val="00344E62"/>
    <w:rsid w:val="00345F68"/>
    <w:rsid w:val="0034657E"/>
    <w:rsid w:val="003479FF"/>
    <w:rsid w:val="0035006D"/>
    <w:rsid w:val="0035426A"/>
    <w:rsid w:val="00356419"/>
    <w:rsid w:val="00356653"/>
    <w:rsid w:val="00356738"/>
    <w:rsid w:val="0035677C"/>
    <w:rsid w:val="0035743F"/>
    <w:rsid w:val="00357BE2"/>
    <w:rsid w:val="00360548"/>
    <w:rsid w:val="0036170C"/>
    <w:rsid w:val="0036436D"/>
    <w:rsid w:val="003650B8"/>
    <w:rsid w:val="00365DE0"/>
    <w:rsid w:val="003660BA"/>
    <w:rsid w:val="00366E0F"/>
    <w:rsid w:val="0037093A"/>
    <w:rsid w:val="0037188E"/>
    <w:rsid w:val="00371BED"/>
    <w:rsid w:val="00372779"/>
    <w:rsid w:val="00372EED"/>
    <w:rsid w:val="00374137"/>
    <w:rsid w:val="00374504"/>
    <w:rsid w:val="003752FC"/>
    <w:rsid w:val="0038187D"/>
    <w:rsid w:val="00381A72"/>
    <w:rsid w:val="00382D53"/>
    <w:rsid w:val="00383143"/>
    <w:rsid w:val="00384676"/>
    <w:rsid w:val="00385DBA"/>
    <w:rsid w:val="00385E0C"/>
    <w:rsid w:val="00390857"/>
    <w:rsid w:val="00391151"/>
    <w:rsid w:val="00391B15"/>
    <w:rsid w:val="00393593"/>
    <w:rsid w:val="0039433E"/>
    <w:rsid w:val="00395CF8"/>
    <w:rsid w:val="00396A50"/>
    <w:rsid w:val="00397766"/>
    <w:rsid w:val="00397885"/>
    <w:rsid w:val="003A1C65"/>
    <w:rsid w:val="003A3009"/>
    <w:rsid w:val="003A4BF3"/>
    <w:rsid w:val="003A6A1A"/>
    <w:rsid w:val="003A77A5"/>
    <w:rsid w:val="003A78A5"/>
    <w:rsid w:val="003B1A09"/>
    <w:rsid w:val="003B420D"/>
    <w:rsid w:val="003B576E"/>
    <w:rsid w:val="003B6897"/>
    <w:rsid w:val="003B6F52"/>
    <w:rsid w:val="003B7E24"/>
    <w:rsid w:val="003B7EE1"/>
    <w:rsid w:val="003C2679"/>
    <w:rsid w:val="003C2CB1"/>
    <w:rsid w:val="003C3301"/>
    <w:rsid w:val="003C524E"/>
    <w:rsid w:val="003C656D"/>
    <w:rsid w:val="003C682F"/>
    <w:rsid w:val="003C6C16"/>
    <w:rsid w:val="003D2B85"/>
    <w:rsid w:val="003D2F4B"/>
    <w:rsid w:val="003D31CE"/>
    <w:rsid w:val="003D67D0"/>
    <w:rsid w:val="003D794D"/>
    <w:rsid w:val="003E01C2"/>
    <w:rsid w:val="003E0340"/>
    <w:rsid w:val="003E1043"/>
    <w:rsid w:val="003E26BB"/>
    <w:rsid w:val="003E3058"/>
    <w:rsid w:val="003E40E7"/>
    <w:rsid w:val="003E453E"/>
    <w:rsid w:val="003E54FF"/>
    <w:rsid w:val="003E616D"/>
    <w:rsid w:val="003E64FE"/>
    <w:rsid w:val="003E76A9"/>
    <w:rsid w:val="003F03F3"/>
    <w:rsid w:val="003F0809"/>
    <w:rsid w:val="003F10E1"/>
    <w:rsid w:val="003F1C34"/>
    <w:rsid w:val="003F2034"/>
    <w:rsid w:val="003F2192"/>
    <w:rsid w:val="003F24AE"/>
    <w:rsid w:val="003F2FFF"/>
    <w:rsid w:val="003F43E9"/>
    <w:rsid w:val="003F49F0"/>
    <w:rsid w:val="003F4B39"/>
    <w:rsid w:val="003F6A8C"/>
    <w:rsid w:val="003F755C"/>
    <w:rsid w:val="004004C4"/>
    <w:rsid w:val="004006EF"/>
    <w:rsid w:val="00406CB6"/>
    <w:rsid w:val="00406F01"/>
    <w:rsid w:val="00407758"/>
    <w:rsid w:val="00407DF6"/>
    <w:rsid w:val="00410F19"/>
    <w:rsid w:val="0041252D"/>
    <w:rsid w:val="00412FAC"/>
    <w:rsid w:val="004134CD"/>
    <w:rsid w:val="00413ECC"/>
    <w:rsid w:val="00416B2E"/>
    <w:rsid w:val="00416D50"/>
    <w:rsid w:val="00416FD5"/>
    <w:rsid w:val="004173CB"/>
    <w:rsid w:val="00417772"/>
    <w:rsid w:val="00420E6A"/>
    <w:rsid w:val="00421BEA"/>
    <w:rsid w:val="00423B16"/>
    <w:rsid w:val="004246F4"/>
    <w:rsid w:val="00425995"/>
    <w:rsid w:val="00425A9E"/>
    <w:rsid w:val="0042642B"/>
    <w:rsid w:val="00426D57"/>
    <w:rsid w:val="00426D6B"/>
    <w:rsid w:val="00427822"/>
    <w:rsid w:val="0043058F"/>
    <w:rsid w:val="004305C3"/>
    <w:rsid w:val="004305C5"/>
    <w:rsid w:val="0043190A"/>
    <w:rsid w:val="00431E6C"/>
    <w:rsid w:val="00432ED1"/>
    <w:rsid w:val="004333C0"/>
    <w:rsid w:val="00433CE7"/>
    <w:rsid w:val="0043699C"/>
    <w:rsid w:val="004369D6"/>
    <w:rsid w:val="00437F69"/>
    <w:rsid w:val="0044099A"/>
    <w:rsid w:val="00440F50"/>
    <w:rsid w:val="0044131C"/>
    <w:rsid w:val="004474AB"/>
    <w:rsid w:val="0044770D"/>
    <w:rsid w:val="00447FAF"/>
    <w:rsid w:val="00450292"/>
    <w:rsid w:val="00451010"/>
    <w:rsid w:val="00452738"/>
    <w:rsid w:val="004547C8"/>
    <w:rsid w:val="004558DC"/>
    <w:rsid w:val="00455994"/>
    <w:rsid w:val="00455A99"/>
    <w:rsid w:val="00455D23"/>
    <w:rsid w:val="00456091"/>
    <w:rsid w:val="004560D4"/>
    <w:rsid w:val="00456359"/>
    <w:rsid w:val="00456FDA"/>
    <w:rsid w:val="004575BE"/>
    <w:rsid w:val="004602D8"/>
    <w:rsid w:val="00461FCF"/>
    <w:rsid w:val="00466321"/>
    <w:rsid w:val="0047054B"/>
    <w:rsid w:val="00470D3C"/>
    <w:rsid w:val="00470DDD"/>
    <w:rsid w:val="0047271B"/>
    <w:rsid w:val="00472BEA"/>
    <w:rsid w:val="004746FD"/>
    <w:rsid w:val="00474F81"/>
    <w:rsid w:val="0047602C"/>
    <w:rsid w:val="00476322"/>
    <w:rsid w:val="004779BA"/>
    <w:rsid w:val="00480695"/>
    <w:rsid w:val="00483989"/>
    <w:rsid w:val="00483B39"/>
    <w:rsid w:val="004843CB"/>
    <w:rsid w:val="00484B9B"/>
    <w:rsid w:val="004855F6"/>
    <w:rsid w:val="0048661E"/>
    <w:rsid w:val="0049045A"/>
    <w:rsid w:val="0049161A"/>
    <w:rsid w:val="00492190"/>
    <w:rsid w:val="00492C23"/>
    <w:rsid w:val="0049361C"/>
    <w:rsid w:val="004937A8"/>
    <w:rsid w:val="004938A1"/>
    <w:rsid w:val="0049415A"/>
    <w:rsid w:val="00494670"/>
    <w:rsid w:val="00494747"/>
    <w:rsid w:val="0049601B"/>
    <w:rsid w:val="004961C9"/>
    <w:rsid w:val="00496327"/>
    <w:rsid w:val="004A05D7"/>
    <w:rsid w:val="004A0E4C"/>
    <w:rsid w:val="004A0F8B"/>
    <w:rsid w:val="004A1E53"/>
    <w:rsid w:val="004A3502"/>
    <w:rsid w:val="004A3823"/>
    <w:rsid w:val="004A534F"/>
    <w:rsid w:val="004A6FBB"/>
    <w:rsid w:val="004B17DE"/>
    <w:rsid w:val="004B5CEA"/>
    <w:rsid w:val="004B6CEE"/>
    <w:rsid w:val="004B6E81"/>
    <w:rsid w:val="004B736A"/>
    <w:rsid w:val="004B7C16"/>
    <w:rsid w:val="004C075B"/>
    <w:rsid w:val="004C2759"/>
    <w:rsid w:val="004C45C5"/>
    <w:rsid w:val="004C4E76"/>
    <w:rsid w:val="004D07D7"/>
    <w:rsid w:val="004D0EAE"/>
    <w:rsid w:val="004D116D"/>
    <w:rsid w:val="004D4A52"/>
    <w:rsid w:val="004E02DE"/>
    <w:rsid w:val="004E0FDB"/>
    <w:rsid w:val="004E6946"/>
    <w:rsid w:val="004E7787"/>
    <w:rsid w:val="004E7EEE"/>
    <w:rsid w:val="004F024C"/>
    <w:rsid w:val="004F1332"/>
    <w:rsid w:val="004F1AD8"/>
    <w:rsid w:val="004F1BFD"/>
    <w:rsid w:val="004F2C1A"/>
    <w:rsid w:val="004F3082"/>
    <w:rsid w:val="004F5F1D"/>
    <w:rsid w:val="004F7A43"/>
    <w:rsid w:val="0050023D"/>
    <w:rsid w:val="005013CA"/>
    <w:rsid w:val="00502863"/>
    <w:rsid w:val="005039CB"/>
    <w:rsid w:val="00504C29"/>
    <w:rsid w:val="00504CB9"/>
    <w:rsid w:val="0050558F"/>
    <w:rsid w:val="00505687"/>
    <w:rsid w:val="00506286"/>
    <w:rsid w:val="00506F65"/>
    <w:rsid w:val="00510813"/>
    <w:rsid w:val="00510F75"/>
    <w:rsid w:val="00511990"/>
    <w:rsid w:val="00511DE0"/>
    <w:rsid w:val="005120F9"/>
    <w:rsid w:val="0051454D"/>
    <w:rsid w:val="00514870"/>
    <w:rsid w:val="00514984"/>
    <w:rsid w:val="00514B9B"/>
    <w:rsid w:val="00517921"/>
    <w:rsid w:val="00517F02"/>
    <w:rsid w:val="00520D2D"/>
    <w:rsid w:val="00521CAD"/>
    <w:rsid w:val="00522102"/>
    <w:rsid w:val="005225DD"/>
    <w:rsid w:val="00524303"/>
    <w:rsid w:val="005258A2"/>
    <w:rsid w:val="00527CDD"/>
    <w:rsid w:val="005322BE"/>
    <w:rsid w:val="005332F2"/>
    <w:rsid w:val="00533B12"/>
    <w:rsid w:val="00537161"/>
    <w:rsid w:val="005375DF"/>
    <w:rsid w:val="005401AE"/>
    <w:rsid w:val="00541317"/>
    <w:rsid w:val="00542E07"/>
    <w:rsid w:val="00545424"/>
    <w:rsid w:val="00545D0C"/>
    <w:rsid w:val="00545E85"/>
    <w:rsid w:val="005502CF"/>
    <w:rsid w:val="00554A7B"/>
    <w:rsid w:val="0055572C"/>
    <w:rsid w:val="00555F4F"/>
    <w:rsid w:val="0056106A"/>
    <w:rsid w:val="005614BD"/>
    <w:rsid w:val="00562758"/>
    <w:rsid w:val="00562843"/>
    <w:rsid w:val="00563C3F"/>
    <w:rsid w:val="00564206"/>
    <w:rsid w:val="00571105"/>
    <w:rsid w:val="005720AE"/>
    <w:rsid w:val="00572276"/>
    <w:rsid w:val="0057564B"/>
    <w:rsid w:val="00575662"/>
    <w:rsid w:val="005771E6"/>
    <w:rsid w:val="00582C24"/>
    <w:rsid w:val="00582DBD"/>
    <w:rsid w:val="005839E3"/>
    <w:rsid w:val="00586F9C"/>
    <w:rsid w:val="005901C8"/>
    <w:rsid w:val="005901DE"/>
    <w:rsid w:val="005921FB"/>
    <w:rsid w:val="00594D77"/>
    <w:rsid w:val="00595075"/>
    <w:rsid w:val="005957A6"/>
    <w:rsid w:val="005965D8"/>
    <w:rsid w:val="005969E4"/>
    <w:rsid w:val="005A06B7"/>
    <w:rsid w:val="005A09AC"/>
    <w:rsid w:val="005A1759"/>
    <w:rsid w:val="005A2924"/>
    <w:rsid w:val="005A5419"/>
    <w:rsid w:val="005A68A7"/>
    <w:rsid w:val="005A7B69"/>
    <w:rsid w:val="005B111B"/>
    <w:rsid w:val="005B16C6"/>
    <w:rsid w:val="005B388F"/>
    <w:rsid w:val="005B4CC4"/>
    <w:rsid w:val="005B51DF"/>
    <w:rsid w:val="005B7E8F"/>
    <w:rsid w:val="005C06E9"/>
    <w:rsid w:val="005C103B"/>
    <w:rsid w:val="005C1517"/>
    <w:rsid w:val="005C1580"/>
    <w:rsid w:val="005C3EA0"/>
    <w:rsid w:val="005C636A"/>
    <w:rsid w:val="005D15E4"/>
    <w:rsid w:val="005D2B04"/>
    <w:rsid w:val="005D36AB"/>
    <w:rsid w:val="005D4ECB"/>
    <w:rsid w:val="005D6120"/>
    <w:rsid w:val="005D65F3"/>
    <w:rsid w:val="005D6B97"/>
    <w:rsid w:val="005E123E"/>
    <w:rsid w:val="005E2D62"/>
    <w:rsid w:val="005E3715"/>
    <w:rsid w:val="005E4274"/>
    <w:rsid w:val="005F1AC6"/>
    <w:rsid w:val="005F22BC"/>
    <w:rsid w:val="00600593"/>
    <w:rsid w:val="00600726"/>
    <w:rsid w:val="00600847"/>
    <w:rsid w:val="00602D90"/>
    <w:rsid w:val="00604355"/>
    <w:rsid w:val="006047C2"/>
    <w:rsid w:val="006077DC"/>
    <w:rsid w:val="00612208"/>
    <w:rsid w:val="006171BA"/>
    <w:rsid w:val="00617511"/>
    <w:rsid w:val="00617CBF"/>
    <w:rsid w:val="00617CC3"/>
    <w:rsid w:val="006205FE"/>
    <w:rsid w:val="00620A17"/>
    <w:rsid w:val="006216F3"/>
    <w:rsid w:val="00621EF5"/>
    <w:rsid w:val="00622020"/>
    <w:rsid w:val="006236D8"/>
    <w:rsid w:val="0062418D"/>
    <w:rsid w:val="00625527"/>
    <w:rsid w:val="00625719"/>
    <w:rsid w:val="006260FD"/>
    <w:rsid w:val="00626445"/>
    <w:rsid w:val="0063031E"/>
    <w:rsid w:val="00632FA7"/>
    <w:rsid w:val="0063372F"/>
    <w:rsid w:val="00634EE9"/>
    <w:rsid w:val="0063561E"/>
    <w:rsid w:val="00636392"/>
    <w:rsid w:val="006377A6"/>
    <w:rsid w:val="00637A3D"/>
    <w:rsid w:val="00637C21"/>
    <w:rsid w:val="00640790"/>
    <w:rsid w:val="006411EF"/>
    <w:rsid w:val="00645FA5"/>
    <w:rsid w:val="00646318"/>
    <w:rsid w:val="006506DE"/>
    <w:rsid w:val="00650957"/>
    <w:rsid w:val="006532BD"/>
    <w:rsid w:val="0065383A"/>
    <w:rsid w:val="00653B0F"/>
    <w:rsid w:val="00655BFB"/>
    <w:rsid w:val="00656C45"/>
    <w:rsid w:val="00657237"/>
    <w:rsid w:val="00660365"/>
    <w:rsid w:val="006604E3"/>
    <w:rsid w:val="00660F89"/>
    <w:rsid w:val="00661175"/>
    <w:rsid w:val="00661787"/>
    <w:rsid w:val="00662F66"/>
    <w:rsid w:val="0066580F"/>
    <w:rsid w:val="00666F73"/>
    <w:rsid w:val="0066798A"/>
    <w:rsid w:val="00671DAD"/>
    <w:rsid w:val="00672A13"/>
    <w:rsid w:val="0067309C"/>
    <w:rsid w:val="006748B8"/>
    <w:rsid w:val="00676B7C"/>
    <w:rsid w:val="006775C3"/>
    <w:rsid w:val="00677719"/>
    <w:rsid w:val="00680DED"/>
    <w:rsid w:val="00681C0C"/>
    <w:rsid w:val="006834C4"/>
    <w:rsid w:val="00685EE2"/>
    <w:rsid w:val="0068615C"/>
    <w:rsid w:val="006861F1"/>
    <w:rsid w:val="006913E2"/>
    <w:rsid w:val="006918C4"/>
    <w:rsid w:val="0069290A"/>
    <w:rsid w:val="00692C5B"/>
    <w:rsid w:val="00695ADD"/>
    <w:rsid w:val="0069723E"/>
    <w:rsid w:val="0069775A"/>
    <w:rsid w:val="00697813"/>
    <w:rsid w:val="006A00CC"/>
    <w:rsid w:val="006A0470"/>
    <w:rsid w:val="006A3435"/>
    <w:rsid w:val="006A3EE8"/>
    <w:rsid w:val="006A3FE7"/>
    <w:rsid w:val="006A6FEB"/>
    <w:rsid w:val="006A7042"/>
    <w:rsid w:val="006A72BF"/>
    <w:rsid w:val="006B03F2"/>
    <w:rsid w:val="006B070B"/>
    <w:rsid w:val="006B2918"/>
    <w:rsid w:val="006B37DC"/>
    <w:rsid w:val="006B3C61"/>
    <w:rsid w:val="006B4F68"/>
    <w:rsid w:val="006B52E0"/>
    <w:rsid w:val="006B5B05"/>
    <w:rsid w:val="006B5B99"/>
    <w:rsid w:val="006B6346"/>
    <w:rsid w:val="006B67A5"/>
    <w:rsid w:val="006B69A0"/>
    <w:rsid w:val="006B6B01"/>
    <w:rsid w:val="006C0592"/>
    <w:rsid w:val="006C0EF8"/>
    <w:rsid w:val="006C272E"/>
    <w:rsid w:val="006C35B0"/>
    <w:rsid w:val="006C36EE"/>
    <w:rsid w:val="006C3894"/>
    <w:rsid w:val="006C398C"/>
    <w:rsid w:val="006C4557"/>
    <w:rsid w:val="006C5479"/>
    <w:rsid w:val="006C73F7"/>
    <w:rsid w:val="006D09B4"/>
    <w:rsid w:val="006D13B5"/>
    <w:rsid w:val="006D1884"/>
    <w:rsid w:val="006D1F41"/>
    <w:rsid w:val="006D2D5E"/>
    <w:rsid w:val="006D31AB"/>
    <w:rsid w:val="006D39CD"/>
    <w:rsid w:val="006D5E2E"/>
    <w:rsid w:val="006E0CE7"/>
    <w:rsid w:val="006E0F2D"/>
    <w:rsid w:val="006E12FF"/>
    <w:rsid w:val="006E1CD1"/>
    <w:rsid w:val="006E2F4F"/>
    <w:rsid w:val="006E3C36"/>
    <w:rsid w:val="006E5ADB"/>
    <w:rsid w:val="006E607E"/>
    <w:rsid w:val="006E68F7"/>
    <w:rsid w:val="006E7369"/>
    <w:rsid w:val="006E7848"/>
    <w:rsid w:val="006F0293"/>
    <w:rsid w:val="006F1F73"/>
    <w:rsid w:val="006F2BCC"/>
    <w:rsid w:val="006F3EE8"/>
    <w:rsid w:val="006F4B9E"/>
    <w:rsid w:val="00701E48"/>
    <w:rsid w:val="0070264F"/>
    <w:rsid w:val="00703280"/>
    <w:rsid w:val="00703F19"/>
    <w:rsid w:val="00705F3D"/>
    <w:rsid w:val="00706C5D"/>
    <w:rsid w:val="007078F1"/>
    <w:rsid w:val="00711615"/>
    <w:rsid w:val="0071161F"/>
    <w:rsid w:val="00715297"/>
    <w:rsid w:val="00715826"/>
    <w:rsid w:val="00717620"/>
    <w:rsid w:val="00717CBA"/>
    <w:rsid w:val="00721548"/>
    <w:rsid w:val="00721696"/>
    <w:rsid w:val="007226E0"/>
    <w:rsid w:val="00724953"/>
    <w:rsid w:val="00730C0D"/>
    <w:rsid w:val="00731612"/>
    <w:rsid w:val="00732922"/>
    <w:rsid w:val="007359CC"/>
    <w:rsid w:val="007417A2"/>
    <w:rsid w:val="007417CC"/>
    <w:rsid w:val="0075049E"/>
    <w:rsid w:val="00750BF1"/>
    <w:rsid w:val="00750C20"/>
    <w:rsid w:val="0075104D"/>
    <w:rsid w:val="0075162E"/>
    <w:rsid w:val="007523A0"/>
    <w:rsid w:val="00753C6D"/>
    <w:rsid w:val="00753EC3"/>
    <w:rsid w:val="00754034"/>
    <w:rsid w:val="00754918"/>
    <w:rsid w:val="00755876"/>
    <w:rsid w:val="00756556"/>
    <w:rsid w:val="00760E7E"/>
    <w:rsid w:val="007618C4"/>
    <w:rsid w:val="007619DC"/>
    <w:rsid w:val="00764D3F"/>
    <w:rsid w:val="00765038"/>
    <w:rsid w:val="00765907"/>
    <w:rsid w:val="00766160"/>
    <w:rsid w:val="00766E58"/>
    <w:rsid w:val="007671E8"/>
    <w:rsid w:val="00767980"/>
    <w:rsid w:val="00767A9D"/>
    <w:rsid w:val="00770562"/>
    <w:rsid w:val="00770B19"/>
    <w:rsid w:val="00770F7C"/>
    <w:rsid w:val="007741EE"/>
    <w:rsid w:val="0077463F"/>
    <w:rsid w:val="00775C7F"/>
    <w:rsid w:val="00780206"/>
    <w:rsid w:val="007802DF"/>
    <w:rsid w:val="00780C7B"/>
    <w:rsid w:val="0078132D"/>
    <w:rsid w:val="00781A30"/>
    <w:rsid w:val="0078234C"/>
    <w:rsid w:val="007828A7"/>
    <w:rsid w:val="007836EA"/>
    <w:rsid w:val="00784CDA"/>
    <w:rsid w:val="007872D9"/>
    <w:rsid w:val="007906C4"/>
    <w:rsid w:val="00790C31"/>
    <w:rsid w:val="007912E5"/>
    <w:rsid w:val="0079292A"/>
    <w:rsid w:val="00793F95"/>
    <w:rsid w:val="007940EA"/>
    <w:rsid w:val="00795BDB"/>
    <w:rsid w:val="00795E98"/>
    <w:rsid w:val="00795FA9"/>
    <w:rsid w:val="007966D7"/>
    <w:rsid w:val="007967E8"/>
    <w:rsid w:val="007A0EAB"/>
    <w:rsid w:val="007A20BA"/>
    <w:rsid w:val="007A2170"/>
    <w:rsid w:val="007A22BF"/>
    <w:rsid w:val="007A2A0D"/>
    <w:rsid w:val="007A318B"/>
    <w:rsid w:val="007A3323"/>
    <w:rsid w:val="007A5570"/>
    <w:rsid w:val="007A6C8B"/>
    <w:rsid w:val="007A6FD9"/>
    <w:rsid w:val="007B1164"/>
    <w:rsid w:val="007B1330"/>
    <w:rsid w:val="007B1416"/>
    <w:rsid w:val="007B1DD8"/>
    <w:rsid w:val="007B348A"/>
    <w:rsid w:val="007B3531"/>
    <w:rsid w:val="007B5173"/>
    <w:rsid w:val="007B5D91"/>
    <w:rsid w:val="007B5E6C"/>
    <w:rsid w:val="007B62B4"/>
    <w:rsid w:val="007B72B8"/>
    <w:rsid w:val="007B7A58"/>
    <w:rsid w:val="007C1F24"/>
    <w:rsid w:val="007C21B5"/>
    <w:rsid w:val="007C3B5D"/>
    <w:rsid w:val="007C4E2C"/>
    <w:rsid w:val="007C7297"/>
    <w:rsid w:val="007C7C58"/>
    <w:rsid w:val="007D01DE"/>
    <w:rsid w:val="007D1A6E"/>
    <w:rsid w:val="007D1B1A"/>
    <w:rsid w:val="007E01E5"/>
    <w:rsid w:val="007E28BB"/>
    <w:rsid w:val="007E3971"/>
    <w:rsid w:val="007E40FA"/>
    <w:rsid w:val="007E4BD2"/>
    <w:rsid w:val="007F2BBB"/>
    <w:rsid w:val="007F3059"/>
    <w:rsid w:val="007F3857"/>
    <w:rsid w:val="007F56BA"/>
    <w:rsid w:val="007F56EC"/>
    <w:rsid w:val="007F5938"/>
    <w:rsid w:val="007F742E"/>
    <w:rsid w:val="007F7FDF"/>
    <w:rsid w:val="008011E2"/>
    <w:rsid w:val="00801393"/>
    <w:rsid w:val="00801F1F"/>
    <w:rsid w:val="0080252A"/>
    <w:rsid w:val="00802F88"/>
    <w:rsid w:val="008030CD"/>
    <w:rsid w:val="0080556B"/>
    <w:rsid w:val="008124B8"/>
    <w:rsid w:val="00812635"/>
    <w:rsid w:val="0081293E"/>
    <w:rsid w:val="00814D61"/>
    <w:rsid w:val="00815465"/>
    <w:rsid w:val="008168C9"/>
    <w:rsid w:val="0081748A"/>
    <w:rsid w:val="00817B6F"/>
    <w:rsid w:val="00817DE6"/>
    <w:rsid w:val="00817E9A"/>
    <w:rsid w:val="00817F5B"/>
    <w:rsid w:val="00820486"/>
    <w:rsid w:val="00820923"/>
    <w:rsid w:val="00824228"/>
    <w:rsid w:val="00825253"/>
    <w:rsid w:val="00826C8D"/>
    <w:rsid w:val="00826D2A"/>
    <w:rsid w:val="00827264"/>
    <w:rsid w:val="008306BD"/>
    <w:rsid w:val="0083190E"/>
    <w:rsid w:val="00831A80"/>
    <w:rsid w:val="00831F0B"/>
    <w:rsid w:val="008336C4"/>
    <w:rsid w:val="00833743"/>
    <w:rsid w:val="008340A4"/>
    <w:rsid w:val="0083459A"/>
    <w:rsid w:val="00834FCA"/>
    <w:rsid w:val="008351B3"/>
    <w:rsid w:val="008357BB"/>
    <w:rsid w:val="008361CD"/>
    <w:rsid w:val="00837805"/>
    <w:rsid w:val="008410D6"/>
    <w:rsid w:val="00841564"/>
    <w:rsid w:val="0084238C"/>
    <w:rsid w:val="00846409"/>
    <w:rsid w:val="00846E97"/>
    <w:rsid w:val="00847E24"/>
    <w:rsid w:val="0085021E"/>
    <w:rsid w:val="008532D2"/>
    <w:rsid w:val="00853AC7"/>
    <w:rsid w:val="008553CE"/>
    <w:rsid w:val="0085601D"/>
    <w:rsid w:val="00857940"/>
    <w:rsid w:val="00857B1E"/>
    <w:rsid w:val="008600BD"/>
    <w:rsid w:val="008601BD"/>
    <w:rsid w:val="00863068"/>
    <w:rsid w:val="00863774"/>
    <w:rsid w:val="008652AF"/>
    <w:rsid w:val="008658BA"/>
    <w:rsid w:val="008673D3"/>
    <w:rsid w:val="0087135F"/>
    <w:rsid w:val="0087163E"/>
    <w:rsid w:val="00872D94"/>
    <w:rsid w:val="00873FF9"/>
    <w:rsid w:val="00874D0F"/>
    <w:rsid w:val="00876767"/>
    <w:rsid w:val="00880364"/>
    <w:rsid w:val="008858B0"/>
    <w:rsid w:val="00886323"/>
    <w:rsid w:val="00886C54"/>
    <w:rsid w:val="008908BF"/>
    <w:rsid w:val="00890B22"/>
    <w:rsid w:val="00891592"/>
    <w:rsid w:val="00891E9E"/>
    <w:rsid w:val="008923F2"/>
    <w:rsid w:val="008A1D82"/>
    <w:rsid w:val="008A2EA2"/>
    <w:rsid w:val="008A2F68"/>
    <w:rsid w:val="008A53BB"/>
    <w:rsid w:val="008A55EB"/>
    <w:rsid w:val="008A5E68"/>
    <w:rsid w:val="008A5F80"/>
    <w:rsid w:val="008A768C"/>
    <w:rsid w:val="008A7B4F"/>
    <w:rsid w:val="008B44F5"/>
    <w:rsid w:val="008B4940"/>
    <w:rsid w:val="008B4FA6"/>
    <w:rsid w:val="008B5282"/>
    <w:rsid w:val="008B6252"/>
    <w:rsid w:val="008B65B0"/>
    <w:rsid w:val="008B7A46"/>
    <w:rsid w:val="008B7C17"/>
    <w:rsid w:val="008C1757"/>
    <w:rsid w:val="008C2D01"/>
    <w:rsid w:val="008C38EE"/>
    <w:rsid w:val="008C40E6"/>
    <w:rsid w:val="008C48B6"/>
    <w:rsid w:val="008C4E74"/>
    <w:rsid w:val="008C7865"/>
    <w:rsid w:val="008D0B91"/>
    <w:rsid w:val="008D0F7A"/>
    <w:rsid w:val="008D6775"/>
    <w:rsid w:val="008D68E4"/>
    <w:rsid w:val="008D7454"/>
    <w:rsid w:val="008D7890"/>
    <w:rsid w:val="008D7AED"/>
    <w:rsid w:val="008D7CD9"/>
    <w:rsid w:val="008E0506"/>
    <w:rsid w:val="008E0CFF"/>
    <w:rsid w:val="008E1A82"/>
    <w:rsid w:val="008E2B93"/>
    <w:rsid w:val="008E382C"/>
    <w:rsid w:val="008E5D6B"/>
    <w:rsid w:val="008E5DC4"/>
    <w:rsid w:val="008E6678"/>
    <w:rsid w:val="008E6AE4"/>
    <w:rsid w:val="008E76F0"/>
    <w:rsid w:val="008F15FE"/>
    <w:rsid w:val="008F270E"/>
    <w:rsid w:val="008F2D29"/>
    <w:rsid w:val="008F41CA"/>
    <w:rsid w:val="008F5187"/>
    <w:rsid w:val="008F5322"/>
    <w:rsid w:val="008F60D8"/>
    <w:rsid w:val="008F6C8A"/>
    <w:rsid w:val="0090164A"/>
    <w:rsid w:val="00902727"/>
    <w:rsid w:val="00902956"/>
    <w:rsid w:val="0090312B"/>
    <w:rsid w:val="00904028"/>
    <w:rsid w:val="009062BE"/>
    <w:rsid w:val="0090686D"/>
    <w:rsid w:val="009108E2"/>
    <w:rsid w:val="009126EC"/>
    <w:rsid w:val="00913B50"/>
    <w:rsid w:val="00914733"/>
    <w:rsid w:val="00914E3F"/>
    <w:rsid w:val="00915655"/>
    <w:rsid w:val="00915FC9"/>
    <w:rsid w:val="0091703F"/>
    <w:rsid w:val="0091736D"/>
    <w:rsid w:val="00922234"/>
    <w:rsid w:val="0092239B"/>
    <w:rsid w:val="009230CD"/>
    <w:rsid w:val="0093037A"/>
    <w:rsid w:val="00933ADC"/>
    <w:rsid w:val="009340FE"/>
    <w:rsid w:val="0093468C"/>
    <w:rsid w:val="0093577F"/>
    <w:rsid w:val="009360AF"/>
    <w:rsid w:val="0094015E"/>
    <w:rsid w:val="0094154D"/>
    <w:rsid w:val="00941DF2"/>
    <w:rsid w:val="009427B6"/>
    <w:rsid w:val="00942C8C"/>
    <w:rsid w:val="00942F76"/>
    <w:rsid w:val="0094396E"/>
    <w:rsid w:val="009475A8"/>
    <w:rsid w:val="0094797F"/>
    <w:rsid w:val="0095155F"/>
    <w:rsid w:val="009515AC"/>
    <w:rsid w:val="0095287B"/>
    <w:rsid w:val="00952BDD"/>
    <w:rsid w:val="00953B28"/>
    <w:rsid w:val="00954429"/>
    <w:rsid w:val="00955D7B"/>
    <w:rsid w:val="009563CE"/>
    <w:rsid w:val="009601C9"/>
    <w:rsid w:val="009603E3"/>
    <w:rsid w:val="00963417"/>
    <w:rsid w:val="00964532"/>
    <w:rsid w:val="009653F5"/>
    <w:rsid w:val="00965F59"/>
    <w:rsid w:val="009667D1"/>
    <w:rsid w:val="00967EDA"/>
    <w:rsid w:val="009715D8"/>
    <w:rsid w:val="009743C8"/>
    <w:rsid w:val="00974E37"/>
    <w:rsid w:val="00975A6A"/>
    <w:rsid w:val="00976328"/>
    <w:rsid w:val="0097680D"/>
    <w:rsid w:val="00982438"/>
    <w:rsid w:val="0098404C"/>
    <w:rsid w:val="00985283"/>
    <w:rsid w:val="00985477"/>
    <w:rsid w:val="00985F48"/>
    <w:rsid w:val="00987222"/>
    <w:rsid w:val="0099078F"/>
    <w:rsid w:val="00991CFD"/>
    <w:rsid w:val="00992BED"/>
    <w:rsid w:val="00995366"/>
    <w:rsid w:val="00995992"/>
    <w:rsid w:val="00996418"/>
    <w:rsid w:val="009A03E5"/>
    <w:rsid w:val="009A0F3B"/>
    <w:rsid w:val="009A1BB4"/>
    <w:rsid w:val="009A2628"/>
    <w:rsid w:val="009A2ACA"/>
    <w:rsid w:val="009A3200"/>
    <w:rsid w:val="009A4313"/>
    <w:rsid w:val="009A5BB9"/>
    <w:rsid w:val="009B02C2"/>
    <w:rsid w:val="009B0897"/>
    <w:rsid w:val="009B11C4"/>
    <w:rsid w:val="009B3E9C"/>
    <w:rsid w:val="009B4387"/>
    <w:rsid w:val="009B5500"/>
    <w:rsid w:val="009B6630"/>
    <w:rsid w:val="009B6FDB"/>
    <w:rsid w:val="009B7BD9"/>
    <w:rsid w:val="009C173E"/>
    <w:rsid w:val="009C33AC"/>
    <w:rsid w:val="009C36DE"/>
    <w:rsid w:val="009C54AC"/>
    <w:rsid w:val="009C581E"/>
    <w:rsid w:val="009C7549"/>
    <w:rsid w:val="009C7DD5"/>
    <w:rsid w:val="009D081A"/>
    <w:rsid w:val="009D13A7"/>
    <w:rsid w:val="009D143E"/>
    <w:rsid w:val="009D1EF9"/>
    <w:rsid w:val="009D3695"/>
    <w:rsid w:val="009D4873"/>
    <w:rsid w:val="009D4DD6"/>
    <w:rsid w:val="009D55CC"/>
    <w:rsid w:val="009D794B"/>
    <w:rsid w:val="009E04E3"/>
    <w:rsid w:val="009E227D"/>
    <w:rsid w:val="009E5019"/>
    <w:rsid w:val="009E768B"/>
    <w:rsid w:val="009F04FA"/>
    <w:rsid w:val="009F09C0"/>
    <w:rsid w:val="009F0AF2"/>
    <w:rsid w:val="009F1B31"/>
    <w:rsid w:val="009F44A9"/>
    <w:rsid w:val="009F4E52"/>
    <w:rsid w:val="009F6D89"/>
    <w:rsid w:val="009F76EB"/>
    <w:rsid w:val="00A01ECA"/>
    <w:rsid w:val="00A0308B"/>
    <w:rsid w:val="00A0391B"/>
    <w:rsid w:val="00A04A51"/>
    <w:rsid w:val="00A04F1B"/>
    <w:rsid w:val="00A04FE2"/>
    <w:rsid w:val="00A0501B"/>
    <w:rsid w:val="00A06AEE"/>
    <w:rsid w:val="00A115E4"/>
    <w:rsid w:val="00A119E4"/>
    <w:rsid w:val="00A12CE3"/>
    <w:rsid w:val="00A143B2"/>
    <w:rsid w:val="00A14947"/>
    <w:rsid w:val="00A149D9"/>
    <w:rsid w:val="00A14D40"/>
    <w:rsid w:val="00A14F7C"/>
    <w:rsid w:val="00A15A54"/>
    <w:rsid w:val="00A16586"/>
    <w:rsid w:val="00A16DF1"/>
    <w:rsid w:val="00A17B3E"/>
    <w:rsid w:val="00A2090C"/>
    <w:rsid w:val="00A2099E"/>
    <w:rsid w:val="00A213F0"/>
    <w:rsid w:val="00A2309F"/>
    <w:rsid w:val="00A236AC"/>
    <w:rsid w:val="00A23F10"/>
    <w:rsid w:val="00A25F8F"/>
    <w:rsid w:val="00A315CC"/>
    <w:rsid w:val="00A32A7E"/>
    <w:rsid w:val="00A32A83"/>
    <w:rsid w:val="00A33EF5"/>
    <w:rsid w:val="00A33F27"/>
    <w:rsid w:val="00A3405F"/>
    <w:rsid w:val="00A368DB"/>
    <w:rsid w:val="00A37CEE"/>
    <w:rsid w:val="00A405C1"/>
    <w:rsid w:val="00A419B7"/>
    <w:rsid w:val="00A423AA"/>
    <w:rsid w:val="00A45AA2"/>
    <w:rsid w:val="00A46216"/>
    <w:rsid w:val="00A47AA4"/>
    <w:rsid w:val="00A505E6"/>
    <w:rsid w:val="00A515FD"/>
    <w:rsid w:val="00A53EC6"/>
    <w:rsid w:val="00A55C0F"/>
    <w:rsid w:val="00A560E9"/>
    <w:rsid w:val="00A57AA0"/>
    <w:rsid w:val="00A60C58"/>
    <w:rsid w:val="00A61CF9"/>
    <w:rsid w:val="00A61E02"/>
    <w:rsid w:val="00A61E7B"/>
    <w:rsid w:val="00A63C9A"/>
    <w:rsid w:val="00A647BF"/>
    <w:rsid w:val="00A660D1"/>
    <w:rsid w:val="00A6786E"/>
    <w:rsid w:val="00A7057F"/>
    <w:rsid w:val="00A71894"/>
    <w:rsid w:val="00A73CEA"/>
    <w:rsid w:val="00A751F4"/>
    <w:rsid w:val="00A7538F"/>
    <w:rsid w:val="00A7577F"/>
    <w:rsid w:val="00A76BAB"/>
    <w:rsid w:val="00A813CC"/>
    <w:rsid w:val="00A82A3C"/>
    <w:rsid w:val="00A84B3D"/>
    <w:rsid w:val="00A86D29"/>
    <w:rsid w:val="00A8713F"/>
    <w:rsid w:val="00A90142"/>
    <w:rsid w:val="00A907B7"/>
    <w:rsid w:val="00A90BA1"/>
    <w:rsid w:val="00A9495D"/>
    <w:rsid w:val="00A97A9A"/>
    <w:rsid w:val="00AA0671"/>
    <w:rsid w:val="00AA2531"/>
    <w:rsid w:val="00AA42C5"/>
    <w:rsid w:val="00AA480F"/>
    <w:rsid w:val="00AA6630"/>
    <w:rsid w:val="00AB081D"/>
    <w:rsid w:val="00AB1E09"/>
    <w:rsid w:val="00AB245A"/>
    <w:rsid w:val="00AB4B4C"/>
    <w:rsid w:val="00AB5330"/>
    <w:rsid w:val="00AB5B8B"/>
    <w:rsid w:val="00AB7747"/>
    <w:rsid w:val="00AC14CE"/>
    <w:rsid w:val="00AC2A56"/>
    <w:rsid w:val="00AC47DB"/>
    <w:rsid w:val="00AC756C"/>
    <w:rsid w:val="00AD055E"/>
    <w:rsid w:val="00AD0A2F"/>
    <w:rsid w:val="00AD3FB0"/>
    <w:rsid w:val="00AD47A7"/>
    <w:rsid w:val="00AD5E1F"/>
    <w:rsid w:val="00AD61CB"/>
    <w:rsid w:val="00AE06D4"/>
    <w:rsid w:val="00AE0F11"/>
    <w:rsid w:val="00AE2952"/>
    <w:rsid w:val="00AE6DDF"/>
    <w:rsid w:val="00AF0BA0"/>
    <w:rsid w:val="00AF0CBF"/>
    <w:rsid w:val="00AF1C9A"/>
    <w:rsid w:val="00AF257F"/>
    <w:rsid w:val="00AF33CF"/>
    <w:rsid w:val="00AF4D50"/>
    <w:rsid w:val="00AF5DEC"/>
    <w:rsid w:val="00AF5FD8"/>
    <w:rsid w:val="00AF6179"/>
    <w:rsid w:val="00AF6EAA"/>
    <w:rsid w:val="00AF78AB"/>
    <w:rsid w:val="00B01CD9"/>
    <w:rsid w:val="00B03736"/>
    <w:rsid w:val="00B04DE5"/>
    <w:rsid w:val="00B05538"/>
    <w:rsid w:val="00B10545"/>
    <w:rsid w:val="00B12139"/>
    <w:rsid w:val="00B1295A"/>
    <w:rsid w:val="00B16844"/>
    <w:rsid w:val="00B16FF8"/>
    <w:rsid w:val="00B17A3D"/>
    <w:rsid w:val="00B20A45"/>
    <w:rsid w:val="00B20DF2"/>
    <w:rsid w:val="00B2135E"/>
    <w:rsid w:val="00B225BA"/>
    <w:rsid w:val="00B22C5C"/>
    <w:rsid w:val="00B24F30"/>
    <w:rsid w:val="00B31629"/>
    <w:rsid w:val="00B31ABF"/>
    <w:rsid w:val="00B31BB9"/>
    <w:rsid w:val="00B33BE3"/>
    <w:rsid w:val="00B353A6"/>
    <w:rsid w:val="00B35F0F"/>
    <w:rsid w:val="00B363F2"/>
    <w:rsid w:val="00B3680E"/>
    <w:rsid w:val="00B3725D"/>
    <w:rsid w:val="00B4048C"/>
    <w:rsid w:val="00B40D82"/>
    <w:rsid w:val="00B442A6"/>
    <w:rsid w:val="00B45C94"/>
    <w:rsid w:val="00B479B7"/>
    <w:rsid w:val="00B50F66"/>
    <w:rsid w:val="00B51176"/>
    <w:rsid w:val="00B51441"/>
    <w:rsid w:val="00B51929"/>
    <w:rsid w:val="00B53112"/>
    <w:rsid w:val="00B53B5D"/>
    <w:rsid w:val="00B57390"/>
    <w:rsid w:val="00B5759B"/>
    <w:rsid w:val="00B6055E"/>
    <w:rsid w:val="00B6317D"/>
    <w:rsid w:val="00B63D50"/>
    <w:rsid w:val="00B64217"/>
    <w:rsid w:val="00B6501A"/>
    <w:rsid w:val="00B65965"/>
    <w:rsid w:val="00B66715"/>
    <w:rsid w:val="00B66ED2"/>
    <w:rsid w:val="00B717C9"/>
    <w:rsid w:val="00B74D1E"/>
    <w:rsid w:val="00B7723F"/>
    <w:rsid w:val="00B80534"/>
    <w:rsid w:val="00B82B05"/>
    <w:rsid w:val="00B8433C"/>
    <w:rsid w:val="00B84E6C"/>
    <w:rsid w:val="00B856E3"/>
    <w:rsid w:val="00B85931"/>
    <w:rsid w:val="00B859F2"/>
    <w:rsid w:val="00B867E2"/>
    <w:rsid w:val="00B8687F"/>
    <w:rsid w:val="00B87491"/>
    <w:rsid w:val="00B8751F"/>
    <w:rsid w:val="00B87850"/>
    <w:rsid w:val="00B90CD6"/>
    <w:rsid w:val="00B917A9"/>
    <w:rsid w:val="00B9364B"/>
    <w:rsid w:val="00BA0192"/>
    <w:rsid w:val="00BA1434"/>
    <w:rsid w:val="00BA2735"/>
    <w:rsid w:val="00BA299D"/>
    <w:rsid w:val="00BA29E9"/>
    <w:rsid w:val="00BA2A9D"/>
    <w:rsid w:val="00BA695D"/>
    <w:rsid w:val="00BA7142"/>
    <w:rsid w:val="00BB237C"/>
    <w:rsid w:val="00BB2C03"/>
    <w:rsid w:val="00BB3577"/>
    <w:rsid w:val="00BB41A3"/>
    <w:rsid w:val="00BB4DB5"/>
    <w:rsid w:val="00BB5F8D"/>
    <w:rsid w:val="00BB7380"/>
    <w:rsid w:val="00BB7E39"/>
    <w:rsid w:val="00BC1D0B"/>
    <w:rsid w:val="00BC2D62"/>
    <w:rsid w:val="00BC32DC"/>
    <w:rsid w:val="00BC331B"/>
    <w:rsid w:val="00BC35B6"/>
    <w:rsid w:val="00BC3790"/>
    <w:rsid w:val="00BC3799"/>
    <w:rsid w:val="00BC38E7"/>
    <w:rsid w:val="00BD0DF5"/>
    <w:rsid w:val="00BD12F0"/>
    <w:rsid w:val="00BD1B51"/>
    <w:rsid w:val="00BD2C8E"/>
    <w:rsid w:val="00BD31F2"/>
    <w:rsid w:val="00BD3EBD"/>
    <w:rsid w:val="00BD4061"/>
    <w:rsid w:val="00BD41FD"/>
    <w:rsid w:val="00BD4596"/>
    <w:rsid w:val="00BD5BD9"/>
    <w:rsid w:val="00BD6E98"/>
    <w:rsid w:val="00BD72E4"/>
    <w:rsid w:val="00BD78DE"/>
    <w:rsid w:val="00BD7B7C"/>
    <w:rsid w:val="00BE1405"/>
    <w:rsid w:val="00BE26B7"/>
    <w:rsid w:val="00BE312D"/>
    <w:rsid w:val="00BE3962"/>
    <w:rsid w:val="00BE4801"/>
    <w:rsid w:val="00BE6CC6"/>
    <w:rsid w:val="00BF12D8"/>
    <w:rsid w:val="00BF1C20"/>
    <w:rsid w:val="00BF3DF4"/>
    <w:rsid w:val="00BF4320"/>
    <w:rsid w:val="00BF6075"/>
    <w:rsid w:val="00BF7277"/>
    <w:rsid w:val="00BF7802"/>
    <w:rsid w:val="00C04186"/>
    <w:rsid w:val="00C05B5B"/>
    <w:rsid w:val="00C05DC0"/>
    <w:rsid w:val="00C05DED"/>
    <w:rsid w:val="00C0600F"/>
    <w:rsid w:val="00C0738B"/>
    <w:rsid w:val="00C10578"/>
    <w:rsid w:val="00C105DD"/>
    <w:rsid w:val="00C11BE1"/>
    <w:rsid w:val="00C126C2"/>
    <w:rsid w:val="00C12D60"/>
    <w:rsid w:val="00C12DEE"/>
    <w:rsid w:val="00C135BC"/>
    <w:rsid w:val="00C148A0"/>
    <w:rsid w:val="00C15C95"/>
    <w:rsid w:val="00C1697E"/>
    <w:rsid w:val="00C232ED"/>
    <w:rsid w:val="00C256DF"/>
    <w:rsid w:val="00C2596A"/>
    <w:rsid w:val="00C25A53"/>
    <w:rsid w:val="00C27537"/>
    <w:rsid w:val="00C2783F"/>
    <w:rsid w:val="00C27CC2"/>
    <w:rsid w:val="00C31051"/>
    <w:rsid w:val="00C328FE"/>
    <w:rsid w:val="00C33507"/>
    <w:rsid w:val="00C35064"/>
    <w:rsid w:val="00C354C1"/>
    <w:rsid w:val="00C41F5C"/>
    <w:rsid w:val="00C42B94"/>
    <w:rsid w:val="00C42E40"/>
    <w:rsid w:val="00C4409D"/>
    <w:rsid w:val="00C44B8E"/>
    <w:rsid w:val="00C44E72"/>
    <w:rsid w:val="00C4516D"/>
    <w:rsid w:val="00C455F3"/>
    <w:rsid w:val="00C45A06"/>
    <w:rsid w:val="00C46104"/>
    <w:rsid w:val="00C47E5B"/>
    <w:rsid w:val="00C50265"/>
    <w:rsid w:val="00C5080C"/>
    <w:rsid w:val="00C50D3E"/>
    <w:rsid w:val="00C51E31"/>
    <w:rsid w:val="00C55F4D"/>
    <w:rsid w:val="00C567F9"/>
    <w:rsid w:val="00C56CEB"/>
    <w:rsid w:val="00C57B0B"/>
    <w:rsid w:val="00C61478"/>
    <w:rsid w:val="00C61E4B"/>
    <w:rsid w:val="00C62310"/>
    <w:rsid w:val="00C637D5"/>
    <w:rsid w:val="00C63A24"/>
    <w:rsid w:val="00C64A60"/>
    <w:rsid w:val="00C64BFF"/>
    <w:rsid w:val="00C662F7"/>
    <w:rsid w:val="00C667AD"/>
    <w:rsid w:val="00C70356"/>
    <w:rsid w:val="00C704E9"/>
    <w:rsid w:val="00C720FF"/>
    <w:rsid w:val="00C74224"/>
    <w:rsid w:val="00C742DE"/>
    <w:rsid w:val="00C74827"/>
    <w:rsid w:val="00C763C9"/>
    <w:rsid w:val="00C77176"/>
    <w:rsid w:val="00C774BB"/>
    <w:rsid w:val="00C77AA7"/>
    <w:rsid w:val="00C80057"/>
    <w:rsid w:val="00C80F37"/>
    <w:rsid w:val="00C812A4"/>
    <w:rsid w:val="00C81901"/>
    <w:rsid w:val="00C82232"/>
    <w:rsid w:val="00C822CF"/>
    <w:rsid w:val="00C82913"/>
    <w:rsid w:val="00C82EAE"/>
    <w:rsid w:val="00C858B0"/>
    <w:rsid w:val="00C85D32"/>
    <w:rsid w:val="00C87366"/>
    <w:rsid w:val="00C874E6"/>
    <w:rsid w:val="00C90054"/>
    <w:rsid w:val="00C9226F"/>
    <w:rsid w:val="00C92ADB"/>
    <w:rsid w:val="00C93B20"/>
    <w:rsid w:val="00C94EC4"/>
    <w:rsid w:val="00C95AD8"/>
    <w:rsid w:val="00C9626F"/>
    <w:rsid w:val="00C9667C"/>
    <w:rsid w:val="00C96B1F"/>
    <w:rsid w:val="00C96BA5"/>
    <w:rsid w:val="00C96EB9"/>
    <w:rsid w:val="00C972B1"/>
    <w:rsid w:val="00C97A88"/>
    <w:rsid w:val="00CA13B8"/>
    <w:rsid w:val="00CA2CCE"/>
    <w:rsid w:val="00CA32CB"/>
    <w:rsid w:val="00CA43FD"/>
    <w:rsid w:val="00CA65E9"/>
    <w:rsid w:val="00CA7046"/>
    <w:rsid w:val="00CA7AF2"/>
    <w:rsid w:val="00CA7EF8"/>
    <w:rsid w:val="00CB018F"/>
    <w:rsid w:val="00CB0D6E"/>
    <w:rsid w:val="00CB1392"/>
    <w:rsid w:val="00CB2354"/>
    <w:rsid w:val="00CB2A7E"/>
    <w:rsid w:val="00CB5E61"/>
    <w:rsid w:val="00CC11BA"/>
    <w:rsid w:val="00CC1C05"/>
    <w:rsid w:val="00CC2313"/>
    <w:rsid w:val="00CC47EB"/>
    <w:rsid w:val="00CC489B"/>
    <w:rsid w:val="00CC6386"/>
    <w:rsid w:val="00CC6845"/>
    <w:rsid w:val="00CD0C51"/>
    <w:rsid w:val="00CD181D"/>
    <w:rsid w:val="00CD2237"/>
    <w:rsid w:val="00CD2BCD"/>
    <w:rsid w:val="00CD3A4C"/>
    <w:rsid w:val="00CD787E"/>
    <w:rsid w:val="00CE031F"/>
    <w:rsid w:val="00CE10E9"/>
    <w:rsid w:val="00CE2910"/>
    <w:rsid w:val="00CE2AA1"/>
    <w:rsid w:val="00CE3D6F"/>
    <w:rsid w:val="00CE43AB"/>
    <w:rsid w:val="00CE5393"/>
    <w:rsid w:val="00CE5A77"/>
    <w:rsid w:val="00CE7EDD"/>
    <w:rsid w:val="00CF02F6"/>
    <w:rsid w:val="00CF090E"/>
    <w:rsid w:val="00CF1095"/>
    <w:rsid w:val="00CF2042"/>
    <w:rsid w:val="00CF2F0E"/>
    <w:rsid w:val="00CF334A"/>
    <w:rsid w:val="00CF36BE"/>
    <w:rsid w:val="00CF6000"/>
    <w:rsid w:val="00CF7480"/>
    <w:rsid w:val="00CF74AA"/>
    <w:rsid w:val="00CF780C"/>
    <w:rsid w:val="00D003F3"/>
    <w:rsid w:val="00D00CFF"/>
    <w:rsid w:val="00D00D3D"/>
    <w:rsid w:val="00D02DB2"/>
    <w:rsid w:val="00D0364F"/>
    <w:rsid w:val="00D03F71"/>
    <w:rsid w:val="00D04E17"/>
    <w:rsid w:val="00D06834"/>
    <w:rsid w:val="00D075C6"/>
    <w:rsid w:val="00D103F9"/>
    <w:rsid w:val="00D1322A"/>
    <w:rsid w:val="00D13975"/>
    <w:rsid w:val="00D14B17"/>
    <w:rsid w:val="00D157C5"/>
    <w:rsid w:val="00D170E3"/>
    <w:rsid w:val="00D23066"/>
    <w:rsid w:val="00D241BA"/>
    <w:rsid w:val="00D2481B"/>
    <w:rsid w:val="00D267CA"/>
    <w:rsid w:val="00D27414"/>
    <w:rsid w:val="00D308ED"/>
    <w:rsid w:val="00D328CC"/>
    <w:rsid w:val="00D32FFB"/>
    <w:rsid w:val="00D33635"/>
    <w:rsid w:val="00D34275"/>
    <w:rsid w:val="00D36D86"/>
    <w:rsid w:val="00D40E8F"/>
    <w:rsid w:val="00D42789"/>
    <w:rsid w:val="00D428AA"/>
    <w:rsid w:val="00D44C54"/>
    <w:rsid w:val="00D507BC"/>
    <w:rsid w:val="00D50A34"/>
    <w:rsid w:val="00D539EC"/>
    <w:rsid w:val="00D53EFA"/>
    <w:rsid w:val="00D57FF4"/>
    <w:rsid w:val="00D603C8"/>
    <w:rsid w:val="00D62516"/>
    <w:rsid w:val="00D62F7B"/>
    <w:rsid w:val="00D656BC"/>
    <w:rsid w:val="00D73F2E"/>
    <w:rsid w:val="00D761A8"/>
    <w:rsid w:val="00D809B8"/>
    <w:rsid w:val="00D80F0F"/>
    <w:rsid w:val="00D82BCC"/>
    <w:rsid w:val="00D833DD"/>
    <w:rsid w:val="00D83D0E"/>
    <w:rsid w:val="00D85122"/>
    <w:rsid w:val="00D87761"/>
    <w:rsid w:val="00D91EDB"/>
    <w:rsid w:val="00D94095"/>
    <w:rsid w:val="00D94A7C"/>
    <w:rsid w:val="00D956F3"/>
    <w:rsid w:val="00D95896"/>
    <w:rsid w:val="00D9766A"/>
    <w:rsid w:val="00DA2B33"/>
    <w:rsid w:val="00DA2CE5"/>
    <w:rsid w:val="00DA4520"/>
    <w:rsid w:val="00DA5671"/>
    <w:rsid w:val="00DA6529"/>
    <w:rsid w:val="00DA6A33"/>
    <w:rsid w:val="00DB04F5"/>
    <w:rsid w:val="00DB21F4"/>
    <w:rsid w:val="00DB23BD"/>
    <w:rsid w:val="00DB25F0"/>
    <w:rsid w:val="00DB2983"/>
    <w:rsid w:val="00DB3D30"/>
    <w:rsid w:val="00DB42DA"/>
    <w:rsid w:val="00DB436F"/>
    <w:rsid w:val="00DB4414"/>
    <w:rsid w:val="00DB4BD7"/>
    <w:rsid w:val="00DB62F6"/>
    <w:rsid w:val="00DB720A"/>
    <w:rsid w:val="00DB7CC6"/>
    <w:rsid w:val="00DC09F2"/>
    <w:rsid w:val="00DC0ABB"/>
    <w:rsid w:val="00DC1257"/>
    <w:rsid w:val="00DC2F0C"/>
    <w:rsid w:val="00DC3DC0"/>
    <w:rsid w:val="00DC5B2B"/>
    <w:rsid w:val="00DC7A16"/>
    <w:rsid w:val="00DC7F5F"/>
    <w:rsid w:val="00DD0E83"/>
    <w:rsid w:val="00DD11A0"/>
    <w:rsid w:val="00DD1765"/>
    <w:rsid w:val="00DD25A4"/>
    <w:rsid w:val="00DD318D"/>
    <w:rsid w:val="00DD50A1"/>
    <w:rsid w:val="00DD5F7F"/>
    <w:rsid w:val="00DE3C03"/>
    <w:rsid w:val="00DE3E4B"/>
    <w:rsid w:val="00DF2895"/>
    <w:rsid w:val="00DF2E12"/>
    <w:rsid w:val="00DF514A"/>
    <w:rsid w:val="00DF6690"/>
    <w:rsid w:val="00DF6804"/>
    <w:rsid w:val="00DF7037"/>
    <w:rsid w:val="00DF7CEF"/>
    <w:rsid w:val="00E02AD3"/>
    <w:rsid w:val="00E03424"/>
    <w:rsid w:val="00E0358D"/>
    <w:rsid w:val="00E04323"/>
    <w:rsid w:val="00E05328"/>
    <w:rsid w:val="00E055BB"/>
    <w:rsid w:val="00E070A2"/>
    <w:rsid w:val="00E07B2F"/>
    <w:rsid w:val="00E07DDE"/>
    <w:rsid w:val="00E07FC9"/>
    <w:rsid w:val="00E1204A"/>
    <w:rsid w:val="00E15ADE"/>
    <w:rsid w:val="00E20E05"/>
    <w:rsid w:val="00E224C6"/>
    <w:rsid w:val="00E22D2A"/>
    <w:rsid w:val="00E23944"/>
    <w:rsid w:val="00E24737"/>
    <w:rsid w:val="00E2656A"/>
    <w:rsid w:val="00E278E3"/>
    <w:rsid w:val="00E30D45"/>
    <w:rsid w:val="00E3374A"/>
    <w:rsid w:val="00E34AA9"/>
    <w:rsid w:val="00E3565E"/>
    <w:rsid w:val="00E356C7"/>
    <w:rsid w:val="00E361FE"/>
    <w:rsid w:val="00E371FE"/>
    <w:rsid w:val="00E412D0"/>
    <w:rsid w:val="00E45A54"/>
    <w:rsid w:val="00E46CE7"/>
    <w:rsid w:val="00E5026F"/>
    <w:rsid w:val="00E50B6C"/>
    <w:rsid w:val="00E56322"/>
    <w:rsid w:val="00E56848"/>
    <w:rsid w:val="00E60982"/>
    <w:rsid w:val="00E60BA1"/>
    <w:rsid w:val="00E62405"/>
    <w:rsid w:val="00E62C62"/>
    <w:rsid w:val="00E64535"/>
    <w:rsid w:val="00E654C1"/>
    <w:rsid w:val="00E6559C"/>
    <w:rsid w:val="00E65D97"/>
    <w:rsid w:val="00E66124"/>
    <w:rsid w:val="00E66A03"/>
    <w:rsid w:val="00E72A5A"/>
    <w:rsid w:val="00E73354"/>
    <w:rsid w:val="00E77111"/>
    <w:rsid w:val="00E77E90"/>
    <w:rsid w:val="00E82F9E"/>
    <w:rsid w:val="00E85F31"/>
    <w:rsid w:val="00E900B7"/>
    <w:rsid w:val="00E9070B"/>
    <w:rsid w:val="00E9242D"/>
    <w:rsid w:val="00E93024"/>
    <w:rsid w:val="00E94151"/>
    <w:rsid w:val="00E949D5"/>
    <w:rsid w:val="00E95425"/>
    <w:rsid w:val="00E9574D"/>
    <w:rsid w:val="00E95CDB"/>
    <w:rsid w:val="00EA1DB7"/>
    <w:rsid w:val="00EA25A2"/>
    <w:rsid w:val="00EA3945"/>
    <w:rsid w:val="00EA4B62"/>
    <w:rsid w:val="00EA619D"/>
    <w:rsid w:val="00EA75D5"/>
    <w:rsid w:val="00EB286D"/>
    <w:rsid w:val="00EB3B89"/>
    <w:rsid w:val="00EB51E7"/>
    <w:rsid w:val="00EB5255"/>
    <w:rsid w:val="00EB5C47"/>
    <w:rsid w:val="00EB7936"/>
    <w:rsid w:val="00EC00DA"/>
    <w:rsid w:val="00EC186B"/>
    <w:rsid w:val="00EC2BC0"/>
    <w:rsid w:val="00EC2CAE"/>
    <w:rsid w:val="00EC3FCA"/>
    <w:rsid w:val="00EC684E"/>
    <w:rsid w:val="00ED0491"/>
    <w:rsid w:val="00ED0639"/>
    <w:rsid w:val="00ED121B"/>
    <w:rsid w:val="00ED20F8"/>
    <w:rsid w:val="00ED34AE"/>
    <w:rsid w:val="00ED4660"/>
    <w:rsid w:val="00EE0497"/>
    <w:rsid w:val="00EE09B5"/>
    <w:rsid w:val="00EE0BF9"/>
    <w:rsid w:val="00EE1D02"/>
    <w:rsid w:val="00EE230C"/>
    <w:rsid w:val="00EE2D10"/>
    <w:rsid w:val="00EE2E5C"/>
    <w:rsid w:val="00EE4D12"/>
    <w:rsid w:val="00EE5E64"/>
    <w:rsid w:val="00EF0A71"/>
    <w:rsid w:val="00EF0D05"/>
    <w:rsid w:val="00EF2E5A"/>
    <w:rsid w:val="00EF4466"/>
    <w:rsid w:val="00EF4755"/>
    <w:rsid w:val="00EF59FF"/>
    <w:rsid w:val="00EF7135"/>
    <w:rsid w:val="00F000DE"/>
    <w:rsid w:val="00F00804"/>
    <w:rsid w:val="00F0101E"/>
    <w:rsid w:val="00F016CD"/>
    <w:rsid w:val="00F0181D"/>
    <w:rsid w:val="00F027DB"/>
    <w:rsid w:val="00F1421A"/>
    <w:rsid w:val="00F144D1"/>
    <w:rsid w:val="00F14A7A"/>
    <w:rsid w:val="00F150D8"/>
    <w:rsid w:val="00F15124"/>
    <w:rsid w:val="00F20B3D"/>
    <w:rsid w:val="00F22985"/>
    <w:rsid w:val="00F23540"/>
    <w:rsid w:val="00F2378C"/>
    <w:rsid w:val="00F244E9"/>
    <w:rsid w:val="00F24E32"/>
    <w:rsid w:val="00F2657E"/>
    <w:rsid w:val="00F30F75"/>
    <w:rsid w:val="00F31A47"/>
    <w:rsid w:val="00F33522"/>
    <w:rsid w:val="00F3383E"/>
    <w:rsid w:val="00F374F0"/>
    <w:rsid w:val="00F42893"/>
    <w:rsid w:val="00F43E58"/>
    <w:rsid w:val="00F465A7"/>
    <w:rsid w:val="00F46F07"/>
    <w:rsid w:val="00F50B7C"/>
    <w:rsid w:val="00F533F0"/>
    <w:rsid w:val="00F550E6"/>
    <w:rsid w:val="00F55AF9"/>
    <w:rsid w:val="00F5711C"/>
    <w:rsid w:val="00F57D80"/>
    <w:rsid w:val="00F57E83"/>
    <w:rsid w:val="00F610E4"/>
    <w:rsid w:val="00F61925"/>
    <w:rsid w:val="00F61F7D"/>
    <w:rsid w:val="00F62F04"/>
    <w:rsid w:val="00F631AF"/>
    <w:rsid w:val="00F63A88"/>
    <w:rsid w:val="00F6462E"/>
    <w:rsid w:val="00F67D44"/>
    <w:rsid w:val="00F7029F"/>
    <w:rsid w:val="00F70751"/>
    <w:rsid w:val="00F72EA3"/>
    <w:rsid w:val="00F73032"/>
    <w:rsid w:val="00F7310B"/>
    <w:rsid w:val="00F74345"/>
    <w:rsid w:val="00F74BD3"/>
    <w:rsid w:val="00F76E55"/>
    <w:rsid w:val="00F7755B"/>
    <w:rsid w:val="00F7762B"/>
    <w:rsid w:val="00F80A0A"/>
    <w:rsid w:val="00F81AB3"/>
    <w:rsid w:val="00F82B19"/>
    <w:rsid w:val="00F82F0A"/>
    <w:rsid w:val="00F84884"/>
    <w:rsid w:val="00F8557A"/>
    <w:rsid w:val="00F90362"/>
    <w:rsid w:val="00F911A1"/>
    <w:rsid w:val="00F91399"/>
    <w:rsid w:val="00F91D50"/>
    <w:rsid w:val="00F9212D"/>
    <w:rsid w:val="00F92525"/>
    <w:rsid w:val="00F95129"/>
    <w:rsid w:val="00F965DA"/>
    <w:rsid w:val="00F96C46"/>
    <w:rsid w:val="00FA1082"/>
    <w:rsid w:val="00FA1B95"/>
    <w:rsid w:val="00FA210A"/>
    <w:rsid w:val="00FA406A"/>
    <w:rsid w:val="00FA776D"/>
    <w:rsid w:val="00FB056B"/>
    <w:rsid w:val="00FB503A"/>
    <w:rsid w:val="00FB516C"/>
    <w:rsid w:val="00FB55F9"/>
    <w:rsid w:val="00FB6A62"/>
    <w:rsid w:val="00FB716E"/>
    <w:rsid w:val="00FC2651"/>
    <w:rsid w:val="00FC3AB1"/>
    <w:rsid w:val="00FC535B"/>
    <w:rsid w:val="00FC5ED4"/>
    <w:rsid w:val="00FC7110"/>
    <w:rsid w:val="00FD0236"/>
    <w:rsid w:val="00FD05E4"/>
    <w:rsid w:val="00FD10D2"/>
    <w:rsid w:val="00FD18F4"/>
    <w:rsid w:val="00FD1CED"/>
    <w:rsid w:val="00FD1DBF"/>
    <w:rsid w:val="00FD2ACC"/>
    <w:rsid w:val="00FD2FB7"/>
    <w:rsid w:val="00FD3669"/>
    <w:rsid w:val="00FD4A57"/>
    <w:rsid w:val="00FD54DB"/>
    <w:rsid w:val="00FD619F"/>
    <w:rsid w:val="00FE0117"/>
    <w:rsid w:val="00FE058E"/>
    <w:rsid w:val="00FE09B9"/>
    <w:rsid w:val="00FE1321"/>
    <w:rsid w:val="00FE1740"/>
    <w:rsid w:val="00FE33FD"/>
    <w:rsid w:val="00FE5CD0"/>
    <w:rsid w:val="00FE653D"/>
    <w:rsid w:val="00FE6999"/>
    <w:rsid w:val="00FF00D2"/>
    <w:rsid w:val="00FF07E5"/>
    <w:rsid w:val="00FF1557"/>
    <w:rsid w:val="00FF2C2F"/>
    <w:rsid w:val="00FF5389"/>
    <w:rsid w:val="00FF637F"/>
    <w:rsid w:val="010B405F"/>
    <w:rsid w:val="01290F7E"/>
    <w:rsid w:val="015D1E09"/>
    <w:rsid w:val="01785B98"/>
    <w:rsid w:val="01983877"/>
    <w:rsid w:val="01B91D0C"/>
    <w:rsid w:val="01BA5D80"/>
    <w:rsid w:val="01E46D89"/>
    <w:rsid w:val="01E66FA5"/>
    <w:rsid w:val="020C62E0"/>
    <w:rsid w:val="021C29C7"/>
    <w:rsid w:val="0227136C"/>
    <w:rsid w:val="022F565F"/>
    <w:rsid w:val="02697903"/>
    <w:rsid w:val="027A149C"/>
    <w:rsid w:val="02AC112D"/>
    <w:rsid w:val="02AC5A72"/>
    <w:rsid w:val="02C72207"/>
    <w:rsid w:val="02E828A9"/>
    <w:rsid w:val="02F96569"/>
    <w:rsid w:val="032901FD"/>
    <w:rsid w:val="0360785E"/>
    <w:rsid w:val="036A59B4"/>
    <w:rsid w:val="0370464D"/>
    <w:rsid w:val="03B453AA"/>
    <w:rsid w:val="03B6092B"/>
    <w:rsid w:val="03D245C3"/>
    <w:rsid w:val="03D251BA"/>
    <w:rsid w:val="03EA7B21"/>
    <w:rsid w:val="041A5316"/>
    <w:rsid w:val="042B7FA3"/>
    <w:rsid w:val="046E3571"/>
    <w:rsid w:val="049A05B6"/>
    <w:rsid w:val="04AD0435"/>
    <w:rsid w:val="04B24C31"/>
    <w:rsid w:val="04B862AB"/>
    <w:rsid w:val="04C47046"/>
    <w:rsid w:val="04E946B7"/>
    <w:rsid w:val="04FD5A07"/>
    <w:rsid w:val="052F3922"/>
    <w:rsid w:val="053F077B"/>
    <w:rsid w:val="0543670B"/>
    <w:rsid w:val="05486D44"/>
    <w:rsid w:val="054C60AE"/>
    <w:rsid w:val="05E00935"/>
    <w:rsid w:val="05F83EAE"/>
    <w:rsid w:val="06053772"/>
    <w:rsid w:val="063E7D85"/>
    <w:rsid w:val="067B1C86"/>
    <w:rsid w:val="067B371F"/>
    <w:rsid w:val="06A43013"/>
    <w:rsid w:val="06B34F7C"/>
    <w:rsid w:val="06DE46EF"/>
    <w:rsid w:val="071579E5"/>
    <w:rsid w:val="07293586"/>
    <w:rsid w:val="07295285"/>
    <w:rsid w:val="072A7934"/>
    <w:rsid w:val="072E58CA"/>
    <w:rsid w:val="073C2AFB"/>
    <w:rsid w:val="07636392"/>
    <w:rsid w:val="076E3F95"/>
    <w:rsid w:val="07770C56"/>
    <w:rsid w:val="07BD4337"/>
    <w:rsid w:val="07D23B28"/>
    <w:rsid w:val="07FC0BA5"/>
    <w:rsid w:val="082D0D5E"/>
    <w:rsid w:val="085A5FF7"/>
    <w:rsid w:val="085D7896"/>
    <w:rsid w:val="088B29B2"/>
    <w:rsid w:val="0910058F"/>
    <w:rsid w:val="092217DD"/>
    <w:rsid w:val="092B7994"/>
    <w:rsid w:val="092E2FE0"/>
    <w:rsid w:val="09391A25"/>
    <w:rsid w:val="093A7294"/>
    <w:rsid w:val="096B2D0D"/>
    <w:rsid w:val="097D7E05"/>
    <w:rsid w:val="099077F7"/>
    <w:rsid w:val="09AB63DF"/>
    <w:rsid w:val="09B259BF"/>
    <w:rsid w:val="09B27F25"/>
    <w:rsid w:val="09B554AF"/>
    <w:rsid w:val="09B94F9F"/>
    <w:rsid w:val="09CD45A7"/>
    <w:rsid w:val="09E35B78"/>
    <w:rsid w:val="0A263993"/>
    <w:rsid w:val="0A2D3AC2"/>
    <w:rsid w:val="0A79472F"/>
    <w:rsid w:val="0A830887"/>
    <w:rsid w:val="0AA755DF"/>
    <w:rsid w:val="0AC42355"/>
    <w:rsid w:val="0AE0030A"/>
    <w:rsid w:val="0B02362F"/>
    <w:rsid w:val="0B0E131B"/>
    <w:rsid w:val="0B120D44"/>
    <w:rsid w:val="0B226A39"/>
    <w:rsid w:val="0B6D4294"/>
    <w:rsid w:val="0B792C38"/>
    <w:rsid w:val="0BC33EB3"/>
    <w:rsid w:val="0BC65752"/>
    <w:rsid w:val="0BD27BF6"/>
    <w:rsid w:val="0BE15F86"/>
    <w:rsid w:val="0BE463B7"/>
    <w:rsid w:val="0C020E1C"/>
    <w:rsid w:val="0C0452F3"/>
    <w:rsid w:val="0C2273EC"/>
    <w:rsid w:val="0C3841E3"/>
    <w:rsid w:val="0C3B3C7D"/>
    <w:rsid w:val="0C41302A"/>
    <w:rsid w:val="0C584B4F"/>
    <w:rsid w:val="0C6236CC"/>
    <w:rsid w:val="0C76701F"/>
    <w:rsid w:val="0CAB2EAE"/>
    <w:rsid w:val="0CEA0E58"/>
    <w:rsid w:val="0CF956B3"/>
    <w:rsid w:val="0D110C4F"/>
    <w:rsid w:val="0D621C7D"/>
    <w:rsid w:val="0D66383B"/>
    <w:rsid w:val="0D754339"/>
    <w:rsid w:val="0D865199"/>
    <w:rsid w:val="0D955DE9"/>
    <w:rsid w:val="0DB51DAB"/>
    <w:rsid w:val="0DDC300B"/>
    <w:rsid w:val="0E083E00"/>
    <w:rsid w:val="0E0F33E0"/>
    <w:rsid w:val="0E1F6BCA"/>
    <w:rsid w:val="0E5139F9"/>
    <w:rsid w:val="0E5434E9"/>
    <w:rsid w:val="0E73034D"/>
    <w:rsid w:val="0E9360EE"/>
    <w:rsid w:val="0EC20C1F"/>
    <w:rsid w:val="0EC229F2"/>
    <w:rsid w:val="0EC96EE3"/>
    <w:rsid w:val="0ED9579C"/>
    <w:rsid w:val="0EDE2CC0"/>
    <w:rsid w:val="0F0E37EA"/>
    <w:rsid w:val="0F13775A"/>
    <w:rsid w:val="0F4C2412"/>
    <w:rsid w:val="0F5D017B"/>
    <w:rsid w:val="0F5F45FE"/>
    <w:rsid w:val="0F9A112B"/>
    <w:rsid w:val="0FA321DB"/>
    <w:rsid w:val="0FA61B22"/>
    <w:rsid w:val="0FD23122"/>
    <w:rsid w:val="0FDC7731"/>
    <w:rsid w:val="10320C31"/>
    <w:rsid w:val="106D2F64"/>
    <w:rsid w:val="106F63B8"/>
    <w:rsid w:val="108300B5"/>
    <w:rsid w:val="10B63710"/>
    <w:rsid w:val="10B734BB"/>
    <w:rsid w:val="10F10820"/>
    <w:rsid w:val="111C2F7A"/>
    <w:rsid w:val="113B3B72"/>
    <w:rsid w:val="11665CA1"/>
    <w:rsid w:val="11B22B48"/>
    <w:rsid w:val="11D30BC8"/>
    <w:rsid w:val="12046FD4"/>
    <w:rsid w:val="12C0114D"/>
    <w:rsid w:val="12C10F3D"/>
    <w:rsid w:val="13300405"/>
    <w:rsid w:val="13332608"/>
    <w:rsid w:val="135B0E75"/>
    <w:rsid w:val="136325A4"/>
    <w:rsid w:val="138322F2"/>
    <w:rsid w:val="1385499D"/>
    <w:rsid w:val="13951726"/>
    <w:rsid w:val="13E40E6B"/>
    <w:rsid w:val="140413EF"/>
    <w:rsid w:val="14264771"/>
    <w:rsid w:val="142A61B5"/>
    <w:rsid w:val="142F2704"/>
    <w:rsid w:val="14396509"/>
    <w:rsid w:val="14946EB4"/>
    <w:rsid w:val="14DD2C3C"/>
    <w:rsid w:val="15497818"/>
    <w:rsid w:val="154A7926"/>
    <w:rsid w:val="154F0CCC"/>
    <w:rsid w:val="1555552C"/>
    <w:rsid w:val="158B1575"/>
    <w:rsid w:val="158F3058"/>
    <w:rsid w:val="15EA028F"/>
    <w:rsid w:val="15F2355C"/>
    <w:rsid w:val="15FA6724"/>
    <w:rsid w:val="1606331B"/>
    <w:rsid w:val="16087E1D"/>
    <w:rsid w:val="161355EE"/>
    <w:rsid w:val="16322361"/>
    <w:rsid w:val="169B185C"/>
    <w:rsid w:val="16B20DAC"/>
    <w:rsid w:val="16E64EFA"/>
    <w:rsid w:val="16EA7CB4"/>
    <w:rsid w:val="173151C4"/>
    <w:rsid w:val="17701D14"/>
    <w:rsid w:val="17735226"/>
    <w:rsid w:val="179D1A5D"/>
    <w:rsid w:val="17AF79E2"/>
    <w:rsid w:val="17E23BBC"/>
    <w:rsid w:val="182A7068"/>
    <w:rsid w:val="184C751D"/>
    <w:rsid w:val="18910E95"/>
    <w:rsid w:val="189F624C"/>
    <w:rsid w:val="18C01435"/>
    <w:rsid w:val="18C62076"/>
    <w:rsid w:val="18E45B15"/>
    <w:rsid w:val="191E4E1F"/>
    <w:rsid w:val="19240BBF"/>
    <w:rsid w:val="198A5A5A"/>
    <w:rsid w:val="19A64A85"/>
    <w:rsid w:val="19BA4B78"/>
    <w:rsid w:val="19C42AEA"/>
    <w:rsid w:val="19D144C1"/>
    <w:rsid w:val="1A172A15"/>
    <w:rsid w:val="1A1C66C0"/>
    <w:rsid w:val="1A246465"/>
    <w:rsid w:val="1A295829"/>
    <w:rsid w:val="1A42393B"/>
    <w:rsid w:val="1A4C59BC"/>
    <w:rsid w:val="1A5D7847"/>
    <w:rsid w:val="1A6C1BBA"/>
    <w:rsid w:val="1A913E26"/>
    <w:rsid w:val="1A930EF5"/>
    <w:rsid w:val="1AAD45DE"/>
    <w:rsid w:val="1AB1523A"/>
    <w:rsid w:val="1B046F80"/>
    <w:rsid w:val="1B122762"/>
    <w:rsid w:val="1B1242D6"/>
    <w:rsid w:val="1B302BE8"/>
    <w:rsid w:val="1B3267B5"/>
    <w:rsid w:val="1B334486"/>
    <w:rsid w:val="1B3F131C"/>
    <w:rsid w:val="1B40161D"/>
    <w:rsid w:val="1B441859"/>
    <w:rsid w:val="1B521CD8"/>
    <w:rsid w:val="1B6606B1"/>
    <w:rsid w:val="1BBC26CD"/>
    <w:rsid w:val="1BBD091F"/>
    <w:rsid w:val="1BDE0896"/>
    <w:rsid w:val="1C177904"/>
    <w:rsid w:val="1C5E7925"/>
    <w:rsid w:val="1C705B1F"/>
    <w:rsid w:val="1C782A98"/>
    <w:rsid w:val="1C7B24E2"/>
    <w:rsid w:val="1C986C96"/>
    <w:rsid w:val="1CC26829"/>
    <w:rsid w:val="1CD619DC"/>
    <w:rsid w:val="1CFD070F"/>
    <w:rsid w:val="1D00621A"/>
    <w:rsid w:val="1D1E3640"/>
    <w:rsid w:val="1D41732E"/>
    <w:rsid w:val="1D4726CE"/>
    <w:rsid w:val="1D5E3C71"/>
    <w:rsid w:val="1D5F6196"/>
    <w:rsid w:val="1D6132A5"/>
    <w:rsid w:val="1D8E56D5"/>
    <w:rsid w:val="1D994D98"/>
    <w:rsid w:val="1DAD5595"/>
    <w:rsid w:val="1DD7559C"/>
    <w:rsid w:val="1DDC2709"/>
    <w:rsid w:val="1E3474C8"/>
    <w:rsid w:val="1E5F672D"/>
    <w:rsid w:val="1E675887"/>
    <w:rsid w:val="1E7A43DA"/>
    <w:rsid w:val="1E8D5A3F"/>
    <w:rsid w:val="1EB10CE8"/>
    <w:rsid w:val="1EC82648"/>
    <w:rsid w:val="1ED3045A"/>
    <w:rsid w:val="1F301408"/>
    <w:rsid w:val="1F363F96"/>
    <w:rsid w:val="1F775289"/>
    <w:rsid w:val="1FD20711"/>
    <w:rsid w:val="1FE7539E"/>
    <w:rsid w:val="20671BE0"/>
    <w:rsid w:val="20874757"/>
    <w:rsid w:val="20963CB8"/>
    <w:rsid w:val="20A81A1B"/>
    <w:rsid w:val="20B07FB6"/>
    <w:rsid w:val="20B646FB"/>
    <w:rsid w:val="20C22534"/>
    <w:rsid w:val="21025026"/>
    <w:rsid w:val="213B74B1"/>
    <w:rsid w:val="215018EE"/>
    <w:rsid w:val="215A2310"/>
    <w:rsid w:val="21710A4D"/>
    <w:rsid w:val="21933ED0"/>
    <w:rsid w:val="21A67A19"/>
    <w:rsid w:val="21C13980"/>
    <w:rsid w:val="21DE318A"/>
    <w:rsid w:val="21DF2C72"/>
    <w:rsid w:val="21EF5B80"/>
    <w:rsid w:val="22117958"/>
    <w:rsid w:val="22412273"/>
    <w:rsid w:val="224D02EF"/>
    <w:rsid w:val="22576990"/>
    <w:rsid w:val="22995516"/>
    <w:rsid w:val="22F02F4C"/>
    <w:rsid w:val="22F47480"/>
    <w:rsid w:val="22F67252"/>
    <w:rsid w:val="23083C8E"/>
    <w:rsid w:val="233147E2"/>
    <w:rsid w:val="235558E1"/>
    <w:rsid w:val="23645B24"/>
    <w:rsid w:val="23734083"/>
    <w:rsid w:val="23A3664D"/>
    <w:rsid w:val="23C30737"/>
    <w:rsid w:val="23DE1C48"/>
    <w:rsid w:val="23FF584D"/>
    <w:rsid w:val="240210CD"/>
    <w:rsid w:val="247C6164"/>
    <w:rsid w:val="249917FE"/>
    <w:rsid w:val="24BF09F7"/>
    <w:rsid w:val="24E2181C"/>
    <w:rsid w:val="252D53FE"/>
    <w:rsid w:val="253A3592"/>
    <w:rsid w:val="254E5A36"/>
    <w:rsid w:val="257A61D2"/>
    <w:rsid w:val="2584425C"/>
    <w:rsid w:val="25933310"/>
    <w:rsid w:val="25BC1C48"/>
    <w:rsid w:val="25CE49D9"/>
    <w:rsid w:val="25EC2D81"/>
    <w:rsid w:val="26192BF6"/>
    <w:rsid w:val="263F0183"/>
    <w:rsid w:val="265A320F"/>
    <w:rsid w:val="267B565F"/>
    <w:rsid w:val="26BA7AA5"/>
    <w:rsid w:val="26BC535F"/>
    <w:rsid w:val="272560F0"/>
    <w:rsid w:val="27312345"/>
    <w:rsid w:val="274E2D73"/>
    <w:rsid w:val="275C6092"/>
    <w:rsid w:val="277057A2"/>
    <w:rsid w:val="27DA63B5"/>
    <w:rsid w:val="283A5E96"/>
    <w:rsid w:val="28D353DF"/>
    <w:rsid w:val="28E026ED"/>
    <w:rsid w:val="291D4228"/>
    <w:rsid w:val="29206EB8"/>
    <w:rsid w:val="29595666"/>
    <w:rsid w:val="297037AD"/>
    <w:rsid w:val="29874881"/>
    <w:rsid w:val="298E50DF"/>
    <w:rsid w:val="29A0718A"/>
    <w:rsid w:val="29B274E5"/>
    <w:rsid w:val="29E325E0"/>
    <w:rsid w:val="2A140A5C"/>
    <w:rsid w:val="2A202079"/>
    <w:rsid w:val="2A307B20"/>
    <w:rsid w:val="2A452503"/>
    <w:rsid w:val="2A4E54E8"/>
    <w:rsid w:val="2A681272"/>
    <w:rsid w:val="2A8A2314"/>
    <w:rsid w:val="2AA146F2"/>
    <w:rsid w:val="2ACB0237"/>
    <w:rsid w:val="2B0B38BD"/>
    <w:rsid w:val="2B4F21B4"/>
    <w:rsid w:val="2B942D1F"/>
    <w:rsid w:val="2BA936A8"/>
    <w:rsid w:val="2BBC5615"/>
    <w:rsid w:val="2BC01D66"/>
    <w:rsid w:val="2BD31A99"/>
    <w:rsid w:val="2BE912BD"/>
    <w:rsid w:val="2C315A5A"/>
    <w:rsid w:val="2C46226B"/>
    <w:rsid w:val="2C4B1C25"/>
    <w:rsid w:val="2C4B5AD3"/>
    <w:rsid w:val="2C7D7687"/>
    <w:rsid w:val="2CAD22EA"/>
    <w:rsid w:val="2CFC24CD"/>
    <w:rsid w:val="2D346567"/>
    <w:rsid w:val="2D79041E"/>
    <w:rsid w:val="2D9E56F5"/>
    <w:rsid w:val="2DC76FCF"/>
    <w:rsid w:val="2DCE0F02"/>
    <w:rsid w:val="2E00222B"/>
    <w:rsid w:val="2E0F2B31"/>
    <w:rsid w:val="2E450300"/>
    <w:rsid w:val="2E597998"/>
    <w:rsid w:val="2E610457"/>
    <w:rsid w:val="2E667F96"/>
    <w:rsid w:val="2E6739BF"/>
    <w:rsid w:val="2E6C11DA"/>
    <w:rsid w:val="2E7A61FC"/>
    <w:rsid w:val="2E8226AB"/>
    <w:rsid w:val="2E860788"/>
    <w:rsid w:val="2E911C52"/>
    <w:rsid w:val="2EE163AD"/>
    <w:rsid w:val="2EE95130"/>
    <w:rsid w:val="2F0E4E31"/>
    <w:rsid w:val="2F381748"/>
    <w:rsid w:val="2F3F7372"/>
    <w:rsid w:val="2F754C15"/>
    <w:rsid w:val="2FD065E6"/>
    <w:rsid w:val="2FD96870"/>
    <w:rsid w:val="2FF02762"/>
    <w:rsid w:val="30156509"/>
    <w:rsid w:val="30172C4A"/>
    <w:rsid w:val="30197C97"/>
    <w:rsid w:val="30580BC9"/>
    <w:rsid w:val="305A62E5"/>
    <w:rsid w:val="308101D7"/>
    <w:rsid w:val="30A92DC8"/>
    <w:rsid w:val="30AF6576"/>
    <w:rsid w:val="30D140CD"/>
    <w:rsid w:val="30E85D10"/>
    <w:rsid w:val="30EB1633"/>
    <w:rsid w:val="30FD0D95"/>
    <w:rsid w:val="31093867"/>
    <w:rsid w:val="311741D6"/>
    <w:rsid w:val="311C389A"/>
    <w:rsid w:val="311E2ED7"/>
    <w:rsid w:val="314B3E80"/>
    <w:rsid w:val="315619EE"/>
    <w:rsid w:val="315C449C"/>
    <w:rsid w:val="317433D6"/>
    <w:rsid w:val="319C46DB"/>
    <w:rsid w:val="319F38CE"/>
    <w:rsid w:val="31AD0696"/>
    <w:rsid w:val="31B7355C"/>
    <w:rsid w:val="31B82709"/>
    <w:rsid w:val="31CD2AE7"/>
    <w:rsid w:val="31D05482"/>
    <w:rsid w:val="31D66EE9"/>
    <w:rsid w:val="320F4EAD"/>
    <w:rsid w:val="322F72FD"/>
    <w:rsid w:val="32400B34"/>
    <w:rsid w:val="329E6876"/>
    <w:rsid w:val="32D560F7"/>
    <w:rsid w:val="32E225C2"/>
    <w:rsid w:val="32F32A21"/>
    <w:rsid w:val="3317670F"/>
    <w:rsid w:val="333015F2"/>
    <w:rsid w:val="334B6320"/>
    <w:rsid w:val="33552D94"/>
    <w:rsid w:val="33A412DC"/>
    <w:rsid w:val="33D934D4"/>
    <w:rsid w:val="33FE2F6A"/>
    <w:rsid w:val="340E07E5"/>
    <w:rsid w:val="34235BF7"/>
    <w:rsid w:val="34602FDD"/>
    <w:rsid w:val="34F32864"/>
    <w:rsid w:val="35533053"/>
    <w:rsid w:val="35731D6B"/>
    <w:rsid w:val="3576493C"/>
    <w:rsid w:val="3586715F"/>
    <w:rsid w:val="358C5FA8"/>
    <w:rsid w:val="35926521"/>
    <w:rsid w:val="35C15DF1"/>
    <w:rsid w:val="35DC016C"/>
    <w:rsid w:val="35DE45B0"/>
    <w:rsid w:val="36074A7F"/>
    <w:rsid w:val="36486BE0"/>
    <w:rsid w:val="366817EF"/>
    <w:rsid w:val="36806379"/>
    <w:rsid w:val="36923549"/>
    <w:rsid w:val="36973A65"/>
    <w:rsid w:val="36AE738B"/>
    <w:rsid w:val="36B75FBF"/>
    <w:rsid w:val="36BD0C45"/>
    <w:rsid w:val="36C400A0"/>
    <w:rsid w:val="36F47CE2"/>
    <w:rsid w:val="37036E21"/>
    <w:rsid w:val="37377380"/>
    <w:rsid w:val="37405B09"/>
    <w:rsid w:val="375A12C0"/>
    <w:rsid w:val="3761653E"/>
    <w:rsid w:val="37625508"/>
    <w:rsid w:val="376B00B0"/>
    <w:rsid w:val="37807A1C"/>
    <w:rsid w:val="378D0A0B"/>
    <w:rsid w:val="379B7E94"/>
    <w:rsid w:val="37A75B88"/>
    <w:rsid w:val="37E00298"/>
    <w:rsid w:val="37FF1366"/>
    <w:rsid w:val="382B67B9"/>
    <w:rsid w:val="3857135C"/>
    <w:rsid w:val="386341A5"/>
    <w:rsid w:val="38673C95"/>
    <w:rsid w:val="387D7D1C"/>
    <w:rsid w:val="389C5B4C"/>
    <w:rsid w:val="38B07939"/>
    <w:rsid w:val="38B302F9"/>
    <w:rsid w:val="38BE771C"/>
    <w:rsid w:val="38CA7D80"/>
    <w:rsid w:val="38EC24CB"/>
    <w:rsid w:val="38F12CD3"/>
    <w:rsid w:val="38F8669B"/>
    <w:rsid w:val="38F94775"/>
    <w:rsid w:val="39161217"/>
    <w:rsid w:val="391B682D"/>
    <w:rsid w:val="392971ED"/>
    <w:rsid w:val="392E2DE3"/>
    <w:rsid w:val="39325651"/>
    <w:rsid w:val="39374ADD"/>
    <w:rsid w:val="395A55A8"/>
    <w:rsid w:val="39842625"/>
    <w:rsid w:val="399D36E6"/>
    <w:rsid w:val="39DC7D6B"/>
    <w:rsid w:val="3A042A9E"/>
    <w:rsid w:val="3A070B98"/>
    <w:rsid w:val="3A0B2151"/>
    <w:rsid w:val="3A3758E9"/>
    <w:rsid w:val="3A397547"/>
    <w:rsid w:val="3A872856"/>
    <w:rsid w:val="3AF863C4"/>
    <w:rsid w:val="3B222629"/>
    <w:rsid w:val="3B3763D1"/>
    <w:rsid w:val="3B791E52"/>
    <w:rsid w:val="3BAD22F7"/>
    <w:rsid w:val="3BE949C1"/>
    <w:rsid w:val="3BF93444"/>
    <w:rsid w:val="3C017F5D"/>
    <w:rsid w:val="3C0A7FA1"/>
    <w:rsid w:val="3C100ED6"/>
    <w:rsid w:val="3C2F6E1E"/>
    <w:rsid w:val="3C446345"/>
    <w:rsid w:val="3C4F64BA"/>
    <w:rsid w:val="3C771FCD"/>
    <w:rsid w:val="3CB44FCF"/>
    <w:rsid w:val="3CDA245A"/>
    <w:rsid w:val="3CEA279F"/>
    <w:rsid w:val="3D17730C"/>
    <w:rsid w:val="3D1E06B7"/>
    <w:rsid w:val="3D717ED1"/>
    <w:rsid w:val="3DDF607B"/>
    <w:rsid w:val="3DE73182"/>
    <w:rsid w:val="3DF80EEB"/>
    <w:rsid w:val="3DF86485"/>
    <w:rsid w:val="3E570308"/>
    <w:rsid w:val="3E784DEA"/>
    <w:rsid w:val="3E7A446C"/>
    <w:rsid w:val="3E946E66"/>
    <w:rsid w:val="3E9E1A93"/>
    <w:rsid w:val="3EC51715"/>
    <w:rsid w:val="3EC51A06"/>
    <w:rsid w:val="3EDA0523"/>
    <w:rsid w:val="3EE623D1"/>
    <w:rsid w:val="3F1D1D3F"/>
    <w:rsid w:val="3F231810"/>
    <w:rsid w:val="3F343DA0"/>
    <w:rsid w:val="3F3B388B"/>
    <w:rsid w:val="3F3E0408"/>
    <w:rsid w:val="3F487C50"/>
    <w:rsid w:val="3F5262EB"/>
    <w:rsid w:val="3F5D7BA0"/>
    <w:rsid w:val="3F6B622A"/>
    <w:rsid w:val="3F93711E"/>
    <w:rsid w:val="3F94763F"/>
    <w:rsid w:val="3F956AB6"/>
    <w:rsid w:val="3FD067E3"/>
    <w:rsid w:val="3FF878C8"/>
    <w:rsid w:val="40095632"/>
    <w:rsid w:val="400F6201"/>
    <w:rsid w:val="40612931"/>
    <w:rsid w:val="407A6407"/>
    <w:rsid w:val="40A47108"/>
    <w:rsid w:val="40CF687B"/>
    <w:rsid w:val="40D07EFD"/>
    <w:rsid w:val="41597EF3"/>
    <w:rsid w:val="41D77E86"/>
    <w:rsid w:val="4200449D"/>
    <w:rsid w:val="42355B4F"/>
    <w:rsid w:val="423A3BCC"/>
    <w:rsid w:val="423E5C7F"/>
    <w:rsid w:val="424E57D2"/>
    <w:rsid w:val="425B1450"/>
    <w:rsid w:val="427B7848"/>
    <w:rsid w:val="42925DB2"/>
    <w:rsid w:val="42A11B51"/>
    <w:rsid w:val="42B26C49"/>
    <w:rsid w:val="42FC147E"/>
    <w:rsid w:val="430D3587"/>
    <w:rsid w:val="433A6FE6"/>
    <w:rsid w:val="43480868"/>
    <w:rsid w:val="4350713C"/>
    <w:rsid w:val="436653E0"/>
    <w:rsid w:val="436E4B10"/>
    <w:rsid w:val="436F49F9"/>
    <w:rsid w:val="43BC29BB"/>
    <w:rsid w:val="43BD6E5F"/>
    <w:rsid w:val="43C4431A"/>
    <w:rsid w:val="43E268C5"/>
    <w:rsid w:val="43E7775F"/>
    <w:rsid w:val="440A7BCA"/>
    <w:rsid w:val="440D3C5A"/>
    <w:rsid w:val="443E401C"/>
    <w:rsid w:val="447137A5"/>
    <w:rsid w:val="4488746D"/>
    <w:rsid w:val="449D218D"/>
    <w:rsid w:val="44B951CC"/>
    <w:rsid w:val="44BE2E8F"/>
    <w:rsid w:val="44CD14E0"/>
    <w:rsid w:val="44CD7E13"/>
    <w:rsid w:val="44E35A2E"/>
    <w:rsid w:val="44F20B0B"/>
    <w:rsid w:val="45100203"/>
    <w:rsid w:val="451231DA"/>
    <w:rsid w:val="452A7294"/>
    <w:rsid w:val="452B7DF8"/>
    <w:rsid w:val="452E5F4C"/>
    <w:rsid w:val="45356B95"/>
    <w:rsid w:val="45372C41"/>
    <w:rsid w:val="454021E6"/>
    <w:rsid w:val="45612018"/>
    <w:rsid w:val="458946E9"/>
    <w:rsid w:val="45A47C0E"/>
    <w:rsid w:val="45B140E3"/>
    <w:rsid w:val="45D40490"/>
    <w:rsid w:val="45D71D2E"/>
    <w:rsid w:val="46113492"/>
    <w:rsid w:val="462D7172"/>
    <w:rsid w:val="46496788"/>
    <w:rsid w:val="46577FD6"/>
    <w:rsid w:val="46845A12"/>
    <w:rsid w:val="46D955A7"/>
    <w:rsid w:val="46F030A7"/>
    <w:rsid w:val="47093A73"/>
    <w:rsid w:val="47133957"/>
    <w:rsid w:val="477737C9"/>
    <w:rsid w:val="47906638"/>
    <w:rsid w:val="47A07E0C"/>
    <w:rsid w:val="47A16222"/>
    <w:rsid w:val="47FF4729"/>
    <w:rsid w:val="480D18E1"/>
    <w:rsid w:val="484C70D7"/>
    <w:rsid w:val="486755EB"/>
    <w:rsid w:val="4870272E"/>
    <w:rsid w:val="48A24875"/>
    <w:rsid w:val="48B40DA3"/>
    <w:rsid w:val="48D17A0D"/>
    <w:rsid w:val="48F50E49"/>
    <w:rsid w:val="48F549A5"/>
    <w:rsid w:val="4968786D"/>
    <w:rsid w:val="497C0C22"/>
    <w:rsid w:val="498B57E2"/>
    <w:rsid w:val="49DC7715"/>
    <w:rsid w:val="49E620CF"/>
    <w:rsid w:val="4A023139"/>
    <w:rsid w:val="4A723167"/>
    <w:rsid w:val="4A7B576F"/>
    <w:rsid w:val="4A815424"/>
    <w:rsid w:val="4A8C27E6"/>
    <w:rsid w:val="4AF34F14"/>
    <w:rsid w:val="4AF561A9"/>
    <w:rsid w:val="4B1A4B97"/>
    <w:rsid w:val="4B2515FD"/>
    <w:rsid w:val="4B4B4D50"/>
    <w:rsid w:val="4B4E65EF"/>
    <w:rsid w:val="4B555BCF"/>
    <w:rsid w:val="4B702A09"/>
    <w:rsid w:val="4B7327E6"/>
    <w:rsid w:val="4B756271"/>
    <w:rsid w:val="4B92472D"/>
    <w:rsid w:val="4B9A64FB"/>
    <w:rsid w:val="4B9C6F93"/>
    <w:rsid w:val="4BA206E8"/>
    <w:rsid w:val="4BE07B8E"/>
    <w:rsid w:val="4C4A0649"/>
    <w:rsid w:val="4C7E5ECA"/>
    <w:rsid w:val="4C876AA5"/>
    <w:rsid w:val="4CB87F65"/>
    <w:rsid w:val="4CBD7B10"/>
    <w:rsid w:val="4CC254E6"/>
    <w:rsid w:val="4CEA67EB"/>
    <w:rsid w:val="4CFB6302"/>
    <w:rsid w:val="4D0E00FB"/>
    <w:rsid w:val="4D176606"/>
    <w:rsid w:val="4D697710"/>
    <w:rsid w:val="4DA22C22"/>
    <w:rsid w:val="4DA364F2"/>
    <w:rsid w:val="4DC332C4"/>
    <w:rsid w:val="4DCE3A17"/>
    <w:rsid w:val="4DEC4FB0"/>
    <w:rsid w:val="4DFA0CB0"/>
    <w:rsid w:val="4E075D8A"/>
    <w:rsid w:val="4E093A17"/>
    <w:rsid w:val="4E173E84"/>
    <w:rsid w:val="4E2F6BAB"/>
    <w:rsid w:val="4E516B22"/>
    <w:rsid w:val="4E561001"/>
    <w:rsid w:val="4E6D3230"/>
    <w:rsid w:val="4EB62E28"/>
    <w:rsid w:val="4EC00FAD"/>
    <w:rsid w:val="4F253B0A"/>
    <w:rsid w:val="4F4A36BE"/>
    <w:rsid w:val="4F5827B5"/>
    <w:rsid w:val="4F8272FA"/>
    <w:rsid w:val="4F9843DC"/>
    <w:rsid w:val="4FBF11AA"/>
    <w:rsid w:val="4FC62A8C"/>
    <w:rsid w:val="4FE20F0D"/>
    <w:rsid w:val="4FE51552"/>
    <w:rsid w:val="50013F50"/>
    <w:rsid w:val="501D04CE"/>
    <w:rsid w:val="5023629C"/>
    <w:rsid w:val="50303B05"/>
    <w:rsid w:val="5031572A"/>
    <w:rsid w:val="50504C4B"/>
    <w:rsid w:val="5066262C"/>
    <w:rsid w:val="50722D7F"/>
    <w:rsid w:val="509C6E7C"/>
    <w:rsid w:val="50C60EF7"/>
    <w:rsid w:val="50DD7286"/>
    <w:rsid w:val="50FC089B"/>
    <w:rsid w:val="510C31D4"/>
    <w:rsid w:val="510F05CE"/>
    <w:rsid w:val="51174780"/>
    <w:rsid w:val="51200A2D"/>
    <w:rsid w:val="513A1AEF"/>
    <w:rsid w:val="5162104E"/>
    <w:rsid w:val="51E1640E"/>
    <w:rsid w:val="51E67581"/>
    <w:rsid w:val="523E73BD"/>
    <w:rsid w:val="52410886"/>
    <w:rsid w:val="524B3BB4"/>
    <w:rsid w:val="5250485D"/>
    <w:rsid w:val="527821A3"/>
    <w:rsid w:val="527A442E"/>
    <w:rsid w:val="52B96A43"/>
    <w:rsid w:val="52C553E8"/>
    <w:rsid w:val="530A6B20"/>
    <w:rsid w:val="53206AC2"/>
    <w:rsid w:val="534112A6"/>
    <w:rsid w:val="534529CD"/>
    <w:rsid w:val="5358034C"/>
    <w:rsid w:val="53A039CC"/>
    <w:rsid w:val="53A1505A"/>
    <w:rsid w:val="53C402D2"/>
    <w:rsid w:val="53FC12DE"/>
    <w:rsid w:val="54063E08"/>
    <w:rsid w:val="543437E8"/>
    <w:rsid w:val="54720CF8"/>
    <w:rsid w:val="549B5FE3"/>
    <w:rsid w:val="54AE00FE"/>
    <w:rsid w:val="54BF230B"/>
    <w:rsid w:val="54F73313"/>
    <w:rsid w:val="54F80955"/>
    <w:rsid w:val="54F839D0"/>
    <w:rsid w:val="55314FB7"/>
    <w:rsid w:val="55360787"/>
    <w:rsid w:val="554F368F"/>
    <w:rsid w:val="555170A7"/>
    <w:rsid w:val="55520454"/>
    <w:rsid w:val="55853555"/>
    <w:rsid w:val="5587536D"/>
    <w:rsid w:val="559B174B"/>
    <w:rsid w:val="55A10450"/>
    <w:rsid w:val="55B24970"/>
    <w:rsid w:val="55C91693"/>
    <w:rsid w:val="55CE0CF4"/>
    <w:rsid w:val="55E97640"/>
    <w:rsid w:val="55EE10FA"/>
    <w:rsid w:val="56004989"/>
    <w:rsid w:val="56373A45"/>
    <w:rsid w:val="566D67EB"/>
    <w:rsid w:val="56723AD9"/>
    <w:rsid w:val="568B1E15"/>
    <w:rsid w:val="56A20F7C"/>
    <w:rsid w:val="56B22A9C"/>
    <w:rsid w:val="56C12C6B"/>
    <w:rsid w:val="56C1680E"/>
    <w:rsid w:val="56D7393C"/>
    <w:rsid w:val="56E024CA"/>
    <w:rsid w:val="56FF5B35"/>
    <w:rsid w:val="574261D1"/>
    <w:rsid w:val="574F3E1A"/>
    <w:rsid w:val="57532F8E"/>
    <w:rsid w:val="577A05B5"/>
    <w:rsid w:val="578A4E52"/>
    <w:rsid w:val="57A777B2"/>
    <w:rsid w:val="57AD375A"/>
    <w:rsid w:val="57B72A76"/>
    <w:rsid w:val="57C2639A"/>
    <w:rsid w:val="57C3426C"/>
    <w:rsid w:val="57CE1F93"/>
    <w:rsid w:val="57D61E46"/>
    <w:rsid w:val="57DF519E"/>
    <w:rsid w:val="58093FC9"/>
    <w:rsid w:val="581949DE"/>
    <w:rsid w:val="58725E54"/>
    <w:rsid w:val="58726012"/>
    <w:rsid w:val="588743D1"/>
    <w:rsid w:val="5887701A"/>
    <w:rsid w:val="58A43CF2"/>
    <w:rsid w:val="58D16117"/>
    <w:rsid w:val="58FB25DD"/>
    <w:rsid w:val="58FC1D80"/>
    <w:rsid w:val="590957E4"/>
    <w:rsid w:val="5919648E"/>
    <w:rsid w:val="592D018B"/>
    <w:rsid w:val="598B6C60"/>
    <w:rsid w:val="599D70BF"/>
    <w:rsid w:val="59C0439F"/>
    <w:rsid w:val="59DB1995"/>
    <w:rsid w:val="5A0A04CC"/>
    <w:rsid w:val="5A205E72"/>
    <w:rsid w:val="5A47702B"/>
    <w:rsid w:val="5A7F2485"/>
    <w:rsid w:val="5ABE2233"/>
    <w:rsid w:val="5AC02939"/>
    <w:rsid w:val="5AEB5C08"/>
    <w:rsid w:val="5B3E6680"/>
    <w:rsid w:val="5BBC287D"/>
    <w:rsid w:val="5BC54DAD"/>
    <w:rsid w:val="5BDF5D95"/>
    <w:rsid w:val="5BFE5E0F"/>
    <w:rsid w:val="5BFE7528"/>
    <w:rsid w:val="5C1F3637"/>
    <w:rsid w:val="5C2A2760"/>
    <w:rsid w:val="5C3B496D"/>
    <w:rsid w:val="5C4943A0"/>
    <w:rsid w:val="5C5D48E3"/>
    <w:rsid w:val="5CF1327E"/>
    <w:rsid w:val="5D150526"/>
    <w:rsid w:val="5D284EF1"/>
    <w:rsid w:val="5D4C029F"/>
    <w:rsid w:val="5D526412"/>
    <w:rsid w:val="5D5C103F"/>
    <w:rsid w:val="5D80754E"/>
    <w:rsid w:val="5D9B7CF5"/>
    <w:rsid w:val="5DE54B90"/>
    <w:rsid w:val="5E1E00A2"/>
    <w:rsid w:val="5E2467F1"/>
    <w:rsid w:val="5E5341F0"/>
    <w:rsid w:val="5E841515"/>
    <w:rsid w:val="5E9C5254"/>
    <w:rsid w:val="5EBC30A5"/>
    <w:rsid w:val="5EF55450"/>
    <w:rsid w:val="5F1A2B43"/>
    <w:rsid w:val="5F5C5FB8"/>
    <w:rsid w:val="5F95306B"/>
    <w:rsid w:val="5FA236FB"/>
    <w:rsid w:val="5FA545A4"/>
    <w:rsid w:val="5FAA0EAA"/>
    <w:rsid w:val="5FB837BB"/>
    <w:rsid w:val="5FD96977"/>
    <w:rsid w:val="5FEA4962"/>
    <w:rsid w:val="603B17F6"/>
    <w:rsid w:val="603D5747"/>
    <w:rsid w:val="60430FDA"/>
    <w:rsid w:val="605E5A86"/>
    <w:rsid w:val="607B1FFF"/>
    <w:rsid w:val="60CC405A"/>
    <w:rsid w:val="610D0BD0"/>
    <w:rsid w:val="610F5757"/>
    <w:rsid w:val="61181721"/>
    <w:rsid w:val="61693D2A"/>
    <w:rsid w:val="61811074"/>
    <w:rsid w:val="61874052"/>
    <w:rsid w:val="61891CD7"/>
    <w:rsid w:val="61C467F7"/>
    <w:rsid w:val="61E215D8"/>
    <w:rsid w:val="6200468F"/>
    <w:rsid w:val="621B3775"/>
    <w:rsid w:val="62364782"/>
    <w:rsid w:val="623C4449"/>
    <w:rsid w:val="625A58C6"/>
    <w:rsid w:val="62AA708A"/>
    <w:rsid w:val="62DD4B3D"/>
    <w:rsid w:val="62E73159"/>
    <w:rsid w:val="62F128A8"/>
    <w:rsid w:val="62F769D0"/>
    <w:rsid w:val="63534C92"/>
    <w:rsid w:val="636724EC"/>
    <w:rsid w:val="63732C3E"/>
    <w:rsid w:val="638547A7"/>
    <w:rsid w:val="6394356A"/>
    <w:rsid w:val="63C61B2C"/>
    <w:rsid w:val="63D40BE9"/>
    <w:rsid w:val="64102431"/>
    <w:rsid w:val="64287ECD"/>
    <w:rsid w:val="644F5459"/>
    <w:rsid w:val="64703839"/>
    <w:rsid w:val="64835103"/>
    <w:rsid w:val="649C5640"/>
    <w:rsid w:val="64A5243A"/>
    <w:rsid w:val="64CD585D"/>
    <w:rsid w:val="64ED07CF"/>
    <w:rsid w:val="64F531DE"/>
    <w:rsid w:val="64F92717"/>
    <w:rsid w:val="65075602"/>
    <w:rsid w:val="650A3B2D"/>
    <w:rsid w:val="65373578"/>
    <w:rsid w:val="653A0992"/>
    <w:rsid w:val="65411F74"/>
    <w:rsid w:val="65626BE9"/>
    <w:rsid w:val="659B0B9A"/>
    <w:rsid w:val="65BF28EC"/>
    <w:rsid w:val="65C43C25"/>
    <w:rsid w:val="65E16216"/>
    <w:rsid w:val="65F938CF"/>
    <w:rsid w:val="662A6CE6"/>
    <w:rsid w:val="664D2F80"/>
    <w:rsid w:val="66614167"/>
    <w:rsid w:val="66CE0A06"/>
    <w:rsid w:val="66D36268"/>
    <w:rsid w:val="66E2321F"/>
    <w:rsid w:val="66E520A5"/>
    <w:rsid w:val="66F2031E"/>
    <w:rsid w:val="670562A3"/>
    <w:rsid w:val="67137B2E"/>
    <w:rsid w:val="671A2875"/>
    <w:rsid w:val="671F124A"/>
    <w:rsid w:val="677A33C6"/>
    <w:rsid w:val="67851192"/>
    <w:rsid w:val="679338AF"/>
    <w:rsid w:val="67A55390"/>
    <w:rsid w:val="67E50B7E"/>
    <w:rsid w:val="67FE0901"/>
    <w:rsid w:val="681F15E7"/>
    <w:rsid w:val="681F6961"/>
    <w:rsid w:val="68610A2F"/>
    <w:rsid w:val="686C3201"/>
    <w:rsid w:val="68805514"/>
    <w:rsid w:val="68921DB9"/>
    <w:rsid w:val="689618A9"/>
    <w:rsid w:val="68CD2DF1"/>
    <w:rsid w:val="68DC3034"/>
    <w:rsid w:val="68FB03B5"/>
    <w:rsid w:val="69316E2F"/>
    <w:rsid w:val="6940349D"/>
    <w:rsid w:val="69407A67"/>
    <w:rsid w:val="694427FC"/>
    <w:rsid w:val="694E2071"/>
    <w:rsid w:val="69766163"/>
    <w:rsid w:val="697A3B33"/>
    <w:rsid w:val="69D44760"/>
    <w:rsid w:val="69EB1ABC"/>
    <w:rsid w:val="69F506C2"/>
    <w:rsid w:val="6A273964"/>
    <w:rsid w:val="6A520EC7"/>
    <w:rsid w:val="6A8D6CDC"/>
    <w:rsid w:val="6ABA5D84"/>
    <w:rsid w:val="6ADB5DB0"/>
    <w:rsid w:val="6AF87310"/>
    <w:rsid w:val="6AF87E20"/>
    <w:rsid w:val="6AFD62C2"/>
    <w:rsid w:val="6B126460"/>
    <w:rsid w:val="6B2F38EF"/>
    <w:rsid w:val="6B322639"/>
    <w:rsid w:val="6B524310"/>
    <w:rsid w:val="6BD85E8F"/>
    <w:rsid w:val="6C206C75"/>
    <w:rsid w:val="6C636C38"/>
    <w:rsid w:val="6C7517D5"/>
    <w:rsid w:val="6C78592B"/>
    <w:rsid w:val="6C891725"/>
    <w:rsid w:val="6CA976D1"/>
    <w:rsid w:val="6CDE59F2"/>
    <w:rsid w:val="6CE00E08"/>
    <w:rsid w:val="6CFF5543"/>
    <w:rsid w:val="6D140D7C"/>
    <w:rsid w:val="6D1C7EA3"/>
    <w:rsid w:val="6D3E42BD"/>
    <w:rsid w:val="6D561607"/>
    <w:rsid w:val="6D8754F4"/>
    <w:rsid w:val="6D9179B8"/>
    <w:rsid w:val="6D960B32"/>
    <w:rsid w:val="6DB34098"/>
    <w:rsid w:val="6DB545B6"/>
    <w:rsid w:val="6DBE6481"/>
    <w:rsid w:val="6DC01176"/>
    <w:rsid w:val="6DD16EDF"/>
    <w:rsid w:val="6DE02FB4"/>
    <w:rsid w:val="6DFB45FB"/>
    <w:rsid w:val="6E15258B"/>
    <w:rsid w:val="6E514CED"/>
    <w:rsid w:val="6E9248C1"/>
    <w:rsid w:val="6EB563D5"/>
    <w:rsid w:val="6ED92677"/>
    <w:rsid w:val="6F200852"/>
    <w:rsid w:val="6F225983"/>
    <w:rsid w:val="6F316A46"/>
    <w:rsid w:val="6F481423"/>
    <w:rsid w:val="6F4F6C88"/>
    <w:rsid w:val="6F5A2396"/>
    <w:rsid w:val="6F8B2FC1"/>
    <w:rsid w:val="6F937367"/>
    <w:rsid w:val="6FA7548E"/>
    <w:rsid w:val="6FD20CED"/>
    <w:rsid w:val="6FD66A2F"/>
    <w:rsid w:val="6FE74798"/>
    <w:rsid w:val="6FE97D61"/>
    <w:rsid w:val="6FED5B27"/>
    <w:rsid w:val="6FEF5D43"/>
    <w:rsid w:val="6FF43359"/>
    <w:rsid w:val="6FF8720A"/>
    <w:rsid w:val="6FFC5590"/>
    <w:rsid w:val="70187047"/>
    <w:rsid w:val="703655FA"/>
    <w:rsid w:val="706D1DD0"/>
    <w:rsid w:val="70856B87"/>
    <w:rsid w:val="70D527EE"/>
    <w:rsid w:val="70DA254F"/>
    <w:rsid w:val="70EC1407"/>
    <w:rsid w:val="70EC5DDE"/>
    <w:rsid w:val="70FA674D"/>
    <w:rsid w:val="715B5300"/>
    <w:rsid w:val="715E6CDC"/>
    <w:rsid w:val="71775FF0"/>
    <w:rsid w:val="71D27F8A"/>
    <w:rsid w:val="72170CD9"/>
    <w:rsid w:val="72243521"/>
    <w:rsid w:val="72553024"/>
    <w:rsid w:val="725D01F5"/>
    <w:rsid w:val="7285473C"/>
    <w:rsid w:val="72A66542"/>
    <w:rsid w:val="72B22CB9"/>
    <w:rsid w:val="72BE79D8"/>
    <w:rsid w:val="72C708B1"/>
    <w:rsid w:val="73122968"/>
    <w:rsid w:val="731F5D5E"/>
    <w:rsid w:val="73426189"/>
    <w:rsid w:val="736D3206"/>
    <w:rsid w:val="73792049"/>
    <w:rsid w:val="73C51AD5"/>
    <w:rsid w:val="73FB269B"/>
    <w:rsid w:val="73FF599B"/>
    <w:rsid w:val="740578E3"/>
    <w:rsid w:val="740F250F"/>
    <w:rsid w:val="741E793C"/>
    <w:rsid w:val="74213FF1"/>
    <w:rsid w:val="745E3944"/>
    <w:rsid w:val="748368B7"/>
    <w:rsid w:val="74B650F9"/>
    <w:rsid w:val="74DA6968"/>
    <w:rsid w:val="74E05E61"/>
    <w:rsid w:val="75614FED"/>
    <w:rsid w:val="759E376F"/>
    <w:rsid w:val="75B90231"/>
    <w:rsid w:val="75BF01D6"/>
    <w:rsid w:val="7635099D"/>
    <w:rsid w:val="765C7562"/>
    <w:rsid w:val="765E353C"/>
    <w:rsid w:val="76683441"/>
    <w:rsid w:val="77440472"/>
    <w:rsid w:val="77762421"/>
    <w:rsid w:val="778B00FF"/>
    <w:rsid w:val="779C3393"/>
    <w:rsid w:val="77B56B1F"/>
    <w:rsid w:val="77F66CAD"/>
    <w:rsid w:val="780F09F4"/>
    <w:rsid w:val="78320EC2"/>
    <w:rsid w:val="78872FBC"/>
    <w:rsid w:val="78A90480"/>
    <w:rsid w:val="78BF26D3"/>
    <w:rsid w:val="792B6A91"/>
    <w:rsid w:val="793842B6"/>
    <w:rsid w:val="794F33AE"/>
    <w:rsid w:val="796432FD"/>
    <w:rsid w:val="796A57B5"/>
    <w:rsid w:val="79780B57"/>
    <w:rsid w:val="798219D5"/>
    <w:rsid w:val="79876FEC"/>
    <w:rsid w:val="79AF1190"/>
    <w:rsid w:val="79B7167F"/>
    <w:rsid w:val="79B75266"/>
    <w:rsid w:val="79F3642F"/>
    <w:rsid w:val="7A2B2765"/>
    <w:rsid w:val="7A364017"/>
    <w:rsid w:val="7A374F60"/>
    <w:rsid w:val="7A432835"/>
    <w:rsid w:val="7A6D52C9"/>
    <w:rsid w:val="7A8265E1"/>
    <w:rsid w:val="7AA03EC1"/>
    <w:rsid w:val="7AB94F83"/>
    <w:rsid w:val="7ACF591C"/>
    <w:rsid w:val="7B022DCE"/>
    <w:rsid w:val="7B106CB9"/>
    <w:rsid w:val="7B1B7885"/>
    <w:rsid w:val="7B242D44"/>
    <w:rsid w:val="7B2C1F4E"/>
    <w:rsid w:val="7B430CF1"/>
    <w:rsid w:val="7B686D42"/>
    <w:rsid w:val="7B841746"/>
    <w:rsid w:val="7B98103C"/>
    <w:rsid w:val="7BA6040B"/>
    <w:rsid w:val="7BAC2D3A"/>
    <w:rsid w:val="7BE97AEA"/>
    <w:rsid w:val="7C3A20F4"/>
    <w:rsid w:val="7C5331B5"/>
    <w:rsid w:val="7C556F2D"/>
    <w:rsid w:val="7C6C5AC7"/>
    <w:rsid w:val="7C8D4919"/>
    <w:rsid w:val="7CAC5ED3"/>
    <w:rsid w:val="7CC6544B"/>
    <w:rsid w:val="7CF6426C"/>
    <w:rsid w:val="7D0239FF"/>
    <w:rsid w:val="7D292894"/>
    <w:rsid w:val="7D5E40CD"/>
    <w:rsid w:val="7D8C697F"/>
    <w:rsid w:val="7DB56BD4"/>
    <w:rsid w:val="7DBA4260"/>
    <w:rsid w:val="7DCD56F2"/>
    <w:rsid w:val="7DE46470"/>
    <w:rsid w:val="7DFF1847"/>
    <w:rsid w:val="7E045519"/>
    <w:rsid w:val="7E074257"/>
    <w:rsid w:val="7E3239CA"/>
    <w:rsid w:val="7E5356EF"/>
    <w:rsid w:val="7E927FC5"/>
    <w:rsid w:val="7EEB14E1"/>
    <w:rsid w:val="7F001CE7"/>
    <w:rsid w:val="7F625F8B"/>
    <w:rsid w:val="7F76108C"/>
    <w:rsid w:val="7F962F83"/>
    <w:rsid w:val="7FE47E50"/>
    <w:rsid w:val="7FFA0CF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iPriority="9" w:semiHidden="0" w:name="heading 2" w:locked="1"/>
    <w:lsdException w:qFormat="1" w:uiPriority="9" w:semiHidden="0" w:name="heading 3" w:locked="1"/>
    <w:lsdException w:qFormat="1" w:uiPriority="9" w:semiHidden="0" w:name="heading 4" w:locked="1"/>
    <w:lsdException w:qFormat="1" w:uiPriority="9" w:semiHidden="0" w:name="heading 5" w:locked="1"/>
    <w:lsdException w:qFormat="1" w:uiPriority="9" w:semiHidden="0" w:name="heading 6" w:locked="1"/>
    <w:lsdException w:qFormat="1" w:uiPriority="1" w:semiHidden="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qFormat="1" w:uiPriority="39" w:semiHidden="0" w:name="toc 2" w:locked="1"/>
    <w:lsdException w:qFormat="1" w:unhideWhenUsed="0" w:uiPriority="39" w:semiHidden="0" w:name="toc 3" w:locked="1"/>
    <w:lsdException w:qFormat="1" w:uiPriority="39" w:semiHidden="0" w:name="toc 4" w:locked="1"/>
    <w:lsdException w:qFormat="1" w:uiPriority="39" w:semiHidden="0" w:name="toc 5" w:locked="1"/>
    <w:lsdException w:qFormat="1" w:uiPriority="39" w:semiHidden="0" w:name="toc 6" w:locked="1"/>
    <w:lsdException w:qFormat="1" w:uiPriority="39" w:semiHidden="0" w:name="toc 7" w:locked="1"/>
    <w:lsdException w:qFormat="1" w:uiPriority="39" w:semiHidden="0" w:name="toc 8" w:locked="1"/>
    <w:lsdException w:qFormat="1" w:uiPriority="39" w:semiHidden="0" w:name="toc 9" w:locked="1"/>
    <w:lsdException w:unhideWhenUsed="0" w:uiPriority="0" w:semiHidden="0" w:name="Normal Indent" w:locked="1"/>
    <w:lsdException w:unhideWhenUsed="0" w:uiPriority="0" w:semiHidden="0" w:name="footnote text" w:locked="1"/>
    <w:lsdException w:qFormat="1" w:unhideWhenUsed="0" w:uiPriority="99"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1"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99"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iPriority="0" w:name="HTML Variable" w:locked="1"/>
    <w:lsdException w:qFormat="1" w:uiPriority="99" w:name="Normal Table"/>
    <w:lsdException w:qFormat="1" w:unhideWhenUsed="0" w:uiPriority="99"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99" w:name="Balloon Text"/>
    <w:lsdException w:qFormat="1" w:unhideWhenUsed="0" w:uiPriority="0" w:semiHidden="0" w:name="Table Grid"/>
    <w:lsdException w:uiPriority="0" w:name="Table Theme" w:locked="1"/>
    <w:lsdException w:qFormat="1" w:uiPriority="99" w:semiHidden="0"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8"/>
    <w:qFormat/>
    <w:locked/>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39"/>
    <w:unhideWhenUsed/>
    <w:qFormat/>
    <w:locked/>
    <w:uiPriority w:val="9"/>
    <w:pPr>
      <w:keepNext/>
      <w:keepLines/>
      <w:numPr>
        <w:ilvl w:val="1"/>
        <w:numId w:val="1"/>
      </w:numPr>
      <w:spacing w:before="260" w:after="260" w:line="416" w:lineRule="auto"/>
      <w:outlineLvl w:val="1"/>
    </w:pPr>
    <w:rPr>
      <w:rFonts w:ascii="等线 Light" w:hAnsi="等线 Light" w:eastAsia="等线 Light"/>
      <w:b/>
      <w:bCs/>
      <w:sz w:val="32"/>
      <w:szCs w:val="32"/>
    </w:rPr>
  </w:style>
  <w:style w:type="paragraph" w:styleId="4">
    <w:name w:val="heading 3"/>
    <w:basedOn w:val="1"/>
    <w:next w:val="1"/>
    <w:link w:val="40"/>
    <w:unhideWhenUsed/>
    <w:qFormat/>
    <w:locked/>
    <w:uiPriority w:val="9"/>
    <w:pPr>
      <w:tabs>
        <w:tab w:val="left" w:pos="644"/>
        <w:tab w:val="left" w:pos="1960"/>
      </w:tabs>
      <w:spacing w:line="360" w:lineRule="auto"/>
      <w:jc w:val="left"/>
      <w:outlineLvl w:val="2"/>
    </w:pPr>
    <w:rPr>
      <w:rFonts w:eastAsia="黑体"/>
      <w:sz w:val="28"/>
      <w:szCs w:val="30"/>
    </w:rPr>
  </w:style>
  <w:style w:type="paragraph" w:styleId="5">
    <w:name w:val="heading 4"/>
    <w:basedOn w:val="1"/>
    <w:next w:val="1"/>
    <w:link w:val="41"/>
    <w:unhideWhenUsed/>
    <w:qFormat/>
    <w:locked/>
    <w:uiPriority w:val="9"/>
    <w:pPr>
      <w:keepNext/>
      <w:keepLines/>
      <w:spacing w:line="360" w:lineRule="auto"/>
      <w:jc w:val="left"/>
      <w:outlineLvl w:val="3"/>
    </w:pPr>
    <w:rPr>
      <w:b/>
      <w:bCs/>
      <w:sz w:val="24"/>
    </w:rPr>
  </w:style>
  <w:style w:type="paragraph" w:styleId="6">
    <w:name w:val="heading 5"/>
    <w:basedOn w:val="1"/>
    <w:next w:val="1"/>
    <w:link w:val="42"/>
    <w:unhideWhenUsed/>
    <w:qFormat/>
    <w:locked/>
    <w:uiPriority w:val="9"/>
    <w:pPr>
      <w:keepNext/>
      <w:keepLines/>
      <w:spacing w:before="280" w:after="290" w:line="376" w:lineRule="auto"/>
      <w:outlineLvl w:val="4"/>
    </w:pPr>
    <w:rPr>
      <w:b/>
      <w:bCs/>
      <w:sz w:val="28"/>
      <w:szCs w:val="28"/>
    </w:rPr>
  </w:style>
  <w:style w:type="paragraph" w:styleId="7">
    <w:name w:val="heading 6"/>
    <w:basedOn w:val="1"/>
    <w:link w:val="43"/>
    <w:unhideWhenUsed/>
    <w:qFormat/>
    <w:locked/>
    <w:uiPriority w:val="9"/>
    <w:pPr>
      <w:autoSpaceDE w:val="0"/>
      <w:autoSpaceDN w:val="0"/>
      <w:ind w:left="375" w:firstLine="480"/>
      <w:jc w:val="left"/>
      <w:outlineLvl w:val="5"/>
    </w:pPr>
    <w:rPr>
      <w:rFonts w:ascii="宋体" w:hAnsi="宋体" w:cs="宋体"/>
      <w:kern w:val="0"/>
      <w:sz w:val="24"/>
      <w:lang w:eastAsia="en-US"/>
    </w:rPr>
  </w:style>
  <w:style w:type="paragraph" w:styleId="8">
    <w:name w:val="heading 7"/>
    <w:basedOn w:val="1"/>
    <w:next w:val="1"/>
    <w:link w:val="44"/>
    <w:unhideWhenUsed/>
    <w:qFormat/>
    <w:locked/>
    <w:uiPriority w:val="1"/>
    <w:pPr>
      <w:outlineLvl w:val="6"/>
    </w:pPr>
    <w:rPr>
      <w:rFonts w:ascii="宋体" w:hAnsi="宋体" w:cs="宋体"/>
      <w:b/>
      <w:bCs/>
      <w:sz w:val="24"/>
    </w:rPr>
  </w:style>
  <w:style w:type="character" w:default="1" w:styleId="32">
    <w:name w:val="Default Paragraph Font"/>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9">
    <w:name w:val="toc 7"/>
    <w:basedOn w:val="1"/>
    <w:next w:val="1"/>
    <w:autoRedefine/>
    <w:unhideWhenUsed/>
    <w:qFormat/>
    <w:locked/>
    <w:uiPriority w:val="39"/>
    <w:pPr>
      <w:autoSpaceDE w:val="0"/>
      <w:autoSpaceDN w:val="0"/>
      <w:ind w:left="1320"/>
      <w:jc w:val="left"/>
    </w:pPr>
    <w:rPr>
      <w:rFonts w:cs="宋体" w:asciiTheme="minorHAnsi" w:hAnsiTheme="minorHAnsi"/>
      <w:kern w:val="0"/>
      <w:sz w:val="18"/>
      <w:szCs w:val="18"/>
      <w:lang w:eastAsia="en-US"/>
    </w:rPr>
  </w:style>
  <w:style w:type="paragraph" w:styleId="10">
    <w:name w:val="caption"/>
    <w:basedOn w:val="1"/>
    <w:next w:val="1"/>
    <w:unhideWhenUsed/>
    <w:qFormat/>
    <w:locked/>
    <w:uiPriority w:val="0"/>
    <w:rPr>
      <w:rFonts w:ascii="等线 Light" w:hAnsi="等线 Light" w:eastAsia="黑体"/>
      <w:sz w:val="20"/>
      <w:szCs w:val="20"/>
    </w:rPr>
  </w:style>
  <w:style w:type="paragraph" w:styleId="11">
    <w:name w:val="annotation text"/>
    <w:basedOn w:val="1"/>
    <w:link w:val="45"/>
    <w:semiHidden/>
    <w:qFormat/>
    <w:uiPriority w:val="99"/>
    <w:pPr>
      <w:jc w:val="left"/>
    </w:pPr>
    <w:rPr>
      <w:kern w:val="0"/>
      <w:sz w:val="24"/>
      <w:szCs w:val="20"/>
    </w:rPr>
  </w:style>
  <w:style w:type="paragraph" w:styleId="12">
    <w:name w:val="Body Text"/>
    <w:basedOn w:val="1"/>
    <w:link w:val="46"/>
    <w:qFormat/>
    <w:uiPriority w:val="1"/>
    <w:pPr>
      <w:widowControl/>
      <w:snapToGrid w:val="0"/>
      <w:spacing w:before="60" w:after="160" w:line="259" w:lineRule="auto"/>
      <w:ind w:right="113"/>
    </w:pPr>
    <w:rPr>
      <w:kern w:val="0"/>
      <w:sz w:val="18"/>
      <w:szCs w:val="20"/>
    </w:rPr>
  </w:style>
  <w:style w:type="paragraph" w:styleId="13">
    <w:name w:val="Body Text Indent"/>
    <w:basedOn w:val="1"/>
    <w:link w:val="47"/>
    <w:qFormat/>
    <w:uiPriority w:val="0"/>
    <w:pPr>
      <w:spacing w:after="120"/>
      <w:ind w:left="420" w:leftChars="200"/>
    </w:pPr>
    <w:rPr>
      <w:kern w:val="0"/>
      <w:sz w:val="24"/>
      <w:szCs w:val="20"/>
    </w:rPr>
  </w:style>
  <w:style w:type="paragraph" w:styleId="14">
    <w:name w:val="toc 5"/>
    <w:basedOn w:val="1"/>
    <w:next w:val="1"/>
    <w:autoRedefine/>
    <w:unhideWhenUsed/>
    <w:qFormat/>
    <w:locked/>
    <w:uiPriority w:val="39"/>
    <w:pPr>
      <w:autoSpaceDE w:val="0"/>
      <w:autoSpaceDN w:val="0"/>
      <w:ind w:left="880"/>
      <w:jc w:val="left"/>
    </w:pPr>
    <w:rPr>
      <w:rFonts w:cs="宋体" w:asciiTheme="minorHAnsi" w:hAnsiTheme="minorHAnsi"/>
      <w:kern w:val="0"/>
      <w:sz w:val="18"/>
      <w:szCs w:val="18"/>
      <w:lang w:eastAsia="en-US"/>
    </w:rPr>
  </w:style>
  <w:style w:type="paragraph" w:styleId="15">
    <w:name w:val="toc 3"/>
    <w:basedOn w:val="1"/>
    <w:next w:val="1"/>
    <w:autoRedefine/>
    <w:qFormat/>
    <w:locked/>
    <w:uiPriority w:val="39"/>
    <w:pPr>
      <w:ind w:left="840" w:leftChars="400"/>
    </w:pPr>
  </w:style>
  <w:style w:type="paragraph" w:styleId="16">
    <w:name w:val="toc 8"/>
    <w:basedOn w:val="1"/>
    <w:next w:val="1"/>
    <w:autoRedefine/>
    <w:unhideWhenUsed/>
    <w:qFormat/>
    <w:locked/>
    <w:uiPriority w:val="39"/>
    <w:pPr>
      <w:autoSpaceDE w:val="0"/>
      <w:autoSpaceDN w:val="0"/>
      <w:ind w:left="1540"/>
      <w:jc w:val="left"/>
    </w:pPr>
    <w:rPr>
      <w:rFonts w:cs="宋体" w:asciiTheme="minorHAnsi" w:hAnsiTheme="minorHAnsi"/>
      <w:kern w:val="0"/>
      <w:sz w:val="18"/>
      <w:szCs w:val="18"/>
      <w:lang w:eastAsia="en-US"/>
    </w:rPr>
  </w:style>
  <w:style w:type="paragraph" w:styleId="17">
    <w:name w:val="Date"/>
    <w:basedOn w:val="1"/>
    <w:next w:val="1"/>
    <w:link w:val="48"/>
    <w:qFormat/>
    <w:uiPriority w:val="0"/>
    <w:pPr>
      <w:ind w:left="100" w:leftChars="2500"/>
    </w:pPr>
    <w:rPr>
      <w:kern w:val="0"/>
      <w:sz w:val="24"/>
      <w:szCs w:val="20"/>
    </w:rPr>
  </w:style>
  <w:style w:type="paragraph" w:styleId="18">
    <w:name w:val="Balloon Text"/>
    <w:basedOn w:val="1"/>
    <w:link w:val="49"/>
    <w:semiHidden/>
    <w:qFormat/>
    <w:uiPriority w:val="99"/>
    <w:rPr>
      <w:kern w:val="0"/>
      <w:sz w:val="18"/>
      <w:szCs w:val="20"/>
    </w:rPr>
  </w:style>
  <w:style w:type="paragraph" w:styleId="19">
    <w:name w:val="footer"/>
    <w:basedOn w:val="1"/>
    <w:link w:val="50"/>
    <w:qFormat/>
    <w:uiPriority w:val="99"/>
    <w:pPr>
      <w:tabs>
        <w:tab w:val="center" w:pos="4153"/>
        <w:tab w:val="right" w:pos="8306"/>
      </w:tabs>
      <w:snapToGrid w:val="0"/>
      <w:jc w:val="left"/>
    </w:pPr>
    <w:rPr>
      <w:kern w:val="0"/>
      <w:sz w:val="18"/>
      <w:szCs w:val="20"/>
    </w:rPr>
  </w:style>
  <w:style w:type="paragraph" w:styleId="20">
    <w:name w:val="header"/>
    <w:basedOn w:val="1"/>
    <w:link w:val="51"/>
    <w:qFormat/>
    <w:uiPriority w:val="99"/>
    <w:pPr>
      <w:pBdr>
        <w:bottom w:val="single" w:color="auto" w:sz="6" w:space="1"/>
      </w:pBdr>
      <w:tabs>
        <w:tab w:val="center" w:pos="4153"/>
        <w:tab w:val="right" w:pos="8306"/>
      </w:tabs>
      <w:snapToGrid w:val="0"/>
      <w:jc w:val="center"/>
    </w:pPr>
    <w:rPr>
      <w:kern w:val="0"/>
      <w:sz w:val="18"/>
      <w:szCs w:val="20"/>
    </w:rPr>
  </w:style>
  <w:style w:type="paragraph" w:styleId="21">
    <w:name w:val="toc 1"/>
    <w:basedOn w:val="1"/>
    <w:next w:val="1"/>
    <w:autoRedefine/>
    <w:unhideWhenUsed/>
    <w:qFormat/>
    <w:locked/>
    <w:uiPriority w:val="39"/>
  </w:style>
  <w:style w:type="paragraph" w:styleId="22">
    <w:name w:val="toc 4"/>
    <w:basedOn w:val="1"/>
    <w:next w:val="1"/>
    <w:autoRedefine/>
    <w:unhideWhenUsed/>
    <w:qFormat/>
    <w:locked/>
    <w:uiPriority w:val="39"/>
    <w:pPr>
      <w:autoSpaceDE w:val="0"/>
      <w:autoSpaceDN w:val="0"/>
      <w:ind w:left="660"/>
      <w:jc w:val="left"/>
    </w:pPr>
    <w:rPr>
      <w:rFonts w:cs="宋体" w:asciiTheme="minorHAnsi" w:hAnsiTheme="minorHAnsi"/>
      <w:kern w:val="0"/>
      <w:sz w:val="18"/>
      <w:szCs w:val="18"/>
      <w:lang w:eastAsia="en-US"/>
    </w:rPr>
  </w:style>
  <w:style w:type="paragraph" w:styleId="23">
    <w:name w:val="toc 6"/>
    <w:basedOn w:val="1"/>
    <w:next w:val="1"/>
    <w:autoRedefine/>
    <w:unhideWhenUsed/>
    <w:qFormat/>
    <w:locked/>
    <w:uiPriority w:val="39"/>
    <w:pPr>
      <w:autoSpaceDE w:val="0"/>
      <w:autoSpaceDN w:val="0"/>
      <w:ind w:left="1100"/>
      <w:jc w:val="left"/>
    </w:pPr>
    <w:rPr>
      <w:rFonts w:cs="宋体" w:asciiTheme="minorHAnsi" w:hAnsiTheme="minorHAnsi"/>
      <w:kern w:val="0"/>
      <w:sz w:val="18"/>
      <w:szCs w:val="18"/>
      <w:lang w:eastAsia="en-US"/>
    </w:rPr>
  </w:style>
  <w:style w:type="paragraph" w:styleId="24">
    <w:name w:val="toc 2"/>
    <w:basedOn w:val="1"/>
    <w:next w:val="1"/>
    <w:autoRedefine/>
    <w:unhideWhenUsed/>
    <w:qFormat/>
    <w:locked/>
    <w:uiPriority w:val="39"/>
    <w:pPr>
      <w:ind w:left="420" w:leftChars="200"/>
    </w:pPr>
  </w:style>
  <w:style w:type="paragraph" w:styleId="25">
    <w:name w:val="toc 9"/>
    <w:basedOn w:val="1"/>
    <w:next w:val="1"/>
    <w:autoRedefine/>
    <w:unhideWhenUsed/>
    <w:qFormat/>
    <w:locked/>
    <w:uiPriority w:val="39"/>
    <w:pPr>
      <w:autoSpaceDE w:val="0"/>
      <w:autoSpaceDN w:val="0"/>
      <w:ind w:left="1760"/>
      <w:jc w:val="left"/>
    </w:pPr>
    <w:rPr>
      <w:rFonts w:cs="宋体" w:asciiTheme="minorHAnsi" w:hAnsiTheme="minorHAnsi"/>
      <w:kern w:val="0"/>
      <w:sz w:val="18"/>
      <w:szCs w:val="18"/>
      <w:lang w:eastAsia="en-US"/>
    </w:rPr>
  </w:style>
  <w:style w:type="paragraph" w:styleId="26">
    <w:name w:val="Normal (Web)"/>
    <w:basedOn w:val="1"/>
    <w:link w:val="52"/>
    <w:qFormat/>
    <w:uiPriority w:val="0"/>
    <w:pPr>
      <w:widowControl/>
      <w:spacing w:before="100" w:beforeAutospacing="1" w:after="100" w:afterAutospacing="1"/>
      <w:jc w:val="left"/>
    </w:pPr>
    <w:rPr>
      <w:rFonts w:ascii="宋体" w:hAnsi="宋体"/>
      <w:kern w:val="0"/>
      <w:sz w:val="24"/>
      <w:szCs w:val="20"/>
    </w:rPr>
  </w:style>
  <w:style w:type="paragraph" w:styleId="27">
    <w:name w:val="Title"/>
    <w:basedOn w:val="1"/>
    <w:next w:val="1"/>
    <w:link w:val="67"/>
    <w:qFormat/>
    <w:locked/>
    <w:uiPriority w:val="10"/>
    <w:pPr>
      <w:numPr>
        <w:ilvl w:val="0"/>
        <w:numId w:val="1"/>
      </w:numPr>
      <w:spacing w:before="240" w:after="60"/>
      <w:jc w:val="center"/>
      <w:outlineLvl w:val="0"/>
    </w:pPr>
    <w:rPr>
      <w:rFonts w:ascii="等线 Light" w:hAnsi="等线 Light"/>
      <w:b/>
      <w:bCs/>
      <w:sz w:val="32"/>
      <w:szCs w:val="32"/>
    </w:rPr>
  </w:style>
  <w:style w:type="paragraph" w:styleId="28">
    <w:name w:val="annotation subject"/>
    <w:basedOn w:val="11"/>
    <w:next w:val="11"/>
    <w:link w:val="53"/>
    <w:semiHidden/>
    <w:qFormat/>
    <w:uiPriority w:val="99"/>
    <w:rPr>
      <w:b/>
    </w:rPr>
  </w:style>
  <w:style w:type="paragraph" w:styleId="29">
    <w:name w:val="Body Text First Indent 2"/>
    <w:basedOn w:val="13"/>
    <w:next w:val="1"/>
    <w:unhideWhenUsed/>
    <w:qFormat/>
    <w:locked/>
    <w:uiPriority w:val="99"/>
    <w:pPr>
      <w:spacing w:line="360" w:lineRule="auto"/>
      <w:ind w:left="0" w:leftChars="0" w:firstLine="1044" w:firstLineChars="200"/>
    </w:pPr>
    <w:rPr>
      <w:kern w:val="2"/>
    </w:rPr>
  </w:style>
  <w:style w:type="table" w:styleId="31">
    <w:name w:val="Table Grid"/>
    <w:basedOn w:val="3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qFormat/>
    <w:locked/>
    <w:uiPriority w:val="0"/>
  </w:style>
  <w:style w:type="character" w:styleId="34">
    <w:name w:val="Hyperlink"/>
    <w:unhideWhenUsed/>
    <w:qFormat/>
    <w:locked/>
    <w:uiPriority w:val="99"/>
    <w:rPr>
      <w:color w:val="0000FF"/>
      <w:u w:val="single"/>
    </w:rPr>
  </w:style>
  <w:style w:type="character" w:styleId="35">
    <w:name w:val="annotation reference"/>
    <w:semiHidden/>
    <w:qFormat/>
    <w:uiPriority w:val="99"/>
    <w:rPr>
      <w:sz w:val="21"/>
    </w:rPr>
  </w:style>
  <w:style w:type="paragraph" w:customStyle="1" w:styleId="36">
    <w:name w:val="Table Paragraph"/>
    <w:basedOn w:val="1"/>
    <w:qFormat/>
    <w:uiPriority w:val="1"/>
    <w:pPr>
      <w:autoSpaceDE w:val="0"/>
      <w:autoSpaceDN w:val="0"/>
      <w:spacing w:before="105"/>
      <w:ind w:left="219"/>
      <w:jc w:val="left"/>
    </w:pPr>
    <w:rPr>
      <w:rFonts w:ascii="宋体" w:hAnsi="宋体" w:cs="宋体"/>
      <w:kern w:val="0"/>
      <w:sz w:val="22"/>
      <w:szCs w:val="22"/>
      <w:lang w:eastAsia="en-US"/>
    </w:rPr>
  </w:style>
  <w:style w:type="paragraph" w:customStyle="1" w:styleId="37">
    <w:name w:val="金皇-标题3"/>
    <w:basedOn w:val="4"/>
    <w:qFormat/>
    <w:uiPriority w:val="0"/>
    <w:pPr>
      <w:keepNext/>
      <w:keepLines/>
      <w:tabs>
        <w:tab w:val="clear" w:pos="644"/>
        <w:tab w:val="clear" w:pos="1960"/>
      </w:tabs>
      <w:adjustRightInd w:val="0"/>
      <w:jc w:val="both"/>
    </w:pPr>
    <w:rPr>
      <w:b/>
      <w:bCs/>
      <w:szCs w:val="28"/>
    </w:rPr>
  </w:style>
  <w:style w:type="character" w:customStyle="1" w:styleId="38">
    <w:name w:val="标题 1 字符"/>
    <w:link w:val="2"/>
    <w:qFormat/>
    <w:uiPriority w:val="0"/>
    <w:rPr>
      <w:rFonts w:eastAsia="黑体"/>
      <w:b/>
      <w:bCs/>
      <w:color w:val="000000"/>
      <w:kern w:val="44"/>
      <w:sz w:val="30"/>
      <w:szCs w:val="30"/>
    </w:rPr>
  </w:style>
  <w:style w:type="character" w:customStyle="1" w:styleId="39">
    <w:name w:val="标题 2 字符"/>
    <w:link w:val="3"/>
    <w:qFormat/>
    <w:uiPriority w:val="9"/>
    <w:rPr>
      <w:rFonts w:ascii="等线 Light" w:hAnsi="等线 Light" w:eastAsia="等线 Light"/>
      <w:b/>
      <w:bCs/>
      <w:kern w:val="2"/>
      <w:sz w:val="32"/>
      <w:szCs w:val="32"/>
    </w:rPr>
  </w:style>
  <w:style w:type="character" w:customStyle="1" w:styleId="40">
    <w:name w:val="标题 3 字符"/>
    <w:link w:val="4"/>
    <w:semiHidden/>
    <w:qFormat/>
    <w:uiPriority w:val="0"/>
    <w:rPr>
      <w:rFonts w:eastAsia="黑体"/>
      <w:kern w:val="2"/>
      <w:sz w:val="28"/>
      <w:szCs w:val="30"/>
    </w:rPr>
  </w:style>
  <w:style w:type="character" w:customStyle="1" w:styleId="41">
    <w:name w:val="标题 4 字符"/>
    <w:link w:val="5"/>
    <w:semiHidden/>
    <w:qFormat/>
    <w:uiPriority w:val="0"/>
    <w:rPr>
      <w:b/>
      <w:bCs/>
      <w:kern w:val="2"/>
      <w:sz w:val="24"/>
      <w:szCs w:val="24"/>
    </w:rPr>
  </w:style>
  <w:style w:type="character" w:customStyle="1" w:styleId="42">
    <w:name w:val="标题 5 字符"/>
    <w:link w:val="6"/>
    <w:semiHidden/>
    <w:qFormat/>
    <w:uiPriority w:val="0"/>
    <w:rPr>
      <w:b/>
      <w:bCs/>
      <w:kern w:val="2"/>
      <w:sz w:val="28"/>
      <w:szCs w:val="28"/>
    </w:rPr>
  </w:style>
  <w:style w:type="character" w:customStyle="1" w:styleId="43">
    <w:name w:val="标题 6 字符"/>
    <w:basedOn w:val="32"/>
    <w:link w:val="7"/>
    <w:qFormat/>
    <w:uiPriority w:val="9"/>
    <w:rPr>
      <w:rFonts w:ascii="宋体" w:hAnsi="宋体" w:cs="宋体"/>
      <w:sz w:val="24"/>
      <w:szCs w:val="24"/>
      <w:lang w:eastAsia="en-US"/>
    </w:rPr>
  </w:style>
  <w:style w:type="character" w:customStyle="1" w:styleId="44">
    <w:name w:val="标题 7 字符"/>
    <w:link w:val="8"/>
    <w:semiHidden/>
    <w:qFormat/>
    <w:uiPriority w:val="1"/>
    <w:rPr>
      <w:rFonts w:ascii="宋体" w:hAnsi="宋体" w:cs="宋体"/>
      <w:b/>
      <w:bCs/>
      <w:kern w:val="2"/>
      <w:sz w:val="24"/>
      <w:szCs w:val="24"/>
    </w:rPr>
  </w:style>
  <w:style w:type="character" w:customStyle="1" w:styleId="45">
    <w:name w:val="批注文字 字符"/>
    <w:link w:val="11"/>
    <w:qFormat/>
    <w:locked/>
    <w:uiPriority w:val="99"/>
    <w:rPr>
      <w:rFonts w:ascii="Times New Roman" w:hAnsi="Times New Roman" w:eastAsia="宋体"/>
      <w:sz w:val="24"/>
    </w:rPr>
  </w:style>
  <w:style w:type="character" w:customStyle="1" w:styleId="46">
    <w:name w:val="正文文本 字符"/>
    <w:link w:val="12"/>
    <w:qFormat/>
    <w:locked/>
    <w:uiPriority w:val="0"/>
    <w:rPr>
      <w:sz w:val="18"/>
    </w:rPr>
  </w:style>
  <w:style w:type="character" w:customStyle="1" w:styleId="47">
    <w:name w:val="正文文本缩进 字符"/>
    <w:link w:val="13"/>
    <w:semiHidden/>
    <w:qFormat/>
    <w:locked/>
    <w:uiPriority w:val="0"/>
    <w:rPr>
      <w:rFonts w:ascii="Times New Roman" w:hAnsi="Times New Roman" w:eastAsia="宋体"/>
      <w:sz w:val="24"/>
    </w:rPr>
  </w:style>
  <w:style w:type="character" w:customStyle="1" w:styleId="48">
    <w:name w:val="日期 字符1"/>
    <w:link w:val="17"/>
    <w:qFormat/>
    <w:locked/>
    <w:uiPriority w:val="0"/>
    <w:rPr>
      <w:rFonts w:ascii="Times New Roman" w:hAnsi="Times New Roman" w:eastAsia="宋体"/>
      <w:sz w:val="24"/>
    </w:rPr>
  </w:style>
  <w:style w:type="character" w:customStyle="1" w:styleId="49">
    <w:name w:val="批注框文本 字符"/>
    <w:link w:val="18"/>
    <w:semiHidden/>
    <w:qFormat/>
    <w:locked/>
    <w:uiPriority w:val="99"/>
    <w:rPr>
      <w:rFonts w:ascii="Times New Roman" w:hAnsi="Times New Roman" w:eastAsia="宋体"/>
      <w:sz w:val="18"/>
    </w:rPr>
  </w:style>
  <w:style w:type="character" w:customStyle="1" w:styleId="50">
    <w:name w:val="页脚 字符1"/>
    <w:link w:val="19"/>
    <w:qFormat/>
    <w:locked/>
    <w:uiPriority w:val="99"/>
    <w:rPr>
      <w:sz w:val="18"/>
    </w:rPr>
  </w:style>
  <w:style w:type="character" w:customStyle="1" w:styleId="51">
    <w:name w:val="页眉 字符"/>
    <w:link w:val="20"/>
    <w:qFormat/>
    <w:locked/>
    <w:uiPriority w:val="99"/>
    <w:rPr>
      <w:sz w:val="18"/>
    </w:rPr>
  </w:style>
  <w:style w:type="character" w:customStyle="1" w:styleId="52">
    <w:name w:val="普通(网站) 字符"/>
    <w:link w:val="26"/>
    <w:qFormat/>
    <w:locked/>
    <w:uiPriority w:val="0"/>
    <w:rPr>
      <w:rFonts w:ascii="宋体" w:hAnsi="宋体" w:eastAsia="宋体"/>
      <w:sz w:val="24"/>
    </w:rPr>
  </w:style>
  <w:style w:type="character" w:customStyle="1" w:styleId="53">
    <w:name w:val="批注主题 字符"/>
    <w:link w:val="28"/>
    <w:semiHidden/>
    <w:qFormat/>
    <w:locked/>
    <w:uiPriority w:val="99"/>
    <w:rPr>
      <w:rFonts w:ascii="Times New Roman" w:hAnsi="Times New Roman" w:eastAsia="宋体"/>
      <w:b/>
      <w:kern w:val="2"/>
      <w:sz w:val="24"/>
    </w:rPr>
  </w:style>
  <w:style w:type="character" w:customStyle="1" w:styleId="54">
    <w:name w:val="页脚 字符"/>
    <w:qFormat/>
    <w:uiPriority w:val="99"/>
  </w:style>
  <w:style w:type="character" w:customStyle="1" w:styleId="55">
    <w:name w:val="正文文本 字符1"/>
    <w:semiHidden/>
    <w:qFormat/>
    <w:uiPriority w:val="0"/>
    <w:rPr>
      <w:rFonts w:ascii="Times New Roman" w:hAnsi="Times New Roman" w:eastAsia="宋体"/>
      <w:sz w:val="24"/>
    </w:rPr>
  </w:style>
  <w:style w:type="character" w:customStyle="1" w:styleId="56">
    <w:name w:val="表格 Char"/>
    <w:link w:val="57"/>
    <w:qFormat/>
    <w:locked/>
    <w:uiPriority w:val="0"/>
    <w:rPr>
      <w:rFonts w:ascii="宋体"/>
      <w:sz w:val="21"/>
    </w:rPr>
  </w:style>
  <w:style w:type="paragraph" w:customStyle="1" w:styleId="57">
    <w:name w:val="表格"/>
    <w:basedOn w:val="1"/>
    <w:next w:val="1"/>
    <w:link w:val="56"/>
    <w:qFormat/>
    <w:uiPriority w:val="0"/>
    <w:pPr>
      <w:adjustRightInd w:val="0"/>
      <w:snapToGrid w:val="0"/>
      <w:spacing w:beforeLines="10" w:afterLines="10" w:line="259" w:lineRule="auto"/>
      <w:jc w:val="center"/>
    </w:pPr>
    <w:rPr>
      <w:rFonts w:ascii="宋体"/>
      <w:kern w:val="0"/>
      <w:szCs w:val="20"/>
    </w:rPr>
  </w:style>
  <w:style w:type="character" w:customStyle="1" w:styleId="58">
    <w:name w:val="日期 字符"/>
    <w:semiHidden/>
    <w:qFormat/>
    <w:uiPriority w:val="0"/>
    <w:rPr>
      <w:rFonts w:ascii="Times New Roman" w:hAnsi="Times New Roman" w:eastAsia="宋体"/>
      <w:sz w:val="24"/>
    </w:rPr>
  </w:style>
  <w:style w:type="character" w:customStyle="1" w:styleId="59">
    <w:name w:val="批注文字 字符1"/>
    <w:semiHidden/>
    <w:qFormat/>
    <w:uiPriority w:val="0"/>
    <w:rPr>
      <w:rFonts w:ascii="Times New Roman" w:hAnsi="Times New Roman" w:eastAsia="宋体"/>
      <w:sz w:val="24"/>
    </w:rPr>
  </w:style>
  <w:style w:type="paragraph" w:customStyle="1" w:styleId="60">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1">
    <w:name w:val="普通(网站)2"/>
    <w:basedOn w:val="1"/>
    <w:qFormat/>
    <w:uiPriority w:val="0"/>
    <w:pPr>
      <w:widowControl/>
      <w:spacing w:before="100" w:beforeAutospacing="1" w:after="100" w:afterAutospacing="1"/>
      <w:jc w:val="left"/>
    </w:pPr>
    <w:rPr>
      <w:rFonts w:ascii="宋体" w:hAnsi="宋体"/>
      <w:sz w:val="24"/>
      <w:szCs w:val="20"/>
    </w:rPr>
  </w:style>
  <w:style w:type="table" w:customStyle="1" w:styleId="62">
    <w:name w:val="Table Normal"/>
    <w:unhideWhenUsed/>
    <w:qFormat/>
    <w:uiPriority w:val="0"/>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63">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64">
    <w:name w:val="表格1内文字"/>
    <w:basedOn w:val="1"/>
    <w:qFormat/>
    <w:uiPriority w:val="0"/>
    <w:pPr>
      <w:tabs>
        <w:tab w:val="left" w:pos="0"/>
      </w:tabs>
      <w:adjustRightInd w:val="0"/>
      <w:snapToGrid w:val="0"/>
      <w:jc w:val="center"/>
    </w:pPr>
    <w:rPr>
      <w:szCs w:val="21"/>
    </w:rPr>
  </w:style>
  <w:style w:type="paragraph" w:customStyle="1" w:styleId="65">
    <w:name w:val="表格内文字"/>
    <w:basedOn w:val="1"/>
    <w:qFormat/>
    <w:uiPriority w:val="0"/>
    <w:pPr>
      <w:tabs>
        <w:tab w:val="left" w:pos="0"/>
      </w:tabs>
      <w:adjustRightInd w:val="0"/>
      <w:snapToGrid w:val="0"/>
      <w:jc w:val="center"/>
    </w:pPr>
    <w:rPr>
      <w:szCs w:val="21"/>
    </w:rPr>
  </w:style>
  <w:style w:type="paragraph" w:customStyle="1" w:styleId="66">
    <w:name w:val="0-正文"/>
    <w:basedOn w:val="1"/>
    <w:qFormat/>
    <w:uiPriority w:val="0"/>
    <w:pPr>
      <w:spacing w:line="360" w:lineRule="auto"/>
      <w:ind w:firstLine="200" w:firstLineChars="200"/>
    </w:pPr>
    <w:rPr>
      <w:sz w:val="24"/>
    </w:rPr>
  </w:style>
  <w:style w:type="character" w:customStyle="1" w:styleId="67">
    <w:name w:val="标题 字符"/>
    <w:link w:val="27"/>
    <w:qFormat/>
    <w:uiPriority w:val="10"/>
    <w:rPr>
      <w:rFonts w:ascii="等线 Light" w:hAnsi="等线 Light"/>
      <w:b/>
      <w:bCs/>
      <w:kern w:val="2"/>
      <w:sz w:val="32"/>
      <w:szCs w:val="32"/>
    </w:rPr>
  </w:style>
  <w:style w:type="paragraph" w:customStyle="1" w:styleId="68">
    <w:name w:val="表（图）头"/>
    <w:next w:val="1"/>
    <w:qFormat/>
    <w:uiPriority w:val="0"/>
    <w:pPr>
      <w:adjustRightInd w:val="0"/>
      <w:snapToGrid w:val="0"/>
      <w:jc w:val="center"/>
      <w:outlineLvl w:val="4"/>
    </w:pPr>
    <w:rPr>
      <w:rFonts w:ascii="Times New Roman" w:hAnsi="Times New Roman" w:eastAsia="黑体" w:cs="Times New Roman"/>
      <w:b/>
      <w:sz w:val="24"/>
      <w:lang w:val="en-US" w:eastAsia="zh-CN" w:bidi="ar-SA"/>
    </w:rPr>
  </w:style>
  <w:style w:type="paragraph" w:customStyle="1" w:styleId="69">
    <w:name w:val="0-表（图）头"/>
    <w:next w:val="1"/>
    <w:qFormat/>
    <w:uiPriority w:val="0"/>
    <w:pPr>
      <w:adjustRightInd w:val="0"/>
      <w:snapToGrid w:val="0"/>
      <w:jc w:val="center"/>
      <w:outlineLvl w:val="4"/>
    </w:pPr>
    <w:rPr>
      <w:rFonts w:ascii="Times New Roman" w:hAnsi="Times New Roman" w:eastAsia="黑体" w:cs="Times New Roman"/>
      <w:b/>
      <w:sz w:val="24"/>
      <w:lang w:val="en-US" w:eastAsia="zh-CN" w:bidi="ar-SA"/>
    </w:rPr>
  </w:style>
  <w:style w:type="paragraph" w:customStyle="1" w:styleId="70">
    <w:name w:val="0-表格内文字"/>
    <w:basedOn w:val="1"/>
    <w:link w:val="71"/>
    <w:qFormat/>
    <w:uiPriority w:val="0"/>
    <w:pPr>
      <w:tabs>
        <w:tab w:val="left" w:pos="0"/>
      </w:tabs>
      <w:adjustRightInd w:val="0"/>
      <w:snapToGrid w:val="0"/>
      <w:jc w:val="center"/>
    </w:pPr>
    <w:rPr>
      <w:szCs w:val="21"/>
    </w:rPr>
  </w:style>
  <w:style w:type="character" w:customStyle="1" w:styleId="71">
    <w:name w:val="0-表格内文字 字符"/>
    <w:link w:val="70"/>
    <w:qFormat/>
    <w:uiPriority w:val="0"/>
    <w:rPr>
      <w:kern w:val="2"/>
      <w:sz w:val="21"/>
      <w:szCs w:val="21"/>
    </w:rPr>
  </w:style>
  <w:style w:type="paragraph" w:customStyle="1" w:styleId="72">
    <w:name w:val="msonormal"/>
    <w:basedOn w:val="1"/>
    <w:qFormat/>
    <w:uiPriority w:val="0"/>
    <w:pPr>
      <w:widowControl/>
      <w:spacing w:before="100" w:beforeAutospacing="1" w:after="100" w:afterAutospacing="1"/>
      <w:jc w:val="left"/>
    </w:pPr>
    <w:rPr>
      <w:rFonts w:ascii="宋体" w:hAnsi="宋体" w:cs="宋体"/>
      <w:kern w:val="0"/>
      <w:sz w:val="24"/>
    </w:rPr>
  </w:style>
  <w:style w:type="paragraph" w:customStyle="1" w:styleId="73">
    <w:name w:val="0-标题 1"/>
    <w:basedOn w:val="2"/>
    <w:qFormat/>
    <w:uiPriority w:val="0"/>
    <w:pPr>
      <w:keepLines/>
      <w:numPr>
        <w:ilvl w:val="0"/>
        <w:numId w:val="2"/>
      </w:numPr>
      <w:tabs>
        <w:tab w:val="left" w:pos="315"/>
        <w:tab w:val="left" w:pos="1960"/>
        <w:tab w:val="clear" w:pos="0"/>
      </w:tabs>
      <w:overflowPunct/>
      <w:adjustRightInd w:val="0"/>
      <w:spacing w:before="0" w:after="0" w:line="360" w:lineRule="auto"/>
      <w:jc w:val="left"/>
    </w:pPr>
    <w:rPr>
      <w:color w:val="auto"/>
      <w:sz w:val="32"/>
      <w:szCs w:val="44"/>
    </w:rPr>
  </w:style>
  <w:style w:type="paragraph" w:customStyle="1" w:styleId="74">
    <w:name w:val="0-标题 2"/>
    <w:basedOn w:val="3"/>
    <w:qFormat/>
    <w:uiPriority w:val="0"/>
    <w:pPr>
      <w:numPr>
        <w:ilvl w:val="0"/>
        <w:numId w:val="0"/>
      </w:numPr>
      <w:tabs>
        <w:tab w:val="left" w:pos="0"/>
        <w:tab w:val="left" w:pos="1960"/>
      </w:tabs>
      <w:spacing w:before="0" w:after="0" w:line="360" w:lineRule="auto"/>
      <w:jc w:val="left"/>
    </w:pPr>
    <w:rPr>
      <w:rFonts w:ascii="Times New Roman" w:hAnsi="Times New Roman" w:eastAsia="黑体"/>
      <w:kern w:val="44"/>
      <w:sz w:val="30"/>
    </w:rPr>
  </w:style>
  <w:style w:type="paragraph" w:customStyle="1" w:styleId="75">
    <w:name w:val="0-标题3"/>
    <w:basedOn w:val="4"/>
    <w:qFormat/>
    <w:uiPriority w:val="0"/>
    <w:pPr>
      <w:tabs>
        <w:tab w:val="left" w:pos="0"/>
      </w:tabs>
      <w:adjustRightInd w:val="0"/>
      <w:ind w:left="142"/>
    </w:pPr>
    <w:rPr>
      <w:b/>
    </w:rPr>
  </w:style>
  <w:style w:type="paragraph" w:customStyle="1" w:styleId="76">
    <w:name w:val="0-标题4"/>
    <w:basedOn w:val="5"/>
    <w:qFormat/>
    <w:uiPriority w:val="0"/>
    <w:pPr>
      <w:tabs>
        <w:tab w:val="left" w:pos="0"/>
        <w:tab w:val="left" w:pos="360"/>
        <w:tab w:val="left" w:pos="420"/>
      </w:tabs>
      <w:ind w:left="1984" w:hanging="708"/>
    </w:pPr>
    <w:rPr>
      <w:rFonts w:eastAsia="黑体"/>
      <w:szCs w:val="22"/>
    </w:rPr>
  </w:style>
  <w:style w:type="paragraph" w:customStyle="1" w:styleId="77">
    <w:name w:val="0-封面-单位名称及日期"/>
    <w:basedOn w:val="1"/>
    <w:qFormat/>
    <w:uiPriority w:val="0"/>
    <w:pPr>
      <w:spacing w:before="60" w:after="60"/>
      <w:jc w:val="center"/>
    </w:pPr>
    <w:rPr>
      <w:rFonts w:ascii="黑体" w:hAnsi="Cambria" w:eastAsia="华文中宋" w:cs="Arial"/>
      <w:b/>
      <w:bCs/>
      <w:sz w:val="36"/>
      <w:szCs w:val="36"/>
    </w:rPr>
  </w:style>
  <w:style w:type="table" w:customStyle="1" w:styleId="78">
    <w:name w:val="表格样式1"/>
    <w:basedOn w:val="30"/>
    <w:qFormat/>
    <w:uiPriority w:val="0"/>
    <w:pPr>
      <w:widowControl w:val="0"/>
      <w:jc w:val="center"/>
    </w:pPr>
    <w:rPr>
      <w:szCs w:val="21"/>
    </w:rPr>
    <w:tblPr>
      <w:tblBorders>
        <w:top w:val="single" w:color="auto" w:sz="12" w:space="0"/>
        <w:bottom w:val="single" w:color="auto" w:sz="12" w:space="0"/>
        <w:insideH w:val="single" w:color="auto" w:sz="6" w:space="0"/>
        <w:insideV w:val="single" w:color="auto" w:sz="6" w:space="0"/>
      </w:tblBorders>
    </w:tblPr>
    <w:tcPr>
      <w:vAlign w:val="center"/>
    </w:tcPr>
  </w:style>
  <w:style w:type="paragraph" w:customStyle="1" w:styleId="79">
    <w:name w:val="表格内容"/>
    <w:next w:val="1"/>
    <w:qFormat/>
    <w:uiPriority w:val="0"/>
    <w:pPr>
      <w:jc w:val="center"/>
    </w:pPr>
    <w:rPr>
      <w:rFonts w:ascii="Times New Roman" w:hAnsi="Times New Roman" w:eastAsia="宋体" w:cs="Times New Roman"/>
      <w:sz w:val="21"/>
      <w:szCs w:val="21"/>
      <w:lang w:val="en-US" w:eastAsia="zh-CN" w:bidi="ar-SA"/>
    </w:rPr>
  </w:style>
  <w:style w:type="paragraph" w:customStyle="1" w:styleId="80">
    <w:name w:val="0表名"/>
    <w:basedOn w:val="1"/>
    <w:qFormat/>
    <w:uiPriority w:val="0"/>
    <w:pPr>
      <w:spacing w:line="360" w:lineRule="auto"/>
      <w:jc w:val="center"/>
    </w:pPr>
    <w:rPr>
      <w:rFonts w:cs="Tahoma"/>
      <w:b/>
      <w:sz w:val="24"/>
      <w:szCs w:val="21"/>
    </w:rPr>
  </w:style>
  <w:style w:type="character" w:customStyle="1" w:styleId="81">
    <w:name w:val="000表内 字符"/>
    <w:link w:val="82"/>
    <w:qFormat/>
    <w:uiPriority w:val="0"/>
    <w:rPr>
      <w:kern w:val="2"/>
      <w:sz w:val="21"/>
      <w:szCs w:val="24"/>
    </w:rPr>
  </w:style>
  <w:style w:type="paragraph" w:customStyle="1" w:styleId="82">
    <w:name w:val="000表内"/>
    <w:basedOn w:val="1"/>
    <w:link w:val="81"/>
    <w:qFormat/>
    <w:uiPriority w:val="0"/>
    <w:pPr>
      <w:snapToGrid w:val="0"/>
      <w:jc w:val="center"/>
    </w:pPr>
  </w:style>
  <w:style w:type="paragraph" w:customStyle="1" w:styleId="83">
    <w:name w:val="0表（图）头"/>
    <w:basedOn w:val="1"/>
    <w:link w:val="84"/>
    <w:qFormat/>
    <w:uiPriority w:val="0"/>
    <w:pPr>
      <w:adjustRightInd w:val="0"/>
      <w:jc w:val="center"/>
      <w:outlineLvl w:val="4"/>
    </w:pPr>
    <w:rPr>
      <w:rFonts w:hAnsi="宋体" w:eastAsia="黑体"/>
      <w:b/>
      <w:sz w:val="24"/>
      <w:szCs w:val="21"/>
    </w:rPr>
  </w:style>
  <w:style w:type="character" w:customStyle="1" w:styleId="84">
    <w:name w:val="0表（图）头 字符"/>
    <w:link w:val="83"/>
    <w:qFormat/>
    <w:uiPriority w:val="0"/>
    <w:rPr>
      <w:rFonts w:hAnsi="宋体" w:eastAsia="黑体"/>
      <w:b/>
      <w:kern w:val="2"/>
      <w:sz w:val="24"/>
      <w:szCs w:val="21"/>
    </w:rPr>
  </w:style>
  <w:style w:type="paragraph" w:customStyle="1" w:styleId="85">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86">
    <w:name w:val="5文章(金皇)"/>
    <w:basedOn w:val="1"/>
    <w:qFormat/>
    <w:uiPriority w:val="0"/>
    <w:pPr>
      <w:spacing w:line="360" w:lineRule="auto"/>
      <w:ind w:firstLine="480" w:firstLineChars="200"/>
    </w:pPr>
    <w:rPr>
      <w:sz w:val="24"/>
    </w:rPr>
  </w:style>
  <w:style w:type="paragraph" w:customStyle="1" w:styleId="87">
    <w:name w:val="5文章(治)"/>
    <w:basedOn w:val="1"/>
    <w:qFormat/>
    <w:uiPriority w:val="0"/>
    <w:pPr>
      <w:snapToGrid w:val="0"/>
      <w:spacing w:line="360" w:lineRule="auto"/>
      <w:ind w:firstLine="200" w:firstLineChars="200"/>
    </w:pPr>
    <w:rPr>
      <w:sz w:val="24"/>
    </w:rPr>
  </w:style>
  <w:style w:type="character" w:customStyle="1" w:styleId="88">
    <w:name w:val="15"/>
    <w:qFormat/>
    <w:uiPriority w:val="0"/>
    <w:rPr>
      <w:rFonts w:hint="default" w:ascii="Times New Roman" w:hAnsi="Times New Roman" w:eastAsia="宋体" w:cs="Times New Roman"/>
      <w:sz w:val="24"/>
      <w:szCs w:val="24"/>
    </w:rPr>
  </w:style>
  <w:style w:type="paragraph" w:customStyle="1" w:styleId="89">
    <w:name w:val="7表格(治)"/>
    <w:basedOn w:val="1"/>
    <w:qFormat/>
    <w:uiPriority w:val="0"/>
    <w:pPr>
      <w:jc w:val="center"/>
    </w:pPr>
    <w:rPr>
      <w:szCs w:val="21"/>
    </w:rPr>
  </w:style>
  <w:style w:type="paragraph" w:customStyle="1" w:styleId="90">
    <w:name w:val="金皇-表格内文字"/>
    <w:basedOn w:val="1"/>
    <w:qFormat/>
    <w:uiPriority w:val="0"/>
    <w:pPr>
      <w:adjustRightInd w:val="0"/>
      <w:snapToGrid w:val="0"/>
      <w:jc w:val="center"/>
    </w:pPr>
    <w:rPr>
      <w:szCs w:val="21"/>
    </w:rPr>
  </w:style>
  <w:style w:type="paragraph" w:customStyle="1" w:styleId="91">
    <w:name w:val="金皇-正文"/>
    <w:basedOn w:val="1"/>
    <w:qFormat/>
    <w:uiPriority w:val="0"/>
    <w:pPr>
      <w:spacing w:line="360" w:lineRule="auto"/>
      <w:ind w:firstLine="200" w:firstLineChars="200"/>
    </w:pPr>
    <w:rPr>
      <w:sz w:val="24"/>
    </w:rPr>
  </w:style>
  <w:style w:type="character" w:styleId="92">
    <w:name w:val="Placeholder Text"/>
    <w:basedOn w:val="32"/>
    <w:unhideWhenUsed/>
    <w:qFormat/>
    <w:uiPriority w:val="99"/>
    <w:rPr>
      <w:color w:val="808080"/>
    </w:rPr>
  </w:style>
  <w:style w:type="paragraph" w:customStyle="1" w:styleId="93">
    <w:name w:val="TOC 标题1"/>
    <w:basedOn w:val="2"/>
    <w:next w:val="1"/>
    <w:unhideWhenUsed/>
    <w:qFormat/>
    <w:uiPriority w:val="39"/>
    <w:pPr>
      <w:keepLines/>
      <w:widowControl/>
      <w:overflowPunct/>
      <w:snapToGrid/>
      <w:spacing w:before="240" w:after="0"/>
      <w:ind w:left="0" w:firstLine="0"/>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styleId="94">
    <w:name w:val="List Paragraph"/>
    <w:basedOn w:val="1"/>
    <w:qFormat/>
    <w:uiPriority w:val="1"/>
    <w:pPr>
      <w:autoSpaceDE w:val="0"/>
      <w:autoSpaceDN w:val="0"/>
      <w:ind w:left="1457" w:hanging="601"/>
      <w:jc w:val="left"/>
    </w:pPr>
    <w:rPr>
      <w:rFonts w:ascii="宋体" w:hAnsi="宋体" w:cs="宋体"/>
      <w:kern w:val="0"/>
      <w:sz w:val="22"/>
      <w:szCs w:val="22"/>
      <w:lang w:eastAsia="en-US"/>
    </w:rPr>
  </w:style>
  <w:style w:type="paragraph" w:customStyle="1" w:styleId="95">
    <w:name w:val="金皇-标题2"/>
    <w:basedOn w:val="3"/>
    <w:qFormat/>
    <w:uiPriority w:val="0"/>
    <w:pPr>
      <w:numPr>
        <w:ilvl w:val="0"/>
        <w:numId w:val="0"/>
      </w:numPr>
      <w:spacing w:before="0" w:after="0" w:line="360" w:lineRule="auto"/>
    </w:pPr>
    <w:rPr>
      <w:rFonts w:ascii="Times New Roman" w:hAnsi="Times New Roman" w:eastAsia="黑体"/>
      <w:kern w:val="0"/>
      <w:sz w:val="30"/>
      <w:szCs w:val="30"/>
    </w:rPr>
  </w:style>
  <w:style w:type="paragraph" w:customStyle="1" w:styleId="96">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color w:val="000000"/>
      <w:kern w:val="0"/>
      <w:sz w:val="20"/>
      <w:szCs w:val="20"/>
    </w:rPr>
  </w:style>
  <w:style w:type="paragraph" w:customStyle="1" w:styleId="97">
    <w:name w:val="文"/>
    <w:qFormat/>
    <w:uiPriority w:val="0"/>
    <w:pPr>
      <w:spacing w:line="360" w:lineRule="auto"/>
      <w:ind w:firstLine="200" w:firstLineChars="200"/>
      <w:jc w:val="both"/>
    </w:pPr>
    <w:rPr>
      <w:rFonts w:ascii="Calibri" w:hAnsi="Calibri" w:eastAsia="宋体" w:cs="Times New Roman"/>
      <w:bCs/>
      <w:sz w:val="24"/>
      <w:szCs w:val="28"/>
      <w:lang w:val="en-US" w:eastAsia="zh-CN" w:bidi="ar-SA"/>
    </w:rPr>
  </w:style>
  <w:style w:type="paragraph" w:customStyle="1" w:styleId="98">
    <w:name w:val="正文（）"/>
    <w:basedOn w:val="1"/>
    <w:qFormat/>
    <w:uiPriority w:val="0"/>
    <w:pPr>
      <w:adjustRightInd w:val="0"/>
      <w:snapToGrid w:val="0"/>
      <w:spacing w:line="360" w:lineRule="auto"/>
      <w:ind w:firstLine="200" w:firstLineChars="200"/>
    </w:pPr>
    <w:rPr>
      <w:color w:val="5B9BD5"/>
      <w:sz w:val="24"/>
      <w:szCs w:val="24"/>
    </w:rPr>
  </w:style>
  <w:style w:type="paragraph" w:customStyle="1" w:styleId="99">
    <w:name w:val="6表格"/>
    <w:basedOn w:val="1"/>
    <w:qFormat/>
    <w:uiPriority w:val="0"/>
    <w:pPr>
      <w:widowControl w:val="0"/>
      <w:jc w:val="center"/>
    </w:pPr>
    <w:rPr>
      <w:rFonts w:ascii="Times New Roman" w:hAnsi="Times New Roman"/>
    </w:rPr>
  </w:style>
  <w:style w:type="paragraph" w:customStyle="1" w:styleId="100">
    <w:name w:val="CM11"/>
    <w:basedOn w:val="1"/>
    <w:next w:val="1"/>
    <w:qFormat/>
    <w:uiPriority w:val="0"/>
    <w:pPr>
      <w:widowControl w:val="0"/>
      <w:autoSpaceDE w:val="0"/>
      <w:autoSpaceDN w:val="0"/>
      <w:adjustRightInd w:val="0"/>
      <w:spacing w:line="520" w:lineRule="atLeast"/>
    </w:pPr>
    <w:rPr>
      <w:rFonts w:ascii="宋体" w:hAnsi="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header" Target="header1.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emf"/><Relationship Id="rId41" Type="http://schemas.openxmlformats.org/officeDocument/2006/relationships/image" Target="media/image29.png"/><Relationship Id="rId40" Type="http://schemas.openxmlformats.org/officeDocument/2006/relationships/image" Target="media/image28.emf"/><Relationship Id="rId4" Type="http://schemas.openxmlformats.org/officeDocument/2006/relationships/footer" Target="footer2.xml"/><Relationship Id="rId39" Type="http://schemas.openxmlformats.org/officeDocument/2006/relationships/image" Target="media/image27.wmf"/><Relationship Id="rId38" Type="http://schemas.openxmlformats.org/officeDocument/2006/relationships/image" Target="media/image26.wmf"/><Relationship Id="rId37" Type="http://schemas.openxmlformats.org/officeDocument/2006/relationships/image" Target="media/image25.wmf"/><Relationship Id="rId36" Type="http://schemas.openxmlformats.org/officeDocument/2006/relationships/image" Target="media/image24.wmf"/><Relationship Id="rId35" Type="http://schemas.openxmlformats.org/officeDocument/2006/relationships/image" Target="media/image23.jpeg"/><Relationship Id="rId34" Type="http://schemas.openxmlformats.org/officeDocument/2006/relationships/image" Target="media/image22.wmf"/><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78</Pages>
  <Words>17317</Words>
  <Characters>18482</Characters>
  <Lines>764</Lines>
  <Paragraphs>215</Paragraphs>
  <TotalTime>17</TotalTime>
  <ScaleCrop>false</ScaleCrop>
  <LinksUpToDate>false</LinksUpToDate>
  <CharactersWithSpaces>18636</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2024-01-21T12:33:00Z</dcterms:created>
  <dc:creator>lhj</dc:creator>
  <cp:lastModifiedBy>刘润泉</cp:lastModifiedBy>
  <cp:lastPrinted>2024-02-25T08:07:00Z</cp:lastPrinted>
  <dcterms:modified xsi:type="dcterms:W3CDTF">2025-08-26T02:46:48Z</dcterms:modified>
  <dc:title>附件2</dc:title>
  <cp:revision>133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B88D057DE6924DC9A6EFED14F4C18094_13</vt:lpwstr>
  </property>
  <property fmtid="{D5CDD505-2E9C-101B-9397-08002B2CF9AE}" pid="4" name="KSOTemplateDocerSaveRecord">
    <vt:lpwstr>eyJoZGlkIjoiOTI2M2VlN2MyZWFhY2VlYjJlYzkwNDYxYWEzOGRlZGYiLCJ1c2VySWQiOiIxNTI5Mjc5MTUzIn0=</vt:lpwstr>
  </property>
</Properties>
</file>